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204A7">
      <w:pPr>
        <w:pStyle w:val="10"/>
        <w:spacing w:before="1"/>
        <w:rPr>
          <w:color w:val="auto"/>
          <w:sz w:val="18"/>
          <w:highlight w:val="none"/>
        </w:rPr>
      </w:pPr>
    </w:p>
    <w:p w14:paraId="20FF18FA">
      <w:pPr>
        <w:pStyle w:val="10"/>
        <w:rPr>
          <w:color w:val="auto"/>
          <w:sz w:val="20"/>
          <w:highlight w:val="none"/>
        </w:rPr>
      </w:pPr>
    </w:p>
    <w:p w14:paraId="685E982A">
      <w:pPr>
        <w:pStyle w:val="10"/>
        <w:rPr>
          <w:color w:val="auto"/>
          <w:sz w:val="20"/>
          <w:highlight w:val="none"/>
        </w:rPr>
      </w:pPr>
    </w:p>
    <w:p w14:paraId="171B5D82">
      <w:pPr>
        <w:pStyle w:val="10"/>
        <w:rPr>
          <w:color w:val="auto"/>
          <w:sz w:val="20"/>
          <w:highlight w:val="none"/>
        </w:rPr>
      </w:pPr>
    </w:p>
    <w:p w14:paraId="61E114F7">
      <w:pPr>
        <w:pStyle w:val="34"/>
        <w:jc w:val="center"/>
        <w:rPr>
          <w:rFonts w:hint="eastAsia"/>
          <w:b/>
          <w:bCs/>
          <w:iCs/>
          <w:color w:val="auto"/>
          <w:sz w:val="52"/>
          <w:szCs w:val="52"/>
          <w:highlight w:val="none"/>
          <w:lang w:eastAsia="zh-CN"/>
        </w:rPr>
      </w:pPr>
      <w:r>
        <w:rPr>
          <w:rFonts w:hint="eastAsia"/>
          <w:b/>
          <w:bCs/>
          <w:iCs/>
          <w:color w:val="auto"/>
          <w:sz w:val="52"/>
          <w:szCs w:val="52"/>
          <w:highlight w:val="none"/>
          <w:lang w:eastAsia="zh-CN"/>
        </w:rPr>
        <w:t>乾安县2024年高标准农田建设项目监理</w:t>
      </w:r>
    </w:p>
    <w:p w14:paraId="04320C86">
      <w:pPr>
        <w:pStyle w:val="34"/>
        <w:rPr>
          <w:color w:val="auto"/>
          <w:highlight w:val="none"/>
          <w:lang w:eastAsia="zh-CN"/>
        </w:rPr>
      </w:pPr>
    </w:p>
    <w:p w14:paraId="62E425C4">
      <w:pPr>
        <w:pStyle w:val="34"/>
        <w:rPr>
          <w:color w:val="auto"/>
          <w:highlight w:val="none"/>
          <w:lang w:eastAsia="zh-CN"/>
        </w:rPr>
      </w:pPr>
    </w:p>
    <w:p w14:paraId="28C03211">
      <w:pPr>
        <w:pStyle w:val="34"/>
        <w:rPr>
          <w:color w:val="auto"/>
          <w:highlight w:val="none"/>
          <w:lang w:eastAsia="zh-CN"/>
        </w:rPr>
      </w:pPr>
    </w:p>
    <w:p w14:paraId="6B088181">
      <w:pPr>
        <w:pStyle w:val="10"/>
        <w:wordWrap w:val="0"/>
        <w:spacing w:before="2"/>
        <w:rPr>
          <w:color w:val="auto"/>
          <w:sz w:val="23"/>
          <w:highlight w:val="none"/>
          <w:lang w:eastAsia="zh-CN"/>
        </w:rPr>
      </w:pPr>
    </w:p>
    <w:p w14:paraId="1CEF9F41">
      <w:pPr>
        <w:pStyle w:val="10"/>
        <w:wordWrap w:val="0"/>
        <w:spacing w:before="2"/>
        <w:rPr>
          <w:color w:val="auto"/>
          <w:sz w:val="23"/>
          <w:highlight w:val="none"/>
          <w:lang w:eastAsia="zh-CN"/>
        </w:rPr>
      </w:pPr>
    </w:p>
    <w:p w14:paraId="5F2D3D28">
      <w:pPr>
        <w:pStyle w:val="10"/>
        <w:wordWrap w:val="0"/>
        <w:rPr>
          <w:color w:val="auto"/>
          <w:sz w:val="20"/>
          <w:highlight w:val="none"/>
          <w:lang w:eastAsia="zh-CN"/>
        </w:rPr>
      </w:pPr>
    </w:p>
    <w:p w14:paraId="759D7123">
      <w:pPr>
        <w:pStyle w:val="10"/>
        <w:wordWrap w:val="0"/>
        <w:rPr>
          <w:color w:val="auto"/>
          <w:sz w:val="20"/>
          <w:highlight w:val="none"/>
          <w:lang w:eastAsia="zh-CN"/>
        </w:rPr>
      </w:pPr>
    </w:p>
    <w:p w14:paraId="39B26E3A">
      <w:pPr>
        <w:pStyle w:val="10"/>
        <w:wordWrap w:val="0"/>
        <w:rPr>
          <w:color w:val="auto"/>
          <w:sz w:val="20"/>
          <w:highlight w:val="none"/>
          <w:lang w:eastAsia="zh-CN"/>
        </w:rPr>
      </w:pPr>
    </w:p>
    <w:p w14:paraId="35CCB288">
      <w:pPr>
        <w:wordWrap w:val="0"/>
        <w:spacing w:before="106"/>
        <w:ind w:left="3" w:right="4"/>
        <w:jc w:val="center"/>
        <w:rPr>
          <w:rFonts w:hint="default"/>
          <w:b/>
          <w:bCs/>
          <w:color w:val="auto"/>
          <w:sz w:val="96"/>
          <w:szCs w:val="40"/>
          <w:highlight w:val="none"/>
          <w:lang w:val="en-US" w:eastAsia="zh-CN"/>
        </w:rPr>
      </w:pPr>
      <w:r>
        <w:rPr>
          <w:rFonts w:hint="eastAsia"/>
          <w:b/>
          <w:bCs/>
          <w:color w:val="auto"/>
          <w:sz w:val="96"/>
          <w:szCs w:val="40"/>
          <w:highlight w:val="none"/>
          <w:lang w:eastAsia="zh-CN"/>
        </w:rPr>
        <w:t>招 标 文 件</w:t>
      </w:r>
      <w:r>
        <w:rPr>
          <w:rFonts w:hint="eastAsia"/>
          <w:b/>
          <w:bCs/>
          <w:color w:val="auto"/>
          <w:sz w:val="96"/>
          <w:szCs w:val="40"/>
          <w:highlight w:val="none"/>
          <w:lang w:val="en-US" w:eastAsia="zh-CN"/>
        </w:rPr>
        <w:t xml:space="preserve"> </w:t>
      </w:r>
    </w:p>
    <w:p w14:paraId="4B7E16A1">
      <w:pPr>
        <w:wordWrap w:val="0"/>
        <w:jc w:val="center"/>
        <w:rPr>
          <w:rFonts w:hint="default"/>
          <w:b/>
          <w:iCs/>
          <w:color w:val="auto"/>
          <w:sz w:val="28"/>
          <w:szCs w:val="28"/>
          <w:highlight w:val="none"/>
          <w:lang w:val="en-US" w:eastAsia="zh-CN"/>
        </w:rPr>
      </w:pPr>
      <w:r>
        <w:rPr>
          <w:rFonts w:hint="eastAsia"/>
          <w:b/>
          <w:iCs/>
          <w:color w:val="auto"/>
          <w:sz w:val="28"/>
          <w:szCs w:val="28"/>
          <w:highlight w:val="none"/>
          <w:lang w:eastAsia="zh-CN"/>
        </w:rPr>
        <w:t>招标项目编号：</w:t>
      </w:r>
      <w:r>
        <w:rPr>
          <w:rFonts w:hint="eastAsia"/>
          <w:b/>
          <w:iCs/>
          <w:color w:val="auto"/>
          <w:sz w:val="28"/>
          <w:szCs w:val="28"/>
          <w:highlight w:val="none"/>
          <w:lang w:val="en-US" w:eastAsia="zh-CN"/>
        </w:rPr>
        <w:t>JLZH-2024-1206</w:t>
      </w:r>
    </w:p>
    <w:p w14:paraId="1FDE1C4C">
      <w:pPr>
        <w:tabs>
          <w:tab w:val="left" w:pos="5834"/>
        </w:tabs>
        <w:wordWrap w:val="0"/>
        <w:spacing w:before="14"/>
        <w:ind w:left="2685" w:right="175"/>
        <w:rPr>
          <w:color w:val="auto"/>
          <w:sz w:val="28"/>
          <w:highlight w:val="none"/>
          <w:lang w:eastAsia="zh-CN"/>
        </w:rPr>
      </w:pPr>
    </w:p>
    <w:p w14:paraId="793A8588">
      <w:pPr>
        <w:pStyle w:val="10"/>
        <w:wordWrap w:val="0"/>
        <w:rPr>
          <w:color w:val="auto"/>
          <w:sz w:val="44"/>
          <w:highlight w:val="none"/>
          <w:lang w:eastAsia="zh-CN"/>
        </w:rPr>
      </w:pPr>
    </w:p>
    <w:p w14:paraId="732A5516">
      <w:pPr>
        <w:pStyle w:val="10"/>
        <w:wordWrap w:val="0"/>
        <w:rPr>
          <w:color w:val="auto"/>
          <w:sz w:val="44"/>
          <w:highlight w:val="none"/>
          <w:lang w:eastAsia="zh-CN"/>
        </w:rPr>
      </w:pPr>
    </w:p>
    <w:p w14:paraId="0D7C04B9">
      <w:pPr>
        <w:pStyle w:val="10"/>
        <w:wordWrap w:val="0"/>
        <w:rPr>
          <w:color w:val="auto"/>
          <w:sz w:val="44"/>
          <w:highlight w:val="none"/>
          <w:lang w:eastAsia="zh-CN"/>
        </w:rPr>
      </w:pPr>
    </w:p>
    <w:p w14:paraId="1E56F416">
      <w:pPr>
        <w:pStyle w:val="10"/>
        <w:wordWrap w:val="0"/>
        <w:rPr>
          <w:color w:val="auto"/>
          <w:sz w:val="44"/>
          <w:highlight w:val="none"/>
          <w:lang w:eastAsia="zh-CN"/>
        </w:rPr>
      </w:pPr>
    </w:p>
    <w:p w14:paraId="7B651C04">
      <w:pPr>
        <w:pStyle w:val="10"/>
        <w:wordWrap w:val="0"/>
        <w:spacing w:before="7"/>
        <w:rPr>
          <w:color w:val="auto"/>
          <w:sz w:val="33"/>
          <w:highlight w:val="none"/>
          <w:lang w:eastAsia="zh-CN"/>
        </w:rPr>
      </w:pPr>
    </w:p>
    <w:p w14:paraId="3D7D3F2F">
      <w:pPr>
        <w:wordWrap w:val="0"/>
        <w:spacing w:line="480" w:lineRule="auto"/>
        <w:jc w:val="center"/>
        <w:rPr>
          <w:rFonts w:hint="eastAsia"/>
          <w:b/>
          <w:iCs/>
          <w:color w:val="auto"/>
          <w:sz w:val="32"/>
          <w:szCs w:val="32"/>
          <w:highlight w:val="none"/>
          <w:lang w:val="en-US" w:eastAsia="zh-CN"/>
        </w:rPr>
      </w:pPr>
      <w:r>
        <w:rPr>
          <w:rFonts w:hint="eastAsia"/>
          <w:b/>
          <w:iCs/>
          <w:color w:val="auto"/>
          <w:sz w:val="32"/>
          <w:szCs w:val="32"/>
          <w:highlight w:val="none"/>
          <w:lang w:eastAsia="zh-CN"/>
        </w:rPr>
        <w:t>招   标  人：乾安县农业农村局</w:t>
      </w:r>
    </w:p>
    <w:p w14:paraId="31D8CBAE">
      <w:pPr>
        <w:wordWrap w:val="0"/>
        <w:spacing w:line="480" w:lineRule="auto"/>
        <w:jc w:val="center"/>
        <w:rPr>
          <w:rFonts w:hint="eastAsia"/>
          <w:b/>
          <w:iCs/>
          <w:color w:val="auto"/>
          <w:sz w:val="32"/>
          <w:szCs w:val="32"/>
          <w:highlight w:val="none"/>
          <w:lang w:val="en-US" w:eastAsia="zh-CN"/>
        </w:rPr>
      </w:pPr>
      <w:r>
        <w:rPr>
          <w:rFonts w:hint="eastAsia"/>
          <w:b/>
          <w:iCs/>
          <w:color w:val="auto"/>
          <w:sz w:val="32"/>
          <w:szCs w:val="32"/>
          <w:highlight w:val="none"/>
          <w:lang w:eastAsia="zh-CN"/>
        </w:rPr>
        <w:t>招标代理机构：</w:t>
      </w:r>
      <w:r>
        <w:rPr>
          <w:rFonts w:hint="eastAsia"/>
          <w:b/>
          <w:iCs/>
          <w:color w:val="auto"/>
          <w:sz w:val="32"/>
          <w:szCs w:val="32"/>
          <w:highlight w:val="none"/>
          <w:lang w:val="en-US" w:eastAsia="zh-CN"/>
        </w:rPr>
        <w:t>吉林省中寰工程项目管理有限公司</w:t>
      </w:r>
    </w:p>
    <w:p w14:paraId="7E4C5E5F">
      <w:pPr>
        <w:wordWrap w:val="0"/>
        <w:spacing w:line="480" w:lineRule="auto"/>
        <w:jc w:val="both"/>
        <w:rPr>
          <w:rFonts w:hint="eastAsia"/>
          <w:b/>
          <w:iCs/>
          <w:color w:val="auto"/>
          <w:sz w:val="32"/>
          <w:szCs w:val="32"/>
          <w:highlight w:val="none"/>
          <w:lang w:val="en-US" w:eastAsia="zh-CN"/>
        </w:rPr>
      </w:pPr>
    </w:p>
    <w:p w14:paraId="7BC6C1B7">
      <w:pPr>
        <w:wordWrap w:val="0"/>
        <w:spacing w:line="480" w:lineRule="auto"/>
        <w:ind w:firstLine="3213" w:firstLineChars="1000"/>
        <w:jc w:val="both"/>
        <w:rPr>
          <w:b/>
          <w:iCs/>
          <w:color w:val="auto"/>
          <w:sz w:val="32"/>
          <w:szCs w:val="32"/>
          <w:highlight w:val="none"/>
          <w:lang w:eastAsia="zh-CN"/>
        </w:rPr>
      </w:pPr>
      <w:r>
        <w:rPr>
          <w:rFonts w:hint="eastAsia"/>
          <w:b/>
          <w:iCs/>
          <w:color w:val="auto"/>
          <w:sz w:val="32"/>
          <w:szCs w:val="32"/>
          <w:highlight w:val="none"/>
          <w:lang w:eastAsia="zh-CN"/>
        </w:rPr>
        <w:t>二〇二</w:t>
      </w:r>
      <w:r>
        <w:rPr>
          <w:rFonts w:hint="eastAsia"/>
          <w:b/>
          <w:iCs/>
          <w:color w:val="auto"/>
          <w:sz w:val="32"/>
          <w:szCs w:val="32"/>
          <w:highlight w:val="none"/>
          <w:lang w:val="en-US" w:eastAsia="zh-CN"/>
        </w:rPr>
        <w:t>四</w:t>
      </w:r>
      <w:r>
        <w:rPr>
          <w:rFonts w:hint="eastAsia"/>
          <w:b/>
          <w:iCs/>
          <w:color w:val="auto"/>
          <w:sz w:val="32"/>
          <w:szCs w:val="32"/>
          <w:highlight w:val="none"/>
          <w:lang w:eastAsia="zh-CN"/>
        </w:rPr>
        <w:t>年</w:t>
      </w:r>
      <w:r>
        <w:rPr>
          <w:rFonts w:hint="eastAsia"/>
          <w:b/>
          <w:iCs/>
          <w:color w:val="auto"/>
          <w:sz w:val="32"/>
          <w:szCs w:val="32"/>
          <w:highlight w:val="none"/>
          <w:lang w:val="en-US" w:eastAsia="zh-CN"/>
        </w:rPr>
        <w:t>十二</w:t>
      </w:r>
      <w:r>
        <w:rPr>
          <w:rFonts w:hint="eastAsia"/>
          <w:b/>
          <w:iCs/>
          <w:color w:val="auto"/>
          <w:sz w:val="32"/>
          <w:szCs w:val="32"/>
          <w:highlight w:val="none"/>
          <w:lang w:eastAsia="zh-CN"/>
        </w:rPr>
        <w:t>月</w:t>
      </w:r>
    </w:p>
    <w:p w14:paraId="73D33F91">
      <w:pPr>
        <w:pStyle w:val="34"/>
        <w:rPr>
          <w:rFonts w:hAnsi="宋体"/>
          <w:b/>
          <w:iCs/>
          <w:color w:val="auto"/>
          <w:sz w:val="32"/>
          <w:szCs w:val="32"/>
          <w:highlight w:val="none"/>
        </w:rPr>
      </w:pPr>
    </w:p>
    <w:p w14:paraId="26560C78">
      <w:pPr>
        <w:tabs>
          <w:tab w:val="left" w:pos="561"/>
        </w:tabs>
        <w:spacing w:line="358" w:lineRule="exact"/>
        <w:ind w:left="2"/>
        <w:jc w:val="center"/>
        <w:rPr>
          <w:color w:val="auto"/>
          <w:sz w:val="28"/>
          <w:highlight w:val="none"/>
          <w:lang w:eastAsia="zh-CN"/>
        </w:rPr>
      </w:pPr>
    </w:p>
    <w:p w14:paraId="2515832A">
      <w:pPr>
        <w:tabs>
          <w:tab w:val="left" w:pos="561"/>
        </w:tabs>
        <w:spacing w:line="720" w:lineRule="auto"/>
        <w:ind w:left="2"/>
        <w:jc w:val="center"/>
        <w:rPr>
          <w:b/>
          <w:bCs/>
          <w:color w:val="auto"/>
          <w:sz w:val="44"/>
          <w:szCs w:val="44"/>
          <w:highlight w:val="none"/>
          <w:lang w:eastAsia="zh-CN"/>
        </w:rPr>
      </w:pPr>
      <w:r>
        <w:rPr>
          <w:rFonts w:hint="eastAsia"/>
          <w:b/>
          <w:bCs/>
          <w:color w:val="auto"/>
          <w:sz w:val="44"/>
          <w:szCs w:val="44"/>
          <w:highlight w:val="none"/>
          <w:lang w:eastAsia="zh-CN"/>
        </w:rPr>
        <w:t>目</w:t>
      </w:r>
      <w:r>
        <w:rPr>
          <w:rFonts w:hint="eastAsia"/>
          <w:b/>
          <w:bCs/>
          <w:color w:val="auto"/>
          <w:sz w:val="44"/>
          <w:szCs w:val="44"/>
          <w:highlight w:val="none"/>
          <w:lang w:eastAsia="zh-CN"/>
        </w:rPr>
        <w:tab/>
      </w:r>
      <w:r>
        <w:rPr>
          <w:rFonts w:hint="eastAsia"/>
          <w:b/>
          <w:bCs/>
          <w:color w:val="auto"/>
          <w:sz w:val="44"/>
          <w:szCs w:val="44"/>
          <w:highlight w:val="none"/>
          <w:lang w:eastAsia="zh-CN"/>
        </w:rPr>
        <w:t>录</w:t>
      </w:r>
    </w:p>
    <w:sdt>
      <w:sdtPr>
        <w:rPr>
          <w:color w:val="auto"/>
          <w:sz w:val="21"/>
          <w:highlight w:val="none"/>
        </w:rPr>
        <w:id w:val="147476877"/>
        <w15:color w:val="DBDBDB"/>
        <w:docPartObj>
          <w:docPartGallery w:val="Table of Contents"/>
          <w:docPartUnique/>
        </w:docPartObj>
      </w:sdtPr>
      <w:sdtEndPr>
        <w:rPr>
          <w:color w:val="auto"/>
          <w:sz w:val="21"/>
          <w:highlight w:val="none"/>
        </w:rPr>
      </w:sdtEndPr>
      <w:sdtContent>
        <w:p w14:paraId="3F3CE024">
          <w:pPr>
            <w:jc w:val="center"/>
            <w:rPr>
              <w:color w:val="auto"/>
              <w:highlight w:val="none"/>
            </w:rPr>
          </w:pPr>
        </w:p>
        <w:p w14:paraId="2048A622">
          <w:pPr>
            <w:pStyle w:val="15"/>
            <w:tabs>
              <w:tab w:val="right" w:leader="dot" w:pos="9560"/>
            </w:tabs>
            <w:spacing w:line="72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TOC \o "1-3" \h \u </w:instrText>
          </w:r>
          <w:r>
            <w:rPr>
              <w:color w:val="auto"/>
              <w:sz w:val="24"/>
              <w:szCs w:val="24"/>
              <w:highlight w:val="none"/>
            </w:rPr>
            <w:fldChar w:fldCharType="separate"/>
          </w:r>
          <w:r>
            <w:rPr>
              <w:color w:val="auto"/>
              <w:sz w:val="24"/>
              <w:szCs w:val="24"/>
              <w:highlight w:val="none"/>
            </w:rPr>
            <w:fldChar w:fldCharType="begin"/>
          </w:r>
          <w:r>
            <w:rPr>
              <w:color w:val="auto"/>
              <w:sz w:val="24"/>
              <w:szCs w:val="24"/>
              <w:highlight w:val="none"/>
            </w:rPr>
            <w:instrText xml:space="preserve"> HYPERLINK \l _Toc18945 </w:instrText>
          </w:r>
          <w:r>
            <w:rPr>
              <w:color w:val="auto"/>
              <w:sz w:val="24"/>
              <w:szCs w:val="24"/>
              <w:highlight w:val="none"/>
            </w:rPr>
            <w:fldChar w:fldCharType="separate"/>
          </w:r>
          <w:r>
            <w:rPr>
              <w:rFonts w:hint="eastAsia" w:ascii="宋体" w:hAnsi="宋体" w:eastAsia="宋体" w:cs="宋体"/>
              <w:color w:val="auto"/>
              <w:sz w:val="24"/>
              <w:szCs w:val="24"/>
              <w:highlight w:val="none"/>
              <w:lang w:eastAsia="zh-CN"/>
            </w:rPr>
            <w:t>第一章招标公告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_Toc18945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14:paraId="368B5D70">
          <w:pPr>
            <w:pStyle w:val="15"/>
            <w:tabs>
              <w:tab w:val="right" w:leader="dot" w:pos="9560"/>
            </w:tabs>
            <w:spacing w:line="72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_Toc10489 </w:instrText>
          </w:r>
          <w:r>
            <w:rPr>
              <w:color w:val="auto"/>
              <w:sz w:val="24"/>
              <w:szCs w:val="24"/>
              <w:highlight w:val="none"/>
            </w:rPr>
            <w:fldChar w:fldCharType="separate"/>
          </w:r>
          <w:r>
            <w:rPr>
              <w:rFonts w:hint="eastAsia"/>
              <w:color w:val="auto"/>
              <w:sz w:val="24"/>
              <w:szCs w:val="24"/>
              <w:highlight w:val="none"/>
              <w:lang w:eastAsia="zh-CN"/>
            </w:rPr>
            <w:t>第二章投标人须知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_Toc10489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14:paraId="299265FA">
          <w:pPr>
            <w:pStyle w:val="15"/>
            <w:tabs>
              <w:tab w:val="right" w:leader="dot" w:pos="9560"/>
            </w:tabs>
            <w:spacing w:line="72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_Toc8859 </w:instrText>
          </w:r>
          <w:r>
            <w:rPr>
              <w:color w:val="auto"/>
              <w:sz w:val="24"/>
              <w:szCs w:val="24"/>
              <w:highlight w:val="none"/>
            </w:rPr>
            <w:fldChar w:fldCharType="separate"/>
          </w:r>
          <w:r>
            <w:rPr>
              <w:color w:val="auto"/>
              <w:sz w:val="24"/>
              <w:szCs w:val="24"/>
              <w:highlight w:val="none"/>
              <w:lang w:eastAsia="zh-CN"/>
            </w:rPr>
            <w:t>第三章评标办法（综合评估法）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_Toc8859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color w:val="auto"/>
              <w:sz w:val="24"/>
              <w:szCs w:val="24"/>
              <w:highlight w:val="none"/>
            </w:rPr>
            <w:fldChar w:fldCharType="end"/>
          </w:r>
        </w:p>
        <w:p w14:paraId="3BF8312E">
          <w:pPr>
            <w:pStyle w:val="15"/>
            <w:tabs>
              <w:tab w:val="right" w:leader="dot" w:pos="9560"/>
            </w:tabs>
            <w:spacing w:line="72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_Toc9690 </w:instrText>
          </w:r>
          <w:r>
            <w:rPr>
              <w:color w:val="auto"/>
              <w:sz w:val="24"/>
              <w:szCs w:val="24"/>
              <w:highlight w:val="none"/>
            </w:rPr>
            <w:fldChar w:fldCharType="separate"/>
          </w:r>
          <w:r>
            <w:rPr>
              <w:rFonts w:hint="eastAsia" w:ascii="宋体" w:hAnsi="宋体" w:eastAsia="宋体" w:cs="宋体"/>
              <w:color w:val="auto"/>
              <w:sz w:val="24"/>
              <w:szCs w:val="24"/>
              <w:highlight w:val="none"/>
              <w:lang w:eastAsia="zh-CN"/>
            </w:rPr>
            <w:t>第四章合同条款及格式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_Toc9690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color w:val="auto"/>
              <w:sz w:val="24"/>
              <w:szCs w:val="24"/>
              <w:highlight w:val="none"/>
            </w:rPr>
            <w:fldChar w:fldCharType="end"/>
          </w:r>
        </w:p>
        <w:p w14:paraId="349E95C3">
          <w:pPr>
            <w:pStyle w:val="15"/>
            <w:tabs>
              <w:tab w:val="right" w:leader="dot" w:pos="9560"/>
            </w:tabs>
            <w:spacing w:line="72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_Toc3523 </w:instrText>
          </w:r>
          <w:r>
            <w:rPr>
              <w:color w:val="auto"/>
              <w:sz w:val="24"/>
              <w:szCs w:val="24"/>
              <w:highlight w:val="none"/>
            </w:rPr>
            <w:fldChar w:fldCharType="separate"/>
          </w:r>
          <w:r>
            <w:rPr>
              <w:rFonts w:hint="eastAsia" w:ascii="宋体" w:hAnsi="宋体" w:eastAsia="宋体" w:cs="宋体"/>
              <w:color w:val="auto"/>
              <w:sz w:val="24"/>
              <w:szCs w:val="24"/>
              <w:highlight w:val="none"/>
            </w:rPr>
            <w:t>第五章委托人要求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_Toc3523 \h </w:instrText>
          </w:r>
          <w:r>
            <w:rPr>
              <w:color w:val="auto"/>
              <w:sz w:val="24"/>
              <w:szCs w:val="24"/>
              <w:highlight w:val="none"/>
            </w:rPr>
            <w:fldChar w:fldCharType="separate"/>
          </w:r>
          <w:r>
            <w:rPr>
              <w:color w:val="auto"/>
              <w:sz w:val="24"/>
              <w:szCs w:val="24"/>
              <w:highlight w:val="none"/>
            </w:rPr>
            <w:t>45</w:t>
          </w:r>
          <w:r>
            <w:rPr>
              <w:color w:val="auto"/>
              <w:sz w:val="24"/>
              <w:szCs w:val="24"/>
              <w:highlight w:val="none"/>
            </w:rPr>
            <w:fldChar w:fldCharType="end"/>
          </w:r>
          <w:r>
            <w:rPr>
              <w:color w:val="auto"/>
              <w:sz w:val="24"/>
              <w:szCs w:val="24"/>
              <w:highlight w:val="none"/>
            </w:rPr>
            <w:fldChar w:fldCharType="end"/>
          </w:r>
        </w:p>
        <w:p w14:paraId="035EF6F7">
          <w:pPr>
            <w:pStyle w:val="15"/>
            <w:tabs>
              <w:tab w:val="right" w:leader="dot" w:pos="9560"/>
            </w:tabs>
            <w:spacing w:line="72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_Toc4872 </w:instrText>
          </w:r>
          <w:r>
            <w:rPr>
              <w:color w:val="auto"/>
              <w:sz w:val="24"/>
              <w:szCs w:val="24"/>
              <w:highlight w:val="none"/>
            </w:rPr>
            <w:fldChar w:fldCharType="separate"/>
          </w:r>
          <w:r>
            <w:rPr>
              <w:rFonts w:hint="eastAsia" w:ascii="宋体" w:hAnsi="宋体" w:eastAsia="宋体" w:cs="宋体"/>
              <w:color w:val="auto"/>
              <w:sz w:val="24"/>
              <w:szCs w:val="24"/>
              <w:highlight w:val="none"/>
              <w:lang w:eastAsia="zh-CN"/>
            </w:rPr>
            <w:t>第六章投标文件格式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_Toc4872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r>
            <w:rPr>
              <w:color w:val="auto"/>
              <w:sz w:val="24"/>
              <w:szCs w:val="24"/>
              <w:highlight w:val="none"/>
            </w:rPr>
            <w:fldChar w:fldCharType="end"/>
          </w:r>
        </w:p>
        <w:p w14:paraId="46FE0214">
          <w:pPr>
            <w:spacing w:line="720" w:lineRule="auto"/>
            <w:rPr>
              <w:color w:val="auto"/>
              <w:highlight w:val="none"/>
            </w:rPr>
          </w:pPr>
          <w:r>
            <w:rPr>
              <w:color w:val="auto"/>
              <w:sz w:val="24"/>
              <w:szCs w:val="24"/>
              <w:highlight w:val="none"/>
            </w:rPr>
            <w:fldChar w:fldCharType="end"/>
          </w:r>
        </w:p>
      </w:sdtContent>
    </w:sdt>
    <w:p w14:paraId="6D32974B">
      <w:pPr>
        <w:pStyle w:val="3"/>
        <w:spacing w:line="564" w:lineRule="exact"/>
        <w:ind w:left="0" w:right="117"/>
        <w:rPr>
          <w:rFonts w:ascii="宋体" w:hAnsi="宋体" w:eastAsia="宋体" w:cs="宋体"/>
          <w:color w:val="auto"/>
          <w:highlight w:val="none"/>
        </w:rPr>
      </w:pPr>
    </w:p>
    <w:p w14:paraId="5E21EE76">
      <w:pPr>
        <w:pStyle w:val="3"/>
        <w:spacing w:line="564" w:lineRule="exact"/>
        <w:ind w:left="0" w:right="117"/>
        <w:rPr>
          <w:rFonts w:ascii="宋体" w:hAnsi="宋体" w:eastAsia="宋体" w:cs="宋体"/>
          <w:color w:val="auto"/>
          <w:highlight w:val="none"/>
        </w:rPr>
      </w:pPr>
    </w:p>
    <w:p w14:paraId="4EA0257E">
      <w:pPr>
        <w:pStyle w:val="3"/>
        <w:spacing w:line="564" w:lineRule="exact"/>
        <w:ind w:left="0" w:right="117"/>
        <w:rPr>
          <w:rFonts w:ascii="宋体" w:hAnsi="宋体" w:eastAsia="宋体" w:cs="宋体"/>
          <w:color w:val="auto"/>
          <w:highlight w:val="none"/>
        </w:rPr>
      </w:pPr>
    </w:p>
    <w:p w14:paraId="6A02974E">
      <w:pPr>
        <w:pStyle w:val="3"/>
        <w:spacing w:line="564" w:lineRule="exact"/>
        <w:ind w:left="0" w:right="117"/>
        <w:rPr>
          <w:rFonts w:ascii="宋体" w:hAnsi="宋体" w:eastAsia="宋体" w:cs="宋体"/>
          <w:color w:val="auto"/>
          <w:highlight w:val="none"/>
        </w:rPr>
      </w:pPr>
    </w:p>
    <w:p w14:paraId="5BC42C16">
      <w:pPr>
        <w:pStyle w:val="3"/>
        <w:spacing w:line="564" w:lineRule="exact"/>
        <w:ind w:left="0" w:right="117"/>
        <w:rPr>
          <w:rFonts w:ascii="宋体" w:hAnsi="宋体" w:eastAsia="宋体" w:cs="宋体"/>
          <w:color w:val="auto"/>
          <w:highlight w:val="none"/>
        </w:rPr>
      </w:pPr>
    </w:p>
    <w:p w14:paraId="75592004">
      <w:pPr>
        <w:rPr>
          <w:color w:val="auto"/>
          <w:highlight w:val="none"/>
        </w:rPr>
      </w:pPr>
    </w:p>
    <w:p w14:paraId="43A35D93">
      <w:pPr>
        <w:pStyle w:val="34"/>
        <w:rPr>
          <w:color w:val="auto"/>
          <w:highlight w:val="none"/>
        </w:rPr>
      </w:pPr>
    </w:p>
    <w:p w14:paraId="7148017E">
      <w:pPr>
        <w:pStyle w:val="3"/>
        <w:spacing w:before="120" w:beforeLines="50" w:after="120" w:afterLines="50" w:line="300" w:lineRule="auto"/>
        <w:ind w:left="0" w:right="117"/>
        <w:rPr>
          <w:rFonts w:hint="eastAsia" w:ascii="宋体" w:hAnsi="宋体" w:eastAsia="宋体" w:cs="宋体"/>
          <w:color w:val="auto"/>
          <w:highlight w:val="none"/>
          <w:lang w:eastAsia="zh-CN"/>
        </w:rPr>
        <w:sectPr>
          <w:headerReference r:id="rId3" w:type="default"/>
          <w:footerReference r:id="rId4" w:type="default"/>
          <w:pgSz w:w="12240" w:h="15840"/>
          <w:pgMar w:top="1440" w:right="1582" w:bottom="1060" w:left="1580" w:header="0" w:footer="861" w:gutter="0"/>
          <w:pgNumType w:fmt="decimal" w:start="1"/>
          <w:cols w:space="720" w:num="1"/>
        </w:sectPr>
      </w:pPr>
      <w:bookmarkStart w:id="0" w:name="_Toc18945"/>
    </w:p>
    <w:p w14:paraId="7DAABE93">
      <w:pPr>
        <w:pStyle w:val="3"/>
        <w:spacing w:before="120" w:beforeLines="50" w:after="120" w:afterLines="50" w:line="300" w:lineRule="auto"/>
        <w:ind w:left="0" w:right="117"/>
        <w:rPr>
          <w:rFonts w:ascii="宋体" w:hAnsi="宋体" w:eastAsia="宋体" w:cs="宋体"/>
          <w:color w:val="auto"/>
          <w:highlight w:val="none"/>
          <w:lang w:eastAsia="zh-CN"/>
        </w:rPr>
      </w:pPr>
      <w:r>
        <w:rPr>
          <w:rFonts w:hint="eastAsia" w:ascii="宋体" w:hAnsi="宋体" w:eastAsia="宋体" w:cs="宋体"/>
          <w:color w:val="auto"/>
          <w:highlight w:val="none"/>
          <w:lang w:eastAsia="zh-CN"/>
        </w:rPr>
        <w:t>第一章</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eastAsia="zh-CN"/>
        </w:rPr>
        <w:t>招标公告</w:t>
      </w:r>
      <w:bookmarkEnd w:id="0"/>
    </w:p>
    <w:p w14:paraId="2AA5E7EA">
      <w:pPr>
        <w:spacing w:before="120" w:beforeLines="50" w:after="120" w:afterLines="50" w:line="300" w:lineRule="auto"/>
        <w:jc w:val="center"/>
        <w:rPr>
          <w:rFonts w:hint="default"/>
          <w:b/>
          <w:iCs/>
          <w:color w:val="auto"/>
          <w:sz w:val="28"/>
          <w:szCs w:val="28"/>
          <w:highlight w:val="none"/>
          <w:lang w:val="en-US" w:eastAsia="zh-CN"/>
        </w:rPr>
      </w:pPr>
      <w:r>
        <w:rPr>
          <w:rFonts w:hint="eastAsia"/>
          <w:b/>
          <w:iCs/>
          <w:color w:val="auto"/>
          <w:sz w:val="28"/>
          <w:szCs w:val="28"/>
          <w:highlight w:val="none"/>
          <w:lang w:eastAsia="zh-CN"/>
        </w:rPr>
        <w:t>招标项目编号：JLZH-2024-1206</w:t>
      </w:r>
    </w:p>
    <w:p w14:paraId="6F61EEE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63D2B80F">
      <w:pPr>
        <w:keepNext w:val="0"/>
        <w:keepLines w:val="0"/>
        <w:pageBreakBefore w:val="0"/>
        <w:widowControl/>
        <w:suppressLineNumbers w:val="0"/>
        <w:pBdr>
          <w:top w:val="single" w:color="auto" w:sz="8" w:space="1"/>
          <w:left w:val="single" w:color="auto" w:sz="8" w:space="4"/>
          <w:bottom w:val="single" w:color="auto" w:sz="8" w:space="1"/>
          <w:right w:val="single" w:color="auto" w:sz="8" w:space="4"/>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jc w:val="left"/>
        <w:textAlignment w:val="auto"/>
        <w:rPr>
          <w:rFonts w:hint="eastAsia" w:ascii="宋体" w:hAnsi="宋体" w:eastAsia="宋体" w:cs="宋体"/>
          <w:b w:val="0"/>
          <w:bCs/>
          <w:i w:val="0"/>
          <w:caps w:val="0"/>
          <w:color w:val="auto"/>
          <w:spacing w:val="0"/>
          <w:sz w:val="24"/>
          <w:szCs w:val="24"/>
          <w:highlight w:val="none"/>
          <w:lang w:eastAsia="zh-CN"/>
        </w:rPr>
      </w:pPr>
      <w:r>
        <w:rPr>
          <w:rFonts w:hint="eastAsia" w:ascii="宋体" w:hAnsi="宋体" w:eastAsia="宋体" w:cs="宋体"/>
          <w:sz w:val="24"/>
          <w:szCs w:val="24"/>
          <w:highlight w:val="none"/>
          <w:u w:val="single"/>
        </w:rPr>
        <w:t xml:space="preserve"> </w:t>
      </w:r>
      <w:r>
        <w:rPr>
          <w:rFonts w:hint="eastAsia" w:cs="宋体"/>
          <w:sz w:val="24"/>
          <w:szCs w:val="24"/>
          <w:highlight w:val="none"/>
          <w:u w:val="single"/>
          <w:lang w:eastAsia="zh-CN"/>
        </w:rPr>
        <w:t>乾安县2</w:t>
      </w:r>
      <w:r>
        <w:rPr>
          <w:rFonts w:hint="eastAsia" w:cs="宋体"/>
          <w:color w:val="auto"/>
          <w:sz w:val="24"/>
          <w:szCs w:val="24"/>
          <w:highlight w:val="none"/>
          <w:u w:val="single"/>
          <w:lang w:eastAsia="zh-CN"/>
        </w:rPr>
        <w:t>024年高标准农田建设项目监理</w:t>
      </w:r>
      <w:r>
        <w:rPr>
          <w:rFonts w:hint="eastAsia" w:ascii="宋体" w:hAnsi="宋体" w:eastAsia="宋体" w:cs="宋体"/>
          <w:color w:val="auto"/>
          <w:sz w:val="24"/>
          <w:szCs w:val="24"/>
          <w:highlight w:val="none"/>
        </w:rPr>
        <w:t>招标项目的潜在投标人应</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政府采购云平台（http：//www.zcygov.cn）获取招标文件，并于202</w:t>
      </w:r>
      <w:r>
        <w:rPr>
          <w:rFonts w:hint="eastAsia" w:cs="宋体"/>
          <w:b w:val="0"/>
          <w:bCs/>
          <w:i w:val="0"/>
          <w:caps w:val="0"/>
          <w:color w:val="auto"/>
          <w:spacing w:val="0"/>
          <w:kern w:val="0"/>
          <w:sz w:val="24"/>
          <w:szCs w:val="24"/>
          <w:highlight w:val="none"/>
          <w:shd w:val="clear" w:color="auto" w:fill="FFFFFF"/>
          <w:lang w:val="en-US" w:eastAsia="zh-CN" w:bidi="ar"/>
        </w:rPr>
        <w:t>5</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年</w:t>
      </w:r>
      <w:r>
        <w:rPr>
          <w:rFonts w:hint="eastAsia" w:cs="宋体"/>
          <w:b w:val="0"/>
          <w:bCs/>
          <w:i w:val="0"/>
          <w:caps w:val="0"/>
          <w:color w:val="auto"/>
          <w:spacing w:val="0"/>
          <w:kern w:val="0"/>
          <w:sz w:val="24"/>
          <w:szCs w:val="24"/>
          <w:highlight w:val="none"/>
          <w:shd w:val="clear" w:color="auto" w:fill="FFFFFF"/>
          <w:lang w:val="en-US" w:eastAsia="zh-CN" w:bidi="ar"/>
        </w:rPr>
        <w:t>01</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月</w:t>
      </w:r>
      <w:r>
        <w:rPr>
          <w:rFonts w:hint="eastAsia" w:cs="宋体"/>
          <w:b w:val="0"/>
          <w:bCs/>
          <w:i w:val="0"/>
          <w:caps w:val="0"/>
          <w:color w:val="auto"/>
          <w:spacing w:val="0"/>
          <w:kern w:val="0"/>
          <w:sz w:val="24"/>
          <w:szCs w:val="24"/>
          <w:highlight w:val="none"/>
          <w:shd w:val="clear" w:color="auto" w:fill="FFFFFF"/>
          <w:lang w:val="en-US" w:eastAsia="zh-CN" w:bidi="ar"/>
        </w:rPr>
        <w:t>03</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日</w:t>
      </w:r>
      <w:r>
        <w:rPr>
          <w:rFonts w:hint="eastAsia" w:cs="宋体"/>
          <w:b w:val="0"/>
          <w:bCs/>
          <w:i w:val="0"/>
          <w:caps w:val="0"/>
          <w:color w:val="auto"/>
          <w:spacing w:val="0"/>
          <w:kern w:val="0"/>
          <w:sz w:val="24"/>
          <w:szCs w:val="24"/>
          <w:highlight w:val="none"/>
          <w:shd w:val="clear" w:color="auto" w:fill="FFFFFF"/>
          <w:lang w:val="en-US" w:eastAsia="zh-CN" w:bidi="ar"/>
        </w:rPr>
        <w:t>09</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点</w:t>
      </w:r>
      <w:r>
        <w:rPr>
          <w:rFonts w:hint="eastAsia" w:cs="宋体"/>
          <w:b w:val="0"/>
          <w:bCs/>
          <w:i w:val="0"/>
          <w:caps w:val="0"/>
          <w:color w:val="auto"/>
          <w:spacing w:val="0"/>
          <w:kern w:val="0"/>
          <w:sz w:val="24"/>
          <w:szCs w:val="24"/>
          <w:highlight w:val="none"/>
          <w:shd w:val="clear" w:color="auto" w:fill="FFFFFF"/>
          <w:lang w:val="en-US" w:eastAsia="zh-CN" w:bidi="ar"/>
        </w:rPr>
        <w:t>00</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分（北京时间）前递交投标文件。</w:t>
      </w:r>
    </w:p>
    <w:p w14:paraId="76CFE88F">
      <w:pPr>
        <w:pBdr>
          <w:top w:val="single" w:color="auto" w:sz="4" w:space="1"/>
          <w:left w:val="single" w:color="auto" w:sz="4" w:space="4"/>
          <w:bottom w:val="single" w:color="auto" w:sz="4" w:space="1"/>
          <w:right w:val="single" w:color="auto" w:sz="4" w:space="4"/>
        </w:pBdr>
        <w:spacing w:line="360" w:lineRule="auto"/>
        <w:ind w:firstLine="560" w:firstLineChars="200"/>
        <w:rPr>
          <w:color w:val="auto"/>
          <w:sz w:val="28"/>
          <w:szCs w:val="28"/>
          <w:highlight w:val="none"/>
        </w:rPr>
      </w:pPr>
    </w:p>
    <w:p w14:paraId="347F580A">
      <w:pPr>
        <w:pStyle w:val="18"/>
        <w:keepNext w:val="0"/>
        <w:keepLines w:val="0"/>
        <w:pageBreakBefore w:val="0"/>
        <w:widowControl w:val="0"/>
        <w:kinsoku/>
        <w:wordWrap/>
        <w:overflowPunct/>
        <w:topLinePunct w:val="0"/>
        <w:autoSpaceDE/>
        <w:autoSpaceDN/>
        <w:bidi w:val="0"/>
        <w:adjustRightInd/>
        <w:snapToGrid/>
        <w:spacing w:line="480" w:lineRule="exact"/>
        <w:ind w:left="440" w:leftChars="20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一、项目基本情况</w:t>
      </w:r>
    </w:p>
    <w:p w14:paraId="6AACE706">
      <w:pPr>
        <w:pStyle w:val="18"/>
        <w:keepNext w:val="0"/>
        <w:keepLines w:val="0"/>
        <w:pageBreakBefore w:val="0"/>
        <w:widowControl w:val="0"/>
        <w:kinsoku/>
        <w:wordWrap/>
        <w:overflowPunct/>
        <w:topLinePunct w:val="0"/>
        <w:autoSpaceDE/>
        <w:autoSpaceDN/>
        <w:bidi w:val="0"/>
        <w:adjustRightInd/>
        <w:snapToGrid/>
        <w:spacing w:line="480" w:lineRule="exact"/>
        <w:ind w:left="440" w:leftChars="20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1项目名称：乾安县2024年高标准农田建设项目监理</w:t>
      </w:r>
    </w:p>
    <w:p w14:paraId="6DC46F23">
      <w:pPr>
        <w:pStyle w:val="18"/>
        <w:keepNext w:val="0"/>
        <w:keepLines w:val="0"/>
        <w:pageBreakBefore w:val="0"/>
        <w:widowControl w:val="0"/>
        <w:kinsoku/>
        <w:wordWrap/>
        <w:overflowPunct/>
        <w:topLinePunct w:val="0"/>
        <w:autoSpaceDE/>
        <w:autoSpaceDN/>
        <w:bidi w:val="0"/>
        <w:adjustRightInd/>
        <w:snapToGrid/>
        <w:spacing w:line="480" w:lineRule="exact"/>
        <w:ind w:left="440" w:leftChars="200" w:firstLine="0" w:firstLineChars="0"/>
        <w:textAlignment w:val="auto"/>
        <w:rPr>
          <w:rFonts w:hint="eastAsia"/>
          <w:color w:val="auto"/>
          <w:sz w:val="24"/>
          <w:szCs w:val="24"/>
          <w:highlight w:val="yellow"/>
          <w:lang w:eastAsia="zh-CN"/>
        </w:rPr>
      </w:pPr>
      <w:r>
        <w:rPr>
          <w:rFonts w:hint="eastAsia"/>
          <w:color w:val="auto"/>
          <w:sz w:val="24"/>
          <w:szCs w:val="24"/>
          <w:highlight w:val="none"/>
          <w:lang w:val="en-US" w:eastAsia="zh-CN"/>
        </w:rPr>
        <w:t>2招</w:t>
      </w:r>
      <w:r>
        <w:rPr>
          <w:rFonts w:hint="eastAsia"/>
          <w:color w:val="auto"/>
          <w:sz w:val="24"/>
          <w:szCs w:val="24"/>
          <w:highlight w:val="yellow"/>
          <w:lang w:val="en-US" w:eastAsia="zh-CN"/>
        </w:rPr>
        <w:t>标内容：建设项目工程所有标段全过程监理服务：</w:t>
      </w:r>
    </w:p>
    <w:p w14:paraId="781DE117">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color w:val="auto"/>
          <w:sz w:val="24"/>
          <w:szCs w:val="24"/>
          <w:highlight w:val="yellow"/>
          <w:lang w:eastAsia="zh-CN"/>
        </w:rPr>
      </w:pPr>
      <w:r>
        <w:rPr>
          <w:rFonts w:hint="eastAsia"/>
          <w:color w:val="auto"/>
          <w:sz w:val="24"/>
          <w:szCs w:val="24"/>
          <w:highlight w:val="yellow"/>
          <w:lang w:val="en-US" w:eastAsia="zh-CN"/>
        </w:rPr>
        <w:t>3招标范围及建设规模：建设项目工程所有标段全过程监理服务；</w:t>
      </w:r>
    </w:p>
    <w:p w14:paraId="27F0E903">
      <w:pPr>
        <w:pStyle w:val="18"/>
        <w:keepNext w:val="0"/>
        <w:keepLines w:val="0"/>
        <w:pageBreakBefore w:val="0"/>
        <w:widowControl w:val="0"/>
        <w:kinsoku/>
        <w:wordWrap/>
        <w:overflowPunct/>
        <w:topLinePunct w:val="0"/>
        <w:autoSpaceDE/>
        <w:autoSpaceDN/>
        <w:bidi w:val="0"/>
        <w:adjustRightInd/>
        <w:snapToGrid/>
        <w:spacing w:line="480" w:lineRule="exact"/>
        <w:ind w:left="440" w:leftChars="200" w:firstLine="0" w:firstLineChars="0"/>
        <w:textAlignment w:val="auto"/>
        <w:rPr>
          <w:rFonts w:hint="eastAsia"/>
          <w:color w:val="auto"/>
          <w:sz w:val="24"/>
          <w:szCs w:val="24"/>
          <w:highlight w:val="none"/>
          <w:lang w:eastAsia="zh-CN"/>
        </w:rPr>
      </w:pPr>
      <w:r>
        <w:rPr>
          <w:rFonts w:hint="eastAsia"/>
          <w:color w:val="auto"/>
          <w:sz w:val="24"/>
          <w:szCs w:val="24"/>
          <w:highlight w:val="none"/>
          <w:lang w:val="en-US" w:eastAsia="zh-CN"/>
        </w:rPr>
        <w:t>4监理服务期：签订合同之日起至工程竣工验收、保修期结束止。</w:t>
      </w:r>
    </w:p>
    <w:p w14:paraId="0503AE00">
      <w:pPr>
        <w:pStyle w:val="18"/>
        <w:keepNext w:val="0"/>
        <w:keepLines w:val="0"/>
        <w:pageBreakBefore w:val="0"/>
        <w:widowControl w:val="0"/>
        <w:kinsoku/>
        <w:wordWrap/>
        <w:overflowPunct/>
        <w:topLinePunct w:val="0"/>
        <w:autoSpaceDE/>
        <w:autoSpaceDN/>
        <w:bidi w:val="0"/>
        <w:adjustRightInd/>
        <w:snapToGrid/>
        <w:spacing w:line="480" w:lineRule="exact"/>
        <w:ind w:left="440" w:leftChars="200" w:firstLine="0" w:firstLineChars="0"/>
        <w:textAlignment w:val="auto"/>
        <w:rPr>
          <w:rFonts w:hint="eastAsia"/>
          <w:color w:val="auto"/>
          <w:sz w:val="24"/>
          <w:szCs w:val="24"/>
          <w:highlight w:val="none"/>
          <w:lang w:eastAsia="zh-CN"/>
        </w:rPr>
      </w:pPr>
      <w:r>
        <w:rPr>
          <w:rFonts w:hint="eastAsia"/>
          <w:color w:val="auto"/>
          <w:sz w:val="24"/>
          <w:szCs w:val="24"/>
          <w:highlight w:val="none"/>
          <w:lang w:val="en-US" w:eastAsia="zh-CN"/>
        </w:rPr>
        <w:t>5项目地点：乾安县境内；</w:t>
      </w:r>
    </w:p>
    <w:p w14:paraId="4F406412">
      <w:pPr>
        <w:pStyle w:val="18"/>
        <w:keepNext w:val="0"/>
        <w:keepLines w:val="0"/>
        <w:pageBreakBefore w:val="0"/>
        <w:widowControl w:val="0"/>
        <w:kinsoku/>
        <w:wordWrap/>
        <w:overflowPunct/>
        <w:topLinePunct w:val="0"/>
        <w:autoSpaceDE/>
        <w:autoSpaceDN/>
        <w:bidi w:val="0"/>
        <w:adjustRightInd/>
        <w:snapToGrid/>
        <w:spacing w:line="480" w:lineRule="exact"/>
        <w:ind w:left="440" w:leftChars="20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6监理质量标准：符合国家及行业相关规范及标准。</w:t>
      </w:r>
    </w:p>
    <w:p w14:paraId="48E7B20F">
      <w:pPr>
        <w:pStyle w:val="18"/>
        <w:keepNext w:val="0"/>
        <w:keepLines w:val="0"/>
        <w:pageBreakBefore w:val="0"/>
        <w:widowControl w:val="0"/>
        <w:kinsoku/>
        <w:wordWrap/>
        <w:overflowPunct/>
        <w:topLinePunct w:val="0"/>
        <w:autoSpaceDE/>
        <w:autoSpaceDN/>
        <w:bidi w:val="0"/>
        <w:adjustRightInd/>
        <w:snapToGrid/>
        <w:spacing w:line="480" w:lineRule="exact"/>
        <w:ind w:left="440" w:leftChars="200" w:firstLine="0" w:firstLine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w:t>
      </w:r>
      <w:r>
        <w:rPr>
          <w:rFonts w:hint="eastAsia" w:ascii="宋体" w:hAnsi="宋体" w:cs="宋体"/>
          <w:b/>
          <w:bCs/>
          <w:kern w:val="2"/>
          <w:sz w:val="24"/>
          <w:szCs w:val="24"/>
          <w:highlight w:val="none"/>
          <w:lang w:val="en-US" w:eastAsia="zh-CN" w:bidi="ar-SA"/>
        </w:rPr>
        <w:t>投标</w:t>
      </w:r>
      <w:r>
        <w:rPr>
          <w:rFonts w:hint="eastAsia" w:ascii="宋体" w:hAnsi="宋体" w:eastAsia="宋体" w:cs="宋体"/>
          <w:b/>
          <w:bCs/>
          <w:kern w:val="2"/>
          <w:sz w:val="24"/>
          <w:szCs w:val="24"/>
          <w:highlight w:val="none"/>
          <w:lang w:val="en-US" w:eastAsia="zh-CN" w:bidi="ar-SA"/>
        </w:rPr>
        <w:t>人的资格要求：</w:t>
      </w:r>
    </w:p>
    <w:p w14:paraId="70C41665">
      <w:pPr>
        <w:pStyle w:val="18"/>
        <w:keepNext w:val="0"/>
        <w:keepLines w:val="0"/>
        <w:pageBreakBefore w:val="0"/>
        <w:widowControl w:val="0"/>
        <w:kinsoku/>
        <w:wordWrap/>
        <w:overflowPunct/>
        <w:topLinePunct w:val="0"/>
        <w:autoSpaceDE/>
        <w:autoSpaceDN/>
        <w:bidi w:val="0"/>
        <w:adjustRightInd/>
        <w:snapToGrid/>
        <w:spacing w:line="480" w:lineRule="exact"/>
        <w:ind w:left="440" w:leftChars="200" w:firstLine="0" w:firstLineChars="0"/>
        <w:textAlignment w:val="auto"/>
        <w:rPr>
          <w:rFonts w:hint="eastAsia"/>
          <w:color w:val="auto"/>
          <w:sz w:val="24"/>
          <w:szCs w:val="24"/>
          <w:highlight w:val="none"/>
          <w:lang w:eastAsia="zh-CN"/>
        </w:rPr>
      </w:pPr>
      <w:r>
        <w:rPr>
          <w:rFonts w:hint="eastAsia"/>
          <w:color w:val="auto"/>
          <w:sz w:val="24"/>
          <w:szCs w:val="24"/>
          <w:highlight w:val="none"/>
          <w:lang w:eastAsia="zh-CN"/>
        </w:rPr>
        <w:t>1.满足《中华人民共和国政府采购法》第二十二条规定；</w:t>
      </w:r>
    </w:p>
    <w:p w14:paraId="5EAC8E39">
      <w:pPr>
        <w:pStyle w:val="18"/>
        <w:keepNext w:val="0"/>
        <w:keepLines w:val="0"/>
        <w:pageBreakBefore w:val="0"/>
        <w:widowControl w:val="0"/>
        <w:kinsoku/>
        <w:wordWrap/>
        <w:overflowPunct/>
        <w:topLinePunct w:val="0"/>
        <w:autoSpaceDE/>
        <w:autoSpaceDN/>
        <w:bidi w:val="0"/>
        <w:adjustRightInd/>
        <w:snapToGrid/>
        <w:spacing w:line="480" w:lineRule="exact"/>
        <w:ind w:left="440" w:leftChars="200" w:firstLine="0" w:firstLineChars="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2.落实政府采购政策需满足的资格要求：本项目属于</w:t>
      </w:r>
      <w:r>
        <w:rPr>
          <w:rFonts w:hint="eastAsia"/>
          <w:color w:val="auto"/>
          <w:sz w:val="24"/>
          <w:szCs w:val="24"/>
          <w:highlight w:val="none"/>
          <w:lang w:val="en-US" w:eastAsia="zh-CN"/>
        </w:rPr>
        <w:t>全部</w:t>
      </w:r>
      <w:r>
        <w:rPr>
          <w:rFonts w:hint="eastAsia" w:eastAsia="宋体"/>
          <w:color w:val="auto"/>
          <w:sz w:val="24"/>
          <w:szCs w:val="24"/>
          <w:highlight w:val="none"/>
          <w:lang w:val="en-US" w:eastAsia="zh-CN"/>
        </w:rPr>
        <w:t>面向中小企业采购的项目</w:t>
      </w:r>
      <w:r>
        <w:rPr>
          <w:rFonts w:hint="eastAsia"/>
          <w:color w:val="auto"/>
          <w:sz w:val="24"/>
          <w:szCs w:val="24"/>
          <w:highlight w:val="none"/>
          <w:lang w:val="en-US" w:eastAsia="zh-CN"/>
        </w:rPr>
        <w:t>；</w:t>
      </w:r>
    </w:p>
    <w:p w14:paraId="72D48AFA">
      <w:pPr>
        <w:pStyle w:val="18"/>
        <w:keepNext w:val="0"/>
        <w:keepLines w:val="0"/>
        <w:pageBreakBefore w:val="0"/>
        <w:widowControl w:val="0"/>
        <w:kinsoku/>
        <w:wordWrap/>
        <w:overflowPunct/>
        <w:topLinePunct w:val="0"/>
        <w:autoSpaceDE/>
        <w:autoSpaceDN/>
        <w:bidi w:val="0"/>
        <w:adjustRightInd/>
        <w:snapToGrid/>
        <w:spacing w:line="480" w:lineRule="exact"/>
        <w:ind w:left="440" w:leftChars="200" w:firstLine="0" w:firstLineChars="0"/>
        <w:textAlignment w:val="auto"/>
        <w:rPr>
          <w:rFonts w:hint="eastAsia"/>
          <w:color w:val="auto"/>
          <w:sz w:val="24"/>
          <w:szCs w:val="24"/>
          <w:highlight w:val="none"/>
          <w:lang w:eastAsia="zh-CN"/>
        </w:rPr>
      </w:pPr>
      <w:r>
        <w:rPr>
          <w:rFonts w:hint="eastAsia"/>
          <w:color w:val="auto"/>
          <w:sz w:val="24"/>
          <w:szCs w:val="24"/>
          <w:highlight w:val="none"/>
          <w:lang w:eastAsia="zh-CN"/>
        </w:rPr>
        <w:t>3.本项目的特定资格要求：</w:t>
      </w:r>
    </w:p>
    <w:p w14:paraId="19AA9792">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439" w:firstLineChars="183"/>
        <w:textAlignment w:val="auto"/>
        <w:rPr>
          <w:rFonts w:hint="eastAsia"/>
          <w:color w:val="FF0000"/>
          <w:sz w:val="24"/>
          <w:szCs w:val="24"/>
          <w:highlight w:val="none"/>
          <w:lang w:eastAsia="zh-CN"/>
        </w:rPr>
      </w:pPr>
      <w:r>
        <w:rPr>
          <w:rFonts w:hint="eastAsia"/>
          <w:color w:val="auto"/>
          <w:sz w:val="24"/>
          <w:szCs w:val="24"/>
          <w:highlight w:val="none"/>
          <w:lang w:eastAsia="zh-CN"/>
        </w:rPr>
        <w:t>3.1</w:t>
      </w:r>
      <w:r>
        <w:rPr>
          <w:rFonts w:hint="eastAsia"/>
          <w:color w:val="auto"/>
          <w:sz w:val="24"/>
          <w:szCs w:val="24"/>
          <w:highlight w:val="yellow"/>
          <w:lang w:eastAsia="zh-CN"/>
        </w:rPr>
        <w:t>在中华人民共和国境内注册，能够独立承担民事责任的法人或其他组织形式；投标人应具有工程监理综合资质，并在人员、试验检测仪器设备方面具有相应的监理能力；</w:t>
      </w:r>
    </w:p>
    <w:p w14:paraId="3B899D04">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439" w:firstLineChars="183"/>
        <w:textAlignment w:val="auto"/>
        <w:rPr>
          <w:rFonts w:hint="default"/>
          <w:color w:val="auto"/>
          <w:sz w:val="24"/>
          <w:szCs w:val="24"/>
          <w:highlight w:val="yellow"/>
          <w:lang w:val="en-US" w:eastAsia="zh-CN"/>
        </w:rPr>
      </w:pPr>
      <w:r>
        <w:rPr>
          <w:rFonts w:hint="eastAsia"/>
          <w:color w:val="auto"/>
          <w:sz w:val="24"/>
          <w:szCs w:val="24"/>
          <w:highlight w:val="yellow"/>
          <w:lang w:eastAsia="zh-CN"/>
        </w:rPr>
        <w:t>3.2人员要求：投标人拟派出的总监理工程师应具有相关专业国家注册</w:t>
      </w:r>
      <w:r>
        <w:rPr>
          <w:rFonts w:hint="eastAsia"/>
          <w:color w:val="auto"/>
          <w:sz w:val="24"/>
          <w:szCs w:val="24"/>
          <w:highlight w:val="yellow"/>
          <w:lang w:val="en-US" w:eastAsia="zh-CN"/>
        </w:rPr>
        <w:t>监理工程师证书；</w:t>
      </w:r>
    </w:p>
    <w:p w14:paraId="5E5422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Times New Roman" w:hAnsi="Times New Roman" w:eastAsia="宋体" w:cs="Times New Roman"/>
          <w:color w:val="auto"/>
          <w:sz w:val="24"/>
          <w:szCs w:val="24"/>
          <w:highlight w:val="none"/>
          <w:lang w:val="zh-CN" w:eastAsia="zh-CN" w:bidi="ar-SA"/>
        </w:rPr>
      </w:pPr>
      <w:r>
        <w:rPr>
          <w:rFonts w:hint="eastAsia" w:ascii="Times New Roman" w:hAnsi="Times New Roman" w:eastAsia="宋体" w:cs="Times New Roman"/>
          <w:color w:val="auto"/>
          <w:sz w:val="24"/>
          <w:szCs w:val="24"/>
          <w:highlight w:val="none"/>
          <w:lang w:val="en-US" w:eastAsia="zh-CN" w:bidi="ar-SA"/>
        </w:rPr>
        <w:t>3.3</w:t>
      </w:r>
      <w:r>
        <w:rPr>
          <w:rFonts w:hint="eastAsia" w:ascii="Times New Roman" w:hAnsi="Times New Roman" w:eastAsia="宋体" w:cs="Times New Roman"/>
          <w:color w:val="auto"/>
          <w:sz w:val="24"/>
          <w:szCs w:val="24"/>
          <w:highlight w:val="none"/>
          <w:lang w:val="zh-CN" w:eastAsia="zh-CN" w:bidi="ar-SA"/>
        </w:rPr>
        <w:t>投标单位拟派出的项目管理机构人员，应为本单位在职人员，在本单位缴纳社会保险，应无在建工程；</w:t>
      </w:r>
    </w:p>
    <w:p w14:paraId="3DA703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3.4</w:t>
      </w:r>
      <w:r>
        <w:rPr>
          <w:rFonts w:hint="eastAsia" w:ascii="Times New Roman" w:hAnsi="Times New Roman" w:eastAsia="宋体" w:cs="Times New Roman"/>
          <w:color w:val="auto"/>
          <w:sz w:val="24"/>
          <w:szCs w:val="24"/>
          <w:highlight w:val="none"/>
          <w:lang w:val="zh-CN" w:eastAsia="zh-CN" w:bidi="ar-SA"/>
        </w:rPr>
        <w:t>投标人提供近三年(202</w:t>
      </w:r>
      <w:r>
        <w:rPr>
          <w:rFonts w:hint="eastAsia" w:ascii="Times New Roman" w:hAnsi="Times New Roman" w:eastAsia="宋体" w:cs="Times New Roman"/>
          <w:color w:val="auto"/>
          <w:sz w:val="24"/>
          <w:szCs w:val="24"/>
          <w:highlight w:val="none"/>
          <w:lang w:val="en-US" w:eastAsia="zh-CN" w:bidi="ar-SA"/>
        </w:rPr>
        <w:t>1</w:t>
      </w:r>
      <w:r>
        <w:rPr>
          <w:rFonts w:hint="eastAsia" w:ascii="Times New Roman" w:hAnsi="Times New Roman" w:eastAsia="宋体" w:cs="Times New Roman"/>
          <w:color w:val="auto"/>
          <w:sz w:val="24"/>
          <w:szCs w:val="24"/>
          <w:highlight w:val="none"/>
          <w:lang w:val="zh-CN" w:eastAsia="zh-CN" w:bidi="ar-SA"/>
        </w:rPr>
        <w:t>年1月1日-202</w:t>
      </w:r>
      <w:r>
        <w:rPr>
          <w:rFonts w:hint="eastAsia" w:ascii="Times New Roman" w:hAnsi="Times New Roman" w:eastAsia="宋体" w:cs="Times New Roman"/>
          <w:color w:val="auto"/>
          <w:sz w:val="24"/>
          <w:szCs w:val="24"/>
          <w:highlight w:val="none"/>
          <w:lang w:val="en-US" w:eastAsia="zh-CN" w:bidi="ar-SA"/>
        </w:rPr>
        <w:t>3</w:t>
      </w:r>
      <w:r>
        <w:rPr>
          <w:rFonts w:hint="eastAsia" w:ascii="Times New Roman" w:hAnsi="Times New Roman" w:eastAsia="宋体" w:cs="Times New Roman"/>
          <w:color w:val="auto"/>
          <w:sz w:val="24"/>
          <w:szCs w:val="24"/>
          <w:highlight w:val="none"/>
          <w:lang w:val="zh-CN" w:eastAsia="zh-CN" w:bidi="ar-SA"/>
        </w:rPr>
        <w:t>年12月31日)财务审计报告，新成立不足三年的企业需提供自成立之日起至202</w:t>
      </w:r>
      <w:r>
        <w:rPr>
          <w:rFonts w:hint="eastAsia" w:ascii="Times New Roman" w:hAnsi="Times New Roman" w:eastAsia="宋体" w:cs="Times New Roman"/>
          <w:color w:val="auto"/>
          <w:sz w:val="24"/>
          <w:szCs w:val="24"/>
          <w:highlight w:val="none"/>
          <w:lang w:val="en-US" w:eastAsia="zh-CN" w:bidi="ar-SA"/>
        </w:rPr>
        <w:t>3</w:t>
      </w:r>
      <w:r>
        <w:rPr>
          <w:rFonts w:hint="eastAsia" w:ascii="Times New Roman" w:hAnsi="Times New Roman" w:eastAsia="宋体" w:cs="Times New Roman"/>
          <w:color w:val="auto"/>
          <w:sz w:val="24"/>
          <w:szCs w:val="24"/>
          <w:highlight w:val="none"/>
          <w:lang w:val="zh-CN" w:eastAsia="zh-CN" w:bidi="ar-SA"/>
        </w:rPr>
        <w:t>年的财务审计报告，投标人成立时间少于规定年份的，应提供成立以来的财务报表</w:t>
      </w:r>
      <w:r>
        <w:rPr>
          <w:rFonts w:hint="eastAsia" w:ascii="Times New Roman" w:hAnsi="Times New Roman" w:eastAsia="宋体" w:cs="Times New Roman"/>
          <w:color w:val="auto"/>
          <w:sz w:val="24"/>
          <w:szCs w:val="24"/>
          <w:highlight w:val="none"/>
          <w:lang w:val="en-US" w:eastAsia="zh-CN" w:bidi="ar-SA"/>
        </w:rPr>
        <w:t>；</w:t>
      </w:r>
    </w:p>
    <w:p w14:paraId="40DF0D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3.5投标人需提供近三年（2021年1月1日至今）内投标人或法定代表人，拟委任的</w:t>
      </w:r>
      <w:r>
        <w:rPr>
          <w:rFonts w:hint="eastAsia" w:ascii="Times New Roman" w:hAnsi="Times New Roman" w:cs="Times New Roman"/>
          <w:color w:val="auto"/>
          <w:sz w:val="24"/>
          <w:szCs w:val="24"/>
          <w:highlight w:val="none"/>
          <w:lang w:val="en-US" w:eastAsia="zh-CN" w:bidi="ar-SA"/>
        </w:rPr>
        <w:t>总监理工程师</w:t>
      </w:r>
      <w:r>
        <w:rPr>
          <w:rFonts w:hint="eastAsia" w:ascii="Times New Roman" w:hAnsi="Times New Roman" w:eastAsia="宋体" w:cs="Times New Roman"/>
          <w:color w:val="auto"/>
          <w:sz w:val="24"/>
          <w:szCs w:val="24"/>
          <w:highlight w:val="none"/>
          <w:lang w:val="en-US" w:eastAsia="zh-CN" w:bidi="ar-SA"/>
        </w:rPr>
        <w:t>未在“中国裁判文书网（http://wenshu.court.gov.cn/）上有行贿犯罪记录查询结果网页截图；未在全国企业信用信息公示系统（www.gsxt.gov.cn）中列入严重违法失信企业名单；未在“信用中国”网站（www.creditchina.gov.cn） 或各级信用信息共享平台中列入失信主体名单查询；未列入中国政府采购网不良信用记录（www.ccgp.gov.cn）提供政府采购严重违法失信行为记录查询</w:t>
      </w:r>
      <w:r>
        <w:rPr>
          <w:rFonts w:hint="eastAsia" w:ascii="Times New Roman" w:hAnsi="Times New Roman" w:eastAsia="宋体" w:cs="Times New Roman"/>
          <w:color w:val="auto"/>
          <w:sz w:val="24"/>
          <w:szCs w:val="24"/>
          <w:highlight w:val="none"/>
          <w:lang w:val="zh-CN" w:eastAsia="zh-CN" w:bidi="ar-SA"/>
        </w:rPr>
        <w:t>；</w:t>
      </w:r>
    </w:p>
    <w:p w14:paraId="6525B1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3.6外埠企业在我省承揽项目须办理入吉企业信息登记后方可从事建筑活动，在吉林省建筑市场监管公共服务平台登记，未登记的外省建筑企业不得参加投标；</w:t>
      </w:r>
    </w:p>
    <w:p w14:paraId="4C90FB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3.7拒绝列入政府取消投标资格记录期间的企业或个人投标；</w:t>
      </w:r>
    </w:p>
    <w:p w14:paraId="447D69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3.8本项目不接受联合体投标；</w:t>
      </w:r>
    </w:p>
    <w:p w14:paraId="0CFBB8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3.9与招标人存在利害关系可能影响招标公正性的法人、其他组织或者个人，不得参加投标。单位负责人为同一人或者存在控股、管理关系的不同单位，不得参加同一标段投标或者未划分标段的同一招标项目投标。为招标项目提供整体设计、规范编制或者项目管理、监理、检测等服务的投标人，不得再参加本招标项目的其他招标活动。违反以上规定的，相关投标均无效。</w:t>
      </w:r>
    </w:p>
    <w:p w14:paraId="25489443">
      <w:pPr>
        <w:pStyle w:val="18"/>
        <w:keepNext w:val="0"/>
        <w:keepLines w:val="0"/>
        <w:pageBreakBefore w:val="0"/>
        <w:widowControl w:val="0"/>
        <w:tabs>
          <w:tab w:val="right" w:pos="8966"/>
        </w:tabs>
        <w:kinsoku/>
        <w:wordWrap/>
        <w:overflowPunct/>
        <w:topLinePunct w:val="0"/>
        <w:autoSpaceDE/>
        <w:autoSpaceDN/>
        <w:bidi w:val="0"/>
        <w:adjustRightInd/>
        <w:snapToGrid/>
        <w:spacing w:line="480" w:lineRule="exact"/>
        <w:ind w:left="440" w:leftChars="200" w:firstLine="0" w:firstLine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三、获取招标文件</w:t>
      </w:r>
      <w:r>
        <w:rPr>
          <w:rFonts w:hint="eastAsia" w:ascii="宋体" w:hAnsi="宋体" w:cs="宋体"/>
          <w:b/>
          <w:bCs/>
          <w:kern w:val="2"/>
          <w:sz w:val="24"/>
          <w:szCs w:val="24"/>
          <w:highlight w:val="none"/>
          <w:lang w:val="en-US" w:eastAsia="zh-CN" w:bidi="ar-SA"/>
        </w:rPr>
        <w:tab/>
      </w:r>
    </w:p>
    <w:p w14:paraId="63C8B1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1、时间：</w:t>
      </w:r>
      <w:r>
        <w:rPr>
          <w:rFonts w:hint="eastAsia" w:ascii="Times New Roman" w:hAnsi="Times New Roman" w:cs="Times New Roman"/>
          <w:color w:val="auto"/>
          <w:sz w:val="24"/>
          <w:szCs w:val="24"/>
          <w:highlight w:val="none"/>
          <w:lang w:val="en-US" w:eastAsia="zh-CN" w:bidi="ar-SA"/>
        </w:rPr>
        <w:t>2024年12月13日至2024年12月20日</w:t>
      </w:r>
      <w:r>
        <w:rPr>
          <w:rFonts w:hint="eastAsia" w:ascii="Times New Roman" w:hAnsi="Times New Roman" w:eastAsia="宋体" w:cs="Times New Roman"/>
          <w:color w:val="auto"/>
          <w:sz w:val="24"/>
          <w:szCs w:val="24"/>
          <w:highlight w:val="none"/>
          <w:lang w:val="en-US" w:eastAsia="zh-CN" w:bidi="ar-SA"/>
        </w:rPr>
        <w:t>；</w:t>
      </w:r>
    </w:p>
    <w:p w14:paraId="0F0D10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2、获取方式:网上下载。投标人可自行在“政采云”平台（https://www.zcygov.cn/）下载招标文件（操作路径：登录“政采云”平台-项目采购-获取招标文件-找到本项目- 点击“申请获取招标文件”），电子响应文件制作需要基于“政采云”平台获取的招标文件编制。</w:t>
      </w:r>
    </w:p>
    <w:p w14:paraId="70D1A2C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 xml:space="preserve">3、未进行网上注册的投标人将无法参与本次采购活动。 </w:t>
      </w:r>
    </w:p>
    <w:p w14:paraId="0619770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4、投标人不足三家时，招标人另行组织采购。</w:t>
      </w:r>
    </w:p>
    <w:p w14:paraId="177912E0">
      <w:pPr>
        <w:pStyle w:val="18"/>
        <w:keepNext w:val="0"/>
        <w:keepLines w:val="0"/>
        <w:pageBreakBefore w:val="0"/>
        <w:widowControl w:val="0"/>
        <w:kinsoku/>
        <w:wordWrap/>
        <w:overflowPunct/>
        <w:topLinePunct w:val="0"/>
        <w:autoSpaceDE/>
        <w:autoSpaceDN/>
        <w:bidi w:val="0"/>
        <w:adjustRightInd/>
        <w:snapToGrid/>
        <w:spacing w:line="360" w:lineRule="auto"/>
        <w:ind w:left="440" w:leftChars="20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四、提交投标文件截止时间、开标时间和地点</w:t>
      </w:r>
    </w:p>
    <w:p w14:paraId="7D61508F">
      <w:pPr>
        <w:pStyle w:val="18"/>
        <w:keepNext w:val="0"/>
        <w:keepLines w:val="0"/>
        <w:pageBreakBefore w:val="0"/>
        <w:widowControl w:val="0"/>
        <w:kinsoku/>
        <w:wordWrap/>
        <w:overflowPunct/>
        <w:topLinePunct w:val="0"/>
        <w:autoSpaceDE/>
        <w:autoSpaceDN/>
        <w:bidi w:val="0"/>
        <w:adjustRightInd/>
        <w:snapToGrid/>
        <w:spacing w:line="360" w:lineRule="auto"/>
        <w:ind w:left="440" w:leftChars="20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招标</w:t>
      </w:r>
      <w:r>
        <w:rPr>
          <w:rFonts w:hint="eastAsia" w:ascii="宋体" w:hAnsi="宋体" w:eastAsia="宋体" w:cs="宋体"/>
          <w:b w:val="0"/>
          <w:bCs w:val="0"/>
          <w:color w:val="auto"/>
          <w:kern w:val="2"/>
          <w:sz w:val="24"/>
          <w:szCs w:val="24"/>
          <w:highlight w:val="none"/>
          <w:lang w:val="en-US" w:eastAsia="zh-CN" w:bidi="ar-SA"/>
        </w:rPr>
        <w:t>文件截止时间、开标时间：</w:t>
      </w:r>
      <w:r>
        <w:rPr>
          <w:rFonts w:hint="eastAsia" w:ascii="宋体" w:hAnsi="宋体" w:cs="宋体"/>
          <w:b w:val="0"/>
          <w:bCs w:val="0"/>
          <w:color w:val="auto"/>
          <w:kern w:val="2"/>
          <w:sz w:val="24"/>
          <w:szCs w:val="24"/>
          <w:highlight w:val="none"/>
          <w:lang w:val="en-US" w:eastAsia="zh-CN" w:bidi="ar-SA"/>
        </w:rPr>
        <w:t>2025 年01月03日 09 时00 分</w:t>
      </w:r>
      <w:r>
        <w:rPr>
          <w:rFonts w:hint="eastAsia" w:ascii="宋体" w:hAnsi="宋体" w:eastAsia="宋体" w:cs="宋体"/>
          <w:b w:val="0"/>
          <w:bCs w:val="0"/>
          <w:color w:val="auto"/>
          <w:kern w:val="2"/>
          <w:sz w:val="24"/>
          <w:szCs w:val="24"/>
          <w:highlight w:val="none"/>
          <w:lang w:val="en-US" w:eastAsia="zh-CN" w:bidi="ar-SA"/>
        </w:rPr>
        <w:t>（北京时间）。</w:t>
      </w:r>
    </w:p>
    <w:p w14:paraId="00B0E3B1">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2.本 项 目 采 用 全 流 程 电 子 化 采 购 ， 需 通 过 政 府 采 购 云 平</w:t>
      </w:r>
      <w:r>
        <w:rPr>
          <w:rFonts w:hint="eastAsia" w:ascii="宋体" w:hAnsi="宋体" w:eastAsia="宋体" w:cs="宋体"/>
          <w:b w:val="0"/>
          <w:bCs w:val="0"/>
          <w:kern w:val="2"/>
          <w:sz w:val="24"/>
          <w:szCs w:val="24"/>
          <w:highlight w:val="none"/>
          <w:lang w:val="en-US" w:eastAsia="zh-CN" w:bidi="ar-SA"/>
        </w:rPr>
        <w:t xml:space="preserve"> 台</w:t>
      </w:r>
    </w:p>
    <w:p w14:paraId="0D577A41">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firstLine="0" w:firstLine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（https://www.zcygov.cn/）递交电子</w:t>
      </w:r>
      <w:r>
        <w:rPr>
          <w:rFonts w:hint="eastAsia" w:ascii="宋体" w:hAnsi="宋体" w:cs="宋体"/>
          <w:b w:val="0"/>
          <w:bCs w:val="0"/>
          <w:kern w:val="2"/>
          <w:sz w:val="24"/>
          <w:szCs w:val="24"/>
          <w:highlight w:val="none"/>
          <w:lang w:val="en-US" w:eastAsia="zh-CN" w:bidi="ar-SA"/>
        </w:rPr>
        <w:t>投标</w:t>
      </w:r>
      <w:r>
        <w:rPr>
          <w:rFonts w:hint="eastAsia" w:ascii="宋体" w:hAnsi="宋体" w:eastAsia="宋体" w:cs="宋体"/>
          <w:b w:val="0"/>
          <w:bCs w:val="0"/>
          <w:kern w:val="2"/>
          <w:sz w:val="24"/>
          <w:szCs w:val="24"/>
          <w:highlight w:val="none"/>
          <w:lang w:val="en-US" w:eastAsia="zh-CN" w:bidi="ar-SA"/>
        </w:rPr>
        <w:t>文件</w:t>
      </w:r>
      <w:r>
        <w:rPr>
          <w:rFonts w:hint="eastAsia" w:ascii="宋体" w:hAnsi="宋体" w:cs="宋体"/>
          <w:b w:val="0"/>
          <w:bCs w:val="0"/>
          <w:kern w:val="2"/>
          <w:sz w:val="24"/>
          <w:szCs w:val="24"/>
          <w:highlight w:val="none"/>
          <w:lang w:val="en-US" w:eastAsia="zh-CN" w:bidi="ar-SA"/>
        </w:rPr>
        <w:t>，远程开标</w:t>
      </w:r>
      <w:r>
        <w:rPr>
          <w:rFonts w:hint="eastAsia" w:ascii="宋体" w:hAnsi="宋体" w:eastAsia="宋体" w:cs="宋体"/>
          <w:b w:val="0"/>
          <w:bCs w:val="0"/>
          <w:kern w:val="2"/>
          <w:sz w:val="24"/>
          <w:szCs w:val="24"/>
          <w:highlight w:val="none"/>
          <w:lang w:val="en-US" w:eastAsia="zh-CN" w:bidi="ar-SA"/>
        </w:rPr>
        <w:t>。</w:t>
      </w:r>
    </w:p>
    <w:p w14:paraId="7067D853">
      <w:pPr>
        <w:pStyle w:val="18"/>
        <w:keepNext w:val="0"/>
        <w:keepLines w:val="0"/>
        <w:pageBreakBefore w:val="0"/>
        <w:widowControl w:val="0"/>
        <w:kinsoku/>
        <w:wordWrap/>
        <w:overflowPunct/>
        <w:topLinePunct w:val="0"/>
        <w:autoSpaceDE/>
        <w:autoSpaceDN/>
        <w:bidi w:val="0"/>
        <w:adjustRightInd/>
        <w:snapToGrid/>
        <w:spacing w:line="360" w:lineRule="auto"/>
        <w:ind w:left="440" w:leftChars="200" w:firstLine="0" w:firstLine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3</w:t>
      </w:r>
      <w:r>
        <w:rPr>
          <w:rFonts w:hint="eastAsia" w:ascii="宋体" w:hAnsi="宋体" w:eastAsia="宋体" w:cs="宋体"/>
          <w:b w:val="0"/>
          <w:bCs w:val="0"/>
          <w:kern w:val="2"/>
          <w:sz w:val="24"/>
          <w:szCs w:val="24"/>
          <w:highlight w:val="none"/>
          <w:lang w:val="en-US" w:eastAsia="zh-CN" w:bidi="ar-SA"/>
        </w:rPr>
        <w:t>.操作流程：</w:t>
      </w:r>
      <w:r>
        <w:rPr>
          <w:rFonts w:hint="eastAsia" w:ascii="宋体" w:hAnsi="宋体" w:cs="宋体"/>
          <w:b w:val="0"/>
          <w:bCs w:val="0"/>
          <w:kern w:val="2"/>
          <w:sz w:val="24"/>
          <w:szCs w:val="24"/>
          <w:highlight w:val="none"/>
          <w:lang w:val="en-US" w:eastAsia="zh-CN" w:bidi="ar-SA"/>
        </w:rPr>
        <w:t>投标人</w:t>
      </w:r>
      <w:r>
        <w:rPr>
          <w:rFonts w:hint="eastAsia" w:ascii="宋体" w:hAnsi="宋体" w:eastAsia="宋体" w:cs="宋体"/>
          <w:b w:val="0"/>
          <w:bCs w:val="0"/>
          <w:kern w:val="2"/>
          <w:sz w:val="24"/>
          <w:szCs w:val="24"/>
          <w:highlight w:val="none"/>
          <w:lang w:val="en-US" w:eastAsia="zh-CN" w:bidi="ar-SA"/>
        </w:rPr>
        <w:t>在政府采购云平台注册入库成为正式</w:t>
      </w:r>
      <w:r>
        <w:rPr>
          <w:rFonts w:hint="eastAsia" w:ascii="宋体" w:hAnsi="宋体" w:cs="宋体"/>
          <w:b w:val="0"/>
          <w:bCs w:val="0"/>
          <w:kern w:val="2"/>
          <w:sz w:val="24"/>
          <w:szCs w:val="24"/>
          <w:highlight w:val="none"/>
          <w:lang w:val="en-US" w:eastAsia="zh-CN" w:bidi="ar-SA"/>
        </w:rPr>
        <w:t>投标人</w:t>
      </w:r>
      <w:r>
        <w:rPr>
          <w:rFonts w:hint="eastAsia" w:ascii="宋体" w:hAnsi="宋体" w:eastAsia="宋体" w:cs="宋体"/>
          <w:b w:val="0"/>
          <w:bCs w:val="0"/>
          <w:kern w:val="2"/>
          <w:sz w:val="24"/>
          <w:szCs w:val="24"/>
          <w:highlight w:val="none"/>
          <w:lang w:val="en-US" w:eastAsia="zh-CN" w:bidi="ar-SA"/>
        </w:rPr>
        <w:t>后，在平台按《政府</w:t>
      </w:r>
    </w:p>
    <w:p w14:paraId="2DFF1585">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采购项目电子交易管理操作指南-供应商》进行操作。由于</w:t>
      </w:r>
      <w:r>
        <w:rPr>
          <w:rFonts w:hint="eastAsia" w:ascii="宋体" w:hAnsi="宋体" w:cs="宋体"/>
          <w:b w:val="0"/>
          <w:bCs w:val="0"/>
          <w:kern w:val="2"/>
          <w:sz w:val="24"/>
          <w:szCs w:val="24"/>
          <w:highlight w:val="none"/>
          <w:lang w:val="en-US" w:eastAsia="zh-CN" w:bidi="ar-SA"/>
        </w:rPr>
        <w:t>投标人</w:t>
      </w:r>
      <w:r>
        <w:rPr>
          <w:rFonts w:hint="eastAsia" w:ascii="宋体" w:hAnsi="宋体" w:eastAsia="宋体" w:cs="宋体"/>
          <w:b w:val="0"/>
          <w:bCs w:val="0"/>
          <w:kern w:val="2"/>
          <w:sz w:val="24"/>
          <w:szCs w:val="24"/>
          <w:highlight w:val="none"/>
          <w:lang w:val="en-US" w:eastAsia="zh-CN" w:bidi="ar-SA"/>
        </w:rPr>
        <w:t>自身原因在递交</w:t>
      </w:r>
      <w:r>
        <w:rPr>
          <w:rFonts w:hint="eastAsia" w:ascii="宋体" w:hAnsi="宋体" w:cs="宋体"/>
          <w:b w:val="0"/>
          <w:bCs w:val="0"/>
          <w:kern w:val="2"/>
          <w:sz w:val="24"/>
          <w:szCs w:val="24"/>
          <w:highlight w:val="none"/>
          <w:lang w:val="en-US" w:eastAsia="zh-CN" w:bidi="ar-SA"/>
        </w:rPr>
        <w:t>招标</w:t>
      </w:r>
      <w:r>
        <w:rPr>
          <w:rFonts w:hint="eastAsia" w:ascii="宋体" w:hAnsi="宋体" w:eastAsia="宋体" w:cs="宋体"/>
          <w:b w:val="0"/>
          <w:bCs w:val="0"/>
          <w:kern w:val="2"/>
          <w:sz w:val="24"/>
          <w:szCs w:val="24"/>
          <w:highlight w:val="none"/>
          <w:lang w:val="en-US" w:eastAsia="zh-CN" w:bidi="ar-SA"/>
        </w:rPr>
        <w:t>文件截止时间前无法完成办理的，后果自负。</w:t>
      </w:r>
    </w:p>
    <w:p w14:paraId="60F71EA9">
      <w:pPr>
        <w:pStyle w:val="18"/>
        <w:keepNext w:val="0"/>
        <w:keepLines w:val="0"/>
        <w:pageBreakBefore w:val="0"/>
        <w:widowControl w:val="0"/>
        <w:kinsoku/>
        <w:wordWrap/>
        <w:overflowPunct/>
        <w:topLinePunct w:val="0"/>
        <w:autoSpaceDE/>
        <w:autoSpaceDN/>
        <w:bidi w:val="0"/>
        <w:adjustRightInd/>
        <w:snapToGrid/>
        <w:spacing w:line="360" w:lineRule="auto"/>
        <w:ind w:left="440" w:leftChars="200" w:firstLine="0" w:firstLine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五、公告期限</w:t>
      </w:r>
    </w:p>
    <w:p w14:paraId="0EDFEFEA">
      <w:pPr>
        <w:pStyle w:val="18"/>
        <w:keepNext w:val="0"/>
        <w:keepLines w:val="0"/>
        <w:pageBreakBefore w:val="0"/>
        <w:widowControl w:val="0"/>
        <w:kinsoku/>
        <w:wordWrap/>
        <w:overflowPunct/>
        <w:topLinePunct w:val="0"/>
        <w:autoSpaceDE/>
        <w:autoSpaceDN/>
        <w:bidi w:val="0"/>
        <w:adjustRightInd/>
        <w:snapToGrid/>
        <w:spacing w:line="480" w:lineRule="exact"/>
        <w:ind w:left="440" w:leftChars="200" w:firstLine="0" w:firstLineChars="0"/>
        <w:textAlignment w:val="auto"/>
        <w:rPr>
          <w:rFonts w:hint="eastAsia"/>
          <w:color w:val="auto"/>
          <w:sz w:val="24"/>
          <w:szCs w:val="24"/>
          <w:highlight w:val="none"/>
          <w:lang w:eastAsia="zh-CN"/>
        </w:rPr>
      </w:pPr>
      <w:r>
        <w:rPr>
          <w:rFonts w:hint="eastAsia"/>
          <w:color w:val="auto"/>
          <w:sz w:val="24"/>
          <w:szCs w:val="24"/>
          <w:highlight w:val="none"/>
          <w:lang w:eastAsia="zh-CN"/>
        </w:rPr>
        <w:t>自本公告发布之日起5个工作日。</w:t>
      </w:r>
    </w:p>
    <w:p w14:paraId="57F8B97E">
      <w:pPr>
        <w:pStyle w:val="18"/>
        <w:keepNext w:val="0"/>
        <w:keepLines w:val="0"/>
        <w:pageBreakBefore w:val="0"/>
        <w:widowControl w:val="0"/>
        <w:kinsoku/>
        <w:wordWrap/>
        <w:overflowPunct/>
        <w:topLinePunct w:val="0"/>
        <w:autoSpaceDE/>
        <w:autoSpaceDN/>
        <w:bidi w:val="0"/>
        <w:adjustRightInd/>
        <w:snapToGrid/>
        <w:spacing w:line="360" w:lineRule="auto"/>
        <w:ind w:left="440" w:leftChars="200" w:firstLine="0" w:firstLine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六、其他补充事宜</w:t>
      </w:r>
    </w:p>
    <w:p w14:paraId="7CCBE838">
      <w:pPr>
        <w:pStyle w:val="18"/>
        <w:keepNext w:val="0"/>
        <w:keepLines w:val="0"/>
        <w:pageBreakBefore w:val="0"/>
        <w:widowControl w:val="0"/>
        <w:kinsoku/>
        <w:wordWrap/>
        <w:overflowPunct/>
        <w:topLinePunct w:val="0"/>
        <w:autoSpaceDE/>
        <w:autoSpaceDN/>
        <w:bidi w:val="0"/>
        <w:adjustRightInd/>
        <w:snapToGrid/>
        <w:spacing w:line="360" w:lineRule="auto"/>
        <w:ind w:left="440" w:leftChars="200" w:firstLine="0" w:firstLine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1、采购公告发布媒介：本次</w:t>
      </w:r>
      <w:r>
        <w:rPr>
          <w:rFonts w:hint="eastAsia" w:ascii="宋体" w:hAnsi="宋体" w:cs="宋体"/>
          <w:b w:val="0"/>
          <w:bCs w:val="0"/>
          <w:kern w:val="2"/>
          <w:sz w:val="24"/>
          <w:szCs w:val="24"/>
          <w:highlight w:val="none"/>
          <w:lang w:val="en-US" w:eastAsia="zh-CN" w:bidi="ar-SA"/>
        </w:rPr>
        <w:t>招标</w:t>
      </w:r>
      <w:r>
        <w:rPr>
          <w:rFonts w:hint="eastAsia" w:ascii="宋体" w:hAnsi="宋体" w:eastAsia="宋体" w:cs="宋体"/>
          <w:b w:val="0"/>
          <w:bCs w:val="0"/>
          <w:kern w:val="2"/>
          <w:sz w:val="24"/>
          <w:szCs w:val="24"/>
          <w:highlight w:val="none"/>
          <w:lang w:val="en-US" w:eastAsia="zh-CN" w:bidi="ar-SA"/>
        </w:rPr>
        <w:t xml:space="preserve">公告在“政采云”平台 (http:// www.zcygov.cn) </w:t>
      </w:r>
    </w:p>
    <w:p w14:paraId="1F8410DE">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上发布，同步推送到吉林省政府采购网，并同时在中国政府采购网上发布。</w:t>
      </w:r>
    </w:p>
    <w:p w14:paraId="66BFD66C">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200" w:firstLine="0" w:firstLine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highlight w:val="none"/>
          <w:lang w:val="en-US" w:eastAsia="zh-CN" w:bidi="ar-SA"/>
        </w:rPr>
        <w:t>若对项目采购电子交易系统操作有疑问，可登录“政采云”平台，点击右侧咨询</w:t>
      </w:r>
    </w:p>
    <w:p w14:paraId="7C1A0A3D">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小采，获取采小蜜智能服务管家帮助，或拨打政采云服务热线95763获取帮助。</w:t>
      </w:r>
    </w:p>
    <w:p w14:paraId="433DB2AC">
      <w:pPr>
        <w:pStyle w:val="18"/>
        <w:keepNext w:val="0"/>
        <w:keepLines w:val="0"/>
        <w:pageBreakBefore w:val="0"/>
        <w:widowControl w:val="0"/>
        <w:kinsoku/>
        <w:wordWrap/>
        <w:overflowPunct/>
        <w:topLinePunct w:val="0"/>
        <w:autoSpaceDE/>
        <w:autoSpaceDN/>
        <w:bidi w:val="0"/>
        <w:adjustRightInd/>
        <w:snapToGrid/>
        <w:spacing w:line="360" w:lineRule="auto"/>
        <w:ind w:left="440" w:leftChars="200" w:firstLine="0" w:firstLineChars="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七、对本次招标提出询问，请按以下方式联系：</w:t>
      </w:r>
    </w:p>
    <w:p w14:paraId="49A856D4">
      <w:pPr>
        <w:spacing w:line="360" w:lineRule="auto"/>
        <w:ind w:firstLine="482" w:firstLineChars="200"/>
        <w:outlineLvl w:val="2"/>
        <w:rPr>
          <w:rFonts w:hint="eastAsia" w:ascii="宋体" w:hAnsi="宋体" w:cs="宋体"/>
          <w:bCs/>
          <w:sz w:val="24"/>
          <w:szCs w:val="24"/>
          <w:highlight w:val="none"/>
        </w:rPr>
      </w:pPr>
      <w:bookmarkStart w:id="1" w:name="_Toc18472"/>
      <w:r>
        <w:rPr>
          <w:rFonts w:hint="eastAsia" w:ascii="宋体" w:hAnsi="宋体" w:cs="宋体"/>
          <w:b/>
          <w:sz w:val="24"/>
          <w:szCs w:val="24"/>
          <w:highlight w:val="none"/>
          <w:shd w:val="clear" w:color="auto" w:fill="FFFFFF"/>
        </w:rPr>
        <w:t>1.</w:t>
      </w:r>
      <w:r>
        <w:rPr>
          <w:rFonts w:hint="eastAsia" w:cs="宋体"/>
          <w:b/>
          <w:sz w:val="24"/>
          <w:szCs w:val="24"/>
          <w:highlight w:val="none"/>
          <w:shd w:val="clear" w:color="auto" w:fill="FFFFFF"/>
          <w:lang w:val="en-US" w:eastAsia="zh-CN"/>
        </w:rPr>
        <w:t>招标人</w:t>
      </w:r>
      <w:r>
        <w:rPr>
          <w:rFonts w:hint="eastAsia" w:ascii="宋体" w:hAnsi="宋体" w:cs="宋体"/>
          <w:b/>
          <w:sz w:val="24"/>
          <w:szCs w:val="24"/>
          <w:highlight w:val="none"/>
          <w:shd w:val="clear" w:color="auto" w:fill="FFFFFF"/>
        </w:rPr>
        <w:t>信息</w:t>
      </w:r>
      <w:bookmarkEnd w:id="1"/>
    </w:p>
    <w:p w14:paraId="59D2EC14">
      <w:pPr>
        <w:pStyle w:val="45"/>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cs="宋体"/>
          <w:color w:val="auto"/>
          <w:sz w:val="24"/>
          <w:szCs w:val="24"/>
          <w:highlight w:val="none"/>
          <w:lang w:eastAsia="zh-CN"/>
        </w:rPr>
        <w:t>乾安县农业农村局</w:t>
      </w:r>
    </w:p>
    <w:p w14:paraId="160C6149">
      <w:pPr>
        <w:pStyle w:val="45"/>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cs="宋体"/>
          <w:color w:val="auto"/>
          <w:sz w:val="24"/>
          <w:szCs w:val="24"/>
          <w:highlight w:val="none"/>
          <w:lang w:val="en-US" w:eastAsia="zh-CN"/>
        </w:rPr>
        <w:t>乾安县乾安镇宇宙大路2555号</w:t>
      </w:r>
    </w:p>
    <w:p w14:paraId="7B2BD5B9">
      <w:pPr>
        <w:pStyle w:val="45"/>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cs="宋体"/>
          <w:color w:val="auto"/>
          <w:sz w:val="24"/>
          <w:szCs w:val="24"/>
          <w:highlight w:val="none"/>
          <w:lang w:val="en-US" w:eastAsia="zh-CN"/>
        </w:rPr>
        <w:t>宋雪峰13843855552</w:t>
      </w:r>
    </w:p>
    <w:p w14:paraId="5EC88DD2">
      <w:pPr>
        <w:spacing w:line="360" w:lineRule="auto"/>
        <w:ind w:firstLine="482" w:firstLineChars="200"/>
        <w:outlineLvl w:val="2"/>
        <w:rPr>
          <w:rFonts w:hint="eastAsia" w:ascii="宋体" w:hAnsi="宋体" w:cs="宋体"/>
          <w:b/>
          <w:sz w:val="24"/>
          <w:szCs w:val="24"/>
          <w:highlight w:val="none"/>
          <w:shd w:val="clear" w:color="auto" w:fill="FFFFFF"/>
        </w:rPr>
      </w:pPr>
      <w:bookmarkStart w:id="2" w:name="_Toc17068"/>
      <w:r>
        <w:rPr>
          <w:rFonts w:hint="eastAsia" w:ascii="宋体" w:hAnsi="宋体" w:cs="宋体"/>
          <w:b/>
          <w:sz w:val="24"/>
          <w:szCs w:val="24"/>
          <w:highlight w:val="none"/>
          <w:shd w:val="clear" w:color="auto" w:fill="FFFFFF"/>
        </w:rPr>
        <w:t>2.</w:t>
      </w:r>
      <w:r>
        <w:rPr>
          <w:rFonts w:hint="eastAsia" w:cs="宋体"/>
          <w:b/>
          <w:sz w:val="24"/>
          <w:szCs w:val="24"/>
          <w:highlight w:val="none"/>
          <w:shd w:val="clear" w:color="auto" w:fill="FFFFFF"/>
          <w:lang w:val="en-US" w:eastAsia="zh-CN"/>
        </w:rPr>
        <w:t>招标</w:t>
      </w:r>
      <w:r>
        <w:rPr>
          <w:rFonts w:hint="eastAsia" w:ascii="宋体" w:hAnsi="宋体" w:cs="宋体"/>
          <w:b/>
          <w:sz w:val="24"/>
          <w:szCs w:val="24"/>
          <w:highlight w:val="none"/>
          <w:shd w:val="clear" w:color="auto" w:fill="FFFFFF"/>
        </w:rPr>
        <w:t>代理机构信息</w:t>
      </w:r>
      <w:bookmarkEnd w:id="2"/>
    </w:p>
    <w:p w14:paraId="18AEC478">
      <w:pPr>
        <w:spacing w:line="360" w:lineRule="auto"/>
        <w:ind w:firstLine="480" w:firstLineChars="200"/>
        <w:rPr>
          <w:rFonts w:hint="eastAsia" w:ascii="宋体" w:hAnsi="宋体" w:eastAsia="宋体" w:cs="宋体"/>
          <w:bCs/>
          <w:sz w:val="24"/>
          <w:szCs w:val="24"/>
          <w:highlight w:val="none"/>
          <w:shd w:val="clear" w:color="auto" w:fill="FFFFFF"/>
          <w:lang w:eastAsia="zh-CN"/>
        </w:rPr>
      </w:pPr>
      <w:r>
        <w:rPr>
          <w:rFonts w:hint="eastAsia" w:ascii="宋体" w:hAnsi="宋体" w:cs="宋体"/>
          <w:bCs/>
          <w:sz w:val="24"/>
          <w:szCs w:val="24"/>
          <w:highlight w:val="none"/>
          <w:shd w:val="clear" w:color="auto" w:fill="FFFFFF"/>
        </w:rPr>
        <w:t>名称：</w:t>
      </w:r>
      <w:r>
        <w:rPr>
          <w:rFonts w:hint="eastAsia" w:cs="宋体"/>
          <w:bCs/>
          <w:sz w:val="24"/>
          <w:szCs w:val="24"/>
          <w:highlight w:val="none"/>
          <w:shd w:val="clear" w:color="auto" w:fill="FFFFFF"/>
          <w:lang w:eastAsia="zh-CN"/>
        </w:rPr>
        <w:t>吉林省中寰工程项目管理有限公司</w:t>
      </w:r>
    </w:p>
    <w:p w14:paraId="68CBC985">
      <w:pPr>
        <w:spacing w:line="360" w:lineRule="auto"/>
        <w:ind w:firstLine="480" w:firstLineChars="200"/>
        <w:rPr>
          <w:rFonts w:hint="eastAsia" w:ascii="宋体" w:hAnsi="宋体" w:eastAsia="宋体" w:cs="宋体"/>
          <w:color w:val="auto"/>
          <w:spacing w:val="-2"/>
          <w:kern w:val="2"/>
          <w:sz w:val="24"/>
          <w:szCs w:val="24"/>
          <w:highlight w:val="none"/>
          <w:lang w:val="en-US" w:eastAsia="zh-CN" w:bidi="ar-SA"/>
        </w:rPr>
      </w:pPr>
      <w:r>
        <w:rPr>
          <w:rFonts w:hint="eastAsia" w:ascii="宋体" w:hAnsi="宋体" w:cs="宋体"/>
          <w:bCs/>
          <w:sz w:val="24"/>
          <w:szCs w:val="24"/>
          <w:highlight w:val="none"/>
          <w:shd w:val="clear" w:color="auto" w:fill="FFFFFF"/>
        </w:rPr>
        <w:t>地</w:t>
      </w:r>
      <w:r>
        <w:rPr>
          <w:rFonts w:hint="eastAsia" w:ascii="宋体" w:hAnsi="宋体" w:cs="宋体"/>
          <w:bCs/>
          <w:color w:val="auto"/>
          <w:sz w:val="24"/>
          <w:szCs w:val="24"/>
          <w:highlight w:val="none"/>
          <w:shd w:val="clear" w:color="auto" w:fill="FFFFFF"/>
        </w:rPr>
        <w:t>址：</w:t>
      </w:r>
      <w:r>
        <w:rPr>
          <w:rFonts w:hint="eastAsia" w:cs="宋体"/>
          <w:color w:val="auto"/>
          <w:spacing w:val="-2"/>
          <w:kern w:val="2"/>
          <w:sz w:val="24"/>
          <w:szCs w:val="24"/>
          <w:highlight w:val="none"/>
          <w:lang w:val="en-US" w:eastAsia="zh-CN" w:bidi="ar-SA"/>
        </w:rPr>
        <w:t>长春市前进大街996号力旺广场B座13楼1308室</w:t>
      </w:r>
    </w:p>
    <w:p w14:paraId="0222256E">
      <w:pPr>
        <w:spacing w:line="360" w:lineRule="auto"/>
        <w:ind w:firstLine="480" w:firstLineChars="200"/>
        <w:rPr>
          <w:rFonts w:ascii="宋体" w:hAnsi="宋体" w:cs="宋体"/>
          <w:bCs/>
          <w:color w:val="auto"/>
          <w:sz w:val="24"/>
          <w:szCs w:val="24"/>
          <w:highlight w:val="none"/>
          <w:shd w:val="clear" w:color="auto" w:fill="FFFFFF"/>
        </w:rPr>
      </w:pPr>
      <w:r>
        <w:rPr>
          <w:rFonts w:hint="eastAsia" w:ascii="宋体" w:hAnsi="宋体"/>
          <w:bCs/>
          <w:color w:val="auto"/>
          <w:sz w:val="24"/>
          <w:szCs w:val="24"/>
          <w:highlight w:val="none"/>
        </w:rPr>
        <w:t>联系方式</w:t>
      </w:r>
      <w:r>
        <w:rPr>
          <w:rFonts w:hint="eastAsia" w:ascii="宋体" w:hAnsi="宋体" w:cs="宋体"/>
          <w:bCs/>
          <w:color w:val="auto"/>
          <w:sz w:val="24"/>
          <w:szCs w:val="24"/>
          <w:highlight w:val="none"/>
          <w:shd w:val="clear" w:color="auto" w:fill="FFFFFF"/>
        </w:rPr>
        <w:t>：</w:t>
      </w:r>
      <w:r>
        <w:rPr>
          <w:rFonts w:hint="eastAsia" w:cs="宋体"/>
          <w:color w:val="auto"/>
          <w:spacing w:val="-2"/>
          <w:kern w:val="2"/>
          <w:sz w:val="24"/>
          <w:szCs w:val="24"/>
          <w:highlight w:val="none"/>
          <w:lang w:val="en-US" w:eastAsia="zh-CN" w:bidi="ar-SA"/>
        </w:rPr>
        <w:t>张先生15330610752</w:t>
      </w:r>
    </w:p>
    <w:p w14:paraId="59D17B57">
      <w:pPr>
        <w:spacing w:line="360" w:lineRule="auto"/>
        <w:ind w:firstLine="480" w:firstLineChars="200"/>
        <w:outlineLvl w:val="2"/>
        <w:rPr>
          <w:rFonts w:hint="eastAsia" w:ascii="宋体" w:hAnsi="宋体" w:cs="宋体"/>
          <w:bCs/>
          <w:sz w:val="24"/>
          <w:szCs w:val="24"/>
          <w:highlight w:val="none"/>
          <w:shd w:val="clear" w:color="auto" w:fill="FFFFFF"/>
        </w:rPr>
      </w:pPr>
      <w:bookmarkStart w:id="3" w:name="_Toc27483"/>
      <w:r>
        <w:rPr>
          <w:rFonts w:hint="eastAsia" w:ascii="宋体" w:hAnsi="宋体" w:cs="宋体"/>
          <w:bCs/>
          <w:sz w:val="24"/>
          <w:szCs w:val="24"/>
          <w:highlight w:val="none"/>
          <w:shd w:val="clear" w:color="auto" w:fill="FFFFFF"/>
        </w:rPr>
        <w:t>3.</w:t>
      </w:r>
      <w:r>
        <w:rPr>
          <w:rFonts w:hint="eastAsia" w:ascii="宋体" w:hAnsi="宋体" w:cs="宋体"/>
          <w:b/>
          <w:sz w:val="24"/>
          <w:szCs w:val="24"/>
          <w:highlight w:val="none"/>
          <w:shd w:val="clear" w:color="auto" w:fill="FFFFFF"/>
        </w:rPr>
        <w:t>项目联系方式</w:t>
      </w:r>
      <w:bookmarkEnd w:id="3"/>
    </w:p>
    <w:p w14:paraId="18E48EED">
      <w:pPr>
        <w:spacing w:line="360" w:lineRule="auto"/>
        <w:ind w:firstLine="480" w:firstLineChars="200"/>
        <w:rPr>
          <w:rFonts w:hint="eastAsia" w:ascii="宋体" w:hAnsi="宋体" w:eastAsia="宋体" w:cs="宋体"/>
          <w:spacing w:val="-2"/>
          <w:kern w:val="2"/>
          <w:sz w:val="24"/>
          <w:szCs w:val="24"/>
          <w:highlight w:val="none"/>
          <w:lang w:val="en-US" w:eastAsia="zh-CN" w:bidi="ar-SA"/>
        </w:rPr>
      </w:pPr>
      <w:r>
        <w:rPr>
          <w:rFonts w:hint="eastAsia" w:ascii="宋体" w:hAnsi="宋体" w:cs="宋体"/>
          <w:bCs/>
          <w:sz w:val="24"/>
          <w:szCs w:val="24"/>
          <w:highlight w:val="none"/>
          <w:shd w:val="clear" w:color="auto" w:fill="FFFFFF"/>
        </w:rPr>
        <w:t>项目联系人：</w:t>
      </w:r>
      <w:r>
        <w:rPr>
          <w:rFonts w:hint="eastAsia" w:cs="宋体"/>
          <w:color w:val="auto"/>
          <w:spacing w:val="-2"/>
          <w:kern w:val="2"/>
          <w:sz w:val="24"/>
          <w:szCs w:val="24"/>
          <w:highlight w:val="none"/>
          <w:lang w:val="en-US" w:eastAsia="zh-CN" w:bidi="ar-SA"/>
        </w:rPr>
        <w:t>张先生</w:t>
      </w:r>
    </w:p>
    <w:p w14:paraId="43E21D25">
      <w:pPr>
        <w:spacing w:line="360" w:lineRule="auto"/>
        <w:ind w:firstLine="480" w:firstLineChars="200"/>
        <w:rPr>
          <w:rFonts w:hint="eastAsia"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电话：</w:t>
      </w:r>
      <w:r>
        <w:rPr>
          <w:rFonts w:hint="eastAsia" w:cs="宋体"/>
          <w:color w:val="auto"/>
          <w:spacing w:val="-2"/>
          <w:kern w:val="2"/>
          <w:sz w:val="24"/>
          <w:szCs w:val="24"/>
          <w:highlight w:val="none"/>
          <w:lang w:val="en-US" w:eastAsia="zh-CN" w:bidi="ar-SA"/>
        </w:rPr>
        <w:t>15330610752</w:t>
      </w:r>
    </w:p>
    <w:p w14:paraId="6310BB28">
      <w:pPr>
        <w:rPr>
          <w:rFonts w:hint="eastAsia"/>
          <w:color w:val="auto"/>
          <w:sz w:val="24"/>
          <w:szCs w:val="24"/>
          <w:highlight w:val="none"/>
          <w:lang w:eastAsia="zh-CN"/>
        </w:rPr>
      </w:pPr>
    </w:p>
    <w:p w14:paraId="3EA6CBB9">
      <w:pPr>
        <w:pStyle w:val="2"/>
        <w:rPr>
          <w:rFonts w:hint="eastAsia"/>
          <w:highlight w:val="none"/>
          <w:lang w:eastAsia="zh-CN"/>
        </w:rPr>
      </w:pPr>
    </w:p>
    <w:p w14:paraId="17D10F25">
      <w:pPr>
        <w:pStyle w:val="8"/>
        <w:rPr>
          <w:rFonts w:hint="eastAsia"/>
          <w:color w:val="auto"/>
          <w:sz w:val="24"/>
          <w:szCs w:val="24"/>
          <w:highlight w:val="none"/>
          <w:lang w:eastAsia="zh-CN"/>
        </w:rPr>
      </w:pPr>
    </w:p>
    <w:p w14:paraId="01037AE8">
      <w:pPr>
        <w:rPr>
          <w:rFonts w:hint="eastAsia"/>
          <w:color w:val="auto"/>
          <w:highlight w:val="none"/>
          <w:lang w:eastAsia="zh-CN"/>
        </w:rPr>
      </w:pPr>
      <w:bookmarkStart w:id="4" w:name="_Toc10489"/>
      <w:r>
        <w:rPr>
          <w:rFonts w:hint="eastAsia"/>
          <w:color w:val="auto"/>
          <w:highlight w:val="none"/>
          <w:lang w:eastAsia="zh-CN"/>
        </w:rPr>
        <w:br w:type="page"/>
      </w:r>
    </w:p>
    <w:p w14:paraId="01C4F419">
      <w:pPr>
        <w:pStyle w:val="3"/>
        <w:spacing w:before="120" w:beforeLines="50" w:after="120" w:afterLines="50" w:line="300" w:lineRule="auto"/>
        <w:rPr>
          <w:color w:val="auto"/>
          <w:highlight w:val="none"/>
          <w:lang w:eastAsia="zh-CN"/>
        </w:rPr>
      </w:pPr>
      <w:r>
        <w:rPr>
          <w:rFonts w:hint="eastAsia"/>
          <w:color w:val="auto"/>
          <w:highlight w:val="none"/>
          <w:lang w:eastAsia="zh-CN"/>
        </w:rPr>
        <w:t>第二章</w:t>
      </w:r>
      <w:r>
        <w:rPr>
          <w:rFonts w:hint="eastAsia"/>
          <w:color w:val="auto"/>
          <w:highlight w:val="none"/>
          <w:lang w:val="en-US" w:eastAsia="zh-CN"/>
        </w:rPr>
        <w:t xml:space="preserve">  </w:t>
      </w:r>
      <w:r>
        <w:rPr>
          <w:rFonts w:hint="eastAsia"/>
          <w:color w:val="auto"/>
          <w:highlight w:val="none"/>
          <w:lang w:eastAsia="zh-CN"/>
        </w:rPr>
        <w:t>投标人须知</w:t>
      </w:r>
      <w:bookmarkEnd w:id="4"/>
    </w:p>
    <w:p w14:paraId="3642C3DB">
      <w:pPr>
        <w:pStyle w:val="4"/>
        <w:spacing w:before="120" w:beforeLines="50" w:after="120" w:afterLines="50" w:line="300" w:lineRule="auto"/>
        <w:ind w:left="220" w:right="0"/>
        <w:jc w:val="center"/>
        <w:rPr>
          <w:rFonts w:ascii="宋体" w:hAnsi="宋体" w:eastAsia="宋体" w:cs="宋体"/>
          <w:color w:val="auto"/>
          <w:highlight w:val="none"/>
          <w:lang w:eastAsia="zh-CN"/>
        </w:rPr>
      </w:pPr>
      <w:bookmarkStart w:id="5" w:name="_Toc12902"/>
      <w:bookmarkStart w:id="6" w:name="_Toc18464"/>
      <w:bookmarkStart w:id="7" w:name="_Toc7354"/>
      <w:r>
        <w:rPr>
          <w:rFonts w:hint="eastAsia" w:ascii="宋体" w:hAnsi="宋体" w:eastAsia="宋体" w:cs="宋体"/>
          <w:color w:val="auto"/>
          <w:highlight w:val="none"/>
          <w:lang w:eastAsia="zh-CN"/>
        </w:rPr>
        <w:t>投标人须知前附表</w:t>
      </w:r>
      <w:bookmarkEnd w:id="5"/>
      <w:bookmarkEnd w:id="6"/>
      <w:bookmarkEnd w:id="7"/>
    </w:p>
    <w:tbl>
      <w:tblPr>
        <w:tblStyle w:val="19"/>
        <w:tblW w:w="10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8"/>
        <w:gridCol w:w="2269"/>
        <w:gridCol w:w="7009"/>
      </w:tblGrid>
      <w:tr w14:paraId="7ED2F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1248" w:type="dxa"/>
            <w:vAlign w:val="top"/>
          </w:tcPr>
          <w:p w14:paraId="442D6216">
            <w:pPr>
              <w:pStyle w:val="37"/>
              <w:keepNext w:val="0"/>
              <w:keepLines w:val="0"/>
              <w:pageBreakBefore w:val="0"/>
              <w:widowControl w:val="0"/>
              <w:kinsoku/>
              <w:overflowPunct/>
              <w:bidi w:val="0"/>
              <w:snapToGrid/>
              <w:spacing w:before="41" w:line="320" w:lineRule="exact"/>
              <w:ind w:left="242" w:right="242"/>
              <w:jc w:val="center"/>
              <w:textAlignment w:val="auto"/>
              <w:rPr>
                <w:b/>
                <w:color w:val="auto"/>
                <w:sz w:val="21"/>
                <w:highlight w:val="none"/>
              </w:rPr>
            </w:pPr>
            <w:r>
              <w:rPr>
                <w:rFonts w:hint="eastAsia"/>
                <w:b/>
                <w:color w:val="auto"/>
                <w:sz w:val="21"/>
                <w:highlight w:val="none"/>
              </w:rPr>
              <w:t>条款号</w:t>
            </w:r>
          </w:p>
        </w:tc>
        <w:tc>
          <w:tcPr>
            <w:tcW w:w="2269" w:type="dxa"/>
            <w:vAlign w:val="top"/>
          </w:tcPr>
          <w:p w14:paraId="3D91CB56">
            <w:pPr>
              <w:pStyle w:val="37"/>
              <w:keepNext w:val="0"/>
              <w:keepLines w:val="0"/>
              <w:pageBreakBefore w:val="0"/>
              <w:widowControl w:val="0"/>
              <w:kinsoku/>
              <w:overflowPunct/>
              <w:bidi w:val="0"/>
              <w:snapToGrid/>
              <w:spacing w:before="41" w:line="320" w:lineRule="exact"/>
              <w:ind w:left="144" w:right="144"/>
              <w:jc w:val="center"/>
              <w:textAlignment w:val="auto"/>
              <w:rPr>
                <w:b/>
                <w:color w:val="auto"/>
                <w:sz w:val="21"/>
                <w:highlight w:val="none"/>
              </w:rPr>
            </w:pPr>
            <w:r>
              <w:rPr>
                <w:rFonts w:hint="eastAsia"/>
                <w:b/>
                <w:color w:val="auto"/>
                <w:sz w:val="21"/>
                <w:highlight w:val="none"/>
              </w:rPr>
              <w:t>条款名称</w:t>
            </w:r>
          </w:p>
        </w:tc>
        <w:tc>
          <w:tcPr>
            <w:tcW w:w="7009" w:type="dxa"/>
            <w:vAlign w:val="top"/>
          </w:tcPr>
          <w:p w14:paraId="4647B1F8">
            <w:pPr>
              <w:pStyle w:val="37"/>
              <w:keepNext w:val="0"/>
              <w:keepLines w:val="0"/>
              <w:pageBreakBefore w:val="0"/>
              <w:widowControl w:val="0"/>
              <w:kinsoku/>
              <w:overflowPunct/>
              <w:bidi w:val="0"/>
              <w:snapToGrid/>
              <w:spacing w:before="41" w:line="320" w:lineRule="exact"/>
              <w:ind w:left="1681" w:right="1679"/>
              <w:jc w:val="center"/>
              <w:textAlignment w:val="auto"/>
              <w:rPr>
                <w:b/>
                <w:color w:val="auto"/>
                <w:sz w:val="21"/>
                <w:highlight w:val="none"/>
              </w:rPr>
            </w:pPr>
            <w:r>
              <w:rPr>
                <w:rFonts w:hint="eastAsia"/>
                <w:b/>
                <w:color w:val="auto"/>
                <w:sz w:val="21"/>
                <w:highlight w:val="none"/>
              </w:rPr>
              <w:t>编列内容</w:t>
            </w:r>
          </w:p>
        </w:tc>
      </w:tr>
      <w:tr w14:paraId="096B3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7E95516E">
            <w:pPr>
              <w:pStyle w:val="37"/>
              <w:keepNext w:val="0"/>
              <w:keepLines w:val="0"/>
              <w:pageBreakBefore w:val="0"/>
              <w:widowControl w:val="0"/>
              <w:kinsoku/>
              <w:overflowPunct/>
              <w:bidi w:val="0"/>
              <w:snapToGrid/>
              <w:spacing w:line="320" w:lineRule="exact"/>
              <w:ind w:left="242" w:right="240"/>
              <w:jc w:val="center"/>
              <w:textAlignment w:val="auto"/>
              <w:rPr>
                <w:color w:val="auto"/>
                <w:sz w:val="21"/>
                <w:highlight w:val="none"/>
              </w:rPr>
            </w:pPr>
            <w:r>
              <w:rPr>
                <w:rFonts w:hint="eastAsia"/>
                <w:color w:val="auto"/>
                <w:sz w:val="21"/>
                <w:highlight w:val="none"/>
              </w:rPr>
              <w:t>1.1.2</w:t>
            </w:r>
          </w:p>
        </w:tc>
        <w:tc>
          <w:tcPr>
            <w:tcW w:w="2269" w:type="dxa"/>
            <w:vAlign w:val="center"/>
          </w:tcPr>
          <w:p w14:paraId="43882CB7">
            <w:pPr>
              <w:pStyle w:val="37"/>
              <w:keepNext w:val="0"/>
              <w:keepLines w:val="0"/>
              <w:pageBreakBefore w:val="0"/>
              <w:widowControl w:val="0"/>
              <w:kinsoku/>
              <w:overflowPunct/>
              <w:bidi w:val="0"/>
              <w:snapToGrid/>
              <w:spacing w:line="320" w:lineRule="exact"/>
              <w:ind w:left="144" w:right="144"/>
              <w:jc w:val="center"/>
              <w:textAlignment w:val="auto"/>
              <w:rPr>
                <w:color w:val="auto"/>
                <w:sz w:val="21"/>
                <w:highlight w:val="none"/>
              </w:rPr>
            </w:pPr>
            <w:r>
              <w:rPr>
                <w:rFonts w:hint="eastAsia"/>
                <w:color w:val="auto"/>
                <w:sz w:val="21"/>
                <w:highlight w:val="none"/>
              </w:rPr>
              <w:t>招标人</w:t>
            </w:r>
          </w:p>
        </w:tc>
        <w:tc>
          <w:tcPr>
            <w:tcW w:w="7009" w:type="dxa"/>
            <w:vAlign w:val="center"/>
          </w:tcPr>
          <w:p w14:paraId="0AEB83AC">
            <w:pPr>
              <w:pStyle w:val="37"/>
              <w:keepNext w:val="0"/>
              <w:keepLines w:val="0"/>
              <w:pageBreakBefore w:val="0"/>
              <w:widowControl w:val="0"/>
              <w:kinsoku/>
              <w:overflowPunct/>
              <w:bidi w:val="0"/>
              <w:snapToGrid/>
              <w:spacing w:line="320" w:lineRule="exact"/>
              <w:ind w:left="144" w:right="144"/>
              <w:jc w:val="left"/>
              <w:textAlignment w:val="auto"/>
              <w:rPr>
                <w:rFonts w:hint="eastAsia"/>
                <w:color w:val="auto"/>
                <w:sz w:val="21"/>
                <w:highlight w:val="none"/>
                <w:lang w:val="zh-CN" w:eastAsia="en-US"/>
              </w:rPr>
            </w:pPr>
            <w:r>
              <w:rPr>
                <w:rFonts w:hint="eastAsia"/>
                <w:color w:val="auto"/>
                <w:sz w:val="21"/>
                <w:highlight w:val="none"/>
                <w:lang w:val="zh-CN" w:eastAsia="en-US"/>
              </w:rPr>
              <w:t>采购人：乾安县农业农村局</w:t>
            </w:r>
          </w:p>
          <w:p w14:paraId="6F79387D">
            <w:pPr>
              <w:pStyle w:val="37"/>
              <w:keepNext w:val="0"/>
              <w:keepLines w:val="0"/>
              <w:pageBreakBefore w:val="0"/>
              <w:widowControl w:val="0"/>
              <w:kinsoku/>
              <w:overflowPunct/>
              <w:bidi w:val="0"/>
              <w:snapToGrid/>
              <w:spacing w:line="320" w:lineRule="exact"/>
              <w:ind w:left="144" w:right="144"/>
              <w:jc w:val="left"/>
              <w:textAlignment w:val="auto"/>
              <w:rPr>
                <w:rFonts w:hint="eastAsia" w:eastAsia="宋体"/>
                <w:color w:val="auto"/>
                <w:sz w:val="21"/>
                <w:highlight w:val="none"/>
                <w:lang w:val="en-US" w:eastAsia="zh-CN"/>
              </w:rPr>
            </w:pPr>
            <w:r>
              <w:rPr>
                <w:rFonts w:hint="eastAsia"/>
                <w:color w:val="auto"/>
                <w:sz w:val="21"/>
                <w:highlight w:val="none"/>
                <w:lang w:val="en-US" w:eastAsia="en-US"/>
              </w:rPr>
              <w:t>地址：</w:t>
            </w:r>
            <w:r>
              <w:rPr>
                <w:rFonts w:hint="eastAsia"/>
                <w:color w:val="auto"/>
                <w:sz w:val="21"/>
                <w:highlight w:val="none"/>
                <w:lang w:val="en-US" w:eastAsia="zh-CN"/>
              </w:rPr>
              <w:t>乾安县乾安镇宇宙大路2555号</w:t>
            </w:r>
          </w:p>
          <w:p w14:paraId="214932C7">
            <w:pPr>
              <w:pStyle w:val="37"/>
              <w:keepNext w:val="0"/>
              <w:keepLines w:val="0"/>
              <w:pageBreakBefore w:val="0"/>
              <w:widowControl w:val="0"/>
              <w:kinsoku/>
              <w:overflowPunct/>
              <w:bidi w:val="0"/>
              <w:snapToGrid/>
              <w:spacing w:line="320" w:lineRule="exact"/>
              <w:ind w:left="144" w:right="144"/>
              <w:jc w:val="left"/>
              <w:textAlignment w:val="auto"/>
              <w:rPr>
                <w:rFonts w:hint="eastAsia"/>
                <w:color w:val="auto"/>
                <w:sz w:val="21"/>
                <w:highlight w:val="none"/>
                <w:lang w:val="en-US" w:eastAsia="en-US"/>
              </w:rPr>
            </w:pPr>
            <w:r>
              <w:rPr>
                <w:rFonts w:hint="eastAsia"/>
                <w:color w:val="auto"/>
                <w:sz w:val="21"/>
                <w:highlight w:val="none"/>
                <w:lang w:val="en-US" w:eastAsia="en-US"/>
              </w:rPr>
              <w:t>联系人：</w:t>
            </w:r>
            <w:r>
              <w:rPr>
                <w:rFonts w:hint="eastAsia"/>
                <w:color w:val="auto"/>
                <w:sz w:val="21"/>
                <w:highlight w:val="none"/>
                <w:lang w:val="en-US" w:eastAsia="zh-CN"/>
              </w:rPr>
              <w:t>宋雪峰</w:t>
            </w:r>
          </w:p>
          <w:p w14:paraId="5AD8590C">
            <w:pPr>
              <w:pStyle w:val="37"/>
              <w:keepNext w:val="0"/>
              <w:keepLines w:val="0"/>
              <w:pageBreakBefore w:val="0"/>
              <w:widowControl w:val="0"/>
              <w:kinsoku/>
              <w:overflowPunct/>
              <w:bidi w:val="0"/>
              <w:snapToGrid/>
              <w:spacing w:line="320" w:lineRule="exact"/>
              <w:ind w:left="144" w:right="144"/>
              <w:jc w:val="left"/>
              <w:textAlignment w:val="auto"/>
              <w:rPr>
                <w:color w:val="auto"/>
                <w:sz w:val="21"/>
                <w:szCs w:val="21"/>
                <w:highlight w:val="none"/>
                <w:lang w:eastAsia="zh-CN"/>
              </w:rPr>
            </w:pPr>
            <w:r>
              <w:rPr>
                <w:rFonts w:hint="eastAsia"/>
                <w:color w:val="auto"/>
                <w:sz w:val="21"/>
                <w:highlight w:val="none"/>
                <w:lang w:val="en-US" w:eastAsia="en-US"/>
              </w:rPr>
              <w:t>联系方式：</w:t>
            </w:r>
            <w:r>
              <w:rPr>
                <w:rFonts w:hint="eastAsia"/>
                <w:color w:val="auto"/>
                <w:sz w:val="21"/>
                <w:highlight w:val="none"/>
                <w:lang w:val="en-US" w:eastAsia="zh-CN"/>
              </w:rPr>
              <w:t>13843855552</w:t>
            </w:r>
          </w:p>
        </w:tc>
      </w:tr>
      <w:tr w14:paraId="42453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35F5CECB">
            <w:pPr>
              <w:pStyle w:val="37"/>
              <w:keepNext w:val="0"/>
              <w:keepLines w:val="0"/>
              <w:pageBreakBefore w:val="0"/>
              <w:widowControl w:val="0"/>
              <w:kinsoku/>
              <w:overflowPunct/>
              <w:bidi w:val="0"/>
              <w:snapToGrid/>
              <w:spacing w:line="320" w:lineRule="exact"/>
              <w:ind w:left="242" w:right="240"/>
              <w:jc w:val="center"/>
              <w:textAlignment w:val="auto"/>
              <w:rPr>
                <w:color w:val="auto"/>
                <w:sz w:val="21"/>
                <w:highlight w:val="none"/>
              </w:rPr>
            </w:pPr>
            <w:r>
              <w:rPr>
                <w:rFonts w:hint="eastAsia"/>
                <w:color w:val="auto"/>
                <w:sz w:val="21"/>
                <w:highlight w:val="none"/>
              </w:rPr>
              <w:t>1.1.3</w:t>
            </w:r>
          </w:p>
        </w:tc>
        <w:tc>
          <w:tcPr>
            <w:tcW w:w="2269" w:type="dxa"/>
            <w:vAlign w:val="center"/>
          </w:tcPr>
          <w:p w14:paraId="4EF0C01A">
            <w:pPr>
              <w:pStyle w:val="37"/>
              <w:keepNext w:val="0"/>
              <w:keepLines w:val="0"/>
              <w:pageBreakBefore w:val="0"/>
              <w:widowControl w:val="0"/>
              <w:kinsoku/>
              <w:overflowPunct/>
              <w:bidi w:val="0"/>
              <w:snapToGrid/>
              <w:spacing w:line="320" w:lineRule="exact"/>
              <w:ind w:left="144" w:right="144"/>
              <w:jc w:val="center"/>
              <w:textAlignment w:val="auto"/>
              <w:rPr>
                <w:color w:val="auto"/>
                <w:sz w:val="21"/>
                <w:highlight w:val="none"/>
              </w:rPr>
            </w:pPr>
            <w:r>
              <w:rPr>
                <w:rFonts w:hint="eastAsia"/>
                <w:color w:val="auto"/>
                <w:sz w:val="21"/>
                <w:highlight w:val="none"/>
              </w:rPr>
              <w:t>招标代理机构</w:t>
            </w:r>
          </w:p>
        </w:tc>
        <w:tc>
          <w:tcPr>
            <w:tcW w:w="7009" w:type="dxa"/>
            <w:vAlign w:val="center"/>
          </w:tcPr>
          <w:p w14:paraId="2AF72642">
            <w:pPr>
              <w:pStyle w:val="37"/>
              <w:keepNext w:val="0"/>
              <w:keepLines w:val="0"/>
              <w:pageBreakBefore w:val="0"/>
              <w:widowControl w:val="0"/>
              <w:kinsoku/>
              <w:overflowPunct/>
              <w:bidi w:val="0"/>
              <w:snapToGrid/>
              <w:spacing w:line="320" w:lineRule="exact"/>
              <w:ind w:left="144" w:right="144"/>
              <w:jc w:val="left"/>
              <w:textAlignment w:val="auto"/>
              <w:rPr>
                <w:rFonts w:hint="eastAsia"/>
                <w:color w:val="auto"/>
                <w:sz w:val="21"/>
                <w:highlight w:val="none"/>
                <w:lang w:val="en-US" w:eastAsia="zh-CN"/>
              </w:rPr>
            </w:pPr>
            <w:r>
              <w:rPr>
                <w:rFonts w:hint="eastAsia"/>
                <w:color w:val="auto"/>
                <w:sz w:val="21"/>
                <w:highlight w:val="none"/>
                <w:lang w:val="en-US" w:eastAsia="en-US"/>
              </w:rPr>
              <w:t>采购代理机构：</w:t>
            </w:r>
            <w:r>
              <w:rPr>
                <w:rFonts w:hint="eastAsia"/>
                <w:color w:val="auto"/>
                <w:sz w:val="21"/>
                <w:highlight w:val="none"/>
                <w:lang w:val="en-US" w:eastAsia="zh-CN"/>
              </w:rPr>
              <w:t>吉林省中寰工程项目管理有限公司</w:t>
            </w:r>
          </w:p>
          <w:p w14:paraId="3888A05B">
            <w:pPr>
              <w:pStyle w:val="37"/>
              <w:keepNext w:val="0"/>
              <w:keepLines w:val="0"/>
              <w:pageBreakBefore w:val="0"/>
              <w:widowControl w:val="0"/>
              <w:kinsoku/>
              <w:overflowPunct/>
              <w:bidi w:val="0"/>
              <w:snapToGrid/>
              <w:spacing w:line="320" w:lineRule="exact"/>
              <w:ind w:left="144" w:right="144"/>
              <w:jc w:val="left"/>
              <w:textAlignment w:val="auto"/>
              <w:rPr>
                <w:rFonts w:hint="eastAsia"/>
                <w:color w:val="auto"/>
                <w:sz w:val="21"/>
                <w:highlight w:val="none"/>
                <w:lang w:val="en-US" w:eastAsia="zh-CN"/>
              </w:rPr>
            </w:pPr>
            <w:r>
              <w:rPr>
                <w:rFonts w:hint="eastAsia"/>
                <w:color w:val="auto"/>
                <w:sz w:val="21"/>
                <w:highlight w:val="none"/>
                <w:lang w:val="en-US" w:eastAsia="en-US"/>
              </w:rPr>
              <w:t>地  址：</w:t>
            </w:r>
            <w:r>
              <w:rPr>
                <w:rFonts w:hint="eastAsia"/>
                <w:color w:val="auto"/>
                <w:sz w:val="21"/>
                <w:highlight w:val="none"/>
                <w:lang w:val="en-US" w:eastAsia="zh-CN"/>
              </w:rPr>
              <w:t>长春市前进大街996号力旺广场B座13楼1308室</w:t>
            </w:r>
          </w:p>
          <w:p w14:paraId="049CA5E4">
            <w:pPr>
              <w:pStyle w:val="37"/>
              <w:keepNext w:val="0"/>
              <w:keepLines w:val="0"/>
              <w:pageBreakBefore w:val="0"/>
              <w:widowControl w:val="0"/>
              <w:kinsoku/>
              <w:overflowPunct/>
              <w:bidi w:val="0"/>
              <w:snapToGrid/>
              <w:spacing w:line="320" w:lineRule="exact"/>
              <w:ind w:left="144" w:right="144"/>
              <w:jc w:val="left"/>
              <w:textAlignment w:val="auto"/>
              <w:rPr>
                <w:rFonts w:hint="eastAsia"/>
                <w:color w:val="auto"/>
                <w:sz w:val="21"/>
                <w:highlight w:val="none"/>
                <w:lang w:val="en-US" w:eastAsia="en-US"/>
              </w:rPr>
            </w:pPr>
            <w:r>
              <w:rPr>
                <w:rFonts w:hint="eastAsia"/>
                <w:color w:val="auto"/>
                <w:sz w:val="21"/>
                <w:highlight w:val="none"/>
                <w:lang w:val="en-US" w:eastAsia="en-US"/>
              </w:rPr>
              <w:t>联系人：张先生</w:t>
            </w:r>
          </w:p>
          <w:p w14:paraId="22291D88">
            <w:pPr>
              <w:pStyle w:val="37"/>
              <w:keepNext w:val="0"/>
              <w:keepLines w:val="0"/>
              <w:pageBreakBefore w:val="0"/>
              <w:widowControl w:val="0"/>
              <w:kinsoku/>
              <w:overflowPunct/>
              <w:bidi w:val="0"/>
              <w:snapToGrid/>
              <w:spacing w:line="320" w:lineRule="exact"/>
              <w:ind w:left="144" w:right="144"/>
              <w:jc w:val="left"/>
              <w:textAlignment w:val="auto"/>
              <w:rPr>
                <w:rFonts w:hint="default"/>
                <w:color w:val="auto"/>
                <w:sz w:val="21"/>
                <w:szCs w:val="21"/>
                <w:highlight w:val="none"/>
                <w:lang w:val="en-US" w:eastAsia="zh-CN"/>
              </w:rPr>
            </w:pPr>
            <w:r>
              <w:rPr>
                <w:rFonts w:hint="eastAsia"/>
                <w:color w:val="auto"/>
                <w:sz w:val="21"/>
                <w:highlight w:val="none"/>
                <w:lang w:val="en-US" w:eastAsia="en-US"/>
              </w:rPr>
              <w:t>联系方式：</w:t>
            </w:r>
            <w:r>
              <w:rPr>
                <w:rFonts w:hint="eastAsia"/>
                <w:color w:val="auto"/>
                <w:sz w:val="21"/>
                <w:highlight w:val="none"/>
                <w:lang w:val="en-US" w:eastAsia="zh-CN"/>
              </w:rPr>
              <w:t>15330610752</w:t>
            </w:r>
          </w:p>
        </w:tc>
      </w:tr>
      <w:tr w14:paraId="6DFD4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096D1165">
            <w:pPr>
              <w:pStyle w:val="37"/>
              <w:keepNext w:val="0"/>
              <w:keepLines w:val="0"/>
              <w:pageBreakBefore w:val="0"/>
              <w:widowControl w:val="0"/>
              <w:kinsoku/>
              <w:overflowPunct/>
              <w:bidi w:val="0"/>
              <w:snapToGrid/>
              <w:spacing w:line="320" w:lineRule="exact"/>
              <w:ind w:left="242" w:right="240"/>
              <w:jc w:val="center"/>
              <w:textAlignment w:val="auto"/>
              <w:rPr>
                <w:color w:val="auto"/>
                <w:sz w:val="21"/>
                <w:highlight w:val="none"/>
              </w:rPr>
            </w:pPr>
            <w:r>
              <w:rPr>
                <w:rFonts w:hint="eastAsia"/>
                <w:color w:val="auto"/>
                <w:sz w:val="21"/>
                <w:highlight w:val="none"/>
              </w:rPr>
              <w:t>1.1.4</w:t>
            </w:r>
          </w:p>
        </w:tc>
        <w:tc>
          <w:tcPr>
            <w:tcW w:w="2269" w:type="dxa"/>
            <w:vAlign w:val="center"/>
          </w:tcPr>
          <w:p w14:paraId="0867D496">
            <w:pPr>
              <w:pStyle w:val="37"/>
              <w:keepNext w:val="0"/>
              <w:keepLines w:val="0"/>
              <w:pageBreakBefore w:val="0"/>
              <w:widowControl w:val="0"/>
              <w:kinsoku/>
              <w:overflowPunct/>
              <w:bidi w:val="0"/>
              <w:snapToGrid/>
              <w:spacing w:line="320" w:lineRule="exact"/>
              <w:ind w:left="144" w:right="144"/>
              <w:jc w:val="center"/>
              <w:textAlignment w:val="auto"/>
              <w:rPr>
                <w:color w:val="auto"/>
                <w:sz w:val="21"/>
                <w:highlight w:val="none"/>
              </w:rPr>
            </w:pPr>
            <w:r>
              <w:rPr>
                <w:rFonts w:hint="eastAsia"/>
                <w:color w:val="auto"/>
                <w:sz w:val="21"/>
                <w:highlight w:val="none"/>
              </w:rPr>
              <w:t>招标项目名称</w:t>
            </w:r>
          </w:p>
        </w:tc>
        <w:tc>
          <w:tcPr>
            <w:tcW w:w="7009" w:type="dxa"/>
            <w:vAlign w:val="center"/>
          </w:tcPr>
          <w:p w14:paraId="01400CA0">
            <w:pPr>
              <w:keepNext w:val="0"/>
              <w:keepLines w:val="0"/>
              <w:pageBreakBefore w:val="0"/>
              <w:widowControl w:val="0"/>
              <w:kinsoku/>
              <w:overflowPunct/>
              <w:bidi w:val="0"/>
              <w:snapToGrid/>
              <w:spacing w:line="320" w:lineRule="exact"/>
              <w:ind w:left="88" w:leftChars="40"/>
              <w:jc w:val="both"/>
              <w:textAlignment w:val="auto"/>
              <w:rPr>
                <w:rFonts w:hint="default"/>
                <w:highlight w:val="none"/>
                <w:lang w:val="en-US" w:eastAsia="zh-CN"/>
              </w:rPr>
            </w:pPr>
            <w:r>
              <w:rPr>
                <w:rFonts w:hint="default"/>
                <w:highlight w:val="none"/>
                <w:lang w:val="en-US" w:eastAsia="zh-CN"/>
              </w:rPr>
              <w:t xml:space="preserve"> 乾安县2024年高标准农田建设项目监理</w:t>
            </w:r>
            <w:r>
              <w:rPr>
                <w:rFonts w:hint="eastAsia"/>
                <w:highlight w:val="none"/>
                <w:lang w:val="en-US" w:eastAsia="zh-CN"/>
              </w:rPr>
              <w:t xml:space="preserve"> </w:t>
            </w:r>
          </w:p>
        </w:tc>
      </w:tr>
      <w:tr w14:paraId="46E18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71D2A346">
            <w:pPr>
              <w:pStyle w:val="37"/>
              <w:keepNext w:val="0"/>
              <w:keepLines w:val="0"/>
              <w:pageBreakBefore w:val="0"/>
              <w:widowControl w:val="0"/>
              <w:kinsoku/>
              <w:overflowPunct/>
              <w:bidi w:val="0"/>
              <w:snapToGrid/>
              <w:spacing w:line="320" w:lineRule="exact"/>
              <w:ind w:left="242" w:right="240"/>
              <w:jc w:val="center"/>
              <w:textAlignment w:val="auto"/>
              <w:rPr>
                <w:color w:val="auto"/>
                <w:sz w:val="21"/>
                <w:highlight w:val="none"/>
              </w:rPr>
            </w:pPr>
            <w:r>
              <w:rPr>
                <w:rFonts w:hint="eastAsia"/>
                <w:color w:val="auto"/>
                <w:sz w:val="21"/>
                <w:highlight w:val="none"/>
              </w:rPr>
              <w:t>1.1.5</w:t>
            </w:r>
          </w:p>
        </w:tc>
        <w:tc>
          <w:tcPr>
            <w:tcW w:w="2269" w:type="dxa"/>
            <w:vAlign w:val="center"/>
          </w:tcPr>
          <w:p w14:paraId="4D14E6E9">
            <w:pPr>
              <w:pStyle w:val="37"/>
              <w:keepNext w:val="0"/>
              <w:keepLines w:val="0"/>
              <w:pageBreakBefore w:val="0"/>
              <w:widowControl w:val="0"/>
              <w:kinsoku/>
              <w:overflowPunct/>
              <w:bidi w:val="0"/>
              <w:snapToGrid/>
              <w:spacing w:line="320" w:lineRule="exact"/>
              <w:ind w:left="144" w:right="144"/>
              <w:jc w:val="center"/>
              <w:textAlignment w:val="auto"/>
              <w:rPr>
                <w:color w:val="auto"/>
                <w:sz w:val="21"/>
                <w:highlight w:val="none"/>
              </w:rPr>
            </w:pPr>
            <w:r>
              <w:rPr>
                <w:rFonts w:hint="eastAsia"/>
                <w:color w:val="auto"/>
                <w:sz w:val="21"/>
                <w:highlight w:val="none"/>
              </w:rPr>
              <w:t>项目建设地点</w:t>
            </w:r>
          </w:p>
        </w:tc>
        <w:tc>
          <w:tcPr>
            <w:tcW w:w="7009" w:type="dxa"/>
            <w:vAlign w:val="center"/>
          </w:tcPr>
          <w:p w14:paraId="156221FC">
            <w:pPr>
              <w:keepNext w:val="0"/>
              <w:keepLines w:val="0"/>
              <w:pageBreakBefore w:val="0"/>
              <w:widowControl w:val="0"/>
              <w:kinsoku/>
              <w:overflowPunct/>
              <w:bidi w:val="0"/>
              <w:snapToGrid/>
              <w:spacing w:line="320" w:lineRule="exact"/>
              <w:ind w:left="88" w:leftChars="40"/>
              <w:jc w:val="both"/>
              <w:textAlignment w:val="auto"/>
              <w:rPr>
                <w:rFonts w:hint="default"/>
                <w:highlight w:val="none"/>
                <w:lang w:val="en-US" w:eastAsia="zh-CN"/>
              </w:rPr>
            </w:pPr>
            <w:r>
              <w:rPr>
                <w:rFonts w:hint="eastAsia" w:cs="宋体"/>
                <w:color w:val="auto"/>
                <w:sz w:val="21"/>
                <w:szCs w:val="21"/>
                <w:highlight w:val="none"/>
                <w:lang w:val="en-US" w:eastAsia="zh-CN"/>
              </w:rPr>
              <w:t>乾安县境内</w:t>
            </w:r>
          </w:p>
        </w:tc>
      </w:tr>
      <w:tr w14:paraId="05ACB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72599C35">
            <w:pPr>
              <w:pStyle w:val="37"/>
              <w:keepNext w:val="0"/>
              <w:keepLines w:val="0"/>
              <w:pageBreakBefore w:val="0"/>
              <w:widowControl w:val="0"/>
              <w:kinsoku/>
              <w:overflowPunct/>
              <w:bidi w:val="0"/>
              <w:snapToGrid/>
              <w:spacing w:line="320" w:lineRule="exact"/>
              <w:ind w:left="242" w:right="240"/>
              <w:jc w:val="center"/>
              <w:textAlignment w:val="auto"/>
              <w:rPr>
                <w:color w:val="auto"/>
                <w:sz w:val="21"/>
                <w:highlight w:val="none"/>
              </w:rPr>
            </w:pPr>
            <w:r>
              <w:rPr>
                <w:rFonts w:hint="eastAsia"/>
                <w:color w:val="auto"/>
                <w:sz w:val="21"/>
                <w:highlight w:val="none"/>
              </w:rPr>
              <w:t>1.2.1</w:t>
            </w:r>
          </w:p>
        </w:tc>
        <w:tc>
          <w:tcPr>
            <w:tcW w:w="2269" w:type="dxa"/>
            <w:vAlign w:val="center"/>
          </w:tcPr>
          <w:p w14:paraId="1F4E0AE3">
            <w:pPr>
              <w:pStyle w:val="37"/>
              <w:keepNext w:val="0"/>
              <w:keepLines w:val="0"/>
              <w:pageBreakBefore w:val="0"/>
              <w:widowControl w:val="0"/>
              <w:kinsoku/>
              <w:overflowPunct/>
              <w:bidi w:val="0"/>
              <w:snapToGrid/>
              <w:spacing w:line="320" w:lineRule="exact"/>
              <w:ind w:left="144" w:right="144"/>
              <w:jc w:val="center"/>
              <w:textAlignment w:val="auto"/>
              <w:rPr>
                <w:color w:val="auto"/>
                <w:sz w:val="21"/>
                <w:highlight w:val="none"/>
              </w:rPr>
            </w:pPr>
            <w:r>
              <w:rPr>
                <w:rFonts w:hint="eastAsia"/>
                <w:color w:val="auto"/>
                <w:sz w:val="21"/>
                <w:highlight w:val="none"/>
              </w:rPr>
              <w:t>资金来源及比例</w:t>
            </w:r>
          </w:p>
        </w:tc>
        <w:tc>
          <w:tcPr>
            <w:tcW w:w="7009" w:type="dxa"/>
            <w:vAlign w:val="center"/>
          </w:tcPr>
          <w:p w14:paraId="004CAF46">
            <w:pPr>
              <w:keepNext w:val="0"/>
              <w:keepLines w:val="0"/>
              <w:pageBreakBefore w:val="0"/>
              <w:widowControl w:val="0"/>
              <w:kinsoku/>
              <w:overflowPunct/>
              <w:bidi w:val="0"/>
              <w:snapToGrid/>
              <w:spacing w:line="320" w:lineRule="exact"/>
              <w:ind w:left="88" w:leftChars="40"/>
              <w:jc w:val="both"/>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财政资金100%</w:t>
            </w:r>
          </w:p>
        </w:tc>
      </w:tr>
      <w:tr w14:paraId="73C02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28C9E7FD">
            <w:pPr>
              <w:pStyle w:val="37"/>
              <w:keepNext w:val="0"/>
              <w:keepLines w:val="0"/>
              <w:pageBreakBefore w:val="0"/>
              <w:widowControl w:val="0"/>
              <w:kinsoku/>
              <w:overflowPunct/>
              <w:bidi w:val="0"/>
              <w:snapToGrid/>
              <w:spacing w:line="320" w:lineRule="exact"/>
              <w:ind w:left="242" w:right="240"/>
              <w:jc w:val="center"/>
              <w:textAlignment w:val="auto"/>
              <w:rPr>
                <w:color w:val="auto"/>
                <w:sz w:val="21"/>
                <w:highlight w:val="none"/>
              </w:rPr>
            </w:pPr>
            <w:r>
              <w:rPr>
                <w:rFonts w:hint="eastAsia"/>
                <w:color w:val="auto"/>
                <w:sz w:val="21"/>
                <w:highlight w:val="none"/>
              </w:rPr>
              <w:t>1.2.2</w:t>
            </w:r>
          </w:p>
        </w:tc>
        <w:tc>
          <w:tcPr>
            <w:tcW w:w="2269" w:type="dxa"/>
            <w:vAlign w:val="center"/>
          </w:tcPr>
          <w:p w14:paraId="7EB6D1B5">
            <w:pPr>
              <w:pStyle w:val="37"/>
              <w:keepNext w:val="0"/>
              <w:keepLines w:val="0"/>
              <w:pageBreakBefore w:val="0"/>
              <w:widowControl w:val="0"/>
              <w:kinsoku/>
              <w:overflowPunct/>
              <w:bidi w:val="0"/>
              <w:snapToGrid/>
              <w:spacing w:line="320" w:lineRule="exact"/>
              <w:ind w:left="144" w:right="144"/>
              <w:jc w:val="center"/>
              <w:textAlignment w:val="auto"/>
              <w:rPr>
                <w:color w:val="auto"/>
                <w:sz w:val="21"/>
                <w:highlight w:val="none"/>
              </w:rPr>
            </w:pPr>
            <w:r>
              <w:rPr>
                <w:rFonts w:hint="eastAsia"/>
                <w:color w:val="auto"/>
                <w:sz w:val="21"/>
                <w:highlight w:val="none"/>
              </w:rPr>
              <w:t>资金落实情况</w:t>
            </w:r>
          </w:p>
        </w:tc>
        <w:tc>
          <w:tcPr>
            <w:tcW w:w="7009" w:type="dxa"/>
            <w:vAlign w:val="center"/>
          </w:tcPr>
          <w:p w14:paraId="5430901B">
            <w:pPr>
              <w:keepNext w:val="0"/>
              <w:keepLines w:val="0"/>
              <w:pageBreakBefore w:val="0"/>
              <w:widowControl w:val="0"/>
              <w:kinsoku/>
              <w:wordWrap w:val="0"/>
              <w:overflowPunct/>
              <w:bidi w:val="0"/>
              <w:snapToGrid/>
              <w:spacing w:line="320" w:lineRule="exact"/>
              <w:ind w:left="88" w:leftChars="40"/>
              <w:jc w:val="both"/>
              <w:textAlignment w:val="auto"/>
              <w:rPr>
                <w:color w:val="auto"/>
                <w:sz w:val="21"/>
                <w:szCs w:val="21"/>
                <w:highlight w:val="none"/>
              </w:rPr>
            </w:pPr>
            <w:r>
              <w:rPr>
                <w:rFonts w:hint="eastAsia"/>
                <w:color w:val="auto"/>
                <w:sz w:val="21"/>
                <w:szCs w:val="21"/>
                <w:highlight w:val="none"/>
                <w:lang w:eastAsia="zh-CN"/>
              </w:rPr>
              <w:t>已落实</w:t>
            </w:r>
          </w:p>
        </w:tc>
      </w:tr>
      <w:tr w14:paraId="75082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tcPr>
          <w:p w14:paraId="1BDA60E2">
            <w:pPr>
              <w:pStyle w:val="37"/>
              <w:keepNext w:val="0"/>
              <w:keepLines w:val="0"/>
              <w:pageBreakBefore w:val="0"/>
              <w:widowControl w:val="0"/>
              <w:kinsoku/>
              <w:overflowPunct/>
              <w:bidi w:val="0"/>
              <w:snapToGrid/>
              <w:spacing w:before="156" w:line="320" w:lineRule="exact"/>
              <w:ind w:left="242" w:right="240"/>
              <w:jc w:val="center"/>
              <w:textAlignment w:val="auto"/>
              <w:rPr>
                <w:color w:val="auto"/>
                <w:sz w:val="21"/>
                <w:highlight w:val="none"/>
              </w:rPr>
            </w:pPr>
            <w:r>
              <w:rPr>
                <w:rFonts w:hint="eastAsia"/>
                <w:color w:val="auto"/>
                <w:sz w:val="21"/>
                <w:highlight w:val="none"/>
              </w:rPr>
              <w:t>1.3.1</w:t>
            </w:r>
          </w:p>
        </w:tc>
        <w:tc>
          <w:tcPr>
            <w:tcW w:w="2269" w:type="dxa"/>
          </w:tcPr>
          <w:p w14:paraId="25AA0FC6">
            <w:pPr>
              <w:pStyle w:val="37"/>
              <w:keepNext w:val="0"/>
              <w:keepLines w:val="0"/>
              <w:pageBreakBefore w:val="0"/>
              <w:widowControl w:val="0"/>
              <w:kinsoku/>
              <w:overflowPunct/>
              <w:bidi w:val="0"/>
              <w:snapToGrid/>
              <w:spacing w:before="107" w:line="320" w:lineRule="exact"/>
              <w:ind w:left="143" w:right="144"/>
              <w:jc w:val="center"/>
              <w:textAlignment w:val="auto"/>
              <w:rPr>
                <w:color w:val="auto"/>
                <w:sz w:val="21"/>
                <w:highlight w:val="none"/>
              </w:rPr>
            </w:pPr>
            <w:r>
              <w:rPr>
                <w:rFonts w:hint="eastAsia"/>
                <w:color w:val="auto"/>
                <w:sz w:val="21"/>
                <w:highlight w:val="none"/>
              </w:rPr>
              <w:t>招标范围</w:t>
            </w:r>
          </w:p>
        </w:tc>
        <w:tc>
          <w:tcPr>
            <w:tcW w:w="7009" w:type="dxa"/>
            <w:vAlign w:val="center"/>
          </w:tcPr>
          <w:p w14:paraId="3EA64761">
            <w:pPr>
              <w:keepNext w:val="0"/>
              <w:keepLines w:val="0"/>
              <w:pageBreakBefore w:val="0"/>
              <w:widowControl w:val="0"/>
              <w:kinsoku/>
              <w:overflowPunct/>
              <w:bidi w:val="0"/>
              <w:snapToGrid/>
              <w:spacing w:line="320" w:lineRule="exact"/>
              <w:ind w:left="88" w:leftChars="4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建设项目工程所有标段全过程监理服务</w:t>
            </w:r>
          </w:p>
        </w:tc>
      </w:tr>
      <w:tr w14:paraId="73668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tcPr>
          <w:p w14:paraId="0803C33E">
            <w:pPr>
              <w:pStyle w:val="37"/>
              <w:keepNext w:val="0"/>
              <w:keepLines w:val="0"/>
              <w:pageBreakBefore w:val="0"/>
              <w:widowControl w:val="0"/>
              <w:kinsoku/>
              <w:overflowPunct/>
              <w:bidi w:val="0"/>
              <w:snapToGrid/>
              <w:spacing w:before="159" w:line="320" w:lineRule="exact"/>
              <w:ind w:left="242" w:right="240"/>
              <w:jc w:val="center"/>
              <w:textAlignment w:val="auto"/>
              <w:rPr>
                <w:color w:val="auto"/>
                <w:sz w:val="21"/>
                <w:highlight w:val="none"/>
              </w:rPr>
            </w:pPr>
            <w:r>
              <w:rPr>
                <w:rFonts w:hint="eastAsia"/>
                <w:color w:val="auto"/>
                <w:sz w:val="21"/>
                <w:highlight w:val="none"/>
              </w:rPr>
              <w:t>1.3.2</w:t>
            </w:r>
          </w:p>
        </w:tc>
        <w:tc>
          <w:tcPr>
            <w:tcW w:w="2269" w:type="dxa"/>
          </w:tcPr>
          <w:p w14:paraId="68E6E14E">
            <w:pPr>
              <w:pStyle w:val="37"/>
              <w:keepNext w:val="0"/>
              <w:keepLines w:val="0"/>
              <w:pageBreakBefore w:val="0"/>
              <w:widowControl w:val="0"/>
              <w:kinsoku/>
              <w:overflowPunct/>
              <w:bidi w:val="0"/>
              <w:snapToGrid/>
              <w:spacing w:before="110" w:line="320" w:lineRule="exact"/>
              <w:ind w:left="144" w:right="144"/>
              <w:jc w:val="center"/>
              <w:textAlignment w:val="auto"/>
              <w:rPr>
                <w:color w:val="auto"/>
                <w:sz w:val="21"/>
                <w:highlight w:val="none"/>
              </w:rPr>
            </w:pPr>
            <w:r>
              <w:rPr>
                <w:rFonts w:hint="eastAsia"/>
                <w:color w:val="auto"/>
                <w:sz w:val="21"/>
                <w:highlight w:val="none"/>
              </w:rPr>
              <w:t>监理服务期限</w:t>
            </w:r>
          </w:p>
        </w:tc>
        <w:tc>
          <w:tcPr>
            <w:tcW w:w="7009" w:type="dxa"/>
            <w:vAlign w:val="center"/>
          </w:tcPr>
          <w:p w14:paraId="0AFD7381">
            <w:pPr>
              <w:keepNext w:val="0"/>
              <w:keepLines w:val="0"/>
              <w:pageBreakBefore w:val="0"/>
              <w:widowControl w:val="0"/>
              <w:kinsoku/>
              <w:overflowPunct/>
              <w:bidi w:val="0"/>
              <w:snapToGrid/>
              <w:spacing w:line="320" w:lineRule="exact"/>
              <w:ind w:left="88" w:leftChars="40"/>
              <w:jc w:val="both"/>
              <w:textAlignment w:val="auto"/>
              <w:rPr>
                <w:rFonts w:hint="eastAsia"/>
                <w:color w:val="auto"/>
                <w:sz w:val="21"/>
                <w:szCs w:val="21"/>
                <w:highlight w:val="none"/>
                <w:lang w:eastAsia="zh-CN"/>
              </w:rPr>
            </w:pPr>
            <w:r>
              <w:rPr>
                <w:rFonts w:hint="eastAsia"/>
                <w:color w:val="auto"/>
                <w:sz w:val="21"/>
                <w:szCs w:val="21"/>
                <w:highlight w:val="none"/>
                <w:lang w:val="en-US" w:eastAsia="zh-CN"/>
              </w:rPr>
              <w:t>签订合同之日起至工程竣工验收、保修期结束止。</w:t>
            </w:r>
          </w:p>
        </w:tc>
      </w:tr>
      <w:tr w14:paraId="5ED88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6CA1D427">
            <w:pPr>
              <w:pStyle w:val="37"/>
              <w:keepNext w:val="0"/>
              <w:keepLines w:val="0"/>
              <w:pageBreakBefore w:val="0"/>
              <w:widowControl w:val="0"/>
              <w:kinsoku/>
              <w:overflowPunct/>
              <w:bidi w:val="0"/>
              <w:snapToGrid/>
              <w:spacing w:before="156" w:line="320" w:lineRule="exact"/>
              <w:ind w:left="242" w:right="240"/>
              <w:jc w:val="center"/>
              <w:textAlignment w:val="auto"/>
              <w:rPr>
                <w:color w:val="auto"/>
                <w:sz w:val="21"/>
                <w:highlight w:val="none"/>
              </w:rPr>
            </w:pPr>
            <w:r>
              <w:rPr>
                <w:rFonts w:hint="eastAsia"/>
                <w:color w:val="auto"/>
                <w:sz w:val="21"/>
                <w:highlight w:val="none"/>
              </w:rPr>
              <w:t>1.3.3</w:t>
            </w:r>
          </w:p>
        </w:tc>
        <w:tc>
          <w:tcPr>
            <w:tcW w:w="2269" w:type="dxa"/>
            <w:vAlign w:val="center"/>
          </w:tcPr>
          <w:p w14:paraId="5CFA7CE3">
            <w:pPr>
              <w:pStyle w:val="37"/>
              <w:keepNext w:val="0"/>
              <w:keepLines w:val="0"/>
              <w:pageBreakBefore w:val="0"/>
              <w:widowControl w:val="0"/>
              <w:kinsoku/>
              <w:overflowPunct/>
              <w:bidi w:val="0"/>
              <w:snapToGrid/>
              <w:spacing w:before="107" w:line="320" w:lineRule="exact"/>
              <w:ind w:left="143" w:right="144"/>
              <w:jc w:val="center"/>
              <w:textAlignment w:val="auto"/>
              <w:rPr>
                <w:color w:val="auto"/>
                <w:sz w:val="21"/>
                <w:highlight w:val="none"/>
              </w:rPr>
            </w:pPr>
            <w:r>
              <w:rPr>
                <w:rFonts w:hint="eastAsia"/>
                <w:color w:val="auto"/>
                <w:sz w:val="21"/>
                <w:highlight w:val="none"/>
                <w:lang w:val="en-US" w:eastAsia="zh-CN"/>
              </w:rPr>
              <w:t>监理</w:t>
            </w:r>
            <w:r>
              <w:rPr>
                <w:rFonts w:hint="eastAsia"/>
                <w:color w:val="auto"/>
                <w:sz w:val="21"/>
                <w:highlight w:val="none"/>
              </w:rPr>
              <w:t>质量标准</w:t>
            </w:r>
          </w:p>
        </w:tc>
        <w:tc>
          <w:tcPr>
            <w:tcW w:w="7009" w:type="dxa"/>
            <w:vAlign w:val="center"/>
          </w:tcPr>
          <w:p w14:paraId="38244DE5">
            <w:pPr>
              <w:keepNext w:val="0"/>
              <w:keepLines w:val="0"/>
              <w:pageBreakBefore w:val="0"/>
              <w:widowControl w:val="0"/>
              <w:kinsoku/>
              <w:overflowPunct/>
              <w:bidi w:val="0"/>
              <w:snapToGrid/>
              <w:spacing w:line="320" w:lineRule="exact"/>
              <w:ind w:left="88" w:leftChars="40"/>
              <w:jc w:val="both"/>
              <w:textAlignment w:val="auto"/>
              <w:rPr>
                <w:color w:val="auto"/>
                <w:sz w:val="21"/>
                <w:szCs w:val="21"/>
                <w:highlight w:val="none"/>
                <w:lang w:eastAsia="zh-CN"/>
              </w:rPr>
            </w:pPr>
            <w:r>
              <w:rPr>
                <w:rFonts w:hint="eastAsia"/>
                <w:color w:val="auto"/>
                <w:sz w:val="21"/>
                <w:szCs w:val="21"/>
                <w:highlight w:val="none"/>
                <w:lang w:eastAsia="zh-CN"/>
              </w:rPr>
              <w:t>符合国家及行业相关规范及标准</w:t>
            </w:r>
            <w:r>
              <w:rPr>
                <w:color w:val="auto"/>
                <w:sz w:val="21"/>
                <w:szCs w:val="21"/>
                <w:highlight w:val="none"/>
                <w:lang w:eastAsia="zh-CN"/>
              </w:rPr>
              <w:t>。</w:t>
            </w:r>
          </w:p>
        </w:tc>
      </w:tr>
      <w:tr w14:paraId="60DDC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6138A14D">
            <w:pPr>
              <w:pStyle w:val="37"/>
              <w:keepNext w:val="0"/>
              <w:keepLines w:val="0"/>
              <w:pageBreakBefore w:val="0"/>
              <w:widowControl w:val="0"/>
              <w:kinsoku/>
              <w:overflowPunct/>
              <w:bidi w:val="0"/>
              <w:snapToGrid/>
              <w:spacing w:before="1" w:line="320" w:lineRule="exact"/>
              <w:ind w:left="242" w:right="240"/>
              <w:jc w:val="center"/>
              <w:textAlignment w:val="auto"/>
              <w:rPr>
                <w:color w:val="auto"/>
                <w:sz w:val="21"/>
                <w:highlight w:val="none"/>
              </w:rPr>
            </w:pPr>
            <w:r>
              <w:rPr>
                <w:rFonts w:hint="eastAsia"/>
                <w:color w:val="auto"/>
                <w:sz w:val="21"/>
                <w:highlight w:val="none"/>
              </w:rPr>
              <w:t>1.4.1</w:t>
            </w:r>
          </w:p>
        </w:tc>
        <w:tc>
          <w:tcPr>
            <w:tcW w:w="2269" w:type="dxa"/>
            <w:vAlign w:val="center"/>
          </w:tcPr>
          <w:p w14:paraId="7701584F">
            <w:pPr>
              <w:pStyle w:val="37"/>
              <w:keepNext w:val="0"/>
              <w:keepLines w:val="0"/>
              <w:pageBreakBefore w:val="0"/>
              <w:widowControl w:val="0"/>
              <w:kinsoku/>
              <w:overflowPunct/>
              <w:bidi w:val="0"/>
              <w:snapToGrid/>
              <w:spacing w:line="320" w:lineRule="exact"/>
              <w:ind w:left="144" w:right="144"/>
              <w:jc w:val="center"/>
              <w:textAlignment w:val="auto"/>
              <w:rPr>
                <w:color w:val="auto"/>
                <w:sz w:val="21"/>
                <w:highlight w:val="none"/>
                <w:lang w:eastAsia="zh-CN"/>
              </w:rPr>
            </w:pPr>
            <w:r>
              <w:rPr>
                <w:rFonts w:hint="eastAsia"/>
                <w:color w:val="auto"/>
                <w:sz w:val="21"/>
                <w:highlight w:val="none"/>
                <w:lang w:eastAsia="zh-CN"/>
              </w:rPr>
              <w:t>投标人资质条件、能力、信誉</w:t>
            </w:r>
          </w:p>
        </w:tc>
        <w:tc>
          <w:tcPr>
            <w:tcW w:w="7009" w:type="dxa"/>
            <w:vAlign w:val="center"/>
          </w:tcPr>
          <w:p w14:paraId="19FC13A8">
            <w:pPr>
              <w:keepNext w:val="0"/>
              <w:keepLines w:val="0"/>
              <w:pageBreakBefore w:val="0"/>
              <w:widowControl w:val="0"/>
              <w:kinsoku/>
              <w:overflowPunct/>
              <w:bidi w:val="0"/>
              <w:snapToGrid/>
              <w:spacing w:line="320" w:lineRule="exact"/>
              <w:ind w:left="88" w:leftChars="40"/>
              <w:jc w:val="both"/>
              <w:textAlignment w:val="auto"/>
              <w:rPr>
                <w:rFonts w:hint="eastAsia"/>
                <w:color w:val="auto"/>
                <w:sz w:val="21"/>
                <w:highlight w:val="none"/>
                <w:lang w:val="en-US" w:eastAsia="zh-CN"/>
              </w:rPr>
            </w:pPr>
            <w:r>
              <w:rPr>
                <w:rFonts w:hint="eastAsia"/>
                <w:color w:val="auto"/>
                <w:sz w:val="21"/>
                <w:highlight w:val="none"/>
                <w:lang w:val="en-US" w:eastAsia="zh-CN"/>
              </w:rPr>
              <w:t>1在中华人民共和国境内注册，能够独立承担民事责任的法人或其他组织形式；投标人应具有工程监理综合资质，并在人员、试验检测仪器设备方面具有相应的监理能力；</w:t>
            </w:r>
          </w:p>
          <w:p w14:paraId="07BD16C4">
            <w:pPr>
              <w:keepNext w:val="0"/>
              <w:keepLines w:val="0"/>
              <w:pageBreakBefore w:val="0"/>
              <w:widowControl w:val="0"/>
              <w:kinsoku/>
              <w:overflowPunct/>
              <w:bidi w:val="0"/>
              <w:snapToGrid/>
              <w:spacing w:line="320" w:lineRule="exact"/>
              <w:ind w:left="88" w:leftChars="40"/>
              <w:jc w:val="both"/>
              <w:textAlignment w:val="auto"/>
              <w:rPr>
                <w:rFonts w:hint="eastAsia"/>
                <w:color w:val="auto"/>
                <w:sz w:val="21"/>
                <w:highlight w:val="none"/>
                <w:lang w:val="en-US" w:eastAsia="zh-CN"/>
              </w:rPr>
            </w:pPr>
            <w:r>
              <w:rPr>
                <w:rFonts w:hint="eastAsia"/>
                <w:color w:val="auto"/>
                <w:sz w:val="21"/>
                <w:highlight w:val="none"/>
                <w:lang w:val="en-US" w:eastAsia="zh-CN"/>
              </w:rPr>
              <w:t>2人员要求：投标人拟派出的总监理工程师应具有相关专业国家注册监理工程师证书；</w:t>
            </w:r>
          </w:p>
          <w:p w14:paraId="367E4B45">
            <w:pPr>
              <w:keepNext w:val="0"/>
              <w:keepLines w:val="0"/>
              <w:pageBreakBefore w:val="0"/>
              <w:widowControl w:val="0"/>
              <w:kinsoku/>
              <w:overflowPunct/>
              <w:bidi w:val="0"/>
              <w:snapToGrid/>
              <w:spacing w:line="320" w:lineRule="exact"/>
              <w:ind w:left="88" w:leftChars="40"/>
              <w:jc w:val="both"/>
              <w:textAlignment w:val="auto"/>
              <w:rPr>
                <w:rFonts w:hint="eastAsia"/>
                <w:color w:val="auto"/>
                <w:sz w:val="21"/>
                <w:highlight w:val="none"/>
                <w:lang w:val="zh-CN" w:eastAsia="zh-CN"/>
              </w:rPr>
            </w:pPr>
            <w:r>
              <w:rPr>
                <w:rFonts w:hint="eastAsia"/>
                <w:color w:val="auto"/>
                <w:sz w:val="21"/>
                <w:highlight w:val="none"/>
                <w:lang w:val="en-US" w:eastAsia="zh-CN"/>
              </w:rPr>
              <w:t>3、</w:t>
            </w:r>
            <w:r>
              <w:rPr>
                <w:rFonts w:hint="eastAsia"/>
                <w:color w:val="auto"/>
                <w:sz w:val="21"/>
                <w:highlight w:val="none"/>
                <w:lang w:val="zh-CN" w:eastAsia="zh-CN"/>
              </w:rPr>
              <w:t>投标单位拟派出的项目管理机构人员，应为本单位在职人员，在本单位缴纳社会保险，应无在建工程；</w:t>
            </w:r>
          </w:p>
          <w:p w14:paraId="2CDD48F1">
            <w:pPr>
              <w:keepNext w:val="0"/>
              <w:keepLines w:val="0"/>
              <w:pageBreakBefore w:val="0"/>
              <w:widowControl w:val="0"/>
              <w:kinsoku/>
              <w:overflowPunct/>
              <w:bidi w:val="0"/>
              <w:snapToGrid/>
              <w:spacing w:line="320" w:lineRule="exact"/>
              <w:ind w:left="88" w:leftChars="40"/>
              <w:jc w:val="both"/>
              <w:textAlignment w:val="auto"/>
              <w:rPr>
                <w:rFonts w:hint="eastAsia"/>
                <w:color w:val="auto"/>
                <w:sz w:val="21"/>
                <w:highlight w:val="none"/>
                <w:lang w:val="en-US" w:eastAsia="zh-CN"/>
              </w:rPr>
            </w:pPr>
            <w:r>
              <w:rPr>
                <w:rFonts w:hint="eastAsia"/>
                <w:color w:val="auto"/>
                <w:sz w:val="21"/>
                <w:highlight w:val="none"/>
                <w:lang w:val="en-US" w:eastAsia="zh-CN"/>
              </w:rPr>
              <w:t>4、</w:t>
            </w:r>
            <w:r>
              <w:rPr>
                <w:rFonts w:hint="eastAsia"/>
                <w:color w:val="auto"/>
                <w:sz w:val="21"/>
                <w:highlight w:val="none"/>
                <w:lang w:val="zh-CN" w:eastAsia="zh-CN"/>
              </w:rPr>
              <w:t>投标人提供近三年(202</w:t>
            </w:r>
            <w:r>
              <w:rPr>
                <w:rFonts w:hint="eastAsia"/>
                <w:color w:val="auto"/>
                <w:sz w:val="21"/>
                <w:highlight w:val="none"/>
                <w:lang w:val="en-US" w:eastAsia="zh-CN"/>
              </w:rPr>
              <w:t>1</w:t>
            </w:r>
            <w:r>
              <w:rPr>
                <w:rFonts w:hint="eastAsia"/>
                <w:color w:val="auto"/>
                <w:sz w:val="21"/>
                <w:highlight w:val="none"/>
                <w:lang w:val="zh-CN" w:eastAsia="zh-CN"/>
              </w:rPr>
              <w:t>年1月1日-202</w:t>
            </w:r>
            <w:r>
              <w:rPr>
                <w:rFonts w:hint="eastAsia"/>
                <w:color w:val="auto"/>
                <w:sz w:val="21"/>
                <w:highlight w:val="none"/>
                <w:lang w:val="en-US" w:eastAsia="zh-CN"/>
              </w:rPr>
              <w:t>3</w:t>
            </w:r>
            <w:r>
              <w:rPr>
                <w:rFonts w:hint="eastAsia"/>
                <w:color w:val="auto"/>
                <w:sz w:val="21"/>
                <w:highlight w:val="none"/>
                <w:lang w:val="zh-CN" w:eastAsia="zh-CN"/>
              </w:rPr>
              <w:t>年12月31日)财务审计报告，新成立不足三年的企业需提供自成立之日起至202</w:t>
            </w:r>
            <w:r>
              <w:rPr>
                <w:rFonts w:hint="eastAsia"/>
                <w:color w:val="auto"/>
                <w:sz w:val="21"/>
                <w:highlight w:val="none"/>
                <w:lang w:val="en-US" w:eastAsia="zh-CN"/>
              </w:rPr>
              <w:t>3</w:t>
            </w:r>
            <w:r>
              <w:rPr>
                <w:rFonts w:hint="eastAsia"/>
                <w:color w:val="auto"/>
                <w:sz w:val="21"/>
                <w:highlight w:val="none"/>
                <w:lang w:val="zh-CN" w:eastAsia="zh-CN"/>
              </w:rPr>
              <w:t>年的财务审计报告，投标人成立时间少于规定年份的，应提供成立以来的财务报表</w:t>
            </w:r>
            <w:r>
              <w:rPr>
                <w:rFonts w:hint="eastAsia"/>
                <w:color w:val="auto"/>
                <w:sz w:val="21"/>
                <w:highlight w:val="none"/>
                <w:lang w:val="en-US" w:eastAsia="zh-CN"/>
              </w:rPr>
              <w:t>；</w:t>
            </w:r>
          </w:p>
          <w:p w14:paraId="79508CEE">
            <w:pPr>
              <w:keepNext w:val="0"/>
              <w:keepLines w:val="0"/>
              <w:pageBreakBefore w:val="0"/>
              <w:widowControl w:val="0"/>
              <w:kinsoku/>
              <w:overflowPunct/>
              <w:bidi w:val="0"/>
              <w:snapToGrid/>
              <w:spacing w:line="320" w:lineRule="exact"/>
              <w:ind w:left="88" w:leftChars="40"/>
              <w:jc w:val="both"/>
              <w:textAlignment w:val="auto"/>
              <w:rPr>
                <w:rFonts w:hint="eastAsia"/>
                <w:color w:val="auto"/>
                <w:sz w:val="21"/>
                <w:highlight w:val="none"/>
                <w:lang w:val="en-US" w:eastAsia="zh-CN"/>
              </w:rPr>
            </w:pPr>
            <w:r>
              <w:rPr>
                <w:rFonts w:hint="eastAsia"/>
                <w:color w:val="auto"/>
                <w:sz w:val="21"/>
                <w:highlight w:val="none"/>
                <w:lang w:val="en-US" w:eastAsia="zh-CN"/>
              </w:rPr>
              <w:t>5、投标人需提供近三年（2021年1月1日至今）内投标人或法定代表人，拟委任的总监理工程师未在“中国裁判文书网（http://wenshu.court.gov.cn/）上有行贿犯罪记录查询结果网页截图；未在全国企业信用信息公示系统（www.gsxt.gov.cn）中列入严重违法失信企业名单；未在“信用中国”网站（www.creditchina.gov.cn） 或各级信用信息共享平台中列入失信主体名单查询；未列入中国政府采购网不良信用记录（www.ccgp.gov.cn）提供政府采购严重违法失信行为记录查询</w:t>
            </w:r>
            <w:r>
              <w:rPr>
                <w:rFonts w:hint="eastAsia"/>
                <w:color w:val="auto"/>
                <w:sz w:val="21"/>
                <w:highlight w:val="none"/>
                <w:lang w:val="zh-CN" w:eastAsia="zh-CN"/>
              </w:rPr>
              <w:t>；</w:t>
            </w:r>
          </w:p>
          <w:p w14:paraId="25D1A18C">
            <w:pPr>
              <w:keepNext w:val="0"/>
              <w:keepLines w:val="0"/>
              <w:pageBreakBefore w:val="0"/>
              <w:widowControl w:val="0"/>
              <w:kinsoku/>
              <w:overflowPunct/>
              <w:bidi w:val="0"/>
              <w:snapToGrid/>
              <w:spacing w:line="320" w:lineRule="exact"/>
              <w:ind w:left="88" w:leftChars="40"/>
              <w:jc w:val="both"/>
              <w:textAlignment w:val="auto"/>
              <w:rPr>
                <w:rFonts w:hint="eastAsia"/>
                <w:color w:val="auto"/>
                <w:sz w:val="21"/>
                <w:highlight w:val="none"/>
                <w:lang w:val="en-US" w:eastAsia="zh-CN"/>
              </w:rPr>
            </w:pPr>
            <w:r>
              <w:rPr>
                <w:rFonts w:hint="eastAsia"/>
                <w:color w:val="auto"/>
                <w:sz w:val="21"/>
                <w:highlight w:val="none"/>
                <w:lang w:val="en-US" w:eastAsia="zh-CN"/>
              </w:rPr>
              <w:t>6、外埠企业需按相关要求备案；</w:t>
            </w:r>
          </w:p>
          <w:p w14:paraId="19B018A1">
            <w:pPr>
              <w:keepNext w:val="0"/>
              <w:keepLines w:val="0"/>
              <w:pageBreakBefore w:val="0"/>
              <w:widowControl w:val="0"/>
              <w:kinsoku/>
              <w:overflowPunct/>
              <w:bidi w:val="0"/>
              <w:snapToGrid/>
              <w:spacing w:line="320" w:lineRule="exact"/>
              <w:ind w:left="88" w:leftChars="40"/>
              <w:jc w:val="both"/>
              <w:textAlignment w:val="auto"/>
              <w:rPr>
                <w:rFonts w:hint="eastAsia"/>
                <w:color w:val="auto"/>
                <w:sz w:val="21"/>
                <w:highlight w:val="none"/>
                <w:lang w:val="en-US" w:eastAsia="zh-CN"/>
              </w:rPr>
            </w:pPr>
            <w:r>
              <w:rPr>
                <w:rFonts w:hint="eastAsia"/>
                <w:color w:val="auto"/>
                <w:sz w:val="21"/>
                <w:highlight w:val="none"/>
                <w:lang w:val="en-US" w:eastAsia="zh-CN"/>
              </w:rPr>
              <w:t>7、拒绝列入政府取消投标资格记录期间的企业或个人投标；</w:t>
            </w:r>
          </w:p>
          <w:p w14:paraId="5FCE49EE">
            <w:pPr>
              <w:keepNext w:val="0"/>
              <w:keepLines w:val="0"/>
              <w:pageBreakBefore w:val="0"/>
              <w:widowControl w:val="0"/>
              <w:kinsoku/>
              <w:overflowPunct/>
              <w:bidi w:val="0"/>
              <w:snapToGrid/>
              <w:spacing w:line="320" w:lineRule="exact"/>
              <w:ind w:left="88" w:leftChars="40"/>
              <w:jc w:val="both"/>
              <w:textAlignment w:val="auto"/>
              <w:rPr>
                <w:rFonts w:hint="eastAsia"/>
                <w:color w:val="auto"/>
                <w:sz w:val="21"/>
                <w:highlight w:val="none"/>
                <w:lang w:val="en-US" w:eastAsia="zh-CN"/>
              </w:rPr>
            </w:pPr>
            <w:r>
              <w:rPr>
                <w:rFonts w:hint="eastAsia"/>
                <w:color w:val="auto"/>
                <w:sz w:val="21"/>
                <w:highlight w:val="none"/>
                <w:lang w:val="en-US" w:eastAsia="zh-CN"/>
              </w:rPr>
              <w:t>8、本项目不接受联合体投标；</w:t>
            </w:r>
          </w:p>
          <w:p w14:paraId="04014CC4">
            <w:pPr>
              <w:keepNext w:val="0"/>
              <w:keepLines w:val="0"/>
              <w:pageBreakBefore w:val="0"/>
              <w:widowControl w:val="0"/>
              <w:kinsoku/>
              <w:overflowPunct/>
              <w:bidi w:val="0"/>
              <w:snapToGrid/>
              <w:spacing w:line="320" w:lineRule="exact"/>
              <w:ind w:left="88" w:leftChars="40"/>
              <w:jc w:val="both"/>
              <w:textAlignment w:val="auto"/>
              <w:rPr>
                <w:color w:val="auto"/>
                <w:sz w:val="21"/>
                <w:highlight w:val="none"/>
                <w:lang w:eastAsia="zh-CN"/>
              </w:rPr>
            </w:pPr>
            <w:r>
              <w:rPr>
                <w:rFonts w:hint="eastAsia"/>
                <w:color w:val="auto"/>
                <w:sz w:val="21"/>
                <w:highlight w:val="none"/>
                <w:lang w:val="en-US" w:eastAsia="zh-CN"/>
              </w:rPr>
              <w:t>9、与招标人存在利害关系可能影响招标公正性的法人、其他组织或者个人，不得参加投标。单位负责人为同一人或者存在控股、管理关系的不同单位，不得参加同一标段投标或者未划分标段的同一招标项目投标。为招标项目提供整体设计、规范编制或者项目管理、监理、检测等服务的投标人，不得再参加本招标项目的其他招标活动。违反以上规定的，相关投标均无效。</w:t>
            </w:r>
          </w:p>
        </w:tc>
      </w:tr>
      <w:tr w14:paraId="3B0C5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5A52F8C0">
            <w:pPr>
              <w:pStyle w:val="37"/>
              <w:keepNext w:val="0"/>
              <w:keepLines w:val="0"/>
              <w:pageBreakBefore w:val="0"/>
              <w:widowControl w:val="0"/>
              <w:kinsoku/>
              <w:overflowPunct/>
              <w:bidi w:val="0"/>
              <w:snapToGrid/>
              <w:spacing w:line="320" w:lineRule="exact"/>
              <w:ind w:left="242" w:right="240"/>
              <w:jc w:val="center"/>
              <w:textAlignment w:val="auto"/>
              <w:rPr>
                <w:color w:val="auto"/>
                <w:sz w:val="21"/>
                <w:highlight w:val="none"/>
              </w:rPr>
            </w:pPr>
            <w:r>
              <w:rPr>
                <w:rFonts w:hint="eastAsia"/>
                <w:color w:val="auto"/>
                <w:sz w:val="21"/>
                <w:highlight w:val="none"/>
              </w:rPr>
              <w:t>1.4.2</w:t>
            </w:r>
          </w:p>
        </w:tc>
        <w:tc>
          <w:tcPr>
            <w:tcW w:w="2269" w:type="dxa"/>
            <w:vAlign w:val="center"/>
          </w:tcPr>
          <w:p w14:paraId="691F12A3">
            <w:pPr>
              <w:pStyle w:val="37"/>
              <w:keepNext w:val="0"/>
              <w:keepLines w:val="0"/>
              <w:pageBreakBefore w:val="0"/>
              <w:widowControl w:val="0"/>
              <w:kinsoku/>
              <w:overflowPunct/>
              <w:bidi w:val="0"/>
              <w:snapToGrid/>
              <w:spacing w:line="320" w:lineRule="exact"/>
              <w:ind w:left="144" w:right="144"/>
              <w:jc w:val="center"/>
              <w:textAlignment w:val="auto"/>
              <w:rPr>
                <w:color w:val="auto"/>
                <w:sz w:val="21"/>
                <w:szCs w:val="21"/>
                <w:highlight w:val="none"/>
              </w:rPr>
            </w:pPr>
            <w:r>
              <w:rPr>
                <w:rFonts w:hint="eastAsia"/>
                <w:color w:val="auto"/>
                <w:sz w:val="21"/>
                <w:szCs w:val="21"/>
                <w:highlight w:val="none"/>
              </w:rPr>
              <w:t>是否接受联合体投标</w:t>
            </w:r>
          </w:p>
        </w:tc>
        <w:tc>
          <w:tcPr>
            <w:tcW w:w="7009" w:type="dxa"/>
            <w:vAlign w:val="center"/>
          </w:tcPr>
          <w:p w14:paraId="21EA54D9">
            <w:pPr>
              <w:pStyle w:val="37"/>
              <w:keepNext w:val="0"/>
              <w:keepLines w:val="0"/>
              <w:pageBreakBefore w:val="0"/>
              <w:widowControl w:val="0"/>
              <w:kinsoku/>
              <w:overflowPunct/>
              <w:bidi w:val="0"/>
              <w:snapToGrid/>
              <w:spacing w:before="56" w:line="320" w:lineRule="exact"/>
              <w:ind w:left="88" w:leftChars="40" w:right="102"/>
              <w:jc w:val="both"/>
              <w:textAlignment w:val="auto"/>
              <w:rPr>
                <w:color w:val="auto"/>
                <w:sz w:val="21"/>
                <w:szCs w:val="21"/>
                <w:highlight w:val="none"/>
                <w:lang w:eastAsia="zh-CN"/>
              </w:rPr>
            </w:pPr>
            <w:r>
              <w:rPr>
                <w:rFonts w:hint="eastAsia"/>
                <w:color w:val="auto"/>
                <w:sz w:val="21"/>
                <w:szCs w:val="21"/>
                <w:highlight w:val="none"/>
                <w:lang w:eastAsia="zh-CN"/>
              </w:rPr>
              <w:sym w:font="Wingdings" w:char="00FE"/>
            </w:r>
            <w:r>
              <w:rPr>
                <w:rFonts w:hint="eastAsia"/>
                <w:color w:val="auto"/>
                <w:sz w:val="21"/>
                <w:szCs w:val="21"/>
                <w:highlight w:val="none"/>
                <w:lang w:eastAsia="zh-CN"/>
              </w:rPr>
              <w:t>不接受</w:t>
            </w:r>
          </w:p>
          <w:p w14:paraId="39BD3504">
            <w:pPr>
              <w:pStyle w:val="37"/>
              <w:keepNext w:val="0"/>
              <w:keepLines w:val="0"/>
              <w:pageBreakBefore w:val="0"/>
              <w:widowControl w:val="0"/>
              <w:kinsoku/>
              <w:overflowPunct/>
              <w:bidi w:val="0"/>
              <w:snapToGrid/>
              <w:spacing w:before="72" w:line="320" w:lineRule="exact"/>
              <w:ind w:left="88" w:leftChars="40" w:right="102"/>
              <w:jc w:val="both"/>
              <w:textAlignment w:val="auto"/>
              <w:rPr>
                <w:color w:val="auto"/>
                <w:sz w:val="21"/>
                <w:szCs w:val="21"/>
                <w:highlight w:val="none"/>
                <w:lang w:eastAsia="zh-CN"/>
              </w:rPr>
            </w:pPr>
            <w:r>
              <w:rPr>
                <w:rFonts w:hint="eastAsia"/>
                <w:color w:val="auto"/>
                <w:sz w:val="21"/>
                <w:szCs w:val="21"/>
                <w:highlight w:val="none"/>
              </w:rPr>
              <w:sym w:font="Wingdings" w:char="00A8"/>
            </w:r>
            <w:r>
              <w:rPr>
                <w:rFonts w:hint="eastAsia"/>
                <w:color w:val="auto"/>
                <w:sz w:val="21"/>
                <w:szCs w:val="21"/>
                <w:highlight w:val="none"/>
                <w:lang w:eastAsia="zh-CN"/>
              </w:rPr>
              <w:t>接受，应满足下列要求：</w:t>
            </w:r>
          </w:p>
        </w:tc>
      </w:tr>
      <w:tr w14:paraId="1EFD8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2C3F8D6F">
            <w:pPr>
              <w:pStyle w:val="37"/>
              <w:keepNext w:val="0"/>
              <w:keepLines w:val="0"/>
              <w:pageBreakBefore w:val="0"/>
              <w:widowControl w:val="0"/>
              <w:kinsoku/>
              <w:overflowPunct/>
              <w:bidi w:val="0"/>
              <w:snapToGrid/>
              <w:spacing w:before="156" w:line="320" w:lineRule="exact"/>
              <w:ind w:left="242" w:right="240"/>
              <w:jc w:val="center"/>
              <w:textAlignment w:val="auto"/>
              <w:rPr>
                <w:color w:val="auto"/>
                <w:sz w:val="21"/>
                <w:highlight w:val="none"/>
              </w:rPr>
            </w:pPr>
            <w:r>
              <w:rPr>
                <w:rFonts w:hint="eastAsia"/>
                <w:color w:val="auto"/>
                <w:sz w:val="21"/>
                <w:highlight w:val="none"/>
              </w:rPr>
              <w:t>1.4.3</w:t>
            </w:r>
          </w:p>
        </w:tc>
        <w:tc>
          <w:tcPr>
            <w:tcW w:w="2269" w:type="dxa"/>
            <w:vAlign w:val="center"/>
          </w:tcPr>
          <w:p w14:paraId="645B1496">
            <w:pPr>
              <w:pStyle w:val="37"/>
              <w:keepNext w:val="0"/>
              <w:keepLines w:val="0"/>
              <w:pageBreakBefore w:val="0"/>
              <w:widowControl w:val="0"/>
              <w:kinsoku/>
              <w:overflowPunct/>
              <w:bidi w:val="0"/>
              <w:snapToGrid/>
              <w:spacing w:before="95" w:line="320" w:lineRule="exact"/>
              <w:ind w:left="142" w:right="144"/>
              <w:jc w:val="center"/>
              <w:textAlignment w:val="auto"/>
              <w:rPr>
                <w:color w:val="auto"/>
                <w:sz w:val="21"/>
                <w:szCs w:val="21"/>
                <w:highlight w:val="none"/>
                <w:lang w:eastAsia="zh-CN"/>
              </w:rPr>
            </w:pPr>
            <w:r>
              <w:rPr>
                <w:rFonts w:hint="eastAsia"/>
                <w:color w:val="auto"/>
                <w:sz w:val="21"/>
                <w:szCs w:val="21"/>
                <w:highlight w:val="none"/>
                <w:lang w:eastAsia="zh-CN"/>
              </w:rPr>
              <w:t>投标人不得存在的其他情形</w:t>
            </w:r>
          </w:p>
        </w:tc>
        <w:tc>
          <w:tcPr>
            <w:tcW w:w="7009" w:type="dxa"/>
            <w:vAlign w:val="center"/>
          </w:tcPr>
          <w:p w14:paraId="59288FB5">
            <w:pPr>
              <w:keepNext w:val="0"/>
              <w:keepLines w:val="0"/>
              <w:pageBreakBefore w:val="0"/>
              <w:widowControl w:val="0"/>
              <w:kinsoku/>
              <w:overflowPunct/>
              <w:bidi w:val="0"/>
              <w:snapToGrid/>
              <w:spacing w:line="320" w:lineRule="exact"/>
              <w:ind w:left="88" w:leftChars="40"/>
              <w:jc w:val="both"/>
              <w:textAlignment w:val="auto"/>
              <w:rPr>
                <w:color w:val="auto"/>
                <w:sz w:val="21"/>
                <w:szCs w:val="21"/>
                <w:highlight w:val="none"/>
                <w:lang w:eastAsia="zh-CN"/>
              </w:rPr>
            </w:pPr>
            <w:r>
              <w:rPr>
                <w:rFonts w:hint="eastAsia"/>
                <w:color w:val="auto"/>
                <w:sz w:val="21"/>
                <w:szCs w:val="21"/>
                <w:highlight w:val="none"/>
                <w:lang w:val="en-US" w:eastAsia="zh-CN"/>
              </w:rPr>
              <w:t>招标文件规定的其他不得存在的情形</w:t>
            </w:r>
            <w:r>
              <w:rPr>
                <w:rFonts w:hint="eastAsia"/>
                <w:color w:val="auto"/>
                <w:sz w:val="21"/>
                <w:szCs w:val="21"/>
                <w:highlight w:val="none"/>
                <w:lang w:eastAsia="zh-CN"/>
              </w:rPr>
              <w:t>。</w:t>
            </w:r>
          </w:p>
        </w:tc>
      </w:tr>
      <w:tr w14:paraId="62284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411BF39C">
            <w:pPr>
              <w:pStyle w:val="37"/>
              <w:keepNext w:val="0"/>
              <w:keepLines w:val="0"/>
              <w:pageBreakBefore w:val="0"/>
              <w:widowControl w:val="0"/>
              <w:kinsoku/>
              <w:overflowPunct/>
              <w:bidi w:val="0"/>
              <w:snapToGrid/>
              <w:spacing w:line="320" w:lineRule="exact"/>
              <w:ind w:left="242" w:right="240"/>
              <w:jc w:val="center"/>
              <w:textAlignment w:val="auto"/>
              <w:rPr>
                <w:color w:val="auto"/>
                <w:sz w:val="21"/>
                <w:highlight w:val="none"/>
              </w:rPr>
            </w:pPr>
            <w:r>
              <w:rPr>
                <w:rFonts w:hint="eastAsia"/>
                <w:color w:val="auto"/>
                <w:sz w:val="21"/>
                <w:highlight w:val="none"/>
              </w:rPr>
              <w:t>1.9.1</w:t>
            </w:r>
          </w:p>
        </w:tc>
        <w:tc>
          <w:tcPr>
            <w:tcW w:w="2269" w:type="dxa"/>
            <w:vAlign w:val="center"/>
          </w:tcPr>
          <w:p w14:paraId="287C344A">
            <w:pPr>
              <w:pStyle w:val="37"/>
              <w:keepNext w:val="0"/>
              <w:keepLines w:val="0"/>
              <w:pageBreakBefore w:val="0"/>
              <w:widowControl w:val="0"/>
              <w:kinsoku/>
              <w:overflowPunct/>
              <w:bidi w:val="0"/>
              <w:snapToGrid/>
              <w:spacing w:line="320" w:lineRule="exact"/>
              <w:ind w:left="143" w:right="144"/>
              <w:jc w:val="center"/>
              <w:textAlignment w:val="auto"/>
              <w:rPr>
                <w:color w:val="auto"/>
                <w:sz w:val="21"/>
                <w:szCs w:val="21"/>
                <w:highlight w:val="none"/>
              </w:rPr>
            </w:pPr>
            <w:r>
              <w:rPr>
                <w:rFonts w:hint="eastAsia"/>
                <w:color w:val="auto"/>
                <w:sz w:val="21"/>
                <w:szCs w:val="21"/>
                <w:highlight w:val="none"/>
              </w:rPr>
              <w:t>踏勘现场</w:t>
            </w:r>
          </w:p>
        </w:tc>
        <w:tc>
          <w:tcPr>
            <w:tcW w:w="7009" w:type="dxa"/>
            <w:vAlign w:val="center"/>
          </w:tcPr>
          <w:p w14:paraId="00A1146E">
            <w:pPr>
              <w:pStyle w:val="37"/>
              <w:keepNext w:val="0"/>
              <w:keepLines w:val="0"/>
              <w:pageBreakBefore w:val="0"/>
              <w:widowControl w:val="0"/>
              <w:kinsoku/>
              <w:overflowPunct/>
              <w:bidi w:val="0"/>
              <w:snapToGrid/>
              <w:spacing w:before="20" w:line="320" w:lineRule="exact"/>
              <w:ind w:left="88" w:leftChars="40" w:right="102"/>
              <w:jc w:val="both"/>
              <w:textAlignment w:val="auto"/>
              <w:rPr>
                <w:color w:val="auto"/>
                <w:sz w:val="21"/>
                <w:szCs w:val="21"/>
                <w:highlight w:val="none"/>
                <w:lang w:eastAsia="zh-CN"/>
              </w:rPr>
            </w:pPr>
            <w:r>
              <w:rPr>
                <w:rFonts w:hint="eastAsia"/>
                <w:color w:val="auto"/>
                <w:sz w:val="21"/>
                <w:szCs w:val="21"/>
                <w:highlight w:val="none"/>
                <w:lang w:eastAsia="zh-CN"/>
              </w:rPr>
              <w:sym w:font="Wingdings" w:char="00FE"/>
            </w:r>
            <w:r>
              <w:rPr>
                <w:rFonts w:hint="eastAsia"/>
                <w:color w:val="auto"/>
                <w:sz w:val="21"/>
                <w:szCs w:val="21"/>
                <w:highlight w:val="none"/>
                <w:lang w:eastAsia="zh-CN"/>
              </w:rPr>
              <w:t>不组织</w:t>
            </w:r>
          </w:p>
          <w:p w14:paraId="410D472B">
            <w:pPr>
              <w:pStyle w:val="37"/>
              <w:keepNext w:val="0"/>
              <w:keepLines w:val="0"/>
              <w:pageBreakBefore w:val="0"/>
              <w:widowControl w:val="0"/>
              <w:kinsoku/>
              <w:overflowPunct/>
              <w:bidi w:val="0"/>
              <w:snapToGrid/>
              <w:spacing w:before="33" w:line="320" w:lineRule="exact"/>
              <w:ind w:left="88" w:leftChars="40" w:right="102"/>
              <w:jc w:val="both"/>
              <w:textAlignment w:val="auto"/>
              <w:rPr>
                <w:color w:val="auto"/>
                <w:sz w:val="21"/>
                <w:szCs w:val="21"/>
                <w:highlight w:val="none"/>
                <w:lang w:eastAsia="zh-CN"/>
              </w:rPr>
            </w:pPr>
            <w:r>
              <w:rPr>
                <w:rFonts w:hint="eastAsia"/>
                <w:color w:val="auto"/>
                <w:sz w:val="21"/>
                <w:szCs w:val="21"/>
                <w:highlight w:val="none"/>
              </w:rPr>
              <w:sym w:font="Wingdings" w:char="00A8"/>
            </w:r>
            <w:r>
              <w:rPr>
                <w:rFonts w:hint="eastAsia"/>
                <w:color w:val="auto"/>
                <w:sz w:val="21"/>
                <w:szCs w:val="21"/>
                <w:highlight w:val="none"/>
                <w:lang w:eastAsia="zh-CN"/>
              </w:rPr>
              <w:t>组织，踏勘时间：</w:t>
            </w:r>
          </w:p>
          <w:p w14:paraId="4692D1D4">
            <w:pPr>
              <w:pStyle w:val="37"/>
              <w:keepNext w:val="0"/>
              <w:keepLines w:val="0"/>
              <w:pageBreakBefore w:val="0"/>
              <w:widowControl w:val="0"/>
              <w:kinsoku/>
              <w:overflowPunct/>
              <w:bidi w:val="0"/>
              <w:snapToGrid/>
              <w:spacing w:before="84" w:line="320" w:lineRule="exact"/>
              <w:ind w:left="88" w:leftChars="40" w:right="102"/>
              <w:jc w:val="both"/>
              <w:textAlignment w:val="auto"/>
              <w:rPr>
                <w:color w:val="auto"/>
                <w:sz w:val="21"/>
                <w:szCs w:val="21"/>
                <w:highlight w:val="none"/>
              </w:rPr>
            </w:pPr>
            <w:r>
              <w:rPr>
                <w:rFonts w:hint="eastAsia"/>
                <w:color w:val="auto"/>
                <w:sz w:val="21"/>
                <w:szCs w:val="21"/>
                <w:highlight w:val="none"/>
              </w:rPr>
              <w:t>踏勘集中地点：</w:t>
            </w:r>
          </w:p>
        </w:tc>
      </w:tr>
      <w:tr w14:paraId="53543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6BB8F5FC">
            <w:pPr>
              <w:pStyle w:val="37"/>
              <w:keepNext w:val="0"/>
              <w:keepLines w:val="0"/>
              <w:pageBreakBefore w:val="0"/>
              <w:widowControl w:val="0"/>
              <w:kinsoku/>
              <w:overflowPunct/>
              <w:bidi w:val="0"/>
              <w:snapToGrid/>
              <w:spacing w:line="320" w:lineRule="exact"/>
              <w:ind w:left="242" w:right="240"/>
              <w:jc w:val="center"/>
              <w:textAlignment w:val="auto"/>
              <w:rPr>
                <w:color w:val="auto"/>
                <w:sz w:val="21"/>
                <w:highlight w:val="none"/>
              </w:rPr>
            </w:pPr>
            <w:r>
              <w:rPr>
                <w:rFonts w:hint="eastAsia"/>
                <w:color w:val="auto"/>
                <w:sz w:val="21"/>
                <w:highlight w:val="none"/>
              </w:rPr>
              <w:t>1.10.1</w:t>
            </w:r>
          </w:p>
        </w:tc>
        <w:tc>
          <w:tcPr>
            <w:tcW w:w="2269" w:type="dxa"/>
            <w:vAlign w:val="center"/>
          </w:tcPr>
          <w:p w14:paraId="7C727B19">
            <w:pPr>
              <w:pStyle w:val="37"/>
              <w:keepNext w:val="0"/>
              <w:keepLines w:val="0"/>
              <w:pageBreakBefore w:val="0"/>
              <w:widowControl w:val="0"/>
              <w:kinsoku/>
              <w:overflowPunct/>
              <w:bidi w:val="0"/>
              <w:snapToGrid/>
              <w:spacing w:before="179" w:line="320" w:lineRule="exact"/>
              <w:ind w:left="143" w:right="144"/>
              <w:jc w:val="center"/>
              <w:textAlignment w:val="auto"/>
              <w:rPr>
                <w:color w:val="auto"/>
                <w:sz w:val="21"/>
                <w:szCs w:val="21"/>
                <w:highlight w:val="none"/>
              </w:rPr>
            </w:pPr>
            <w:r>
              <w:rPr>
                <w:rFonts w:hint="eastAsia"/>
                <w:color w:val="auto"/>
                <w:sz w:val="21"/>
                <w:szCs w:val="21"/>
                <w:highlight w:val="none"/>
              </w:rPr>
              <w:t>投标预备会</w:t>
            </w:r>
          </w:p>
        </w:tc>
        <w:tc>
          <w:tcPr>
            <w:tcW w:w="7009" w:type="dxa"/>
            <w:vAlign w:val="center"/>
          </w:tcPr>
          <w:p w14:paraId="48B95E60">
            <w:pPr>
              <w:pStyle w:val="37"/>
              <w:keepNext w:val="0"/>
              <w:keepLines w:val="0"/>
              <w:pageBreakBefore w:val="0"/>
              <w:widowControl w:val="0"/>
              <w:kinsoku/>
              <w:overflowPunct/>
              <w:bidi w:val="0"/>
              <w:snapToGrid/>
              <w:spacing w:before="20" w:line="320" w:lineRule="exact"/>
              <w:ind w:left="88" w:leftChars="40" w:right="102"/>
              <w:jc w:val="both"/>
              <w:textAlignment w:val="auto"/>
              <w:rPr>
                <w:color w:val="auto"/>
                <w:sz w:val="21"/>
                <w:szCs w:val="21"/>
                <w:highlight w:val="none"/>
                <w:lang w:eastAsia="zh-CN"/>
              </w:rPr>
            </w:pPr>
            <w:r>
              <w:rPr>
                <w:rFonts w:hint="eastAsia"/>
                <w:color w:val="auto"/>
                <w:sz w:val="21"/>
                <w:szCs w:val="21"/>
                <w:highlight w:val="none"/>
              </w:rPr>
              <w:sym w:font="Wingdings" w:char="00FE"/>
            </w:r>
            <w:r>
              <w:rPr>
                <w:rFonts w:hint="eastAsia"/>
                <w:color w:val="auto"/>
                <w:sz w:val="21"/>
                <w:szCs w:val="21"/>
                <w:highlight w:val="none"/>
                <w:lang w:eastAsia="zh-CN"/>
              </w:rPr>
              <w:t>不召开</w:t>
            </w:r>
          </w:p>
          <w:p w14:paraId="5976BDE0">
            <w:pPr>
              <w:pStyle w:val="37"/>
              <w:keepNext w:val="0"/>
              <w:keepLines w:val="0"/>
              <w:pageBreakBefore w:val="0"/>
              <w:widowControl w:val="0"/>
              <w:kinsoku/>
              <w:overflowPunct/>
              <w:bidi w:val="0"/>
              <w:snapToGrid/>
              <w:spacing w:before="66" w:line="320" w:lineRule="exact"/>
              <w:ind w:left="88" w:leftChars="40" w:right="102"/>
              <w:jc w:val="both"/>
              <w:textAlignment w:val="auto"/>
              <w:rPr>
                <w:color w:val="auto"/>
                <w:sz w:val="21"/>
                <w:szCs w:val="21"/>
                <w:highlight w:val="none"/>
                <w:lang w:eastAsia="zh-CN"/>
              </w:rPr>
            </w:pPr>
            <w:r>
              <w:rPr>
                <w:rFonts w:hint="eastAsia"/>
                <w:color w:val="auto"/>
                <w:sz w:val="21"/>
                <w:szCs w:val="21"/>
                <w:highlight w:val="none"/>
              </w:rPr>
              <w:sym w:font="Wingdings" w:char="00A8"/>
            </w:r>
            <w:r>
              <w:rPr>
                <w:rFonts w:hint="eastAsia"/>
                <w:color w:val="auto"/>
                <w:sz w:val="21"/>
                <w:szCs w:val="21"/>
                <w:highlight w:val="none"/>
                <w:lang w:eastAsia="zh-CN"/>
              </w:rPr>
              <w:t>召开，召开时间：</w:t>
            </w:r>
          </w:p>
          <w:p w14:paraId="12BF9A4B">
            <w:pPr>
              <w:pStyle w:val="37"/>
              <w:keepNext w:val="0"/>
              <w:keepLines w:val="0"/>
              <w:pageBreakBefore w:val="0"/>
              <w:widowControl w:val="0"/>
              <w:kinsoku/>
              <w:overflowPunct/>
              <w:bidi w:val="0"/>
              <w:snapToGrid/>
              <w:spacing w:before="125" w:line="320" w:lineRule="exact"/>
              <w:ind w:left="88" w:leftChars="40" w:right="102"/>
              <w:jc w:val="both"/>
              <w:textAlignment w:val="auto"/>
              <w:rPr>
                <w:color w:val="auto"/>
                <w:sz w:val="21"/>
                <w:szCs w:val="21"/>
                <w:highlight w:val="none"/>
              </w:rPr>
            </w:pPr>
            <w:r>
              <w:rPr>
                <w:rFonts w:hint="eastAsia"/>
                <w:color w:val="auto"/>
                <w:sz w:val="21"/>
                <w:szCs w:val="21"/>
                <w:highlight w:val="none"/>
              </w:rPr>
              <w:t>召开地点：</w:t>
            </w:r>
          </w:p>
        </w:tc>
      </w:tr>
      <w:tr w14:paraId="0195E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06CD3F1D">
            <w:pPr>
              <w:pStyle w:val="37"/>
              <w:keepNext w:val="0"/>
              <w:keepLines w:val="0"/>
              <w:pageBreakBefore w:val="0"/>
              <w:widowControl w:val="0"/>
              <w:kinsoku/>
              <w:overflowPunct/>
              <w:bidi w:val="0"/>
              <w:snapToGrid/>
              <w:spacing w:before="156" w:line="320" w:lineRule="exact"/>
              <w:ind w:left="242" w:right="240"/>
              <w:jc w:val="center"/>
              <w:textAlignment w:val="auto"/>
              <w:rPr>
                <w:color w:val="auto"/>
                <w:sz w:val="21"/>
                <w:highlight w:val="none"/>
              </w:rPr>
            </w:pPr>
            <w:r>
              <w:rPr>
                <w:rFonts w:hint="eastAsia"/>
                <w:color w:val="auto"/>
                <w:sz w:val="21"/>
                <w:highlight w:val="none"/>
              </w:rPr>
              <w:t>1.12.1</w:t>
            </w:r>
          </w:p>
        </w:tc>
        <w:tc>
          <w:tcPr>
            <w:tcW w:w="2269" w:type="dxa"/>
            <w:vAlign w:val="center"/>
          </w:tcPr>
          <w:p w14:paraId="16E08203">
            <w:pPr>
              <w:pStyle w:val="37"/>
              <w:keepNext w:val="0"/>
              <w:keepLines w:val="0"/>
              <w:pageBreakBefore w:val="0"/>
              <w:widowControl w:val="0"/>
              <w:kinsoku/>
              <w:overflowPunct/>
              <w:bidi w:val="0"/>
              <w:snapToGrid/>
              <w:spacing w:before="107" w:line="320" w:lineRule="exact"/>
              <w:ind w:left="144" w:right="144"/>
              <w:jc w:val="center"/>
              <w:textAlignment w:val="auto"/>
              <w:rPr>
                <w:color w:val="auto"/>
                <w:sz w:val="21"/>
                <w:szCs w:val="21"/>
                <w:highlight w:val="none"/>
              </w:rPr>
            </w:pPr>
            <w:r>
              <w:rPr>
                <w:rFonts w:hint="eastAsia"/>
                <w:color w:val="auto"/>
                <w:sz w:val="21"/>
                <w:szCs w:val="21"/>
                <w:highlight w:val="none"/>
              </w:rPr>
              <w:t>实质性要求和条件</w:t>
            </w:r>
          </w:p>
        </w:tc>
        <w:tc>
          <w:tcPr>
            <w:tcW w:w="7009" w:type="dxa"/>
            <w:vAlign w:val="center"/>
          </w:tcPr>
          <w:p w14:paraId="19CB7691">
            <w:pPr>
              <w:keepNext w:val="0"/>
              <w:keepLines w:val="0"/>
              <w:pageBreakBefore w:val="0"/>
              <w:widowControl w:val="0"/>
              <w:kinsoku/>
              <w:overflowPunct/>
              <w:bidi w:val="0"/>
              <w:snapToGrid/>
              <w:spacing w:line="320" w:lineRule="exact"/>
              <w:ind w:left="88" w:leftChars="40"/>
              <w:jc w:val="both"/>
              <w:textAlignment w:val="auto"/>
              <w:rPr>
                <w:color w:val="auto"/>
                <w:sz w:val="21"/>
                <w:szCs w:val="21"/>
                <w:highlight w:val="none"/>
                <w:lang w:eastAsia="zh-CN"/>
              </w:rPr>
            </w:pPr>
            <w:r>
              <w:rPr>
                <w:rFonts w:hint="eastAsia"/>
                <w:color w:val="auto"/>
                <w:sz w:val="21"/>
                <w:szCs w:val="21"/>
                <w:highlight w:val="none"/>
                <w:lang w:eastAsia="zh-CN"/>
              </w:rPr>
              <w:t>监理服务期限、投标有效期、委托人要求、招标范围等实质性内容。</w:t>
            </w:r>
          </w:p>
        </w:tc>
      </w:tr>
      <w:tr w14:paraId="6B65B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585A09F6">
            <w:pPr>
              <w:pStyle w:val="37"/>
              <w:keepNext w:val="0"/>
              <w:keepLines w:val="0"/>
              <w:pageBreakBefore w:val="0"/>
              <w:widowControl w:val="0"/>
              <w:kinsoku/>
              <w:overflowPunct/>
              <w:bidi w:val="0"/>
              <w:snapToGrid/>
              <w:spacing w:line="320" w:lineRule="exact"/>
              <w:ind w:left="242" w:right="240"/>
              <w:jc w:val="center"/>
              <w:textAlignment w:val="auto"/>
              <w:rPr>
                <w:color w:val="auto"/>
                <w:sz w:val="21"/>
                <w:highlight w:val="none"/>
              </w:rPr>
            </w:pPr>
            <w:r>
              <w:rPr>
                <w:rFonts w:hint="eastAsia"/>
                <w:color w:val="auto"/>
                <w:sz w:val="21"/>
                <w:highlight w:val="none"/>
              </w:rPr>
              <w:t>1.12.3</w:t>
            </w:r>
          </w:p>
        </w:tc>
        <w:tc>
          <w:tcPr>
            <w:tcW w:w="2269" w:type="dxa"/>
            <w:vAlign w:val="center"/>
          </w:tcPr>
          <w:p w14:paraId="35E0953D">
            <w:pPr>
              <w:pStyle w:val="37"/>
              <w:keepNext w:val="0"/>
              <w:keepLines w:val="0"/>
              <w:pageBreakBefore w:val="0"/>
              <w:widowControl w:val="0"/>
              <w:kinsoku/>
              <w:overflowPunct/>
              <w:bidi w:val="0"/>
              <w:snapToGrid/>
              <w:spacing w:line="320" w:lineRule="exact"/>
              <w:ind w:left="144" w:right="144"/>
              <w:jc w:val="center"/>
              <w:textAlignment w:val="auto"/>
              <w:rPr>
                <w:color w:val="auto"/>
                <w:sz w:val="21"/>
                <w:szCs w:val="21"/>
                <w:highlight w:val="none"/>
              </w:rPr>
            </w:pPr>
            <w:r>
              <w:rPr>
                <w:rFonts w:hint="eastAsia"/>
                <w:color w:val="auto"/>
                <w:sz w:val="21"/>
                <w:szCs w:val="21"/>
                <w:highlight w:val="none"/>
              </w:rPr>
              <w:t>偏差</w:t>
            </w:r>
          </w:p>
        </w:tc>
        <w:tc>
          <w:tcPr>
            <w:tcW w:w="7009" w:type="dxa"/>
            <w:vAlign w:val="center"/>
          </w:tcPr>
          <w:p w14:paraId="1483404D">
            <w:pPr>
              <w:pStyle w:val="37"/>
              <w:keepNext w:val="0"/>
              <w:keepLines w:val="0"/>
              <w:pageBreakBefore w:val="0"/>
              <w:widowControl w:val="0"/>
              <w:kinsoku/>
              <w:overflowPunct/>
              <w:bidi w:val="0"/>
              <w:snapToGrid/>
              <w:spacing w:before="56" w:line="320" w:lineRule="exact"/>
              <w:ind w:left="88" w:leftChars="40" w:right="102"/>
              <w:jc w:val="both"/>
              <w:textAlignment w:val="auto"/>
              <w:rPr>
                <w:color w:val="auto"/>
                <w:sz w:val="21"/>
                <w:szCs w:val="21"/>
                <w:highlight w:val="none"/>
                <w:lang w:eastAsia="zh-CN"/>
              </w:rPr>
            </w:pPr>
            <w:r>
              <w:rPr>
                <w:rFonts w:hint="eastAsia"/>
                <w:color w:val="auto"/>
                <w:sz w:val="21"/>
                <w:szCs w:val="21"/>
                <w:highlight w:val="none"/>
                <w:lang w:eastAsia="zh-CN"/>
              </w:rPr>
              <w:sym w:font="Wingdings" w:char="00FE"/>
            </w:r>
            <w:r>
              <w:rPr>
                <w:rFonts w:hint="eastAsia"/>
                <w:color w:val="auto"/>
                <w:sz w:val="21"/>
                <w:szCs w:val="21"/>
                <w:highlight w:val="none"/>
                <w:lang w:eastAsia="zh-CN"/>
              </w:rPr>
              <w:t>不允许</w:t>
            </w:r>
          </w:p>
          <w:p w14:paraId="159EA52E">
            <w:pPr>
              <w:pStyle w:val="37"/>
              <w:keepNext w:val="0"/>
              <w:keepLines w:val="0"/>
              <w:pageBreakBefore w:val="0"/>
              <w:widowControl w:val="0"/>
              <w:kinsoku/>
              <w:overflowPunct/>
              <w:bidi w:val="0"/>
              <w:snapToGrid/>
              <w:spacing w:before="37" w:line="320" w:lineRule="exact"/>
              <w:ind w:left="88" w:leftChars="40" w:right="102"/>
              <w:jc w:val="both"/>
              <w:textAlignment w:val="auto"/>
              <w:rPr>
                <w:color w:val="auto"/>
                <w:sz w:val="21"/>
                <w:szCs w:val="21"/>
                <w:highlight w:val="none"/>
                <w:lang w:eastAsia="zh-CN"/>
              </w:rPr>
            </w:pPr>
            <w:r>
              <w:rPr>
                <w:rFonts w:hint="eastAsia"/>
                <w:color w:val="auto"/>
                <w:sz w:val="21"/>
                <w:szCs w:val="21"/>
                <w:highlight w:val="none"/>
              </w:rPr>
              <w:sym w:font="Wingdings" w:char="00A8"/>
            </w:r>
            <w:r>
              <w:rPr>
                <w:rFonts w:hint="eastAsia"/>
                <w:color w:val="auto"/>
                <w:sz w:val="21"/>
                <w:szCs w:val="21"/>
                <w:highlight w:val="none"/>
                <w:lang w:eastAsia="zh-CN"/>
              </w:rPr>
              <w:t>允许，偏差范围：</w:t>
            </w:r>
          </w:p>
          <w:p w14:paraId="43A0A482">
            <w:pPr>
              <w:pStyle w:val="37"/>
              <w:keepNext w:val="0"/>
              <w:keepLines w:val="0"/>
              <w:pageBreakBefore w:val="0"/>
              <w:widowControl w:val="0"/>
              <w:kinsoku/>
              <w:overflowPunct/>
              <w:bidi w:val="0"/>
              <w:snapToGrid/>
              <w:spacing w:before="87" w:line="320" w:lineRule="exact"/>
              <w:ind w:left="88" w:leftChars="40" w:right="102"/>
              <w:jc w:val="both"/>
              <w:textAlignment w:val="auto"/>
              <w:rPr>
                <w:color w:val="auto"/>
                <w:sz w:val="21"/>
                <w:szCs w:val="21"/>
                <w:highlight w:val="none"/>
              </w:rPr>
            </w:pPr>
            <w:r>
              <w:rPr>
                <w:rFonts w:hint="eastAsia"/>
                <w:color w:val="auto"/>
                <w:sz w:val="21"/>
                <w:szCs w:val="21"/>
                <w:highlight w:val="none"/>
              </w:rPr>
              <w:t>偏差幅度：</w:t>
            </w:r>
          </w:p>
        </w:tc>
      </w:tr>
      <w:tr w14:paraId="0C314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55DEF146">
            <w:pPr>
              <w:pStyle w:val="37"/>
              <w:keepNext w:val="0"/>
              <w:keepLines w:val="0"/>
              <w:pageBreakBefore w:val="0"/>
              <w:widowControl w:val="0"/>
              <w:kinsoku/>
              <w:overflowPunct/>
              <w:bidi w:val="0"/>
              <w:snapToGrid/>
              <w:spacing w:before="156" w:line="320" w:lineRule="exact"/>
              <w:jc w:val="center"/>
              <w:textAlignment w:val="auto"/>
              <w:rPr>
                <w:color w:val="auto"/>
                <w:sz w:val="21"/>
                <w:highlight w:val="none"/>
              </w:rPr>
            </w:pPr>
            <w:r>
              <w:rPr>
                <w:rFonts w:hint="eastAsia"/>
                <w:color w:val="auto"/>
                <w:sz w:val="21"/>
                <w:highlight w:val="none"/>
              </w:rPr>
              <w:t>2.1</w:t>
            </w:r>
          </w:p>
        </w:tc>
        <w:tc>
          <w:tcPr>
            <w:tcW w:w="2269" w:type="dxa"/>
            <w:vAlign w:val="center"/>
          </w:tcPr>
          <w:p w14:paraId="402BCAC1">
            <w:pPr>
              <w:pStyle w:val="37"/>
              <w:keepNext w:val="0"/>
              <w:keepLines w:val="0"/>
              <w:pageBreakBefore w:val="0"/>
              <w:widowControl w:val="0"/>
              <w:kinsoku/>
              <w:overflowPunct/>
              <w:bidi w:val="0"/>
              <w:snapToGrid/>
              <w:spacing w:before="107" w:line="320" w:lineRule="exact"/>
              <w:ind w:left="144" w:right="144"/>
              <w:jc w:val="center"/>
              <w:textAlignment w:val="auto"/>
              <w:rPr>
                <w:color w:val="auto"/>
                <w:sz w:val="21"/>
                <w:szCs w:val="21"/>
                <w:highlight w:val="none"/>
                <w:lang w:eastAsia="zh-CN"/>
              </w:rPr>
            </w:pPr>
            <w:r>
              <w:rPr>
                <w:rFonts w:hint="eastAsia"/>
                <w:color w:val="auto"/>
                <w:sz w:val="21"/>
                <w:szCs w:val="21"/>
                <w:highlight w:val="none"/>
                <w:lang w:eastAsia="zh-CN"/>
              </w:rPr>
              <w:t>构成招标文件的其他资料</w:t>
            </w:r>
          </w:p>
        </w:tc>
        <w:tc>
          <w:tcPr>
            <w:tcW w:w="7009" w:type="dxa"/>
            <w:vAlign w:val="center"/>
          </w:tcPr>
          <w:p w14:paraId="74ABEE56">
            <w:pPr>
              <w:keepNext w:val="0"/>
              <w:keepLines w:val="0"/>
              <w:pageBreakBefore w:val="0"/>
              <w:widowControl w:val="0"/>
              <w:kinsoku/>
              <w:overflowPunct/>
              <w:bidi w:val="0"/>
              <w:snapToGrid/>
              <w:spacing w:line="320" w:lineRule="exact"/>
              <w:ind w:left="88" w:leftChars="40"/>
              <w:jc w:val="both"/>
              <w:textAlignment w:val="auto"/>
              <w:rPr>
                <w:b/>
                <w:bCs/>
                <w:color w:val="auto"/>
                <w:sz w:val="21"/>
                <w:szCs w:val="21"/>
                <w:highlight w:val="none"/>
                <w:lang w:eastAsia="zh-CN"/>
              </w:rPr>
            </w:pPr>
            <w:r>
              <w:rPr>
                <w:rFonts w:hint="eastAsia"/>
                <w:color w:val="auto"/>
                <w:sz w:val="21"/>
                <w:szCs w:val="21"/>
                <w:highlight w:val="none"/>
                <w:lang w:eastAsia="zh-CN"/>
              </w:rPr>
              <w:t>澄清、补充、修改文件。</w:t>
            </w:r>
          </w:p>
        </w:tc>
      </w:tr>
      <w:tr w14:paraId="54496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Merge w:val="restart"/>
            <w:vAlign w:val="center"/>
          </w:tcPr>
          <w:p w14:paraId="43C7395B">
            <w:pPr>
              <w:pStyle w:val="37"/>
              <w:keepNext w:val="0"/>
              <w:keepLines w:val="0"/>
              <w:pageBreakBefore w:val="0"/>
              <w:widowControl w:val="0"/>
              <w:kinsoku/>
              <w:overflowPunct/>
              <w:bidi w:val="0"/>
              <w:snapToGrid/>
              <w:spacing w:before="1" w:line="320" w:lineRule="exact"/>
              <w:ind w:right="-12"/>
              <w:jc w:val="center"/>
              <w:textAlignment w:val="auto"/>
              <w:rPr>
                <w:color w:val="auto"/>
                <w:sz w:val="21"/>
                <w:highlight w:val="none"/>
              </w:rPr>
            </w:pPr>
            <w:r>
              <w:rPr>
                <w:rFonts w:hint="eastAsia"/>
                <w:color w:val="auto"/>
                <w:sz w:val="21"/>
                <w:highlight w:val="none"/>
              </w:rPr>
              <w:t>2.2.1</w:t>
            </w:r>
          </w:p>
        </w:tc>
        <w:tc>
          <w:tcPr>
            <w:tcW w:w="2269" w:type="dxa"/>
            <w:vMerge w:val="restart"/>
            <w:vAlign w:val="center"/>
          </w:tcPr>
          <w:p w14:paraId="5D46689D">
            <w:pPr>
              <w:pStyle w:val="37"/>
              <w:keepNext w:val="0"/>
              <w:keepLines w:val="0"/>
              <w:pageBreakBefore w:val="0"/>
              <w:widowControl w:val="0"/>
              <w:kinsoku/>
              <w:overflowPunct/>
              <w:bidi w:val="0"/>
              <w:snapToGrid/>
              <w:spacing w:line="320" w:lineRule="exact"/>
              <w:ind w:left="789" w:leftChars="0" w:hanging="789" w:hangingChars="376"/>
              <w:jc w:val="center"/>
              <w:textAlignment w:val="auto"/>
              <w:rPr>
                <w:color w:val="auto"/>
                <w:sz w:val="21"/>
                <w:szCs w:val="21"/>
                <w:highlight w:val="none"/>
                <w:lang w:eastAsia="zh-CN"/>
              </w:rPr>
            </w:pPr>
            <w:r>
              <w:rPr>
                <w:rFonts w:hint="eastAsia"/>
                <w:color w:val="auto"/>
                <w:sz w:val="21"/>
                <w:szCs w:val="21"/>
                <w:highlight w:val="none"/>
                <w:lang w:eastAsia="zh-CN"/>
              </w:rPr>
              <w:t>投标人要求澄清招标文件</w:t>
            </w:r>
          </w:p>
        </w:tc>
        <w:tc>
          <w:tcPr>
            <w:tcW w:w="7009" w:type="dxa"/>
            <w:vAlign w:val="center"/>
          </w:tcPr>
          <w:p w14:paraId="38148995">
            <w:pPr>
              <w:pStyle w:val="37"/>
              <w:keepNext w:val="0"/>
              <w:keepLines w:val="0"/>
              <w:pageBreakBefore w:val="0"/>
              <w:widowControl w:val="0"/>
              <w:kinsoku/>
              <w:overflowPunct/>
              <w:bidi w:val="0"/>
              <w:snapToGrid/>
              <w:spacing w:before="107" w:line="320" w:lineRule="exact"/>
              <w:ind w:left="88" w:leftChars="40"/>
              <w:jc w:val="both"/>
              <w:textAlignment w:val="auto"/>
              <w:rPr>
                <w:rFonts w:hint="eastAsia" w:eastAsia="中心"/>
                <w:color w:val="auto"/>
                <w:sz w:val="21"/>
                <w:szCs w:val="21"/>
                <w:highlight w:val="none"/>
              </w:rPr>
            </w:pPr>
            <w:r>
              <w:rPr>
                <w:rFonts w:hint="eastAsia" w:ascii="宋体" w:hAnsi="宋体" w:eastAsia="宋体" w:cs="宋体"/>
                <w:color w:val="auto"/>
                <w:sz w:val="21"/>
                <w:szCs w:val="21"/>
                <w:highlight w:val="none"/>
                <w:lang w:val="en-US" w:eastAsia="zh-CN" w:bidi="ar-SA"/>
              </w:rPr>
              <w:t>时间：投标截止时间1</w:t>
            </w:r>
            <w:r>
              <w:rPr>
                <w:rFonts w:hint="eastAsia" w:cs="宋体"/>
                <w:color w:val="auto"/>
                <w:sz w:val="21"/>
                <w:szCs w:val="21"/>
                <w:highlight w:val="none"/>
                <w:lang w:val="en-US" w:eastAsia="zh-CN" w:bidi="ar-SA"/>
              </w:rPr>
              <w:t>0</w:t>
            </w:r>
            <w:r>
              <w:rPr>
                <w:rFonts w:hint="eastAsia" w:ascii="宋体" w:hAnsi="宋体" w:eastAsia="宋体" w:cs="宋体"/>
                <w:color w:val="auto"/>
                <w:sz w:val="21"/>
                <w:szCs w:val="21"/>
                <w:highlight w:val="none"/>
                <w:lang w:val="en-US" w:eastAsia="zh-CN" w:bidi="ar-SA"/>
              </w:rPr>
              <w:t>日前一次性提出。</w:t>
            </w:r>
          </w:p>
        </w:tc>
      </w:tr>
      <w:tr w14:paraId="4595B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Merge w:val="continue"/>
            <w:vAlign w:val="center"/>
          </w:tcPr>
          <w:p w14:paraId="04B5CC17">
            <w:pPr>
              <w:pStyle w:val="37"/>
              <w:keepNext w:val="0"/>
              <w:keepLines w:val="0"/>
              <w:pageBreakBefore w:val="0"/>
              <w:widowControl w:val="0"/>
              <w:kinsoku/>
              <w:overflowPunct/>
              <w:bidi w:val="0"/>
              <w:snapToGrid/>
              <w:spacing w:before="1" w:line="320" w:lineRule="exact"/>
              <w:ind w:right="-12"/>
              <w:jc w:val="center"/>
              <w:textAlignment w:val="auto"/>
              <w:rPr>
                <w:color w:val="auto"/>
                <w:sz w:val="21"/>
                <w:highlight w:val="none"/>
              </w:rPr>
            </w:pPr>
          </w:p>
        </w:tc>
        <w:tc>
          <w:tcPr>
            <w:tcW w:w="2269" w:type="dxa"/>
            <w:vMerge w:val="continue"/>
            <w:vAlign w:val="center"/>
          </w:tcPr>
          <w:p w14:paraId="176B0872">
            <w:pPr>
              <w:pStyle w:val="37"/>
              <w:keepNext w:val="0"/>
              <w:keepLines w:val="0"/>
              <w:pageBreakBefore w:val="0"/>
              <w:widowControl w:val="0"/>
              <w:kinsoku/>
              <w:overflowPunct/>
              <w:bidi w:val="0"/>
              <w:snapToGrid/>
              <w:spacing w:line="320" w:lineRule="exact"/>
              <w:ind w:left="789" w:leftChars="0" w:hanging="789" w:hangingChars="376"/>
              <w:jc w:val="center"/>
              <w:textAlignment w:val="auto"/>
              <w:rPr>
                <w:color w:val="auto"/>
                <w:sz w:val="21"/>
                <w:szCs w:val="21"/>
                <w:highlight w:val="none"/>
                <w:lang w:eastAsia="zh-CN"/>
              </w:rPr>
            </w:pPr>
          </w:p>
        </w:tc>
        <w:tc>
          <w:tcPr>
            <w:tcW w:w="7009" w:type="dxa"/>
            <w:vAlign w:val="center"/>
          </w:tcPr>
          <w:p w14:paraId="7CC4E26E">
            <w:pPr>
              <w:pStyle w:val="37"/>
              <w:keepNext w:val="0"/>
              <w:keepLines w:val="0"/>
              <w:pageBreakBefore w:val="0"/>
              <w:widowControl w:val="0"/>
              <w:kinsoku/>
              <w:overflowPunct/>
              <w:bidi w:val="0"/>
              <w:snapToGrid/>
              <w:spacing w:before="107" w:line="320" w:lineRule="exact"/>
              <w:ind w:left="88" w:leftChars="40"/>
              <w:jc w:val="both"/>
              <w:textAlignment w:val="auto"/>
              <w:rPr>
                <w:rFonts w:eastAsia="中心"/>
                <w:color w:val="auto"/>
                <w:sz w:val="21"/>
                <w:szCs w:val="21"/>
                <w:highlight w:val="none"/>
                <w:lang w:eastAsia="zh-CN"/>
              </w:rPr>
            </w:pPr>
            <w:r>
              <w:rPr>
                <w:rFonts w:hint="eastAsia" w:ascii="宋体" w:hAnsi="宋体" w:eastAsia="宋体" w:cs="宋体"/>
                <w:color w:val="auto"/>
                <w:sz w:val="21"/>
                <w:szCs w:val="21"/>
                <w:highlight w:val="none"/>
                <w:lang w:val="en-US" w:eastAsia="zh-CN" w:bidi="ar-SA"/>
              </w:rPr>
              <w:t>形式：在“政采云”平台（https://www.zcygov.cn/）上提出</w:t>
            </w:r>
          </w:p>
        </w:tc>
      </w:tr>
      <w:tr w14:paraId="22F70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26D3413E">
            <w:pPr>
              <w:pStyle w:val="37"/>
              <w:keepNext w:val="0"/>
              <w:keepLines w:val="0"/>
              <w:pageBreakBefore w:val="0"/>
              <w:widowControl w:val="0"/>
              <w:kinsoku/>
              <w:overflowPunct/>
              <w:bidi w:val="0"/>
              <w:snapToGrid/>
              <w:spacing w:line="320" w:lineRule="exact"/>
              <w:jc w:val="center"/>
              <w:textAlignment w:val="auto"/>
              <w:rPr>
                <w:color w:val="auto"/>
                <w:sz w:val="21"/>
                <w:highlight w:val="none"/>
              </w:rPr>
            </w:pPr>
            <w:r>
              <w:rPr>
                <w:rFonts w:hint="eastAsia"/>
                <w:color w:val="auto"/>
                <w:sz w:val="21"/>
                <w:highlight w:val="none"/>
              </w:rPr>
              <w:t>2.2.2</w:t>
            </w:r>
          </w:p>
        </w:tc>
        <w:tc>
          <w:tcPr>
            <w:tcW w:w="2269" w:type="dxa"/>
            <w:vAlign w:val="center"/>
          </w:tcPr>
          <w:p w14:paraId="001F3D85">
            <w:pPr>
              <w:pStyle w:val="37"/>
              <w:keepNext w:val="0"/>
              <w:keepLines w:val="0"/>
              <w:pageBreakBefore w:val="0"/>
              <w:widowControl w:val="0"/>
              <w:kinsoku/>
              <w:overflowPunct/>
              <w:bidi w:val="0"/>
              <w:snapToGrid/>
              <w:spacing w:before="107" w:line="320" w:lineRule="exact"/>
              <w:ind w:left="144" w:right="144"/>
              <w:jc w:val="center"/>
              <w:textAlignment w:val="auto"/>
              <w:rPr>
                <w:color w:val="auto"/>
                <w:sz w:val="21"/>
                <w:szCs w:val="21"/>
                <w:highlight w:val="none"/>
                <w:lang w:eastAsia="zh-CN"/>
              </w:rPr>
            </w:pPr>
            <w:r>
              <w:rPr>
                <w:rFonts w:hint="eastAsia"/>
                <w:color w:val="auto"/>
                <w:sz w:val="21"/>
                <w:szCs w:val="21"/>
                <w:highlight w:val="none"/>
                <w:lang w:eastAsia="zh-CN"/>
              </w:rPr>
              <w:t>招标文件澄清发出的形式</w:t>
            </w:r>
          </w:p>
        </w:tc>
        <w:tc>
          <w:tcPr>
            <w:tcW w:w="7009" w:type="dxa"/>
            <w:vAlign w:val="center"/>
          </w:tcPr>
          <w:p w14:paraId="18080F82">
            <w:pPr>
              <w:keepNext w:val="0"/>
              <w:keepLines w:val="0"/>
              <w:pageBreakBefore w:val="0"/>
              <w:widowControl w:val="0"/>
              <w:kinsoku/>
              <w:overflowPunct/>
              <w:bidi w:val="0"/>
              <w:snapToGrid/>
              <w:spacing w:line="320" w:lineRule="exact"/>
              <w:ind w:left="88" w:leftChars="40"/>
              <w:jc w:val="both"/>
              <w:textAlignment w:val="auto"/>
              <w:rPr>
                <w:rFonts w:hint="eastAsia"/>
                <w:color w:val="auto"/>
                <w:sz w:val="21"/>
                <w:szCs w:val="21"/>
                <w:highlight w:val="none"/>
                <w:lang w:eastAsia="zh-CN"/>
              </w:rPr>
            </w:pPr>
            <w:r>
              <w:rPr>
                <w:rFonts w:hint="eastAsia"/>
                <w:color w:val="auto"/>
                <w:sz w:val="21"/>
                <w:szCs w:val="21"/>
                <w:highlight w:val="none"/>
                <w:lang w:eastAsia="zh-CN"/>
              </w:rPr>
              <w:t>时间：投标截止日期</w:t>
            </w:r>
            <w:r>
              <w:rPr>
                <w:rFonts w:hint="eastAsia"/>
                <w:color w:val="auto"/>
                <w:sz w:val="21"/>
                <w:szCs w:val="21"/>
                <w:highlight w:val="none"/>
                <w:lang w:val="en-US" w:eastAsia="zh-CN"/>
              </w:rPr>
              <w:t>15</w:t>
            </w:r>
            <w:r>
              <w:rPr>
                <w:rFonts w:hint="eastAsia"/>
                <w:color w:val="auto"/>
                <w:sz w:val="21"/>
                <w:szCs w:val="21"/>
                <w:highlight w:val="none"/>
                <w:lang w:eastAsia="zh-CN"/>
              </w:rPr>
              <w:t xml:space="preserve"> 日前</w:t>
            </w:r>
          </w:p>
          <w:p w14:paraId="3284F39A">
            <w:pPr>
              <w:keepNext w:val="0"/>
              <w:keepLines w:val="0"/>
              <w:pageBreakBefore w:val="0"/>
              <w:widowControl w:val="0"/>
              <w:kinsoku/>
              <w:overflowPunct/>
              <w:bidi w:val="0"/>
              <w:snapToGrid/>
              <w:spacing w:line="320" w:lineRule="exact"/>
              <w:ind w:left="88" w:leftChars="40"/>
              <w:jc w:val="both"/>
              <w:textAlignment w:val="auto"/>
              <w:rPr>
                <w:color w:val="auto"/>
                <w:sz w:val="21"/>
                <w:szCs w:val="21"/>
                <w:highlight w:val="none"/>
                <w:lang w:eastAsia="zh-CN"/>
              </w:rPr>
            </w:pPr>
            <w:r>
              <w:rPr>
                <w:rFonts w:hint="eastAsia"/>
                <w:color w:val="auto"/>
                <w:sz w:val="21"/>
                <w:szCs w:val="21"/>
                <w:highlight w:val="none"/>
                <w:lang w:eastAsia="zh-CN"/>
              </w:rPr>
              <w:t>形式：在“政采云”平台（https://www.zcygov.cn/）中发布，</w:t>
            </w:r>
            <w:r>
              <w:rPr>
                <w:rFonts w:hint="eastAsia"/>
                <w:color w:val="auto"/>
                <w:sz w:val="21"/>
                <w:szCs w:val="21"/>
                <w:highlight w:val="none"/>
                <w:lang w:val="en-US" w:eastAsia="zh-CN"/>
              </w:rPr>
              <w:t>投标人</w:t>
            </w:r>
            <w:r>
              <w:rPr>
                <w:rFonts w:hint="eastAsia"/>
                <w:color w:val="auto"/>
                <w:sz w:val="21"/>
                <w:szCs w:val="21"/>
                <w:highlight w:val="none"/>
                <w:lang w:eastAsia="zh-CN"/>
              </w:rPr>
              <w:t>无需回复确认。因</w:t>
            </w:r>
            <w:r>
              <w:rPr>
                <w:rFonts w:hint="eastAsia"/>
                <w:color w:val="auto"/>
                <w:sz w:val="21"/>
                <w:szCs w:val="21"/>
                <w:highlight w:val="none"/>
                <w:lang w:val="en-US" w:eastAsia="zh-CN"/>
              </w:rPr>
              <w:t>投标人</w:t>
            </w:r>
            <w:r>
              <w:rPr>
                <w:rFonts w:hint="eastAsia"/>
                <w:color w:val="auto"/>
                <w:sz w:val="21"/>
                <w:szCs w:val="21"/>
                <w:highlight w:val="none"/>
                <w:lang w:eastAsia="zh-CN"/>
              </w:rPr>
              <w:t>自身原因未能及时查阅所导致的对本项目有关文件理解错误由供应商自行承担。</w:t>
            </w:r>
          </w:p>
        </w:tc>
      </w:tr>
      <w:tr w14:paraId="4490D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Merge w:val="restart"/>
            <w:vAlign w:val="center"/>
          </w:tcPr>
          <w:p w14:paraId="1FCDD109">
            <w:pPr>
              <w:pStyle w:val="37"/>
              <w:keepNext w:val="0"/>
              <w:keepLines w:val="0"/>
              <w:pageBreakBefore w:val="0"/>
              <w:widowControl w:val="0"/>
              <w:kinsoku/>
              <w:overflowPunct/>
              <w:bidi w:val="0"/>
              <w:snapToGrid/>
              <w:spacing w:before="1" w:line="320" w:lineRule="exact"/>
              <w:ind w:right="-12"/>
              <w:jc w:val="center"/>
              <w:textAlignment w:val="auto"/>
              <w:rPr>
                <w:color w:val="auto"/>
                <w:sz w:val="21"/>
                <w:highlight w:val="none"/>
              </w:rPr>
            </w:pPr>
            <w:r>
              <w:rPr>
                <w:rFonts w:hint="eastAsia"/>
                <w:color w:val="auto"/>
                <w:sz w:val="21"/>
                <w:highlight w:val="none"/>
              </w:rPr>
              <w:t>2.2.3</w:t>
            </w:r>
          </w:p>
        </w:tc>
        <w:tc>
          <w:tcPr>
            <w:tcW w:w="2269" w:type="dxa"/>
            <w:vMerge w:val="restart"/>
            <w:vAlign w:val="center"/>
          </w:tcPr>
          <w:p w14:paraId="4AD0F837">
            <w:pPr>
              <w:pStyle w:val="37"/>
              <w:keepNext w:val="0"/>
              <w:keepLines w:val="0"/>
              <w:pageBreakBefore w:val="0"/>
              <w:widowControl w:val="0"/>
              <w:kinsoku/>
              <w:overflowPunct/>
              <w:bidi w:val="0"/>
              <w:snapToGrid/>
              <w:spacing w:line="320" w:lineRule="exact"/>
              <w:ind w:left="579" w:leftChars="0" w:hanging="579" w:hangingChars="276"/>
              <w:textAlignment w:val="auto"/>
              <w:rPr>
                <w:color w:val="auto"/>
                <w:sz w:val="21"/>
                <w:szCs w:val="21"/>
                <w:highlight w:val="none"/>
                <w:lang w:eastAsia="zh-CN"/>
              </w:rPr>
            </w:pPr>
            <w:r>
              <w:rPr>
                <w:rFonts w:hint="eastAsia"/>
                <w:color w:val="auto"/>
                <w:sz w:val="21"/>
                <w:szCs w:val="21"/>
                <w:highlight w:val="none"/>
                <w:lang w:eastAsia="zh-CN"/>
              </w:rPr>
              <w:t>投标人确认收到招标文件澄清</w:t>
            </w:r>
          </w:p>
        </w:tc>
        <w:tc>
          <w:tcPr>
            <w:tcW w:w="7009" w:type="dxa"/>
            <w:vAlign w:val="center"/>
          </w:tcPr>
          <w:p w14:paraId="23F43840">
            <w:pPr>
              <w:pStyle w:val="37"/>
              <w:keepNext w:val="0"/>
              <w:keepLines w:val="0"/>
              <w:pageBreakBefore w:val="0"/>
              <w:widowControl w:val="0"/>
              <w:kinsoku/>
              <w:overflowPunct/>
              <w:bidi w:val="0"/>
              <w:snapToGrid/>
              <w:spacing w:before="107" w:line="320" w:lineRule="exact"/>
              <w:ind w:left="88" w:leftChars="40"/>
              <w:jc w:val="both"/>
              <w:textAlignment w:val="auto"/>
              <w:rPr>
                <w:color w:val="auto"/>
                <w:sz w:val="21"/>
                <w:szCs w:val="21"/>
                <w:highlight w:val="none"/>
                <w:lang w:eastAsia="zh-CN"/>
              </w:rPr>
            </w:pPr>
            <w:r>
              <w:rPr>
                <w:rFonts w:hint="eastAsia"/>
                <w:color w:val="auto"/>
                <w:sz w:val="21"/>
                <w:szCs w:val="21"/>
                <w:highlight w:val="none"/>
                <w:lang w:eastAsia="zh-CN"/>
              </w:rPr>
              <w:t>时间：收到澄清文件24小时内</w:t>
            </w:r>
          </w:p>
        </w:tc>
      </w:tr>
      <w:tr w14:paraId="4EECF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Merge w:val="continue"/>
            <w:vAlign w:val="center"/>
          </w:tcPr>
          <w:p w14:paraId="74F5BE6F">
            <w:pPr>
              <w:keepNext w:val="0"/>
              <w:keepLines w:val="0"/>
              <w:pageBreakBefore w:val="0"/>
              <w:widowControl w:val="0"/>
              <w:kinsoku/>
              <w:overflowPunct/>
              <w:bidi w:val="0"/>
              <w:snapToGrid/>
              <w:spacing w:line="320" w:lineRule="exact"/>
              <w:jc w:val="center"/>
              <w:textAlignment w:val="auto"/>
              <w:rPr>
                <w:color w:val="auto"/>
                <w:highlight w:val="none"/>
                <w:lang w:eastAsia="zh-CN"/>
              </w:rPr>
            </w:pPr>
          </w:p>
        </w:tc>
        <w:tc>
          <w:tcPr>
            <w:tcW w:w="2269" w:type="dxa"/>
            <w:vMerge w:val="continue"/>
            <w:vAlign w:val="center"/>
          </w:tcPr>
          <w:p w14:paraId="085757F5">
            <w:pPr>
              <w:keepNext w:val="0"/>
              <w:keepLines w:val="0"/>
              <w:pageBreakBefore w:val="0"/>
              <w:widowControl w:val="0"/>
              <w:kinsoku/>
              <w:overflowPunct/>
              <w:bidi w:val="0"/>
              <w:snapToGrid/>
              <w:spacing w:line="320" w:lineRule="exact"/>
              <w:jc w:val="center"/>
              <w:textAlignment w:val="auto"/>
              <w:rPr>
                <w:color w:val="auto"/>
                <w:sz w:val="21"/>
                <w:szCs w:val="21"/>
                <w:highlight w:val="none"/>
                <w:lang w:eastAsia="zh-CN"/>
              </w:rPr>
            </w:pPr>
          </w:p>
        </w:tc>
        <w:tc>
          <w:tcPr>
            <w:tcW w:w="7009" w:type="dxa"/>
            <w:vAlign w:val="center"/>
          </w:tcPr>
          <w:p w14:paraId="3DC77E65">
            <w:pPr>
              <w:pStyle w:val="37"/>
              <w:keepNext w:val="0"/>
              <w:keepLines w:val="0"/>
              <w:pageBreakBefore w:val="0"/>
              <w:widowControl w:val="0"/>
              <w:kinsoku/>
              <w:overflowPunct/>
              <w:bidi w:val="0"/>
              <w:snapToGrid/>
              <w:spacing w:before="108" w:line="320" w:lineRule="exact"/>
              <w:ind w:left="88" w:leftChars="40"/>
              <w:jc w:val="both"/>
              <w:textAlignment w:val="auto"/>
              <w:rPr>
                <w:color w:val="auto"/>
                <w:sz w:val="21"/>
                <w:szCs w:val="21"/>
                <w:highlight w:val="none"/>
              </w:rPr>
            </w:pPr>
            <w:r>
              <w:rPr>
                <w:rFonts w:hint="eastAsia"/>
                <w:color w:val="auto"/>
                <w:sz w:val="21"/>
                <w:szCs w:val="21"/>
                <w:highlight w:val="none"/>
              </w:rPr>
              <w:t>形式：</w:t>
            </w:r>
            <w:r>
              <w:rPr>
                <w:rFonts w:hint="eastAsia"/>
                <w:color w:val="auto"/>
                <w:sz w:val="21"/>
                <w:szCs w:val="21"/>
                <w:highlight w:val="none"/>
                <w:lang w:val="en-US" w:eastAsia="zh-CN"/>
              </w:rPr>
              <w:t>投标人</w:t>
            </w:r>
            <w:r>
              <w:rPr>
                <w:rFonts w:hint="eastAsia"/>
                <w:color w:val="auto"/>
                <w:sz w:val="21"/>
                <w:szCs w:val="21"/>
                <w:highlight w:val="none"/>
              </w:rPr>
              <w:t>在“政采云”平台（https://www.zcygov.cn/）上自行查询，无需以书面形式回复。</w:t>
            </w:r>
          </w:p>
        </w:tc>
      </w:tr>
      <w:tr w14:paraId="6A7C8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1B22DA95">
            <w:pPr>
              <w:pStyle w:val="37"/>
              <w:keepNext w:val="0"/>
              <w:keepLines w:val="0"/>
              <w:pageBreakBefore w:val="0"/>
              <w:widowControl w:val="0"/>
              <w:kinsoku/>
              <w:overflowPunct/>
              <w:bidi w:val="0"/>
              <w:snapToGrid/>
              <w:spacing w:before="156" w:line="320" w:lineRule="exact"/>
              <w:ind w:left="242" w:right="240"/>
              <w:jc w:val="center"/>
              <w:textAlignment w:val="auto"/>
              <w:rPr>
                <w:color w:val="auto"/>
                <w:sz w:val="21"/>
                <w:highlight w:val="none"/>
              </w:rPr>
            </w:pPr>
            <w:r>
              <w:rPr>
                <w:rFonts w:hint="eastAsia"/>
                <w:color w:val="auto"/>
                <w:sz w:val="21"/>
                <w:highlight w:val="none"/>
              </w:rPr>
              <w:t>2.3.1</w:t>
            </w:r>
          </w:p>
        </w:tc>
        <w:tc>
          <w:tcPr>
            <w:tcW w:w="2269" w:type="dxa"/>
            <w:vAlign w:val="center"/>
          </w:tcPr>
          <w:p w14:paraId="0C376480">
            <w:pPr>
              <w:pStyle w:val="37"/>
              <w:keepNext w:val="0"/>
              <w:keepLines w:val="0"/>
              <w:pageBreakBefore w:val="0"/>
              <w:widowControl w:val="0"/>
              <w:kinsoku/>
              <w:overflowPunct/>
              <w:bidi w:val="0"/>
              <w:snapToGrid/>
              <w:spacing w:before="107" w:line="320" w:lineRule="exact"/>
              <w:ind w:left="144" w:right="144"/>
              <w:jc w:val="center"/>
              <w:textAlignment w:val="auto"/>
              <w:rPr>
                <w:color w:val="auto"/>
                <w:sz w:val="21"/>
                <w:szCs w:val="21"/>
                <w:highlight w:val="none"/>
                <w:lang w:eastAsia="zh-CN"/>
              </w:rPr>
            </w:pPr>
            <w:r>
              <w:rPr>
                <w:rFonts w:hint="eastAsia"/>
                <w:color w:val="auto"/>
                <w:sz w:val="21"/>
                <w:szCs w:val="21"/>
                <w:highlight w:val="none"/>
                <w:lang w:eastAsia="zh-CN"/>
              </w:rPr>
              <w:t>招标文件修改发出的形式</w:t>
            </w:r>
          </w:p>
        </w:tc>
        <w:tc>
          <w:tcPr>
            <w:tcW w:w="7009" w:type="dxa"/>
            <w:vAlign w:val="center"/>
          </w:tcPr>
          <w:p w14:paraId="2F7BC377">
            <w:pPr>
              <w:keepNext w:val="0"/>
              <w:keepLines w:val="0"/>
              <w:pageBreakBefore w:val="0"/>
              <w:widowControl w:val="0"/>
              <w:kinsoku/>
              <w:overflowPunct/>
              <w:bidi w:val="0"/>
              <w:snapToGrid/>
              <w:spacing w:line="320" w:lineRule="exact"/>
              <w:ind w:left="88" w:leftChars="40"/>
              <w:jc w:val="both"/>
              <w:textAlignment w:val="auto"/>
              <w:rPr>
                <w:color w:val="auto"/>
                <w:sz w:val="21"/>
                <w:szCs w:val="21"/>
                <w:highlight w:val="none"/>
                <w:lang w:eastAsia="zh-CN"/>
              </w:rPr>
            </w:pPr>
            <w:r>
              <w:rPr>
                <w:rFonts w:hint="eastAsia"/>
                <w:color w:val="auto"/>
                <w:sz w:val="21"/>
                <w:szCs w:val="21"/>
                <w:highlight w:val="none"/>
                <w:lang w:val="en-US" w:eastAsia="zh-CN"/>
              </w:rPr>
              <w:t>投标人</w:t>
            </w:r>
            <w:r>
              <w:rPr>
                <w:rFonts w:hint="eastAsia"/>
                <w:color w:val="auto"/>
                <w:sz w:val="21"/>
                <w:szCs w:val="21"/>
                <w:highlight w:val="none"/>
                <w:lang w:eastAsia="zh-CN"/>
              </w:rPr>
              <w:t>在“政采云”平台（https://www.zcygov.cn/）上自行查询，无需以书面形式回复。</w:t>
            </w:r>
          </w:p>
        </w:tc>
      </w:tr>
      <w:tr w14:paraId="4B88C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Merge w:val="restart"/>
            <w:vAlign w:val="center"/>
          </w:tcPr>
          <w:p w14:paraId="55BF6718">
            <w:pPr>
              <w:pStyle w:val="37"/>
              <w:keepNext w:val="0"/>
              <w:keepLines w:val="0"/>
              <w:pageBreakBefore w:val="0"/>
              <w:widowControl w:val="0"/>
              <w:kinsoku/>
              <w:overflowPunct/>
              <w:bidi w:val="0"/>
              <w:snapToGrid/>
              <w:spacing w:line="320" w:lineRule="exact"/>
              <w:jc w:val="center"/>
              <w:textAlignment w:val="auto"/>
              <w:rPr>
                <w:color w:val="auto"/>
                <w:sz w:val="21"/>
                <w:highlight w:val="none"/>
              </w:rPr>
            </w:pPr>
            <w:r>
              <w:rPr>
                <w:rFonts w:hint="eastAsia"/>
                <w:color w:val="auto"/>
                <w:sz w:val="21"/>
                <w:highlight w:val="none"/>
              </w:rPr>
              <w:t>2.3.2</w:t>
            </w:r>
          </w:p>
        </w:tc>
        <w:tc>
          <w:tcPr>
            <w:tcW w:w="2269" w:type="dxa"/>
            <w:vMerge w:val="restart"/>
            <w:vAlign w:val="center"/>
          </w:tcPr>
          <w:p w14:paraId="3A944D63">
            <w:pPr>
              <w:pStyle w:val="37"/>
              <w:keepNext w:val="0"/>
              <w:keepLines w:val="0"/>
              <w:pageBreakBefore w:val="0"/>
              <w:widowControl w:val="0"/>
              <w:kinsoku/>
              <w:overflowPunct/>
              <w:bidi w:val="0"/>
              <w:snapToGrid/>
              <w:spacing w:line="320" w:lineRule="exact"/>
              <w:jc w:val="center"/>
              <w:textAlignment w:val="auto"/>
              <w:rPr>
                <w:color w:val="auto"/>
                <w:sz w:val="21"/>
                <w:highlight w:val="none"/>
                <w:lang w:eastAsia="zh-CN"/>
              </w:rPr>
            </w:pPr>
            <w:r>
              <w:rPr>
                <w:rFonts w:hint="eastAsia"/>
                <w:color w:val="auto"/>
                <w:sz w:val="21"/>
                <w:highlight w:val="none"/>
                <w:lang w:eastAsia="zh-CN"/>
              </w:rPr>
              <w:t>投标人确认收到招标文件修改</w:t>
            </w:r>
          </w:p>
        </w:tc>
        <w:tc>
          <w:tcPr>
            <w:tcW w:w="7009" w:type="dxa"/>
            <w:vAlign w:val="center"/>
          </w:tcPr>
          <w:p w14:paraId="45B14937">
            <w:pPr>
              <w:pStyle w:val="37"/>
              <w:keepNext w:val="0"/>
              <w:keepLines w:val="0"/>
              <w:pageBreakBefore w:val="0"/>
              <w:widowControl w:val="0"/>
              <w:kinsoku/>
              <w:overflowPunct/>
              <w:bidi w:val="0"/>
              <w:snapToGrid/>
              <w:spacing w:before="107" w:line="320" w:lineRule="exact"/>
              <w:ind w:left="88" w:leftChars="40"/>
              <w:jc w:val="both"/>
              <w:textAlignment w:val="auto"/>
              <w:rPr>
                <w:color w:val="auto"/>
                <w:sz w:val="21"/>
                <w:szCs w:val="21"/>
                <w:highlight w:val="none"/>
                <w:lang w:eastAsia="zh-CN"/>
              </w:rPr>
            </w:pPr>
            <w:r>
              <w:rPr>
                <w:rFonts w:hint="eastAsia"/>
                <w:color w:val="auto"/>
                <w:sz w:val="21"/>
                <w:szCs w:val="21"/>
                <w:highlight w:val="none"/>
                <w:lang w:eastAsia="zh-CN"/>
              </w:rPr>
              <w:t>时间：收到澄清文件24小时内</w:t>
            </w:r>
          </w:p>
        </w:tc>
      </w:tr>
      <w:tr w14:paraId="058DB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Merge w:val="continue"/>
            <w:vAlign w:val="center"/>
          </w:tcPr>
          <w:p w14:paraId="17A771D6">
            <w:pPr>
              <w:keepNext w:val="0"/>
              <w:keepLines w:val="0"/>
              <w:pageBreakBefore w:val="0"/>
              <w:widowControl w:val="0"/>
              <w:kinsoku/>
              <w:overflowPunct/>
              <w:bidi w:val="0"/>
              <w:snapToGrid/>
              <w:spacing w:line="320" w:lineRule="exact"/>
              <w:jc w:val="center"/>
              <w:textAlignment w:val="auto"/>
              <w:rPr>
                <w:color w:val="auto"/>
                <w:highlight w:val="none"/>
                <w:lang w:eastAsia="zh-CN"/>
              </w:rPr>
            </w:pPr>
          </w:p>
        </w:tc>
        <w:tc>
          <w:tcPr>
            <w:tcW w:w="2269" w:type="dxa"/>
            <w:vMerge w:val="continue"/>
            <w:vAlign w:val="center"/>
          </w:tcPr>
          <w:p w14:paraId="639E65CC">
            <w:pPr>
              <w:keepNext w:val="0"/>
              <w:keepLines w:val="0"/>
              <w:pageBreakBefore w:val="0"/>
              <w:widowControl w:val="0"/>
              <w:kinsoku/>
              <w:overflowPunct/>
              <w:bidi w:val="0"/>
              <w:snapToGrid/>
              <w:spacing w:line="320" w:lineRule="exact"/>
              <w:jc w:val="center"/>
              <w:textAlignment w:val="auto"/>
              <w:rPr>
                <w:color w:val="auto"/>
                <w:highlight w:val="none"/>
                <w:lang w:eastAsia="zh-CN"/>
              </w:rPr>
            </w:pPr>
          </w:p>
        </w:tc>
        <w:tc>
          <w:tcPr>
            <w:tcW w:w="7009" w:type="dxa"/>
            <w:vAlign w:val="center"/>
          </w:tcPr>
          <w:p w14:paraId="33CF518D">
            <w:pPr>
              <w:pStyle w:val="37"/>
              <w:keepNext w:val="0"/>
              <w:keepLines w:val="0"/>
              <w:pageBreakBefore w:val="0"/>
              <w:widowControl w:val="0"/>
              <w:kinsoku/>
              <w:overflowPunct/>
              <w:bidi w:val="0"/>
              <w:snapToGrid/>
              <w:spacing w:before="107" w:line="320" w:lineRule="exact"/>
              <w:ind w:left="88" w:leftChars="40"/>
              <w:jc w:val="both"/>
              <w:textAlignment w:val="auto"/>
              <w:rPr>
                <w:color w:val="auto"/>
                <w:sz w:val="21"/>
                <w:szCs w:val="21"/>
                <w:highlight w:val="none"/>
              </w:rPr>
            </w:pPr>
            <w:r>
              <w:rPr>
                <w:rFonts w:hint="eastAsia"/>
                <w:color w:val="auto"/>
                <w:sz w:val="21"/>
                <w:szCs w:val="21"/>
                <w:highlight w:val="none"/>
              </w:rPr>
              <w:t>形式：</w:t>
            </w:r>
            <w:r>
              <w:rPr>
                <w:rFonts w:hint="eastAsia"/>
                <w:color w:val="auto"/>
                <w:sz w:val="21"/>
                <w:szCs w:val="21"/>
                <w:highlight w:val="none"/>
                <w:lang w:val="en-US" w:eastAsia="zh-CN"/>
              </w:rPr>
              <w:t>投标人</w:t>
            </w:r>
            <w:r>
              <w:rPr>
                <w:rFonts w:hint="eastAsia"/>
                <w:color w:val="auto"/>
                <w:sz w:val="21"/>
                <w:szCs w:val="21"/>
                <w:highlight w:val="none"/>
              </w:rPr>
              <w:t>在“政采云”平台（https://www.zcygov.cn/）上自行查询，无需以书面形式回复。</w:t>
            </w:r>
          </w:p>
        </w:tc>
      </w:tr>
      <w:tr w14:paraId="0899D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100AF57F">
            <w:pPr>
              <w:pStyle w:val="37"/>
              <w:keepNext w:val="0"/>
              <w:keepLines w:val="0"/>
              <w:pageBreakBefore w:val="0"/>
              <w:widowControl w:val="0"/>
              <w:kinsoku/>
              <w:overflowPunct/>
              <w:bidi w:val="0"/>
              <w:snapToGrid/>
              <w:spacing w:before="156" w:line="320" w:lineRule="exact"/>
              <w:jc w:val="center"/>
              <w:textAlignment w:val="auto"/>
              <w:rPr>
                <w:color w:val="auto"/>
                <w:sz w:val="21"/>
                <w:highlight w:val="none"/>
              </w:rPr>
            </w:pPr>
            <w:r>
              <w:rPr>
                <w:rFonts w:hint="eastAsia"/>
                <w:color w:val="auto"/>
                <w:sz w:val="21"/>
                <w:highlight w:val="none"/>
              </w:rPr>
              <w:t>3.1.1</w:t>
            </w:r>
          </w:p>
        </w:tc>
        <w:tc>
          <w:tcPr>
            <w:tcW w:w="2269" w:type="dxa"/>
            <w:vAlign w:val="center"/>
          </w:tcPr>
          <w:p w14:paraId="57F61375">
            <w:pPr>
              <w:pStyle w:val="37"/>
              <w:keepNext w:val="0"/>
              <w:keepLines w:val="0"/>
              <w:pageBreakBefore w:val="0"/>
              <w:widowControl w:val="0"/>
              <w:kinsoku/>
              <w:overflowPunct/>
              <w:bidi w:val="0"/>
              <w:snapToGrid/>
              <w:spacing w:before="107" w:line="320" w:lineRule="exact"/>
              <w:jc w:val="center"/>
              <w:textAlignment w:val="auto"/>
              <w:rPr>
                <w:color w:val="auto"/>
                <w:sz w:val="21"/>
                <w:highlight w:val="none"/>
                <w:lang w:eastAsia="zh-CN"/>
              </w:rPr>
            </w:pPr>
            <w:r>
              <w:rPr>
                <w:rFonts w:hint="eastAsia"/>
                <w:color w:val="auto"/>
                <w:sz w:val="21"/>
                <w:highlight w:val="none"/>
                <w:lang w:eastAsia="zh-CN"/>
              </w:rPr>
              <w:t>构成投标文件的其他资料</w:t>
            </w:r>
          </w:p>
        </w:tc>
        <w:tc>
          <w:tcPr>
            <w:tcW w:w="7009" w:type="dxa"/>
            <w:vAlign w:val="center"/>
          </w:tcPr>
          <w:p w14:paraId="6D4CBB3C">
            <w:pPr>
              <w:keepNext w:val="0"/>
              <w:keepLines w:val="0"/>
              <w:pageBreakBefore w:val="0"/>
              <w:widowControl w:val="0"/>
              <w:kinsoku/>
              <w:overflowPunct/>
              <w:bidi w:val="0"/>
              <w:snapToGrid/>
              <w:spacing w:line="320" w:lineRule="exact"/>
              <w:ind w:left="88" w:leftChars="40"/>
              <w:jc w:val="both"/>
              <w:textAlignment w:val="auto"/>
              <w:rPr>
                <w:color w:val="auto"/>
                <w:sz w:val="21"/>
                <w:szCs w:val="21"/>
                <w:highlight w:val="none"/>
                <w:lang w:eastAsia="zh-CN"/>
              </w:rPr>
            </w:pPr>
            <w:r>
              <w:rPr>
                <w:rFonts w:hint="eastAsia"/>
                <w:color w:val="auto"/>
                <w:sz w:val="21"/>
                <w:szCs w:val="21"/>
                <w:highlight w:val="none"/>
                <w:lang w:eastAsia="zh-CN"/>
              </w:rPr>
              <w:t>无</w:t>
            </w:r>
          </w:p>
        </w:tc>
      </w:tr>
      <w:tr w14:paraId="5EA30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600ECE31">
            <w:pPr>
              <w:pStyle w:val="37"/>
              <w:keepNext w:val="0"/>
              <w:keepLines w:val="0"/>
              <w:pageBreakBefore w:val="0"/>
              <w:widowControl w:val="0"/>
              <w:kinsoku/>
              <w:overflowPunct/>
              <w:bidi w:val="0"/>
              <w:snapToGrid/>
              <w:spacing w:before="156" w:line="320" w:lineRule="exact"/>
              <w:jc w:val="center"/>
              <w:textAlignment w:val="auto"/>
              <w:rPr>
                <w:color w:val="auto"/>
                <w:sz w:val="21"/>
                <w:highlight w:val="none"/>
              </w:rPr>
            </w:pPr>
            <w:r>
              <w:rPr>
                <w:rFonts w:hint="eastAsia"/>
                <w:color w:val="auto"/>
                <w:sz w:val="21"/>
                <w:highlight w:val="none"/>
              </w:rPr>
              <w:t>3.2.1</w:t>
            </w:r>
          </w:p>
        </w:tc>
        <w:tc>
          <w:tcPr>
            <w:tcW w:w="2269" w:type="dxa"/>
            <w:vAlign w:val="center"/>
          </w:tcPr>
          <w:p w14:paraId="49605517">
            <w:pPr>
              <w:pStyle w:val="37"/>
              <w:keepNext w:val="0"/>
              <w:keepLines w:val="0"/>
              <w:pageBreakBefore w:val="0"/>
              <w:widowControl w:val="0"/>
              <w:kinsoku/>
              <w:overflowPunct/>
              <w:bidi w:val="0"/>
              <w:snapToGrid/>
              <w:spacing w:before="107" w:line="320" w:lineRule="exact"/>
              <w:jc w:val="center"/>
              <w:textAlignment w:val="auto"/>
              <w:rPr>
                <w:color w:val="auto"/>
                <w:sz w:val="21"/>
                <w:highlight w:val="none"/>
                <w:lang w:eastAsia="zh-CN"/>
              </w:rPr>
            </w:pPr>
            <w:r>
              <w:rPr>
                <w:rFonts w:hint="eastAsia"/>
                <w:color w:val="auto"/>
                <w:sz w:val="21"/>
                <w:highlight w:val="none"/>
                <w:lang w:eastAsia="zh-CN"/>
              </w:rPr>
              <w:t>增值税税金的计算方法</w:t>
            </w:r>
          </w:p>
        </w:tc>
        <w:tc>
          <w:tcPr>
            <w:tcW w:w="7009" w:type="dxa"/>
            <w:vAlign w:val="center"/>
          </w:tcPr>
          <w:p w14:paraId="6EA57F37">
            <w:pPr>
              <w:keepNext w:val="0"/>
              <w:keepLines w:val="0"/>
              <w:pageBreakBefore w:val="0"/>
              <w:widowControl w:val="0"/>
              <w:kinsoku/>
              <w:overflowPunct/>
              <w:bidi w:val="0"/>
              <w:snapToGrid/>
              <w:spacing w:line="320" w:lineRule="exact"/>
              <w:ind w:left="88" w:leftChars="40"/>
              <w:jc w:val="both"/>
              <w:textAlignment w:val="auto"/>
              <w:rPr>
                <w:color w:val="auto"/>
                <w:sz w:val="21"/>
                <w:szCs w:val="21"/>
                <w:highlight w:val="none"/>
                <w:lang w:eastAsia="zh-CN"/>
              </w:rPr>
            </w:pPr>
            <w:r>
              <w:rPr>
                <w:rFonts w:hint="eastAsia"/>
                <w:color w:val="auto"/>
                <w:sz w:val="21"/>
                <w:szCs w:val="21"/>
                <w:highlight w:val="none"/>
              </w:rPr>
              <w:t>按一般计税方法计算</w:t>
            </w:r>
          </w:p>
        </w:tc>
      </w:tr>
      <w:tr w14:paraId="3D773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16B01ADE">
            <w:pPr>
              <w:pStyle w:val="37"/>
              <w:keepNext w:val="0"/>
              <w:keepLines w:val="0"/>
              <w:pageBreakBefore w:val="0"/>
              <w:widowControl w:val="0"/>
              <w:kinsoku/>
              <w:overflowPunct/>
              <w:bidi w:val="0"/>
              <w:snapToGrid/>
              <w:spacing w:before="156" w:line="320" w:lineRule="exact"/>
              <w:jc w:val="center"/>
              <w:textAlignment w:val="auto"/>
              <w:rPr>
                <w:color w:val="auto"/>
                <w:sz w:val="21"/>
                <w:highlight w:val="none"/>
              </w:rPr>
            </w:pPr>
            <w:r>
              <w:rPr>
                <w:rFonts w:hint="eastAsia"/>
                <w:color w:val="auto"/>
                <w:sz w:val="21"/>
                <w:highlight w:val="none"/>
              </w:rPr>
              <w:t>3.2.3</w:t>
            </w:r>
          </w:p>
        </w:tc>
        <w:tc>
          <w:tcPr>
            <w:tcW w:w="2269" w:type="dxa"/>
            <w:vAlign w:val="center"/>
          </w:tcPr>
          <w:p w14:paraId="7E5C5800">
            <w:pPr>
              <w:pStyle w:val="37"/>
              <w:keepNext w:val="0"/>
              <w:keepLines w:val="0"/>
              <w:pageBreakBefore w:val="0"/>
              <w:widowControl w:val="0"/>
              <w:kinsoku/>
              <w:overflowPunct/>
              <w:bidi w:val="0"/>
              <w:snapToGrid/>
              <w:spacing w:before="107" w:line="320" w:lineRule="exact"/>
              <w:jc w:val="center"/>
              <w:textAlignment w:val="auto"/>
              <w:rPr>
                <w:color w:val="auto"/>
                <w:sz w:val="21"/>
                <w:highlight w:val="none"/>
              </w:rPr>
            </w:pPr>
            <w:r>
              <w:rPr>
                <w:rFonts w:hint="eastAsia"/>
                <w:color w:val="auto"/>
                <w:sz w:val="21"/>
                <w:highlight w:val="none"/>
              </w:rPr>
              <w:t>报价方式</w:t>
            </w:r>
          </w:p>
        </w:tc>
        <w:tc>
          <w:tcPr>
            <w:tcW w:w="7009" w:type="dxa"/>
            <w:vAlign w:val="center"/>
          </w:tcPr>
          <w:p w14:paraId="22A5A61C">
            <w:pPr>
              <w:keepNext w:val="0"/>
              <w:keepLines w:val="0"/>
              <w:pageBreakBefore w:val="0"/>
              <w:widowControl w:val="0"/>
              <w:kinsoku/>
              <w:overflowPunct/>
              <w:bidi w:val="0"/>
              <w:snapToGrid/>
              <w:spacing w:line="320" w:lineRule="exact"/>
              <w:ind w:left="88" w:leftChars="40"/>
              <w:jc w:val="both"/>
              <w:textAlignment w:val="auto"/>
              <w:rPr>
                <w:color w:val="auto"/>
                <w:sz w:val="21"/>
                <w:szCs w:val="21"/>
                <w:highlight w:val="none"/>
                <w:lang w:eastAsia="zh-CN"/>
              </w:rPr>
            </w:pPr>
            <w:r>
              <w:rPr>
                <w:rFonts w:hint="eastAsia"/>
                <w:color w:val="auto"/>
                <w:sz w:val="21"/>
                <w:szCs w:val="21"/>
                <w:highlight w:val="none"/>
                <w:lang w:eastAsia="zh-CN"/>
              </w:rPr>
              <w:t>本合同监理服务费结合自身因素，进行投标报价。</w:t>
            </w:r>
          </w:p>
        </w:tc>
      </w:tr>
      <w:tr w14:paraId="517BC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0A008D1B">
            <w:pPr>
              <w:pStyle w:val="37"/>
              <w:keepNext w:val="0"/>
              <w:keepLines w:val="0"/>
              <w:pageBreakBefore w:val="0"/>
              <w:widowControl w:val="0"/>
              <w:kinsoku/>
              <w:overflowPunct/>
              <w:bidi w:val="0"/>
              <w:snapToGrid/>
              <w:spacing w:line="320" w:lineRule="exact"/>
              <w:jc w:val="center"/>
              <w:textAlignment w:val="auto"/>
              <w:rPr>
                <w:color w:val="auto"/>
                <w:sz w:val="21"/>
                <w:highlight w:val="none"/>
              </w:rPr>
            </w:pPr>
            <w:r>
              <w:rPr>
                <w:rFonts w:hint="eastAsia"/>
                <w:color w:val="auto"/>
                <w:sz w:val="21"/>
                <w:highlight w:val="none"/>
              </w:rPr>
              <w:t>3.2.4</w:t>
            </w:r>
          </w:p>
        </w:tc>
        <w:tc>
          <w:tcPr>
            <w:tcW w:w="2269" w:type="dxa"/>
            <w:vAlign w:val="center"/>
          </w:tcPr>
          <w:p w14:paraId="51809121">
            <w:pPr>
              <w:pStyle w:val="37"/>
              <w:keepNext w:val="0"/>
              <w:keepLines w:val="0"/>
              <w:pageBreakBefore w:val="0"/>
              <w:widowControl w:val="0"/>
              <w:kinsoku/>
              <w:overflowPunct/>
              <w:bidi w:val="0"/>
              <w:snapToGrid/>
              <w:spacing w:line="320" w:lineRule="exact"/>
              <w:jc w:val="center"/>
              <w:textAlignment w:val="auto"/>
              <w:rPr>
                <w:color w:val="auto"/>
                <w:sz w:val="21"/>
                <w:highlight w:val="none"/>
              </w:rPr>
            </w:pPr>
            <w:r>
              <w:rPr>
                <w:rFonts w:hint="eastAsia"/>
                <w:color w:val="auto"/>
                <w:sz w:val="21"/>
                <w:highlight w:val="none"/>
              </w:rPr>
              <w:t>最高投标限价</w:t>
            </w:r>
          </w:p>
        </w:tc>
        <w:tc>
          <w:tcPr>
            <w:tcW w:w="7009" w:type="dxa"/>
            <w:vAlign w:val="center"/>
          </w:tcPr>
          <w:p w14:paraId="2D76A373">
            <w:pPr>
              <w:pStyle w:val="37"/>
              <w:keepNext w:val="0"/>
              <w:keepLines w:val="0"/>
              <w:pageBreakBefore w:val="0"/>
              <w:widowControl w:val="0"/>
              <w:kinsoku/>
              <w:overflowPunct/>
              <w:bidi w:val="0"/>
              <w:snapToGrid/>
              <w:spacing w:before="54" w:line="320" w:lineRule="exact"/>
              <w:ind w:left="88" w:leftChars="40"/>
              <w:jc w:val="both"/>
              <w:textAlignment w:val="auto"/>
              <w:rPr>
                <w:color w:val="auto"/>
                <w:sz w:val="21"/>
                <w:szCs w:val="21"/>
                <w:highlight w:val="none"/>
                <w:lang w:eastAsia="zh-CN"/>
              </w:rPr>
            </w:pPr>
            <w:r>
              <w:rPr>
                <w:rFonts w:hint="eastAsia"/>
                <w:color w:val="auto"/>
                <w:sz w:val="21"/>
                <w:szCs w:val="21"/>
                <w:highlight w:val="none"/>
                <w:lang w:eastAsia="zh-CN"/>
              </w:rPr>
              <w:sym w:font="Wingdings" w:char="00A8"/>
            </w:r>
            <w:r>
              <w:rPr>
                <w:rFonts w:hint="eastAsia"/>
                <w:color w:val="auto"/>
                <w:sz w:val="21"/>
                <w:szCs w:val="21"/>
                <w:highlight w:val="none"/>
                <w:lang w:eastAsia="zh-CN"/>
              </w:rPr>
              <w:t>无</w:t>
            </w:r>
          </w:p>
          <w:p w14:paraId="11F81AF1">
            <w:pPr>
              <w:pStyle w:val="37"/>
              <w:keepNext w:val="0"/>
              <w:keepLines w:val="0"/>
              <w:pageBreakBefore w:val="0"/>
              <w:widowControl w:val="0"/>
              <w:kinsoku/>
              <w:overflowPunct/>
              <w:bidi w:val="0"/>
              <w:snapToGrid/>
              <w:spacing w:before="73" w:line="320" w:lineRule="exact"/>
              <w:ind w:left="88" w:leftChars="40"/>
              <w:jc w:val="both"/>
              <w:textAlignment w:val="auto"/>
              <w:rPr>
                <w:rFonts w:hint="default"/>
                <w:color w:val="auto"/>
                <w:sz w:val="21"/>
                <w:highlight w:val="none"/>
                <w:lang w:val="en-US" w:eastAsia="zh-CN"/>
              </w:rPr>
            </w:pPr>
            <w:r>
              <w:rPr>
                <w:rFonts w:hint="eastAsia"/>
                <w:color w:val="auto"/>
                <w:sz w:val="21"/>
                <w:szCs w:val="21"/>
                <w:highlight w:val="none"/>
                <w:lang w:eastAsia="zh-CN"/>
              </w:rPr>
              <w:sym w:font="Wingdings" w:char="00FE"/>
            </w:r>
            <w:r>
              <w:rPr>
                <w:rFonts w:hint="eastAsia"/>
                <w:color w:val="auto"/>
                <w:sz w:val="21"/>
                <w:szCs w:val="21"/>
                <w:highlight w:val="none"/>
                <w:lang w:eastAsia="zh-CN"/>
              </w:rPr>
              <w:t>有，</w:t>
            </w:r>
            <w:r>
              <w:rPr>
                <w:rFonts w:hint="eastAsia"/>
                <w:color w:val="auto"/>
                <w:sz w:val="21"/>
                <w:highlight w:val="none"/>
                <w:lang w:eastAsia="zh-CN"/>
              </w:rPr>
              <w:t>最高投标限价：</w:t>
            </w:r>
            <w:r>
              <w:rPr>
                <w:rFonts w:hint="eastAsia"/>
                <w:color w:val="auto"/>
                <w:sz w:val="21"/>
                <w:highlight w:val="none"/>
                <w:lang w:val="en-US" w:eastAsia="zh-CN"/>
              </w:rPr>
              <w:t>1600000元。</w:t>
            </w:r>
          </w:p>
        </w:tc>
      </w:tr>
      <w:tr w14:paraId="43B19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31746583">
            <w:pPr>
              <w:pStyle w:val="37"/>
              <w:keepNext w:val="0"/>
              <w:keepLines w:val="0"/>
              <w:pageBreakBefore w:val="0"/>
              <w:widowControl w:val="0"/>
              <w:kinsoku/>
              <w:wordWrap/>
              <w:overflowPunct/>
              <w:topLinePunct w:val="0"/>
              <w:autoSpaceDE/>
              <w:autoSpaceDN/>
              <w:bidi w:val="0"/>
              <w:adjustRightInd/>
              <w:snapToGrid/>
              <w:spacing w:before="156" w:line="320" w:lineRule="exact"/>
              <w:jc w:val="center"/>
              <w:textAlignment w:val="auto"/>
              <w:rPr>
                <w:color w:val="auto"/>
                <w:sz w:val="21"/>
                <w:highlight w:val="none"/>
              </w:rPr>
            </w:pPr>
            <w:r>
              <w:rPr>
                <w:rFonts w:hint="eastAsia"/>
                <w:color w:val="auto"/>
                <w:sz w:val="21"/>
                <w:highlight w:val="none"/>
              </w:rPr>
              <w:t>3.2.5</w:t>
            </w:r>
          </w:p>
        </w:tc>
        <w:tc>
          <w:tcPr>
            <w:tcW w:w="2269" w:type="dxa"/>
            <w:vAlign w:val="center"/>
          </w:tcPr>
          <w:p w14:paraId="1BE05E75">
            <w:pPr>
              <w:pStyle w:val="37"/>
              <w:keepNext w:val="0"/>
              <w:keepLines w:val="0"/>
              <w:pageBreakBefore w:val="0"/>
              <w:widowControl w:val="0"/>
              <w:kinsoku/>
              <w:wordWrap/>
              <w:overflowPunct/>
              <w:topLinePunct w:val="0"/>
              <w:autoSpaceDE/>
              <w:autoSpaceDN/>
              <w:bidi w:val="0"/>
              <w:adjustRightInd/>
              <w:snapToGrid/>
              <w:spacing w:before="107" w:line="320" w:lineRule="exact"/>
              <w:jc w:val="center"/>
              <w:textAlignment w:val="auto"/>
              <w:rPr>
                <w:color w:val="auto"/>
                <w:sz w:val="21"/>
                <w:highlight w:val="none"/>
              </w:rPr>
            </w:pPr>
            <w:r>
              <w:rPr>
                <w:rFonts w:hint="eastAsia"/>
                <w:color w:val="auto"/>
                <w:sz w:val="21"/>
                <w:highlight w:val="none"/>
              </w:rPr>
              <w:t>投标报价的其他要求</w:t>
            </w:r>
          </w:p>
        </w:tc>
        <w:tc>
          <w:tcPr>
            <w:tcW w:w="7009" w:type="dxa"/>
            <w:vAlign w:val="center"/>
          </w:tcPr>
          <w:p w14:paraId="6F01396B">
            <w:pPr>
              <w:keepNext w:val="0"/>
              <w:keepLines w:val="0"/>
              <w:pageBreakBefore w:val="0"/>
              <w:widowControl w:val="0"/>
              <w:kinsoku/>
              <w:wordWrap/>
              <w:overflowPunct/>
              <w:topLinePunct w:val="0"/>
              <w:autoSpaceDE/>
              <w:autoSpaceDN/>
              <w:bidi w:val="0"/>
              <w:adjustRightInd/>
              <w:snapToGrid/>
              <w:spacing w:line="320" w:lineRule="exact"/>
              <w:ind w:left="88" w:leftChars="40"/>
              <w:jc w:val="both"/>
              <w:textAlignment w:val="auto"/>
              <w:rPr>
                <w:color w:val="auto"/>
                <w:highlight w:val="none"/>
                <w:lang w:eastAsia="zh-CN"/>
              </w:rPr>
            </w:pPr>
            <w:r>
              <w:rPr>
                <w:rFonts w:hint="eastAsia"/>
                <w:color w:val="auto"/>
                <w:sz w:val="21"/>
                <w:szCs w:val="21"/>
                <w:highlight w:val="none"/>
                <w:lang w:eastAsia="zh-CN"/>
              </w:rPr>
              <w:t>监理服务取费报价应包括为工程施工、竣工验收、工程缺陷责任期、</w:t>
            </w:r>
            <w:r>
              <w:rPr>
                <w:rFonts w:hint="eastAsia"/>
                <w:color w:val="auto"/>
                <w:sz w:val="21"/>
                <w:szCs w:val="21"/>
                <w:highlight w:val="none"/>
                <w:lang w:val="en-US" w:eastAsia="zh-CN"/>
              </w:rPr>
              <w:t>有机肥施撒</w:t>
            </w:r>
            <w:r>
              <w:rPr>
                <w:rFonts w:hint="eastAsia"/>
                <w:color w:val="auto"/>
                <w:sz w:val="21"/>
                <w:szCs w:val="21"/>
                <w:highlight w:val="none"/>
                <w:lang w:eastAsia="zh-CN"/>
              </w:rPr>
              <w:t>全过程提供监理服务，所需招标人支付的监理服务费，监理费用在监理合同实施期间固定不变。</w:t>
            </w:r>
          </w:p>
        </w:tc>
      </w:tr>
      <w:tr w14:paraId="27194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2AAEC43E">
            <w:pPr>
              <w:pStyle w:val="37"/>
              <w:keepNext w:val="0"/>
              <w:keepLines w:val="0"/>
              <w:pageBreakBefore w:val="0"/>
              <w:widowControl w:val="0"/>
              <w:kinsoku/>
              <w:wordWrap/>
              <w:overflowPunct/>
              <w:topLinePunct w:val="0"/>
              <w:autoSpaceDE/>
              <w:autoSpaceDN/>
              <w:bidi w:val="0"/>
              <w:adjustRightInd/>
              <w:snapToGrid/>
              <w:spacing w:before="159" w:line="320" w:lineRule="exact"/>
              <w:jc w:val="center"/>
              <w:textAlignment w:val="auto"/>
              <w:rPr>
                <w:color w:val="auto"/>
                <w:sz w:val="21"/>
                <w:highlight w:val="none"/>
              </w:rPr>
            </w:pPr>
            <w:r>
              <w:rPr>
                <w:rFonts w:hint="eastAsia"/>
                <w:color w:val="auto"/>
                <w:sz w:val="21"/>
                <w:highlight w:val="none"/>
              </w:rPr>
              <w:t>3.3.1</w:t>
            </w:r>
          </w:p>
        </w:tc>
        <w:tc>
          <w:tcPr>
            <w:tcW w:w="2269" w:type="dxa"/>
            <w:vAlign w:val="center"/>
          </w:tcPr>
          <w:p w14:paraId="1AE4856F">
            <w:pPr>
              <w:pStyle w:val="37"/>
              <w:keepNext w:val="0"/>
              <w:keepLines w:val="0"/>
              <w:pageBreakBefore w:val="0"/>
              <w:widowControl w:val="0"/>
              <w:kinsoku/>
              <w:wordWrap/>
              <w:overflowPunct/>
              <w:topLinePunct w:val="0"/>
              <w:autoSpaceDE/>
              <w:autoSpaceDN/>
              <w:bidi w:val="0"/>
              <w:adjustRightInd/>
              <w:snapToGrid/>
              <w:spacing w:before="110" w:line="320" w:lineRule="exact"/>
              <w:jc w:val="center"/>
              <w:textAlignment w:val="auto"/>
              <w:rPr>
                <w:color w:val="auto"/>
                <w:sz w:val="21"/>
                <w:highlight w:val="none"/>
              </w:rPr>
            </w:pPr>
            <w:r>
              <w:rPr>
                <w:rFonts w:hint="eastAsia"/>
                <w:color w:val="auto"/>
                <w:sz w:val="21"/>
                <w:highlight w:val="none"/>
              </w:rPr>
              <w:t>投标有效期</w:t>
            </w:r>
          </w:p>
        </w:tc>
        <w:tc>
          <w:tcPr>
            <w:tcW w:w="7009" w:type="dxa"/>
            <w:vAlign w:val="center"/>
          </w:tcPr>
          <w:p w14:paraId="41D215EB">
            <w:pPr>
              <w:keepNext w:val="0"/>
              <w:keepLines w:val="0"/>
              <w:pageBreakBefore w:val="0"/>
              <w:widowControl w:val="0"/>
              <w:kinsoku/>
              <w:wordWrap/>
              <w:overflowPunct/>
              <w:topLinePunct w:val="0"/>
              <w:autoSpaceDE/>
              <w:autoSpaceDN/>
              <w:bidi w:val="0"/>
              <w:adjustRightInd/>
              <w:snapToGrid/>
              <w:spacing w:line="320" w:lineRule="exact"/>
              <w:ind w:left="88" w:leftChars="40"/>
              <w:jc w:val="both"/>
              <w:textAlignment w:val="auto"/>
              <w:rPr>
                <w:color w:val="auto"/>
                <w:highlight w:val="none"/>
                <w:lang w:eastAsia="zh-CN"/>
              </w:rPr>
            </w:pPr>
            <w:r>
              <w:rPr>
                <w:rFonts w:hint="eastAsia" w:cs="Times New Roman"/>
                <w:color w:val="auto"/>
                <w:sz w:val="21"/>
                <w:szCs w:val="21"/>
                <w:highlight w:val="none"/>
                <w:u w:val="single"/>
                <w:lang w:val="en-US" w:eastAsia="zh-CN"/>
              </w:rPr>
              <w:t>9</w:t>
            </w:r>
            <w:r>
              <w:rPr>
                <w:rFonts w:cs="Times New Roman"/>
                <w:color w:val="auto"/>
                <w:sz w:val="21"/>
                <w:szCs w:val="21"/>
                <w:highlight w:val="none"/>
                <w:u w:val="single"/>
                <w:lang w:eastAsia="zh-CN"/>
              </w:rPr>
              <w:t>0</w:t>
            </w:r>
            <w:r>
              <w:rPr>
                <w:rFonts w:hint="eastAsia" w:cs="Times New Roman"/>
                <w:color w:val="auto"/>
                <w:sz w:val="21"/>
                <w:szCs w:val="21"/>
                <w:highlight w:val="none"/>
                <w:lang w:eastAsia="zh-CN"/>
              </w:rPr>
              <w:t>日历日（从投标截止之日算起）</w:t>
            </w:r>
          </w:p>
        </w:tc>
      </w:tr>
      <w:tr w14:paraId="50F87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02CE320A">
            <w:pPr>
              <w:pStyle w:val="37"/>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 w:val="21"/>
                <w:highlight w:val="none"/>
              </w:rPr>
            </w:pPr>
            <w:r>
              <w:rPr>
                <w:rFonts w:hint="eastAsia"/>
                <w:color w:val="auto"/>
                <w:sz w:val="21"/>
                <w:highlight w:val="none"/>
              </w:rPr>
              <w:t>3.4.1</w:t>
            </w:r>
          </w:p>
        </w:tc>
        <w:tc>
          <w:tcPr>
            <w:tcW w:w="2269" w:type="dxa"/>
            <w:vAlign w:val="center"/>
          </w:tcPr>
          <w:p w14:paraId="7A44394B">
            <w:pPr>
              <w:pStyle w:val="37"/>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auto"/>
                <w:sz w:val="21"/>
                <w:highlight w:val="none"/>
              </w:rPr>
            </w:pPr>
            <w:r>
              <w:rPr>
                <w:rFonts w:hint="eastAsia"/>
                <w:color w:val="auto"/>
                <w:sz w:val="21"/>
                <w:highlight w:val="none"/>
              </w:rPr>
              <w:t>投标保证金</w:t>
            </w:r>
          </w:p>
        </w:tc>
        <w:tc>
          <w:tcPr>
            <w:tcW w:w="7009" w:type="dxa"/>
            <w:vAlign w:val="top"/>
          </w:tcPr>
          <w:p w14:paraId="400A7ECF">
            <w:pPr>
              <w:spacing w:line="360" w:lineRule="exact"/>
              <w:ind w:firstLine="420" w:firstLineChars="200"/>
              <w:jc w:val="both"/>
              <w:rPr>
                <w:rFonts w:hint="eastAsia" w:ascii="宋体" w:hAnsi="Times New Roman" w:eastAsia="宋体" w:cs="宋体"/>
                <w:color w:val="auto"/>
                <w:sz w:val="24"/>
                <w:szCs w:val="24"/>
                <w:highlight w:val="none"/>
                <w:lang w:val="en-US" w:eastAsia="zh-CN" w:bidi="ar-SA"/>
              </w:rPr>
            </w:pPr>
            <w:r>
              <w:rPr>
                <w:rFonts w:hint="eastAsia"/>
                <w:color w:val="auto"/>
                <w:sz w:val="21"/>
                <w:szCs w:val="21"/>
                <w:highlight w:val="none"/>
                <w:lang w:val="en-US" w:eastAsia="zh-CN"/>
              </w:rPr>
              <w:t>/</w:t>
            </w:r>
          </w:p>
        </w:tc>
      </w:tr>
      <w:tr w14:paraId="3D5A3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4DF890B2">
            <w:pPr>
              <w:pStyle w:val="37"/>
              <w:keepNext w:val="0"/>
              <w:keepLines w:val="0"/>
              <w:pageBreakBefore w:val="0"/>
              <w:widowControl w:val="0"/>
              <w:kinsoku/>
              <w:overflowPunct/>
              <w:bidi w:val="0"/>
              <w:snapToGrid/>
              <w:spacing w:line="320" w:lineRule="exact"/>
              <w:jc w:val="center"/>
              <w:textAlignment w:val="auto"/>
              <w:rPr>
                <w:color w:val="auto"/>
                <w:sz w:val="21"/>
                <w:highlight w:val="none"/>
              </w:rPr>
            </w:pPr>
            <w:r>
              <w:rPr>
                <w:rFonts w:hint="eastAsia"/>
                <w:color w:val="auto"/>
                <w:sz w:val="21"/>
                <w:highlight w:val="none"/>
              </w:rPr>
              <w:t>3.4.4</w:t>
            </w:r>
          </w:p>
        </w:tc>
        <w:tc>
          <w:tcPr>
            <w:tcW w:w="2269" w:type="dxa"/>
            <w:vAlign w:val="center"/>
          </w:tcPr>
          <w:p w14:paraId="3140BE4A">
            <w:pPr>
              <w:pStyle w:val="37"/>
              <w:keepNext w:val="0"/>
              <w:keepLines w:val="0"/>
              <w:pageBreakBefore w:val="0"/>
              <w:widowControl w:val="0"/>
              <w:kinsoku/>
              <w:overflowPunct/>
              <w:bidi w:val="0"/>
              <w:snapToGrid/>
              <w:spacing w:line="320" w:lineRule="exact"/>
              <w:jc w:val="center"/>
              <w:textAlignment w:val="auto"/>
              <w:rPr>
                <w:color w:val="auto"/>
                <w:sz w:val="21"/>
                <w:highlight w:val="none"/>
                <w:lang w:eastAsia="zh-CN"/>
              </w:rPr>
            </w:pPr>
            <w:r>
              <w:rPr>
                <w:rFonts w:hint="eastAsia"/>
                <w:color w:val="auto"/>
                <w:sz w:val="21"/>
                <w:highlight w:val="none"/>
                <w:lang w:eastAsia="zh-CN"/>
              </w:rPr>
              <w:t>其他可以不予退还投标保证金的情形</w:t>
            </w:r>
          </w:p>
        </w:tc>
        <w:tc>
          <w:tcPr>
            <w:tcW w:w="7009" w:type="dxa"/>
            <w:vAlign w:val="center"/>
          </w:tcPr>
          <w:p w14:paraId="5D9B5BD7">
            <w:pPr>
              <w:keepNext w:val="0"/>
              <w:keepLines w:val="0"/>
              <w:pageBreakBefore w:val="0"/>
              <w:widowControl w:val="0"/>
              <w:kinsoku/>
              <w:overflowPunct/>
              <w:bidi w:val="0"/>
              <w:snapToGrid/>
              <w:spacing w:line="320" w:lineRule="exact"/>
              <w:ind w:left="88" w:leftChars="40"/>
              <w:jc w:val="both"/>
              <w:textAlignment w:val="auto"/>
              <w:rPr>
                <w:color w:val="auto"/>
                <w:sz w:val="21"/>
                <w:szCs w:val="21"/>
                <w:highlight w:val="none"/>
              </w:rPr>
            </w:pPr>
            <w:r>
              <w:rPr>
                <w:rFonts w:hint="eastAsia" w:cs="Times New Roman"/>
                <w:color w:val="auto"/>
                <w:sz w:val="21"/>
                <w:szCs w:val="21"/>
                <w:highlight w:val="none"/>
              </w:rPr>
              <w:t>无其他情形</w:t>
            </w:r>
          </w:p>
        </w:tc>
      </w:tr>
      <w:tr w14:paraId="6A5DD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7AA563EA">
            <w:pPr>
              <w:pStyle w:val="37"/>
              <w:keepNext w:val="0"/>
              <w:keepLines w:val="0"/>
              <w:pageBreakBefore w:val="0"/>
              <w:widowControl w:val="0"/>
              <w:kinsoku/>
              <w:overflowPunct/>
              <w:bidi w:val="0"/>
              <w:snapToGrid/>
              <w:spacing w:line="320" w:lineRule="exact"/>
              <w:jc w:val="center"/>
              <w:textAlignment w:val="auto"/>
              <w:rPr>
                <w:color w:val="auto"/>
                <w:sz w:val="21"/>
                <w:highlight w:val="none"/>
              </w:rPr>
            </w:pPr>
            <w:r>
              <w:rPr>
                <w:rFonts w:hint="eastAsia"/>
                <w:color w:val="auto"/>
                <w:sz w:val="21"/>
                <w:highlight w:val="none"/>
              </w:rPr>
              <w:t>3.5</w:t>
            </w:r>
          </w:p>
        </w:tc>
        <w:tc>
          <w:tcPr>
            <w:tcW w:w="2269" w:type="dxa"/>
            <w:vAlign w:val="center"/>
          </w:tcPr>
          <w:p w14:paraId="0910DAC2">
            <w:pPr>
              <w:pStyle w:val="37"/>
              <w:keepNext w:val="0"/>
              <w:keepLines w:val="0"/>
              <w:pageBreakBefore w:val="0"/>
              <w:widowControl w:val="0"/>
              <w:kinsoku/>
              <w:overflowPunct/>
              <w:bidi w:val="0"/>
              <w:snapToGrid/>
              <w:spacing w:line="320" w:lineRule="exact"/>
              <w:jc w:val="center"/>
              <w:textAlignment w:val="auto"/>
              <w:rPr>
                <w:color w:val="auto"/>
                <w:sz w:val="21"/>
                <w:highlight w:val="none"/>
                <w:lang w:eastAsia="zh-CN"/>
              </w:rPr>
            </w:pPr>
            <w:r>
              <w:rPr>
                <w:rFonts w:hint="eastAsia"/>
                <w:color w:val="auto"/>
                <w:sz w:val="21"/>
                <w:highlight w:val="none"/>
                <w:lang w:eastAsia="zh-CN"/>
              </w:rPr>
              <w:t>资格审查资料的特殊要求</w:t>
            </w:r>
          </w:p>
        </w:tc>
        <w:tc>
          <w:tcPr>
            <w:tcW w:w="7009" w:type="dxa"/>
            <w:vAlign w:val="center"/>
          </w:tcPr>
          <w:p w14:paraId="575AA029">
            <w:pPr>
              <w:pStyle w:val="37"/>
              <w:keepNext w:val="0"/>
              <w:keepLines w:val="0"/>
              <w:pageBreakBefore w:val="0"/>
              <w:widowControl w:val="0"/>
              <w:kinsoku/>
              <w:overflowPunct/>
              <w:bidi w:val="0"/>
              <w:snapToGrid/>
              <w:spacing w:before="75" w:line="320" w:lineRule="exact"/>
              <w:ind w:left="88" w:leftChars="40"/>
              <w:jc w:val="both"/>
              <w:textAlignment w:val="auto"/>
              <w:rPr>
                <w:color w:val="auto"/>
                <w:sz w:val="21"/>
                <w:szCs w:val="21"/>
                <w:highlight w:val="none"/>
              </w:rPr>
            </w:pPr>
            <w:r>
              <w:rPr>
                <w:rFonts w:hint="eastAsia"/>
                <w:color w:val="auto"/>
                <w:sz w:val="21"/>
                <w:szCs w:val="21"/>
                <w:highlight w:val="none"/>
                <w:lang w:eastAsia="zh-CN"/>
              </w:rPr>
              <w:sym w:font="Wingdings" w:char="00FE"/>
            </w:r>
            <w:r>
              <w:rPr>
                <w:rFonts w:hint="eastAsia"/>
                <w:color w:val="auto"/>
                <w:sz w:val="21"/>
                <w:szCs w:val="21"/>
                <w:highlight w:val="none"/>
              </w:rPr>
              <w:t>无</w:t>
            </w:r>
          </w:p>
          <w:p w14:paraId="0B8D99FD">
            <w:pPr>
              <w:pStyle w:val="37"/>
              <w:keepNext w:val="0"/>
              <w:keepLines w:val="0"/>
              <w:pageBreakBefore w:val="0"/>
              <w:widowControl w:val="0"/>
              <w:kinsoku/>
              <w:overflowPunct/>
              <w:bidi w:val="0"/>
              <w:snapToGrid/>
              <w:spacing w:before="30" w:line="320" w:lineRule="exact"/>
              <w:ind w:left="88" w:leftChars="40"/>
              <w:jc w:val="both"/>
              <w:textAlignment w:val="auto"/>
              <w:rPr>
                <w:color w:val="auto"/>
                <w:sz w:val="21"/>
                <w:szCs w:val="21"/>
                <w:highlight w:val="none"/>
              </w:rPr>
            </w:pPr>
            <w:r>
              <w:rPr>
                <w:rFonts w:hint="eastAsia"/>
                <w:color w:val="auto"/>
                <w:sz w:val="21"/>
                <w:szCs w:val="21"/>
                <w:highlight w:val="none"/>
                <w:lang w:eastAsia="zh-CN"/>
              </w:rPr>
              <w:sym w:font="Wingdings" w:char="00A8"/>
            </w:r>
            <w:r>
              <w:rPr>
                <w:rFonts w:hint="eastAsia"/>
                <w:color w:val="auto"/>
                <w:sz w:val="21"/>
                <w:szCs w:val="21"/>
                <w:highlight w:val="none"/>
              </w:rPr>
              <w:t>有，具体要求：</w:t>
            </w:r>
          </w:p>
        </w:tc>
      </w:tr>
      <w:tr w14:paraId="52CE9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386C9CB0">
            <w:pPr>
              <w:pStyle w:val="37"/>
              <w:keepNext w:val="0"/>
              <w:keepLines w:val="0"/>
              <w:pageBreakBefore w:val="0"/>
              <w:widowControl w:val="0"/>
              <w:kinsoku/>
              <w:overflowPunct/>
              <w:bidi w:val="0"/>
              <w:snapToGrid/>
              <w:spacing w:line="320" w:lineRule="exact"/>
              <w:jc w:val="center"/>
              <w:textAlignment w:val="auto"/>
              <w:rPr>
                <w:color w:val="auto"/>
                <w:sz w:val="21"/>
                <w:highlight w:val="none"/>
              </w:rPr>
            </w:pPr>
            <w:r>
              <w:rPr>
                <w:rFonts w:hint="eastAsia"/>
                <w:color w:val="auto"/>
                <w:sz w:val="21"/>
                <w:highlight w:val="none"/>
              </w:rPr>
              <w:t>3.5.2</w:t>
            </w:r>
          </w:p>
        </w:tc>
        <w:tc>
          <w:tcPr>
            <w:tcW w:w="2269" w:type="dxa"/>
            <w:vAlign w:val="center"/>
          </w:tcPr>
          <w:p w14:paraId="483959A1">
            <w:pPr>
              <w:pStyle w:val="37"/>
              <w:keepNext w:val="0"/>
              <w:keepLines w:val="0"/>
              <w:pageBreakBefore w:val="0"/>
              <w:widowControl w:val="0"/>
              <w:kinsoku/>
              <w:overflowPunct/>
              <w:bidi w:val="0"/>
              <w:snapToGrid/>
              <w:spacing w:line="320" w:lineRule="exact"/>
              <w:jc w:val="center"/>
              <w:textAlignment w:val="auto"/>
              <w:rPr>
                <w:color w:val="auto"/>
                <w:sz w:val="21"/>
                <w:highlight w:val="none"/>
                <w:lang w:eastAsia="zh-CN"/>
              </w:rPr>
            </w:pPr>
            <w:r>
              <w:rPr>
                <w:rFonts w:hint="eastAsia"/>
                <w:color w:val="auto"/>
                <w:sz w:val="21"/>
                <w:highlight w:val="none"/>
                <w:lang w:eastAsia="zh-CN"/>
              </w:rPr>
              <w:t>近年财务状况的年份要求</w:t>
            </w:r>
          </w:p>
        </w:tc>
        <w:tc>
          <w:tcPr>
            <w:tcW w:w="7009" w:type="dxa"/>
            <w:vAlign w:val="center"/>
          </w:tcPr>
          <w:p w14:paraId="39583DE6">
            <w:pPr>
              <w:pStyle w:val="37"/>
              <w:keepNext w:val="0"/>
              <w:keepLines w:val="0"/>
              <w:pageBreakBefore w:val="0"/>
              <w:widowControl w:val="0"/>
              <w:tabs>
                <w:tab w:val="left" w:pos="660"/>
                <w:tab w:val="left" w:pos="1641"/>
              </w:tabs>
              <w:kinsoku/>
              <w:overflowPunct/>
              <w:bidi w:val="0"/>
              <w:snapToGrid/>
              <w:spacing w:line="320" w:lineRule="exact"/>
              <w:ind w:left="88" w:leftChars="40"/>
              <w:jc w:val="both"/>
              <w:textAlignment w:val="auto"/>
              <w:rPr>
                <w:color w:val="auto"/>
                <w:sz w:val="21"/>
                <w:highlight w:val="none"/>
                <w:lang w:eastAsia="zh-CN"/>
              </w:rPr>
            </w:pPr>
            <w:r>
              <w:rPr>
                <w:rFonts w:hint="eastAsia"/>
                <w:color w:val="auto"/>
                <w:sz w:val="21"/>
                <w:szCs w:val="21"/>
                <w:highlight w:val="none"/>
                <w:u w:val="single"/>
                <w:lang w:eastAsia="zh-CN"/>
              </w:rPr>
              <w:t>20</w:t>
            </w:r>
            <w:r>
              <w:rPr>
                <w:rFonts w:hint="eastAsia"/>
                <w:color w:val="auto"/>
                <w:sz w:val="21"/>
                <w:szCs w:val="21"/>
                <w:highlight w:val="none"/>
                <w:u w:val="single"/>
                <w:lang w:val="en-US" w:eastAsia="zh-CN"/>
              </w:rPr>
              <w:t>21</w:t>
            </w:r>
            <w:r>
              <w:rPr>
                <w:color w:val="auto"/>
                <w:sz w:val="21"/>
                <w:szCs w:val="21"/>
                <w:highlight w:val="none"/>
                <w:lang w:eastAsia="zh-CN"/>
              </w:rPr>
              <w:t>年至</w:t>
            </w:r>
            <w:r>
              <w:rPr>
                <w:color w:val="auto"/>
                <w:sz w:val="21"/>
                <w:szCs w:val="21"/>
                <w:highlight w:val="none"/>
                <w:u w:val="single"/>
                <w:lang w:eastAsia="zh-CN"/>
              </w:rPr>
              <w:t xml:space="preserve"> </w:t>
            </w:r>
            <w:r>
              <w:rPr>
                <w:rFonts w:hint="eastAsia"/>
                <w:color w:val="auto"/>
                <w:sz w:val="21"/>
                <w:szCs w:val="21"/>
                <w:highlight w:val="none"/>
                <w:u w:val="single"/>
                <w:lang w:eastAsia="zh-CN"/>
              </w:rPr>
              <w:t>20</w:t>
            </w:r>
            <w:r>
              <w:rPr>
                <w:rFonts w:hint="eastAsia"/>
                <w:color w:val="auto"/>
                <w:sz w:val="21"/>
                <w:szCs w:val="21"/>
                <w:highlight w:val="none"/>
                <w:u w:val="single"/>
                <w:lang w:val="en-US" w:eastAsia="zh-CN"/>
              </w:rPr>
              <w:t>23</w:t>
            </w:r>
            <w:r>
              <w:rPr>
                <w:color w:val="auto"/>
                <w:sz w:val="21"/>
                <w:szCs w:val="21"/>
                <w:highlight w:val="none"/>
                <w:lang w:eastAsia="zh-CN"/>
              </w:rPr>
              <w:t>年</w:t>
            </w:r>
          </w:p>
        </w:tc>
      </w:tr>
      <w:tr w14:paraId="361FD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62147156">
            <w:pPr>
              <w:pStyle w:val="37"/>
              <w:keepNext w:val="0"/>
              <w:keepLines w:val="0"/>
              <w:pageBreakBefore w:val="0"/>
              <w:widowControl w:val="0"/>
              <w:kinsoku/>
              <w:overflowPunct/>
              <w:bidi w:val="0"/>
              <w:snapToGrid/>
              <w:spacing w:line="320" w:lineRule="exact"/>
              <w:jc w:val="center"/>
              <w:textAlignment w:val="auto"/>
              <w:rPr>
                <w:color w:val="auto"/>
                <w:sz w:val="21"/>
                <w:highlight w:val="none"/>
              </w:rPr>
            </w:pPr>
            <w:r>
              <w:rPr>
                <w:rFonts w:hint="eastAsia"/>
                <w:color w:val="auto"/>
                <w:sz w:val="21"/>
                <w:highlight w:val="none"/>
              </w:rPr>
              <w:t>3.5.3</w:t>
            </w:r>
          </w:p>
        </w:tc>
        <w:tc>
          <w:tcPr>
            <w:tcW w:w="2269" w:type="dxa"/>
            <w:vAlign w:val="center"/>
          </w:tcPr>
          <w:p w14:paraId="0CAF2682">
            <w:pPr>
              <w:pStyle w:val="37"/>
              <w:keepNext w:val="0"/>
              <w:keepLines w:val="0"/>
              <w:pageBreakBefore w:val="0"/>
              <w:widowControl w:val="0"/>
              <w:kinsoku/>
              <w:overflowPunct/>
              <w:bidi w:val="0"/>
              <w:snapToGrid/>
              <w:spacing w:line="320" w:lineRule="exact"/>
              <w:jc w:val="center"/>
              <w:textAlignment w:val="auto"/>
              <w:rPr>
                <w:color w:val="auto"/>
                <w:sz w:val="21"/>
                <w:highlight w:val="none"/>
                <w:lang w:eastAsia="zh-CN"/>
              </w:rPr>
            </w:pPr>
            <w:r>
              <w:rPr>
                <w:rFonts w:hint="eastAsia"/>
                <w:color w:val="auto"/>
                <w:sz w:val="21"/>
                <w:highlight w:val="none"/>
                <w:lang w:eastAsia="zh-CN"/>
              </w:rPr>
              <w:t>近年完成的类似项目情况的时间要求</w:t>
            </w:r>
          </w:p>
        </w:tc>
        <w:tc>
          <w:tcPr>
            <w:tcW w:w="7009" w:type="dxa"/>
            <w:vAlign w:val="center"/>
          </w:tcPr>
          <w:p w14:paraId="7ED71D07">
            <w:pPr>
              <w:pStyle w:val="37"/>
              <w:keepNext w:val="0"/>
              <w:keepLines w:val="0"/>
              <w:pageBreakBefore w:val="0"/>
              <w:widowControl w:val="0"/>
              <w:tabs>
                <w:tab w:val="left" w:pos="1397"/>
                <w:tab w:val="left" w:pos="2167"/>
                <w:tab w:val="left" w:pos="2940"/>
              </w:tabs>
              <w:kinsoku/>
              <w:overflowPunct/>
              <w:bidi w:val="0"/>
              <w:snapToGrid/>
              <w:spacing w:before="166" w:line="320" w:lineRule="exact"/>
              <w:ind w:left="88" w:leftChars="40"/>
              <w:jc w:val="both"/>
              <w:textAlignment w:val="auto"/>
              <w:rPr>
                <w:color w:val="auto"/>
                <w:sz w:val="21"/>
                <w:highlight w:val="none"/>
              </w:rPr>
            </w:pPr>
            <w:r>
              <w:rPr>
                <w:color w:val="auto"/>
                <w:sz w:val="21"/>
                <w:szCs w:val="21"/>
                <w:highlight w:val="none"/>
                <w:u w:val="single"/>
                <w:lang w:eastAsia="zh-CN"/>
              </w:rPr>
              <w:t xml:space="preserve"> </w:t>
            </w:r>
            <w:r>
              <w:rPr>
                <w:rFonts w:hint="eastAsia"/>
                <w:color w:val="auto"/>
                <w:sz w:val="21"/>
                <w:szCs w:val="21"/>
                <w:highlight w:val="none"/>
                <w:u w:val="single"/>
                <w:lang w:eastAsia="zh-CN"/>
              </w:rPr>
              <w:t>20</w:t>
            </w:r>
            <w:r>
              <w:rPr>
                <w:rFonts w:hint="eastAsia"/>
                <w:color w:val="auto"/>
                <w:sz w:val="21"/>
                <w:szCs w:val="21"/>
                <w:highlight w:val="none"/>
                <w:u w:val="single"/>
                <w:lang w:val="en-US" w:eastAsia="zh-CN"/>
              </w:rPr>
              <w:t>21</w:t>
            </w:r>
            <w:r>
              <w:rPr>
                <w:color w:val="auto"/>
                <w:sz w:val="21"/>
                <w:szCs w:val="21"/>
                <w:highlight w:val="none"/>
              </w:rPr>
              <w:t>年</w:t>
            </w:r>
            <w:r>
              <w:rPr>
                <w:rFonts w:hint="eastAsia"/>
                <w:color w:val="auto"/>
                <w:sz w:val="21"/>
                <w:szCs w:val="21"/>
                <w:highlight w:val="none"/>
                <w:lang w:eastAsia="zh-CN"/>
              </w:rPr>
              <w:t>—至今</w:t>
            </w:r>
          </w:p>
        </w:tc>
      </w:tr>
      <w:tr w14:paraId="53FDF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5A38DB10">
            <w:pPr>
              <w:pStyle w:val="37"/>
              <w:keepNext w:val="0"/>
              <w:keepLines w:val="0"/>
              <w:pageBreakBefore w:val="0"/>
              <w:widowControl w:val="0"/>
              <w:kinsoku/>
              <w:overflowPunct/>
              <w:bidi w:val="0"/>
              <w:snapToGrid/>
              <w:spacing w:line="320" w:lineRule="exact"/>
              <w:jc w:val="center"/>
              <w:textAlignment w:val="auto"/>
              <w:rPr>
                <w:color w:val="auto"/>
                <w:sz w:val="21"/>
                <w:highlight w:val="none"/>
              </w:rPr>
            </w:pPr>
            <w:r>
              <w:rPr>
                <w:rFonts w:hint="eastAsia"/>
                <w:color w:val="auto"/>
                <w:sz w:val="21"/>
                <w:highlight w:val="none"/>
              </w:rPr>
              <w:t>3.5.5</w:t>
            </w:r>
          </w:p>
        </w:tc>
        <w:tc>
          <w:tcPr>
            <w:tcW w:w="2269" w:type="dxa"/>
            <w:vAlign w:val="center"/>
          </w:tcPr>
          <w:p w14:paraId="2A5F7D05">
            <w:pPr>
              <w:pStyle w:val="37"/>
              <w:keepNext w:val="0"/>
              <w:keepLines w:val="0"/>
              <w:pageBreakBefore w:val="0"/>
              <w:widowControl w:val="0"/>
              <w:kinsoku/>
              <w:overflowPunct/>
              <w:bidi w:val="0"/>
              <w:snapToGrid/>
              <w:spacing w:line="320" w:lineRule="exact"/>
              <w:jc w:val="center"/>
              <w:textAlignment w:val="auto"/>
              <w:rPr>
                <w:color w:val="auto"/>
                <w:sz w:val="21"/>
                <w:highlight w:val="none"/>
                <w:lang w:eastAsia="zh-CN"/>
              </w:rPr>
            </w:pPr>
            <w:r>
              <w:rPr>
                <w:rFonts w:hint="eastAsia"/>
                <w:color w:val="auto"/>
                <w:sz w:val="21"/>
                <w:highlight w:val="none"/>
                <w:lang w:eastAsia="zh-CN"/>
              </w:rPr>
              <w:t>近年发生的诉讼及仲裁情况的时间要求</w:t>
            </w:r>
          </w:p>
        </w:tc>
        <w:tc>
          <w:tcPr>
            <w:tcW w:w="7009" w:type="dxa"/>
            <w:vAlign w:val="center"/>
          </w:tcPr>
          <w:p w14:paraId="01F85354">
            <w:pPr>
              <w:pStyle w:val="37"/>
              <w:keepNext w:val="0"/>
              <w:keepLines w:val="0"/>
              <w:pageBreakBefore w:val="0"/>
              <w:widowControl w:val="0"/>
              <w:tabs>
                <w:tab w:val="left" w:pos="1397"/>
                <w:tab w:val="left" w:pos="2167"/>
                <w:tab w:val="left" w:pos="2940"/>
              </w:tabs>
              <w:kinsoku/>
              <w:overflowPunct/>
              <w:bidi w:val="0"/>
              <w:snapToGrid/>
              <w:spacing w:before="164" w:line="320" w:lineRule="exact"/>
              <w:ind w:left="88" w:leftChars="40"/>
              <w:jc w:val="both"/>
              <w:textAlignment w:val="auto"/>
              <w:rPr>
                <w:color w:val="auto"/>
                <w:sz w:val="21"/>
                <w:highlight w:val="none"/>
              </w:rPr>
            </w:pPr>
            <w:r>
              <w:rPr>
                <w:color w:val="auto"/>
                <w:sz w:val="21"/>
                <w:szCs w:val="21"/>
                <w:highlight w:val="none"/>
                <w:u w:val="single"/>
                <w:lang w:eastAsia="zh-CN"/>
              </w:rPr>
              <w:t xml:space="preserve"> </w:t>
            </w:r>
            <w:r>
              <w:rPr>
                <w:rFonts w:hint="eastAsia"/>
                <w:color w:val="auto"/>
                <w:sz w:val="21"/>
                <w:szCs w:val="21"/>
                <w:highlight w:val="none"/>
                <w:u w:val="single"/>
                <w:lang w:eastAsia="zh-CN"/>
              </w:rPr>
              <w:t>20</w:t>
            </w:r>
            <w:r>
              <w:rPr>
                <w:rFonts w:hint="eastAsia"/>
                <w:color w:val="auto"/>
                <w:sz w:val="21"/>
                <w:szCs w:val="21"/>
                <w:highlight w:val="none"/>
                <w:u w:val="single"/>
                <w:lang w:val="en-US" w:eastAsia="zh-CN"/>
              </w:rPr>
              <w:t>21</w:t>
            </w:r>
            <w:r>
              <w:rPr>
                <w:color w:val="auto"/>
                <w:sz w:val="21"/>
                <w:szCs w:val="21"/>
                <w:highlight w:val="none"/>
              </w:rPr>
              <w:t>年</w:t>
            </w:r>
            <w:r>
              <w:rPr>
                <w:rFonts w:hint="eastAsia"/>
                <w:color w:val="auto"/>
                <w:sz w:val="21"/>
                <w:szCs w:val="21"/>
                <w:highlight w:val="none"/>
                <w:lang w:eastAsia="zh-CN"/>
              </w:rPr>
              <w:t>—至今</w:t>
            </w:r>
          </w:p>
        </w:tc>
      </w:tr>
      <w:tr w14:paraId="2A060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562774E7">
            <w:pPr>
              <w:pStyle w:val="37"/>
              <w:keepNext w:val="0"/>
              <w:keepLines w:val="0"/>
              <w:pageBreakBefore w:val="0"/>
              <w:widowControl w:val="0"/>
              <w:kinsoku/>
              <w:overflowPunct/>
              <w:bidi w:val="0"/>
              <w:snapToGrid/>
              <w:spacing w:line="320" w:lineRule="exact"/>
              <w:jc w:val="center"/>
              <w:textAlignment w:val="auto"/>
              <w:rPr>
                <w:color w:val="auto"/>
                <w:sz w:val="21"/>
                <w:highlight w:val="none"/>
              </w:rPr>
            </w:pPr>
            <w:r>
              <w:rPr>
                <w:rFonts w:hint="eastAsia"/>
                <w:color w:val="auto"/>
                <w:sz w:val="21"/>
                <w:highlight w:val="none"/>
              </w:rPr>
              <w:t>3.6.1</w:t>
            </w:r>
          </w:p>
        </w:tc>
        <w:tc>
          <w:tcPr>
            <w:tcW w:w="2269" w:type="dxa"/>
            <w:vAlign w:val="center"/>
          </w:tcPr>
          <w:p w14:paraId="1AF58ACB">
            <w:pPr>
              <w:pStyle w:val="37"/>
              <w:keepNext w:val="0"/>
              <w:keepLines w:val="0"/>
              <w:pageBreakBefore w:val="0"/>
              <w:widowControl w:val="0"/>
              <w:kinsoku/>
              <w:overflowPunct/>
              <w:bidi w:val="0"/>
              <w:snapToGrid/>
              <w:spacing w:line="320" w:lineRule="exact"/>
              <w:jc w:val="center"/>
              <w:textAlignment w:val="auto"/>
              <w:rPr>
                <w:color w:val="auto"/>
                <w:sz w:val="21"/>
                <w:highlight w:val="none"/>
                <w:lang w:eastAsia="zh-CN"/>
              </w:rPr>
            </w:pPr>
            <w:r>
              <w:rPr>
                <w:rFonts w:hint="eastAsia"/>
                <w:color w:val="auto"/>
                <w:sz w:val="21"/>
                <w:highlight w:val="none"/>
                <w:lang w:eastAsia="zh-CN"/>
              </w:rPr>
              <w:t>是否允许递交备选投标方案</w:t>
            </w:r>
          </w:p>
        </w:tc>
        <w:tc>
          <w:tcPr>
            <w:tcW w:w="7009" w:type="dxa"/>
            <w:vAlign w:val="center"/>
          </w:tcPr>
          <w:p w14:paraId="230DCE84">
            <w:pPr>
              <w:pStyle w:val="37"/>
              <w:keepNext w:val="0"/>
              <w:keepLines w:val="0"/>
              <w:pageBreakBefore w:val="0"/>
              <w:widowControl w:val="0"/>
              <w:kinsoku/>
              <w:overflowPunct/>
              <w:bidi w:val="0"/>
              <w:snapToGrid/>
              <w:spacing w:before="54" w:line="320" w:lineRule="exact"/>
              <w:ind w:left="88" w:leftChars="40"/>
              <w:jc w:val="both"/>
              <w:textAlignment w:val="auto"/>
              <w:rPr>
                <w:color w:val="auto"/>
                <w:sz w:val="21"/>
                <w:szCs w:val="21"/>
                <w:highlight w:val="none"/>
              </w:rPr>
            </w:pPr>
            <w:r>
              <w:rPr>
                <w:rFonts w:hint="eastAsia"/>
                <w:color w:val="auto"/>
                <w:sz w:val="21"/>
                <w:szCs w:val="21"/>
                <w:highlight w:val="none"/>
              </w:rPr>
              <w:sym w:font="Wingdings" w:char="00FE"/>
            </w:r>
            <w:r>
              <w:rPr>
                <w:rFonts w:hint="eastAsia"/>
                <w:color w:val="auto"/>
                <w:sz w:val="21"/>
                <w:szCs w:val="21"/>
                <w:highlight w:val="none"/>
              </w:rPr>
              <w:t>不允许</w:t>
            </w:r>
          </w:p>
          <w:p w14:paraId="6A118997">
            <w:pPr>
              <w:pStyle w:val="37"/>
              <w:keepNext w:val="0"/>
              <w:keepLines w:val="0"/>
              <w:pageBreakBefore w:val="0"/>
              <w:widowControl w:val="0"/>
              <w:kinsoku/>
              <w:overflowPunct/>
              <w:bidi w:val="0"/>
              <w:snapToGrid/>
              <w:spacing w:before="66" w:line="320" w:lineRule="exact"/>
              <w:ind w:left="88" w:leftChars="40"/>
              <w:jc w:val="both"/>
              <w:textAlignment w:val="auto"/>
              <w:rPr>
                <w:color w:val="auto"/>
                <w:sz w:val="21"/>
                <w:highlight w:val="none"/>
              </w:rPr>
            </w:pPr>
            <w:r>
              <w:rPr>
                <w:rFonts w:hint="eastAsia"/>
                <w:color w:val="auto"/>
                <w:sz w:val="21"/>
                <w:szCs w:val="21"/>
                <w:highlight w:val="none"/>
              </w:rPr>
              <w:sym w:font="Wingdings" w:char="00A8"/>
            </w:r>
            <w:r>
              <w:rPr>
                <w:rFonts w:hint="eastAsia"/>
                <w:color w:val="auto"/>
                <w:sz w:val="21"/>
                <w:szCs w:val="21"/>
                <w:highlight w:val="none"/>
              </w:rPr>
              <w:t>允</w:t>
            </w:r>
            <w:r>
              <w:rPr>
                <w:rFonts w:hint="eastAsia"/>
                <w:color w:val="auto"/>
                <w:sz w:val="21"/>
                <w:highlight w:val="none"/>
              </w:rPr>
              <w:t>许</w:t>
            </w:r>
          </w:p>
        </w:tc>
      </w:tr>
      <w:tr w14:paraId="25FBB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1DA5DB2D">
            <w:pPr>
              <w:pStyle w:val="37"/>
              <w:keepNext w:val="0"/>
              <w:keepLines w:val="0"/>
              <w:pageBreakBefore w:val="0"/>
              <w:widowControl w:val="0"/>
              <w:kinsoku/>
              <w:overflowPunct/>
              <w:bidi w:val="0"/>
              <w:snapToGrid/>
              <w:spacing w:line="320" w:lineRule="exact"/>
              <w:jc w:val="center"/>
              <w:textAlignment w:val="auto"/>
              <w:rPr>
                <w:color w:val="auto"/>
                <w:sz w:val="21"/>
                <w:highlight w:val="none"/>
              </w:rPr>
            </w:pPr>
            <w:r>
              <w:rPr>
                <w:rFonts w:hint="eastAsia"/>
                <w:color w:val="auto"/>
                <w:spacing w:val="-6"/>
                <w:sz w:val="21"/>
                <w:highlight w:val="none"/>
              </w:rPr>
              <w:t>3.7.3</w:t>
            </w:r>
          </w:p>
        </w:tc>
        <w:tc>
          <w:tcPr>
            <w:tcW w:w="2269" w:type="dxa"/>
            <w:vAlign w:val="center"/>
          </w:tcPr>
          <w:p w14:paraId="76493E08">
            <w:pPr>
              <w:pStyle w:val="37"/>
              <w:keepNext w:val="0"/>
              <w:keepLines w:val="0"/>
              <w:pageBreakBefore w:val="0"/>
              <w:widowControl w:val="0"/>
              <w:kinsoku/>
              <w:overflowPunct/>
              <w:bidi w:val="0"/>
              <w:snapToGrid/>
              <w:spacing w:line="320" w:lineRule="exact"/>
              <w:jc w:val="center"/>
              <w:textAlignment w:val="auto"/>
              <w:rPr>
                <w:color w:val="auto"/>
                <w:sz w:val="21"/>
                <w:highlight w:val="none"/>
                <w:lang w:eastAsia="zh-CN"/>
              </w:rPr>
            </w:pPr>
            <w:r>
              <w:rPr>
                <w:rFonts w:hint="eastAsia"/>
                <w:color w:val="auto"/>
                <w:sz w:val="21"/>
                <w:highlight w:val="none"/>
                <w:lang w:eastAsia="zh-CN"/>
              </w:rPr>
              <w:t>投标文件副本份数及其他要求</w:t>
            </w:r>
          </w:p>
        </w:tc>
        <w:tc>
          <w:tcPr>
            <w:tcW w:w="7009" w:type="dxa"/>
            <w:vAlign w:val="center"/>
          </w:tcPr>
          <w:p w14:paraId="50EFEAC5">
            <w:pPr>
              <w:pStyle w:val="37"/>
              <w:keepNext w:val="0"/>
              <w:keepLines w:val="0"/>
              <w:pageBreakBefore w:val="0"/>
              <w:widowControl w:val="0"/>
              <w:kinsoku/>
              <w:wordWrap/>
              <w:overflowPunct/>
              <w:topLinePunct w:val="0"/>
              <w:autoSpaceDE/>
              <w:autoSpaceDN/>
              <w:bidi w:val="0"/>
              <w:adjustRightInd/>
              <w:snapToGrid/>
              <w:spacing w:line="320" w:lineRule="exact"/>
              <w:ind w:left="66" w:leftChars="30"/>
              <w:jc w:val="both"/>
              <w:textAlignment w:val="auto"/>
              <w:rPr>
                <w:rFonts w:hint="eastAsia"/>
                <w:color w:val="auto"/>
                <w:sz w:val="21"/>
                <w:highlight w:val="none"/>
                <w:lang w:val="zh-CN" w:eastAsia="zh-CN"/>
              </w:rPr>
            </w:pPr>
            <w:r>
              <w:rPr>
                <w:rFonts w:hint="eastAsia"/>
                <w:color w:val="auto"/>
                <w:sz w:val="21"/>
                <w:highlight w:val="none"/>
                <w:lang w:val="en-US" w:eastAsia="zh-CN"/>
              </w:rPr>
              <w:t>开标结束后各潜在投标人应提供</w:t>
            </w:r>
            <w:r>
              <w:rPr>
                <w:rFonts w:hint="eastAsia"/>
                <w:color w:val="auto"/>
                <w:sz w:val="21"/>
                <w:highlight w:val="none"/>
                <w:lang w:val="zh-CN" w:eastAsia="zh-CN"/>
              </w:rPr>
              <w:t>投标文件</w:t>
            </w:r>
            <w:r>
              <w:rPr>
                <w:rFonts w:hint="eastAsia"/>
                <w:color w:val="auto"/>
                <w:sz w:val="21"/>
                <w:highlight w:val="none"/>
                <w:lang w:val="en-US" w:eastAsia="zh-CN"/>
              </w:rPr>
              <w:t>递交至招标代理公司，</w:t>
            </w:r>
            <w:r>
              <w:rPr>
                <w:rFonts w:hint="eastAsia"/>
                <w:color w:val="auto"/>
                <w:sz w:val="21"/>
                <w:highlight w:val="none"/>
                <w:lang w:val="zh-CN" w:eastAsia="zh-CN"/>
              </w:rPr>
              <w:t>纸质版份数：</w:t>
            </w:r>
            <w:r>
              <w:rPr>
                <w:rFonts w:hint="eastAsia"/>
                <w:color w:val="auto"/>
                <w:sz w:val="21"/>
                <w:highlight w:val="none"/>
                <w:lang w:val="en-US" w:eastAsia="zh-CN"/>
              </w:rPr>
              <w:t>4</w:t>
            </w:r>
            <w:r>
              <w:rPr>
                <w:rFonts w:hint="eastAsia"/>
                <w:color w:val="auto"/>
                <w:sz w:val="21"/>
                <w:highlight w:val="none"/>
                <w:lang w:val="zh-CN" w:eastAsia="zh-CN"/>
              </w:rPr>
              <w:t>份（正本一份，副本</w:t>
            </w:r>
            <w:r>
              <w:rPr>
                <w:rFonts w:hint="eastAsia"/>
                <w:color w:val="auto"/>
                <w:sz w:val="21"/>
                <w:highlight w:val="none"/>
                <w:lang w:val="en-US" w:eastAsia="zh-CN"/>
              </w:rPr>
              <w:t>3</w:t>
            </w:r>
            <w:r>
              <w:rPr>
                <w:rFonts w:hint="eastAsia"/>
                <w:color w:val="auto"/>
                <w:sz w:val="21"/>
                <w:highlight w:val="none"/>
                <w:lang w:val="zh-CN" w:eastAsia="zh-CN"/>
              </w:rPr>
              <w:t xml:space="preserve">份）；（纸质投标书须采用左侧纵向胶装形式，装订坚固，易于保管）电子版一份投标文件电子版内容：与纸质相一致         </w:t>
            </w:r>
          </w:p>
          <w:p w14:paraId="29BC9F7D">
            <w:pPr>
              <w:pStyle w:val="37"/>
              <w:keepNext w:val="0"/>
              <w:keepLines w:val="0"/>
              <w:pageBreakBefore w:val="0"/>
              <w:widowControl w:val="0"/>
              <w:kinsoku/>
              <w:wordWrap/>
              <w:overflowPunct/>
              <w:topLinePunct w:val="0"/>
              <w:autoSpaceDE/>
              <w:autoSpaceDN/>
              <w:bidi w:val="0"/>
              <w:adjustRightInd/>
              <w:snapToGrid/>
              <w:spacing w:line="320" w:lineRule="exact"/>
              <w:ind w:left="66" w:leftChars="30"/>
              <w:jc w:val="both"/>
              <w:textAlignment w:val="auto"/>
              <w:rPr>
                <w:rFonts w:hint="eastAsia"/>
                <w:color w:val="auto"/>
                <w:sz w:val="21"/>
                <w:highlight w:val="none"/>
                <w:lang w:val="zh-CN" w:eastAsia="zh-CN"/>
              </w:rPr>
            </w:pPr>
            <w:r>
              <w:rPr>
                <w:rFonts w:hint="eastAsia"/>
                <w:color w:val="auto"/>
                <w:sz w:val="21"/>
                <w:highlight w:val="none"/>
                <w:lang w:val="zh-CN" w:eastAsia="zh-CN"/>
              </w:rPr>
              <w:t xml:space="preserve">投标文件电子版份数：二份                 </w:t>
            </w:r>
          </w:p>
          <w:p w14:paraId="4ED4771D">
            <w:pPr>
              <w:pStyle w:val="37"/>
              <w:keepNext w:val="0"/>
              <w:keepLines w:val="0"/>
              <w:pageBreakBefore w:val="0"/>
              <w:widowControl w:val="0"/>
              <w:kinsoku/>
              <w:wordWrap/>
              <w:overflowPunct/>
              <w:topLinePunct w:val="0"/>
              <w:autoSpaceDE/>
              <w:autoSpaceDN/>
              <w:bidi w:val="0"/>
              <w:adjustRightInd/>
              <w:snapToGrid/>
              <w:spacing w:line="320" w:lineRule="exact"/>
              <w:ind w:left="66" w:leftChars="30"/>
              <w:jc w:val="both"/>
              <w:textAlignment w:val="auto"/>
              <w:rPr>
                <w:color w:val="auto"/>
                <w:sz w:val="21"/>
                <w:highlight w:val="none"/>
                <w:lang w:eastAsia="zh-CN"/>
              </w:rPr>
            </w:pPr>
            <w:r>
              <w:rPr>
                <w:rFonts w:hint="eastAsia"/>
                <w:color w:val="auto"/>
                <w:sz w:val="21"/>
                <w:highlight w:val="none"/>
                <w:lang w:val="zh-CN" w:eastAsia="zh-CN"/>
              </w:rPr>
              <w:t xml:space="preserve">投标文件电子版形式：U盘       </w:t>
            </w:r>
          </w:p>
        </w:tc>
      </w:tr>
      <w:tr w14:paraId="5AD8B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141B0666">
            <w:pPr>
              <w:pStyle w:val="37"/>
              <w:keepNext w:val="0"/>
              <w:keepLines w:val="0"/>
              <w:pageBreakBefore w:val="0"/>
              <w:widowControl w:val="0"/>
              <w:kinsoku/>
              <w:overflowPunct/>
              <w:bidi w:val="0"/>
              <w:snapToGrid/>
              <w:spacing w:before="110" w:line="320" w:lineRule="exact"/>
              <w:ind w:left="103" w:right="-12"/>
              <w:jc w:val="center"/>
              <w:textAlignment w:val="auto"/>
              <w:rPr>
                <w:color w:val="auto"/>
                <w:sz w:val="21"/>
                <w:szCs w:val="21"/>
                <w:highlight w:val="none"/>
              </w:rPr>
            </w:pPr>
            <w:r>
              <w:rPr>
                <w:color w:val="auto"/>
                <w:sz w:val="21"/>
                <w:szCs w:val="21"/>
                <w:highlight w:val="none"/>
              </w:rPr>
              <w:t>3.7.3</w:t>
            </w:r>
          </w:p>
        </w:tc>
        <w:tc>
          <w:tcPr>
            <w:tcW w:w="2269" w:type="dxa"/>
            <w:vAlign w:val="center"/>
          </w:tcPr>
          <w:p w14:paraId="76C53991">
            <w:pPr>
              <w:keepNext w:val="0"/>
              <w:keepLines w:val="0"/>
              <w:pageBreakBefore w:val="0"/>
              <w:widowControl w:val="0"/>
              <w:kinsoku/>
              <w:overflowPunct/>
              <w:bidi w:val="0"/>
              <w:snapToGrid/>
              <w:spacing w:line="320" w:lineRule="exact"/>
              <w:jc w:val="center"/>
              <w:textAlignment w:val="auto"/>
              <w:rPr>
                <w:color w:val="auto"/>
                <w:sz w:val="21"/>
                <w:szCs w:val="21"/>
                <w:highlight w:val="none"/>
                <w:lang w:eastAsia="zh-CN"/>
              </w:rPr>
            </w:pPr>
            <w:r>
              <w:rPr>
                <w:rFonts w:hint="eastAsia" w:ascii="宋体" w:hAnsi="宋体"/>
                <w:color w:val="auto"/>
                <w:sz w:val="21"/>
                <w:szCs w:val="21"/>
                <w:highlight w:val="none"/>
              </w:rPr>
              <w:t>签字或盖章要求</w:t>
            </w:r>
          </w:p>
        </w:tc>
        <w:tc>
          <w:tcPr>
            <w:tcW w:w="7009" w:type="dxa"/>
            <w:vAlign w:val="center"/>
          </w:tcPr>
          <w:p w14:paraId="2DB83DD3">
            <w:pPr>
              <w:keepNext w:val="0"/>
              <w:keepLines w:val="0"/>
              <w:pageBreakBefore w:val="0"/>
              <w:widowControl w:val="0"/>
              <w:kinsoku/>
              <w:wordWrap/>
              <w:overflowPunct/>
              <w:topLinePunct w:val="0"/>
              <w:autoSpaceDE/>
              <w:autoSpaceDN/>
              <w:bidi w:val="0"/>
              <w:adjustRightInd/>
              <w:snapToGrid/>
              <w:spacing w:line="320" w:lineRule="exact"/>
              <w:ind w:left="66" w:leftChars="30"/>
              <w:jc w:val="both"/>
              <w:textAlignment w:val="auto"/>
              <w:rPr>
                <w:color w:val="auto"/>
                <w:sz w:val="21"/>
                <w:szCs w:val="21"/>
                <w:highlight w:val="none"/>
                <w:lang w:eastAsia="zh-CN"/>
              </w:rPr>
            </w:pPr>
            <w:r>
              <w:rPr>
                <w:rFonts w:hint="eastAsia"/>
                <w:color w:val="auto"/>
                <w:sz w:val="21"/>
                <w:szCs w:val="21"/>
                <w:highlight w:val="none"/>
                <w:lang w:val="en-US" w:eastAsia="zh-CN"/>
              </w:rPr>
              <w:t>按系统要求签字盖章，如被授权人无法网上签字，需将此页打印签字后扫描上传至投标文件。</w:t>
            </w:r>
          </w:p>
        </w:tc>
      </w:tr>
      <w:tr w14:paraId="75B7E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1ED1688D">
            <w:pPr>
              <w:pStyle w:val="37"/>
              <w:keepNext w:val="0"/>
              <w:keepLines w:val="0"/>
              <w:pageBreakBefore w:val="0"/>
              <w:widowControl w:val="0"/>
              <w:kinsoku/>
              <w:overflowPunct/>
              <w:bidi w:val="0"/>
              <w:snapToGrid/>
              <w:spacing w:before="107" w:line="320" w:lineRule="exact"/>
              <w:ind w:left="103" w:right="-12"/>
              <w:jc w:val="center"/>
              <w:textAlignment w:val="auto"/>
              <w:rPr>
                <w:color w:val="auto"/>
                <w:sz w:val="21"/>
                <w:szCs w:val="21"/>
                <w:highlight w:val="none"/>
              </w:rPr>
            </w:pPr>
            <w:r>
              <w:rPr>
                <w:color w:val="auto"/>
                <w:sz w:val="21"/>
                <w:szCs w:val="21"/>
                <w:highlight w:val="none"/>
              </w:rPr>
              <w:t>4.1.1</w:t>
            </w:r>
          </w:p>
        </w:tc>
        <w:tc>
          <w:tcPr>
            <w:tcW w:w="2269" w:type="dxa"/>
            <w:vAlign w:val="center"/>
          </w:tcPr>
          <w:p w14:paraId="55665FE9">
            <w:pPr>
              <w:pStyle w:val="37"/>
              <w:keepNext w:val="0"/>
              <w:keepLines w:val="0"/>
              <w:pageBreakBefore w:val="0"/>
              <w:widowControl w:val="0"/>
              <w:kinsoku/>
              <w:overflowPunct/>
              <w:bidi w:val="0"/>
              <w:snapToGrid/>
              <w:spacing w:before="93" w:line="320" w:lineRule="exact"/>
              <w:ind w:left="144" w:right="144"/>
              <w:jc w:val="center"/>
              <w:textAlignment w:val="auto"/>
              <w:rPr>
                <w:color w:val="auto"/>
                <w:sz w:val="21"/>
                <w:szCs w:val="21"/>
                <w:highlight w:val="none"/>
              </w:rPr>
            </w:pPr>
            <w:r>
              <w:rPr>
                <w:color w:val="auto"/>
                <w:sz w:val="21"/>
                <w:szCs w:val="21"/>
                <w:highlight w:val="none"/>
              </w:rPr>
              <w:t>投标文件加密要求</w:t>
            </w:r>
          </w:p>
        </w:tc>
        <w:tc>
          <w:tcPr>
            <w:tcW w:w="7009" w:type="dxa"/>
            <w:vAlign w:val="center"/>
          </w:tcPr>
          <w:p w14:paraId="10FBF6EA">
            <w:pPr>
              <w:keepNext w:val="0"/>
              <w:keepLines w:val="0"/>
              <w:pageBreakBefore w:val="0"/>
              <w:widowControl w:val="0"/>
              <w:kinsoku/>
              <w:overflowPunct/>
              <w:bidi w:val="0"/>
              <w:snapToGrid/>
              <w:spacing w:line="320" w:lineRule="exact"/>
              <w:ind w:left="88" w:leftChars="40"/>
              <w:jc w:val="both"/>
              <w:textAlignment w:val="auto"/>
              <w:rPr>
                <w:color w:val="auto"/>
                <w:sz w:val="21"/>
                <w:szCs w:val="21"/>
                <w:highlight w:val="none"/>
                <w:lang w:eastAsia="zh-CN"/>
              </w:rPr>
            </w:pPr>
            <w:r>
              <w:rPr>
                <w:color w:val="auto"/>
                <w:sz w:val="21"/>
                <w:szCs w:val="21"/>
                <w:highlight w:val="none"/>
                <w:lang w:eastAsia="zh-CN"/>
              </w:rPr>
              <w:t>按照电子招标投标交易平台的要求加密投标文件</w:t>
            </w:r>
            <w:r>
              <w:rPr>
                <w:rFonts w:hint="eastAsia"/>
                <w:color w:val="auto"/>
                <w:sz w:val="21"/>
                <w:szCs w:val="21"/>
                <w:highlight w:val="none"/>
                <w:lang w:eastAsia="zh-CN"/>
              </w:rPr>
              <w:t>。</w:t>
            </w:r>
          </w:p>
        </w:tc>
      </w:tr>
      <w:tr w14:paraId="6C15E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7F02CBAC">
            <w:pPr>
              <w:pStyle w:val="37"/>
              <w:keepNext w:val="0"/>
              <w:keepLines w:val="0"/>
              <w:pageBreakBefore w:val="0"/>
              <w:widowControl w:val="0"/>
              <w:kinsoku/>
              <w:overflowPunct/>
              <w:bidi w:val="0"/>
              <w:snapToGrid/>
              <w:spacing w:before="159" w:line="320" w:lineRule="exact"/>
              <w:jc w:val="center"/>
              <w:textAlignment w:val="auto"/>
              <w:rPr>
                <w:color w:val="auto"/>
                <w:sz w:val="21"/>
                <w:highlight w:val="none"/>
              </w:rPr>
            </w:pPr>
            <w:r>
              <w:rPr>
                <w:rFonts w:hint="eastAsia"/>
                <w:color w:val="auto"/>
                <w:sz w:val="21"/>
                <w:highlight w:val="none"/>
              </w:rPr>
              <w:t>4.2.1</w:t>
            </w:r>
          </w:p>
        </w:tc>
        <w:tc>
          <w:tcPr>
            <w:tcW w:w="2269" w:type="dxa"/>
            <w:vAlign w:val="center"/>
          </w:tcPr>
          <w:p w14:paraId="3F910E92">
            <w:pPr>
              <w:pStyle w:val="37"/>
              <w:keepNext w:val="0"/>
              <w:keepLines w:val="0"/>
              <w:pageBreakBefore w:val="0"/>
              <w:widowControl w:val="0"/>
              <w:kinsoku/>
              <w:overflowPunct/>
              <w:bidi w:val="0"/>
              <w:snapToGrid/>
              <w:spacing w:before="110" w:line="320" w:lineRule="exact"/>
              <w:jc w:val="center"/>
              <w:textAlignment w:val="auto"/>
              <w:rPr>
                <w:color w:val="auto"/>
                <w:sz w:val="21"/>
                <w:highlight w:val="none"/>
              </w:rPr>
            </w:pPr>
            <w:r>
              <w:rPr>
                <w:rFonts w:hint="eastAsia"/>
                <w:color w:val="auto"/>
                <w:sz w:val="21"/>
                <w:highlight w:val="none"/>
              </w:rPr>
              <w:t>投标截止时间</w:t>
            </w:r>
          </w:p>
        </w:tc>
        <w:tc>
          <w:tcPr>
            <w:tcW w:w="7009" w:type="dxa"/>
            <w:vAlign w:val="center"/>
          </w:tcPr>
          <w:p w14:paraId="78E3D093">
            <w:pPr>
              <w:keepNext w:val="0"/>
              <w:keepLines w:val="0"/>
              <w:pageBreakBefore w:val="0"/>
              <w:widowControl w:val="0"/>
              <w:kinsoku/>
              <w:overflowPunct/>
              <w:bidi w:val="0"/>
              <w:snapToGrid/>
              <w:spacing w:line="320" w:lineRule="exact"/>
              <w:ind w:left="88" w:leftChars="40"/>
              <w:jc w:val="both"/>
              <w:textAlignment w:val="auto"/>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01</w:t>
            </w:r>
            <w:r>
              <w:rPr>
                <w:rFonts w:hint="eastAsia"/>
                <w:color w:val="auto"/>
                <w:highlight w:val="none"/>
              </w:rPr>
              <w:t>月</w:t>
            </w:r>
            <w:r>
              <w:rPr>
                <w:rFonts w:hint="eastAsia"/>
                <w:color w:val="auto"/>
                <w:highlight w:val="none"/>
                <w:lang w:val="en-US" w:eastAsia="zh-CN"/>
              </w:rPr>
              <w:t>03</w:t>
            </w:r>
            <w:r>
              <w:rPr>
                <w:rFonts w:hint="eastAsia"/>
                <w:color w:val="auto"/>
                <w:highlight w:val="none"/>
              </w:rPr>
              <w:t>日</w:t>
            </w:r>
            <w:r>
              <w:rPr>
                <w:rFonts w:hint="eastAsia"/>
                <w:color w:val="auto"/>
                <w:highlight w:val="none"/>
                <w:lang w:val="en-US" w:eastAsia="zh-CN"/>
              </w:rPr>
              <w:t>09</w:t>
            </w:r>
            <w:r>
              <w:rPr>
                <w:rFonts w:hint="eastAsia"/>
                <w:color w:val="auto"/>
                <w:highlight w:val="none"/>
              </w:rPr>
              <w:t>时</w:t>
            </w:r>
            <w:r>
              <w:rPr>
                <w:rFonts w:hint="eastAsia"/>
                <w:color w:val="auto"/>
                <w:highlight w:val="none"/>
                <w:lang w:val="en-US" w:eastAsia="zh-CN"/>
              </w:rPr>
              <w:t>00</w:t>
            </w:r>
            <w:r>
              <w:rPr>
                <w:rFonts w:hint="eastAsia"/>
                <w:color w:val="auto"/>
                <w:highlight w:val="none"/>
              </w:rPr>
              <w:t>分</w:t>
            </w:r>
          </w:p>
        </w:tc>
      </w:tr>
      <w:tr w14:paraId="1FF63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4BD402A5">
            <w:pPr>
              <w:pStyle w:val="37"/>
              <w:keepNext w:val="0"/>
              <w:keepLines w:val="0"/>
              <w:pageBreakBefore w:val="0"/>
              <w:widowControl w:val="0"/>
              <w:kinsoku/>
              <w:overflowPunct/>
              <w:bidi w:val="0"/>
              <w:snapToGrid/>
              <w:spacing w:before="1" w:line="320" w:lineRule="exact"/>
              <w:jc w:val="center"/>
              <w:textAlignment w:val="auto"/>
              <w:rPr>
                <w:color w:val="auto"/>
                <w:sz w:val="21"/>
                <w:highlight w:val="none"/>
              </w:rPr>
            </w:pPr>
            <w:r>
              <w:rPr>
                <w:rFonts w:hint="eastAsia"/>
                <w:color w:val="auto"/>
                <w:sz w:val="21"/>
                <w:highlight w:val="none"/>
              </w:rPr>
              <w:t>4.2.3</w:t>
            </w:r>
          </w:p>
        </w:tc>
        <w:tc>
          <w:tcPr>
            <w:tcW w:w="2269" w:type="dxa"/>
            <w:vAlign w:val="center"/>
          </w:tcPr>
          <w:p w14:paraId="5DEA125A">
            <w:pPr>
              <w:pStyle w:val="37"/>
              <w:keepNext w:val="0"/>
              <w:keepLines w:val="0"/>
              <w:pageBreakBefore w:val="0"/>
              <w:widowControl w:val="0"/>
              <w:kinsoku/>
              <w:overflowPunct/>
              <w:bidi w:val="0"/>
              <w:snapToGrid/>
              <w:spacing w:before="1" w:line="320" w:lineRule="exact"/>
              <w:jc w:val="center"/>
              <w:textAlignment w:val="auto"/>
              <w:rPr>
                <w:color w:val="auto"/>
                <w:sz w:val="21"/>
                <w:highlight w:val="none"/>
              </w:rPr>
            </w:pPr>
            <w:r>
              <w:rPr>
                <w:rFonts w:hint="eastAsia"/>
                <w:color w:val="auto"/>
                <w:sz w:val="21"/>
                <w:highlight w:val="none"/>
              </w:rPr>
              <w:t>投标文件是否退还</w:t>
            </w:r>
          </w:p>
        </w:tc>
        <w:tc>
          <w:tcPr>
            <w:tcW w:w="7009" w:type="dxa"/>
            <w:vAlign w:val="center"/>
          </w:tcPr>
          <w:p w14:paraId="74B32A5E">
            <w:pPr>
              <w:pStyle w:val="37"/>
              <w:keepNext w:val="0"/>
              <w:keepLines w:val="0"/>
              <w:pageBreakBefore w:val="0"/>
              <w:widowControl w:val="0"/>
              <w:kinsoku/>
              <w:overflowPunct/>
              <w:bidi w:val="0"/>
              <w:snapToGrid/>
              <w:spacing w:before="23" w:line="320" w:lineRule="exact"/>
              <w:ind w:left="88" w:leftChars="40" w:right="3278"/>
              <w:jc w:val="both"/>
              <w:textAlignment w:val="auto"/>
              <w:rPr>
                <w:color w:val="auto"/>
                <w:sz w:val="21"/>
                <w:szCs w:val="21"/>
                <w:highlight w:val="none"/>
              </w:rPr>
            </w:pPr>
            <w:r>
              <w:rPr>
                <w:rFonts w:hint="eastAsia"/>
                <w:color w:val="auto"/>
                <w:sz w:val="21"/>
                <w:szCs w:val="21"/>
                <w:highlight w:val="none"/>
                <w:lang w:eastAsia="zh-CN"/>
              </w:rPr>
              <w:sym w:font="Wingdings" w:char="00FE"/>
            </w:r>
            <w:r>
              <w:rPr>
                <w:rFonts w:hint="eastAsia"/>
                <w:color w:val="auto"/>
                <w:sz w:val="21"/>
                <w:szCs w:val="21"/>
                <w:highlight w:val="none"/>
              </w:rPr>
              <w:t>否</w:t>
            </w:r>
          </w:p>
          <w:p w14:paraId="1C3A5F9E">
            <w:pPr>
              <w:pStyle w:val="37"/>
              <w:keepNext w:val="0"/>
              <w:keepLines w:val="0"/>
              <w:pageBreakBefore w:val="0"/>
              <w:widowControl w:val="0"/>
              <w:kinsoku/>
              <w:overflowPunct/>
              <w:bidi w:val="0"/>
              <w:snapToGrid/>
              <w:spacing w:before="30" w:line="320" w:lineRule="exact"/>
              <w:ind w:left="88" w:leftChars="40" w:right="102"/>
              <w:jc w:val="both"/>
              <w:textAlignment w:val="auto"/>
              <w:rPr>
                <w:color w:val="auto"/>
                <w:sz w:val="21"/>
                <w:highlight w:val="none"/>
              </w:rPr>
            </w:pPr>
            <w:r>
              <w:rPr>
                <w:rFonts w:hint="eastAsia"/>
                <w:color w:val="auto"/>
                <w:sz w:val="21"/>
                <w:szCs w:val="21"/>
                <w:highlight w:val="none"/>
                <w:lang w:eastAsia="zh-CN"/>
              </w:rPr>
              <w:sym w:font="Wingdings" w:char="00A8"/>
            </w:r>
            <w:r>
              <w:rPr>
                <w:rFonts w:hint="eastAsia"/>
                <w:color w:val="auto"/>
                <w:sz w:val="21"/>
                <w:szCs w:val="21"/>
                <w:highlight w:val="none"/>
              </w:rPr>
              <w:t>是</w:t>
            </w:r>
            <w:r>
              <w:rPr>
                <w:rFonts w:hint="eastAsia"/>
                <w:color w:val="auto"/>
                <w:sz w:val="21"/>
                <w:highlight w:val="none"/>
              </w:rPr>
              <w:t>，退还时间：</w:t>
            </w:r>
          </w:p>
        </w:tc>
      </w:tr>
      <w:tr w14:paraId="7E33C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7EA26681">
            <w:pPr>
              <w:pStyle w:val="37"/>
              <w:keepNext w:val="0"/>
              <w:keepLines w:val="0"/>
              <w:pageBreakBefore w:val="0"/>
              <w:widowControl w:val="0"/>
              <w:kinsoku/>
              <w:overflowPunct/>
              <w:bidi w:val="0"/>
              <w:snapToGrid/>
              <w:spacing w:line="320" w:lineRule="exact"/>
              <w:ind w:left="158" w:hanging="157" w:hangingChars="75"/>
              <w:jc w:val="center"/>
              <w:textAlignment w:val="auto"/>
              <w:rPr>
                <w:color w:val="auto"/>
                <w:sz w:val="21"/>
                <w:highlight w:val="none"/>
              </w:rPr>
            </w:pPr>
            <w:r>
              <w:rPr>
                <w:rFonts w:hint="eastAsia"/>
                <w:color w:val="auto"/>
                <w:sz w:val="21"/>
                <w:highlight w:val="none"/>
              </w:rPr>
              <w:t>5.1</w:t>
            </w:r>
          </w:p>
        </w:tc>
        <w:tc>
          <w:tcPr>
            <w:tcW w:w="2269" w:type="dxa"/>
            <w:vAlign w:val="center"/>
          </w:tcPr>
          <w:p w14:paraId="1123D472">
            <w:pPr>
              <w:pStyle w:val="37"/>
              <w:keepNext w:val="0"/>
              <w:keepLines w:val="0"/>
              <w:pageBreakBefore w:val="0"/>
              <w:widowControl w:val="0"/>
              <w:kinsoku/>
              <w:overflowPunct/>
              <w:bidi w:val="0"/>
              <w:snapToGrid/>
              <w:spacing w:line="320" w:lineRule="exact"/>
              <w:jc w:val="center"/>
              <w:textAlignment w:val="auto"/>
              <w:rPr>
                <w:color w:val="auto"/>
                <w:sz w:val="21"/>
                <w:highlight w:val="none"/>
              </w:rPr>
            </w:pPr>
            <w:r>
              <w:rPr>
                <w:rFonts w:hint="eastAsia"/>
                <w:color w:val="auto"/>
                <w:sz w:val="21"/>
                <w:highlight w:val="none"/>
              </w:rPr>
              <w:t>开标时间和地点</w:t>
            </w:r>
          </w:p>
        </w:tc>
        <w:tc>
          <w:tcPr>
            <w:tcW w:w="7009" w:type="dxa"/>
            <w:vAlign w:val="center"/>
          </w:tcPr>
          <w:p w14:paraId="1FB8AC68">
            <w:pPr>
              <w:keepNext w:val="0"/>
              <w:keepLines w:val="0"/>
              <w:pageBreakBefore w:val="0"/>
              <w:widowControl w:val="0"/>
              <w:shd w:val="clear"/>
              <w:kinsoku/>
              <w:overflowPunct/>
              <w:bidi w:val="0"/>
              <w:snapToGrid/>
              <w:spacing w:line="320" w:lineRule="exact"/>
              <w:ind w:left="88" w:leftChars="40"/>
              <w:jc w:val="both"/>
              <w:textAlignment w:val="auto"/>
              <w:rPr>
                <w:color w:val="auto"/>
                <w:sz w:val="21"/>
                <w:szCs w:val="21"/>
                <w:highlight w:val="none"/>
                <w:lang w:eastAsia="zh-CN"/>
              </w:rPr>
            </w:pPr>
            <w:r>
              <w:rPr>
                <w:rFonts w:hint="eastAsia"/>
                <w:color w:val="auto"/>
                <w:sz w:val="21"/>
                <w:szCs w:val="21"/>
                <w:highlight w:val="none"/>
                <w:lang w:eastAsia="zh-CN"/>
              </w:rPr>
              <w:t>开标时间：同投标截止时间</w:t>
            </w:r>
          </w:p>
          <w:p w14:paraId="38C51667">
            <w:pPr>
              <w:keepNext w:val="0"/>
              <w:keepLines w:val="0"/>
              <w:pageBreakBefore w:val="0"/>
              <w:widowControl w:val="0"/>
              <w:shd w:val="clear"/>
              <w:kinsoku/>
              <w:overflowPunct/>
              <w:bidi w:val="0"/>
              <w:snapToGrid/>
              <w:spacing w:line="320" w:lineRule="exact"/>
              <w:ind w:left="508" w:leftChars="40" w:hanging="420" w:hangingChars="200"/>
              <w:jc w:val="both"/>
              <w:textAlignment w:val="auto"/>
              <w:rPr>
                <w:rFonts w:hint="default"/>
                <w:color w:val="auto"/>
                <w:sz w:val="21"/>
                <w:szCs w:val="21"/>
                <w:highlight w:val="none"/>
                <w:lang w:val="en-US" w:eastAsia="zh-CN"/>
              </w:rPr>
            </w:pPr>
            <w:r>
              <w:rPr>
                <w:rFonts w:hint="eastAsia"/>
                <w:color w:val="auto"/>
                <w:sz w:val="21"/>
                <w:szCs w:val="21"/>
                <w:highlight w:val="none"/>
                <w:lang w:eastAsia="zh-CN"/>
              </w:rPr>
              <w:t>开标地点：</w:t>
            </w:r>
            <w:r>
              <w:rPr>
                <w:rFonts w:hint="eastAsia"/>
                <w:color w:val="auto"/>
                <w:sz w:val="21"/>
                <w:szCs w:val="21"/>
                <w:highlight w:val="none"/>
                <w:lang w:val="en-US" w:eastAsia="zh-CN"/>
              </w:rPr>
              <w:t>松原市公共资源交易中心。</w:t>
            </w:r>
          </w:p>
        </w:tc>
      </w:tr>
      <w:tr w14:paraId="23473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38E3DB19">
            <w:pPr>
              <w:pStyle w:val="37"/>
              <w:keepNext w:val="0"/>
              <w:keepLines w:val="0"/>
              <w:pageBreakBefore w:val="0"/>
              <w:widowControl w:val="0"/>
              <w:kinsoku/>
              <w:overflowPunct/>
              <w:bidi w:val="0"/>
              <w:snapToGrid/>
              <w:spacing w:line="320" w:lineRule="exact"/>
              <w:jc w:val="center"/>
              <w:textAlignment w:val="auto"/>
              <w:rPr>
                <w:color w:val="auto"/>
                <w:sz w:val="21"/>
                <w:highlight w:val="none"/>
                <w:lang w:eastAsia="zh-CN"/>
              </w:rPr>
            </w:pPr>
            <w:r>
              <w:rPr>
                <w:rFonts w:hint="eastAsia"/>
                <w:color w:val="auto"/>
                <w:sz w:val="21"/>
                <w:highlight w:val="none"/>
                <w:lang w:eastAsia="zh-CN"/>
              </w:rPr>
              <w:t>5</w:t>
            </w:r>
            <w:r>
              <w:rPr>
                <w:color w:val="auto"/>
                <w:sz w:val="21"/>
                <w:highlight w:val="none"/>
                <w:lang w:eastAsia="zh-CN"/>
              </w:rPr>
              <w:t>.2</w:t>
            </w:r>
            <w:r>
              <w:rPr>
                <w:rFonts w:hint="eastAsia"/>
                <w:color w:val="auto"/>
                <w:sz w:val="21"/>
                <w:highlight w:val="none"/>
                <w:lang w:eastAsia="zh-CN"/>
              </w:rPr>
              <w:t>（4）</w:t>
            </w:r>
          </w:p>
        </w:tc>
        <w:tc>
          <w:tcPr>
            <w:tcW w:w="2269" w:type="dxa"/>
            <w:vAlign w:val="center"/>
          </w:tcPr>
          <w:p w14:paraId="254DDF08">
            <w:pPr>
              <w:pStyle w:val="37"/>
              <w:keepNext w:val="0"/>
              <w:keepLines w:val="0"/>
              <w:pageBreakBefore w:val="0"/>
              <w:widowControl w:val="0"/>
              <w:kinsoku/>
              <w:overflowPunct/>
              <w:bidi w:val="0"/>
              <w:snapToGrid/>
              <w:spacing w:before="107" w:line="320" w:lineRule="exact"/>
              <w:jc w:val="center"/>
              <w:textAlignment w:val="auto"/>
              <w:rPr>
                <w:color w:val="auto"/>
                <w:sz w:val="21"/>
                <w:szCs w:val="21"/>
                <w:highlight w:val="none"/>
              </w:rPr>
            </w:pPr>
            <w:r>
              <w:rPr>
                <w:rFonts w:hint="eastAsia"/>
                <w:color w:val="auto"/>
                <w:sz w:val="21"/>
                <w:szCs w:val="21"/>
                <w:highlight w:val="none"/>
              </w:rPr>
              <w:t>开标程序</w:t>
            </w:r>
          </w:p>
        </w:tc>
        <w:tc>
          <w:tcPr>
            <w:tcW w:w="7009" w:type="dxa"/>
            <w:vAlign w:val="center"/>
          </w:tcPr>
          <w:p w14:paraId="4CA290B8">
            <w:pPr>
              <w:pStyle w:val="37"/>
              <w:keepNext w:val="0"/>
              <w:keepLines w:val="0"/>
              <w:pageBreakBefore w:val="0"/>
              <w:widowControl w:val="0"/>
              <w:kinsoku/>
              <w:overflowPunct/>
              <w:bidi w:val="0"/>
              <w:snapToGrid/>
              <w:spacing w:before="107" w:line="320" w:lineRule="exact"/>
              <w:ind w:left="88" w:leftChars="40" w:right="102"/>
              <w:jc w:val="both"/>
              <w:textAlignment w:val="auto"/>
              <w:rPr>
                <w:color w:val="auto"/>
                <w:sz w:val="21"/>
                <w:szCs w:val="21"/>
                <w:highlight w:val="none"/>
                <w:lang w:eastAsia="zh-CN"/>
              </w:rPr>
            </w:pPr>
            <w:r>
              <w:rPr>
                <w:rFonts w:hint="eastAsia" w:ascii="宋体" w:hAnsi="宋体"/>
                <w:color w:val="auto"/>
                <w:sz w:val="21"/>
                <w:szCs w:val="21"/>
                <w:highlight w:val="none"/>
              </w:rPr>
              <w:t>开标顺序：按随机排序的顺序进行唱标。</w:t>
            </w:r>
          </w:p>
        </w:tc>
      </w:tr>
      <w:tr w14:paraId="715A5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709DED75">
            <w:pPr>
              <w:pStyle w:val="37"/>
              <w:keepNext w:val="0"/>
              <w:keepLines w:val="0"/>
              <w:pageBreakBefore w:val="0"/>
              <w:widowControl w:val="0"/>
              <w:kinsoku/>
              <w:overflowPunct/>
              <w:bidi w:val="0"/>
              <w:snapToGrid/>
              <w:spacing w:line="320" w:lineRule="exact"/>
              <w:jc w:val="center"/>
              <w:textAlignment w:val="auto"/>
              <w:rPr>
                <w:color w:val="auto"/>
                <w:sz w:val="21"/>
                <w:highlight w:val="none"/>
              </w:rPr>
            </w:pPr>
            <w:r>
              <w:rPr>
                <w:rFonts w:hint="eastAsia"/>
                <w:color w:val="auto"/>
                <w:sz w:val="21"/>
                <w:highlight w:val="none"/>
              </w:rPr>
              <w:t>6.1.1</w:t>
            </w:r>
          </w:p>
        </w:tc>
        <w:tc>
          <w:tcPr>
            <w:tcW w:w="2269" w:type="dxa"/>
            <w:vAlign w:val="center"/>
          </w:tcPr>
          <w:p w14:paraId="526DFE6D">
            <w:pPr>
              <w:pStyle w:val="37"/>
              <w:keepNext w:val="0"/>
              <w:keepLines w:val="0"/>
              <w:pageBreakBefore w:val="0"/>
              <w:widowControl w:val="0"/>
              <w:kinsoku/>
              <w:overflowPunct/>
              <w:bidi w:val="0"/>
              <w:snapToGrid/>
              <w:spacing w:line="320" w:lineRule="exact"/>
              <w:jc w:val="center"/>
              <w:textAlignment w:val="auto"/>
              <w:rPr>
                <w:color w:val="auto"/>
                <w:sz w:val="21"/>
                <w:highlight w:val="none"/>
              </w:rPr>
            </w:pPr>
            <w:r>
              <w:rPr>
                <w:rFonts w:hint="eastAsia"/>
                <w:color w:val="auto"/>
                <w:sz w:val="21"/>
                <w:highlight w:val="none"/>
              </w:rPr>
              <w:t>评标委员会的组建</w:t>
            </w:r>
          </w:p>
        </w:tc>
        <w:tc>
          <w:tcPr>
            <w:tcW w:w="7009" w:type="dxa"/>
            <w:vAlign w:val="center"/>
          </w:tcPr>
          <w:p w14:paraId="633B1005">
            <w:pPr>
              <w:keepNext w:val="0"/>
              <w:keepLines w:val="0"/>
              <w:pageBreakBefore w:val="0"/>
              <w:widowControl w:val="0"/>
              <w:kinsoku/>
              <w:overflowPunct/>
              <w:bidi w:val="0"/>
              <w:snapToGrid/>
              <w:spacing w:line="320" w:lineRule="exact"/>
              <w:ind w:left="88" w:leftChars="40"/>
              <w:jc w:val="both"/>
              <w:textAlignment w:val="auto"/>
              <w:rPr>
                <w:color w:val="auto"/>
                <w:sz w:val="21"/>
                <w:szCs w:val="21"/>
                <w:highlight w:val="yellow"/>
                <w:lang w:eastAsia="zh-CN"/>
              </w:rPr>
            </w:pPr>
            <w:r>
              <w:rPr>
                <w:color w:val="auto"/>
                <w:sz w:val="21"/>
                <w:szCs w:val="21"/>
                <w:highlight w:val="none"/>
                <w:lang w:eastAsia="zh-CN"/>
              </w:rPr>
              <w:t>评标委员会构成：</w:t>
            </w:r>
            <w:r>
              <w:rPr>
                <w:rFonts w:hint="eastAsia"/>
                <w:color w:val="auto"/>
                <w:sz w:val="21"/>
                <w:szCs w:val="21"/>
                <w:highlight w:val="none"/>
                <w:u w:val="single"/>
                <w:lang w:eastAsia="zh-CN"/>
              </w:rPr>
              <w:t>5</w:t>
            </w:r>
            <w:r>
              <w:rPr>
                <w:color w:val="auto"/>
                <w:sz w:val="21"/>
                <w:szCs w:val="21"/>
                <w:highlight w:val="none"/>
                <w:lang w:eastAsia="zh-CN"/>
              </w:rPr>
              <w:t>人 其中招标人代表</w:t>
            </w:r>
            <w:r>
              <w:rPr>
                <w:color w:val="auto"/>
                <w:sz w:val="21"/>
                <w:szCs w:val="21"/>
                <w:highlight w:val="none"/>
                <w:u w:val="single"/>
                <w:lang w:eastAsia="zh-CN"/>
              </w:rPr>
              <w:t xml:space="preserve"> </w:t>
            </w:r>
            <w:r>
              <w:rPr>
                <w:rFonts w:hint="eastAsia"/>
                <w:color w:val="auto"/>
                <w:sz w:val="21"/>
                <w:szCs w:val="21"/>
                <w:highlight w:val="none"/>
                <w:u w:val="single"/>
                <w:lang w:val="en-US" w:eastAsia="zh-CN"/>
              </w:rPr>
              <w:t>1</w:t>
            </w:r>
            <w:r>
              <w:rPr>
                <w:color w:val="auto"/>
                <w:sz w:val="21"/>
                <w:szCs w:val="21"/>
                <w:highlight w:val="none"/>
                <w:lang w:eastAsia="zh-CN"/>
              </w:rPr>
              <w:t xml:space="preserve">人，专家 </w:t>
            </w:r>
            <w:r>
              <w:rPr>
                <w:rFonts w:hint="eastAsia"/>
                <w:color w:val="auto"/>
                <w:sz w:val="21"/>
                <w:szCs w:val="21"/>
                <w:highlight w:val="none"/>
                <w:u w:val="single"/>
                <w:lang w:val="en-US" w:eastAsia="zh-CN"/>
              </w:rPr>
              <w:t>4</w:t>
            </w:r>
            <w:r>
              <w:rPr>
                <w:color w:val="auto"/>
                <w:sz w:val="21"/>
                <w:szCs w:val="21"/>
                <w:highlight w:val="none"/>
                <w:lang w:eastAsia="zh-CN"/>
              </w:rPr>
              <w:t xml:space="preserve">人； </w:t>
            </w:r>
          </w:p>
          <w:p w14:paraId="3FB1FA4A">
            <w:pPr>
              <w:pStyle w:val="37"/>
              <w:keepNext w:val="0"/>
              <w:keepLines w:val="0"/>
              <w:pageBreakBefore w:val="0"/>
              <w:widowControl w:val="0"/>
              <w:tabs>
                <w:tab w:val="left" w:pos="2309"/>
                <w:tab w:val="left" w:pos="3826"/>
              </w:tabs>
              <w:kinsoku/>
              <w:overflowPunct/>
              <w:bidi w:val="0"/>
              <w:snapToGrid/>
              <w:spacing w:before="1" w:line="320" w:lineRule="exact"/>
              <w:ind w:left="88" w:leftChars="40" w:right="-3"/>
              <w:jc w:val="both"/>
              <w:textAlignment w:val="auto"/>
              <w:rPr>
                <w:color w:val="auto"/>
                <w:sz w:val="21"/>
                <w:highlight w:val="none"/>
                <w:lang w:eastAsia="zh-CN"/>
              </w:rPr>
            </w:pPr>
            <w:r>
              <w:rPr>
                <w:color w:val="auto"/>
                <w:sz w:val="21"/>
                <w:szCs w:val="21"/>
                <w:highlight w:val="none"/>
                <w:lang w:eastAsia="zh-CN"/>
              </w:rPr>
              <w:t>评标专家确定方式：</w:t>
            </w:r>
            <w:r>
              <w:rPr>
                <w:rFonts w:hint="eastAsia"/>
                <w:color w:val="auto"/>
                <w:sz w:val="21"/>
                <w:szCs w:val="21"/>
                <w:highlight w:val="none"/>
                <w:lang w:eastAsia="zh-CN"/>
              </w:rPr>
              <w:t>在建设行政主管部门认定的评标专家库中随机抽取。</w:t>
            </w:r>
          </w:p>
        </w:tc>
      </w:tr>
      <w:tr w14:paraId="3CC60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1B6A378E">
            <w:pPr>
              <w:pStyle w:val="37"/>
              <w:keepNext w:val="0"/>
              <w:keepLines w:val="0"/>
              <w:pageBreakBefore w:val="0"/>
              <w:widowControl w:val="0"/>
              <w:kinsoku/>
              <w:overflowPunct/>
              <w:bidi w:val="0"/>
              <w:snapToGrid/>
              <w:spacing w:line="320" w:lineRule="exact"/>
              <w:jc w:val="center"/>
              <w:textAlignment w:val="auto"/>
              <w:rPr>
                <w:color w:val="auto"/>
                <w:sz w:val="21"/>
                <w:highlight w:val="none"/>
              </w:rPr>
            </w:pPr>
            <w:r>
              <w:rPr>
                <w:rFonts w:hint="eastAsia"/>
                <w:color w:val="auto"/>
                <w:sz w:val="21"/>
                <w:highlight w:val="none"/>
              </w:rPr>
              <w:t>6.3.2</w:t>
            </w:r>
          </w:p>
        </w:tc>
        <w:tc>
          <w:tcPr>
            <w:tcW w:w="2269" w:type="dxa"/>
            <w:vAlign w:val="center"/>
          </w:tcPr>
          <w:p w14:paraId="3CE2F639">
            <w:pPr>
              <w:pStyle w:val="37"/>
              <w:keepNext w:val="0"/>
              <w:keepLines w:val="0"/>
              <w:pageBreakBefore w:val="0"/>
              <w:widowControl w:val="0"/>
              <w:kinsoku/>
              <w:wordWrap/>
              <w:overflowPunct/>
              <w:topLinePunct w:val="0"/>
              <w:autoSpaceDE/>
              <w:autoSpaceDN/>
              <w:bidi w:val="0"/>
              <w:adjustRightInd/>
              <w:snapToGrid/>
              <w:spacing w:line="320" w:lineRule="exact"/>
              <w:ind w:left="88" w:leftChars="40"/>
              <w:jc w:val="center"/>
              <w:textAlignment w:val="auto"/>
              <w:rPr>
                <w:color w:val="auto"/>
                <w:sz w:val="21"/>
                <w:szCs w:val="21"/>
                <w:highlight w:val="none"/>
                <w:lang w:eastAsia="zh-CN"/>
              </w:rPr>
            </w:pPr>
            <w:r>
              <w:rPr>
                <w:rFonts w:hint="eastAsia"/>
                <w:color w:val="auto"/>
                <w:sz w:val="21"/>
                <w:szCs w:val="21"/>
                <w:highlight w:val="none"/>
                <w:lang w:eastAsia="zh-CN"/>
              </w:rPr>
              <w:t>评标委员会推荐中标候选人的人数</w:t>
            </w:r>
          </w:p>
        </w:tc>
        <w:tc>
          <w:tcPr>
            <w:tcW w:w="7009" w:type="dxa"/>
            <w:vAlign w:val="center"/>
          </w:tcPr>
          <w:p w14:paraId="1C0452BA">
            <w:pPr>
              <w:keepNext w:val="0"/>
              <w:keepLines w:val="0"/>
              <w:pageBreakBefore w:val="0"/>
              <w:widowControl w:val="0"/>
              <w:kinsoku/>
              <w:wordWrap/>
              <w:overflowPunct/>
              <w:topLinePunct w:val="0"/>
              <w:autoSpaceDE/>
              <w:autoSpaceDN/>
              <w:bidi w:val="0"/>
              <w:adjustRightInd/>
              <w:snapToGrid/>
              <w:spacing w:line="320" w:lineRule="exact"/>
              <w:ind w:left="88" w:leftChars="40"/>
              <w:jc w:val="both"/>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sym w:font="Wingdings" w:char="00A8"/>
            </w:r>
            <w:r>
              <w:rPr>
                <w:rFonts w:hint="eastAsia" w:ascii="宋体" w:hAnsi="宋体"/>
                <w:color w:val="auto"/>
                <w:sz w:val="21"/>
                <w:szCs w:val="21"/>
                <w:highlight w:val="none"/>
              </w:rPr>
              <w:t>是</w:t>
            </w:r>
          </w:p>
          <w:p w14:paraId="78413845">
            <w:pPr>
              <w:keepNext w:val="0"/>
              <w:keepLines w:val="0"/>
              <w:pageBreakBefore w:val="0"/>
              <w:widowControl w:val="0"/>
              <w:kinsoku/>
              <w:wordWrap/>
              <w:overflowPunct/>
              <w:topLinePunct w:val="0"/>
              <w:autoSpaceDE/>
              <w:autoSpaceDN/>
              <w:bidi w:val="0"/>
              <w:adjustRightInd/>
              <w:snapToGrid/>
              <w:spacing w:line="320" w:lineRule="exact"/>
              <w:ind w:left="88" w:leftChars="40"/>
              <w:jc w:val="both"/>
              <w:textAlignment w:val="auto"/>
              <w:rPr>
                <w:color w:val="auto"/>
                <w:sz w:val="21"/>
                <w:szCs w:val="21"/>
                <w:highlight w:val="none"/>
                <w:lang w:eastAsia="zh-CN"/>
              </w:rPr>
            </w:pPr>
            <w:r>
              <w:rPr>
                <w:rFonts w:hint="eastAsia" w:ascii="宋体" w:hAnsi="宋体"/>
                <w:color w:val="auto"/>
                <w:sz w:val="21"/>
                <w:szCs w:val="21"/>
                <w:highlight w:val="none"/>
                <w:lang w:eastAsia="zh-CN"/>
              </w:rPr>
              <w:sym w:font="Wingdings" w:char="00FE"/>
            </w:r>
            <w:r>
              <w:rPr>
                <w:rFonts w:hint="eastAsia" w:ascii="宋体" w:hAnsi="宋体"/>
                <w:color w:val="auto"/>
                <w:sz w:val="21"/>
                <w:szCs w:val="21"/>
                <w:highlight w:val="none"/>
              </w:rPr>
              <w:t>否，推荐的中标候选人数</w:t>
            </w:r>
            <w:r>
              <w:rPr>
                <w:rFonts w:hint="eastAsia" w:ascii="宋体" w:hAnsi="宋体"/>
                <w:color w:val="auto"/>
                <w:sz w:val="21"/>
                <w:szCs w:val="21"/>
                <w:highlight w:val="none"/>
                <w:lang w:eastAsia="zh-CN"/>
              </w:rPr>
              <w:t>：</w:t>
            </w:r>
            <w:r>
              <w:rPr>
                <w:rFonts w:hint="eastAsia" w:ascii="宋体" w:hAnsi="宋体"/>
                <w:color w:val="auto"/>
                <w:sz w:val="21"/>
                <w:szCs w:val="21"/>
                <w:highlight w:val="none"/>
              </w:rPr>
              <w:t>3人。</w:t>
            </w:r>
          </w:p>
        </w:tc>
      </w:tr>
      <w:tr w14:paraId="136E7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61785111">
            <w:pPr>
              <w:pStyle w:val="37"/>
              <w:keepNext w:val="0"/>
              <w:keepLines w:val="0"/>
              <w:pageBreakBefore w:val="0"/>
              <w:widowControl w:val="0"/>
              <w:kinsoku/>
              <w:overflowPunct/>
              <w:bidi w:val="0"/>
              <w:snapToGrid/>
              <w:spacing w:line="320" w:lineRule="exact"/>
              <w:jc w:val="center"/>
              <w:textAlignment w:val="auto"/>
              <w:rPr>
                <w:color w:val="auto"/>
                <w:sz w:val="21"/>
                <w:highlight w:val="none"/>
              </w:rPr>
            </w:pPr>
            <w:r>
              <w:rPr>
                <w:rFonts w:hint="eastAsia"/>
                <w:color w:val="auto"/>
                <w:sz w:val="21"/>
                <w:highlight w:val="none"/>
              </w:rPr>
              <w:t>7.6.1</w:t>
            </w:r>
          </w:p>
        </w:tc>
        <w:tc>
          <w:tcPr>
            <w:tcW w:w="2269" w:type="dxa"/>
            <w:vAlign w:val="center"/>
          </w:tcPr>
          <w:p w14:paraId="3B5D91E4">
            <w:pPr>
              <w:pStyle w:val="37"/>
              <w:keepNext w:val="0"/>
              <w:keepLines w:val="0"/>
              <w:pageBreakBefore w:val="0"/>
              <w:widowControl w:val="0"/>
              <w:kinsoku/>
              <w:overflowPunct/>
              <w:bidi w:val="0"/>
              <w:snapToGrid/>
              <w:spacing w:line="320" w:lineRule="exact"/>
              <w:jc w:val="center"/>
              <w:textAlignment w:val="auto"/>
              <w:rPr>
                <w:color w:val="auto"/>
                <w:sz w:val="21"/>
                <w:highlight w:val="none"/>
              </w:rPr>
            </w:pPr>
            <w:r>
              <w:rPr>
                <w:rFonts w:hint="eastAsia"/>
                <w:color w:val="auto"/>
                <w:sz w:val="21"/>
                <w:highlight w:val="none"/>
              </w:rPr>
              <w:t>履约保证金</w:t>
            </w:r>
          </w:p>
        </w:tc>
        <w:tc>
          <w:tcPr>
            <w:tcW w:w="7009" w:type="dxa"/>
            <w:vAlign w:val="center"/>
          </w:tcPr>
          <w:p w14:paraId="2C6D46B8">
            <w:pPr>
              <w:pStyle w:val="37"/>
              <w:keepNext w:val="0"/>
              <w:keepLines w:val="0"/>
              <w:pageBreakBefore w:val="0"/>
              <w:widowControl w:val="0"/>
              <w:kinsoku/>
              <w:overflowPunct/>
              <w:bidi w:val="0"/>
              <w:snapToGrid/>
              <w:spacing w:before="77" w:line="320" w:lineRule="exact"/>
              <w:ind w:left="88" w:leftChars="40" w:right="102"/>
              <w:jc w:val="both"/>
              <w:textAlignment w:val="auto"/>
              <w:rPr>
                <w:color w:val="auto"/>
                <w:sz w:val="21"/>
                <w:szCs w:val="21"/>
                <w:highlight w:val="none"/>
                <w:lang w:eastAsia="zh-CN"/>
              </w:rPr>
            </w:pPr>
            <w:r>
              <w:rPr>
                <w:rFonts w:hint="eastAsia"/>
                <w:color w:val="auto"/>
                <w:sz w:val="21"/>
                <w:szCs w:val="21"/>
                <w:highlight w:val="none"/>
                <w:lang w:eastAsia="zh-CN"/>
              </w:rPr>
              <w:t>以合同签订为准</w:t>
            </w:r>
          </w:p>
        </w:tc>
      </w:tr>
      <w:tr w14:paraId="1381F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jc w:val="center"/>
        </w:trPr>
        <w:tc>
          <w:tcPr>
            <w:tcW w:w="1248" w:type="dxa"/>
            <w:vAlign w:val="center"/>
          </w:tcPr>
          <w:p w14:paraId="30DC3F07">
            <w:pPr>
              <w:pStyle w:val="37"/>
              <w:keepNext w:val="0"/>
              <w:keepLines w:val="0"/>
              <w:pageBreakBefore w:val="0"/>
              <w:widowControl w:val="0"/>
              <w:kinsoku/>
              <w:overflowPunct/>
              <w:bidi w:val="0"/>
              <w:snapToGrid/>
              <w:spacing w:line="320" w:lineRule="exact"/>
              <w:jc w:val="center"/>
              <w:textAlignment w:val="auto"/>
              <w:rPr>
                <w:color w:val="auto"/>
                <w:sz w:val="21"/>
                <w:highlight w:val="none"/>
              </w:rPr>
            </w:pPr>
            <w:r>
              <w:rPr>
                <w:rFonts w:hint="eastAsia"/>
                <w:color w:val="auto"/>
                <w:sz w:val="21"/>
                <w:highlight w:val="none"/>
              </w:rPr>
              <w:t>9</w:t>
            </w:r>
          </w:p>
        </w:tc>
        <w:tc>
          <w:tcPr>
            <w:tcW w:w="2269" w:type="dxa"/>
            <w:vAlign w:val="center"/>
          </w:tcPr>
          <w:p w14:paraId="7EB1DC7C">
            <w:pPr>
              <w:pStyle w:val="37"/>
              <w:keepNext w:val="0"/>
              <w:keepLines w:val="0"/>
              <w:pageBreakBefore w:val="0"/>
              <w:widowControl w:val="0"/>
              <w:kinsoku/>
              <w:overflowPunct/>
              <w:bidi w:val="0"/>
              <w:snapToGrid/>
              <w:spacing w:line="320" w:lineRule="exact"/>
              <w:jc w:val="center"/>
              <w:textAlignment w:val="auto"/>
              <w:rPr>
                <w:color w:val="auto"/>
                <w:sz w:val="21"/>
                <w:highlight w:val="none"/>
                <w:lang w:eastAsia="zh-CN"/>
              </w:rPr>
            </w:pPr>
            <w:r>
              <w:rPr>
                <w:rFonts w:hint="eastAsia"/>
                <w:color w:val="auto"/>
                <w:sz w:val="21"/>
                <w:highlight w:val="none"/>
                <w:lang w:eastAsia="zh-CN"/>
              </w:rPr>
              <w:t>是否采用电子招标投标</w:t>
            </w:r>
          </w:p>
        </w:tc>
        <w:tc>
          <w:tcPr>
            <w:tcW w:w="7009" w:type="dxa"/>
            <w:vAlign w:val="center"/>
          </w:tcPr>
          <w:p w14:paraId="40F15E83">
            <w:pPr>
              <w:pStyle w:val="37"/>
              <w:keepNext w:val="0"/>
              <w:keepLines w:val="0"/>
              <w:pageBreakBefore w:val="0"/>
              <w:widowControl w:val="0"/>
              <w:kinsoku/>
              <w:overflowPunct/>
              <w:bidi w:val="0"/>
              <w:snapToGrid/>
              <w:spacing w:before="27" w:line="320" w:lineRule="exact"/>
              <w:ind w:left="88" w:leftChars="40" w:right="3278"/>
              <w:jc w:val="both"/>
              <w:textAlignment w:val="auto"/>
              <w:rPr>
                <w:color w:val="auto"/>
                <w:sz w:val="21"/>
                <w:szCs w:val="21"/>
                <w:highlight w:val="none"/>
              </w:rPr>
            </w:pPr>
            <w:r>
              <w:rPr>
                <w:rFonts w:hint="eastAsia"/>
                <w:color w:val="auto"/>
                <w:sz w:val="21"/>
                <w:szCs w:val="21"/>
                <w:highlight w:val="none"/>
              </w:rPr>
              <w:sym w:font="Wingdings" w:char="00A8"/>
            </w:r>
            <w:r>
              <w:rPr>
                <w:rFonts w:hint="eastAsia"/>
                <w:color w:val="auto"/>
                <w:sz w:val="21"/>
                <w:szCs w:val="21"/>
                <w:highlight w:val="none"/>
              </w:rPr>
              <w:t>否</w:t>
            </w:r>
          </w:p>
          <w:p w14:paraId="7F4D39FC">
            <w:pPr>
              <w:pStyle w:val="37"/>
              <w:keepNext w:val="0"/>
              <w:keepLines w:val="0"/>
              <w:pageBreakBefore w:val="0"/>
              <w:widowControl w:val="0"/>
              <w:kinsoku/>
              <w:overflowPunct/>
              <w:bidi w:val="0"/>
              <w:snapToGrid/>
              <w:spacing w:before="61" w:line="320" w:lineRule="exact"/>
              <w:ind w:left="88" w:leftChars="40" w:right="102"/>
              <w:jc w:val="both"/>
              <w:textAlignment w:val="auto"/>
              <w:rPr>
                <w:rFonts w:hint="eastAsia"/>
                <w:color w:val="auto"/>
                <w:sz w:val="21"/>
                <w:szCs w:val="21"/>
                <w:highlight w:val="none"/>
                <w:lang w:val="en-US" w:eastAsia="zh-CN"/>
              </w:rPr>
            </w:pPr>
            <w:r>
              <w:rPr>
                <w:rFonts w:hint="eastAsia"/>
                <w:color w:val="auto"/>
                <w:sz w:val="21"/>
                <w:szCs w:val="21"/>
                <w:highlight w:val="none"/>
                <w:lang w:eastAsia="zh-CN"/>
              </w:rPr>
              <w:sym w:font="Wingdings" w:char="00FE"/>
            </w:r>
            <w:r>
              <w:rPr>
                <w:rFonts w:hint="eastAsia"/>
                <w:color w:val="auto"/>
                <w:sz w:val="21"/>
                <w:szCs w:val="21"/>
                <w:highlight w:val="none"/>
              </w:rPr>
              <w:t>是</w:t>
            </w:r>
            <w:r>
              <w:rPr>
                <w:rFonts w:hint="eastAsia"/>
                <w:color w:val="auto"/>
                <w:sz w:val="21"/>
                <w:szCs w:val="21"/>
                <w:highlight w:val="none"/>
                <w:lang w:val="en-US" w:eastAsia="zh-CN"/>
              </w:rPr>
              <w:t>,具体要求：采用电子文件进行评审。</w:t>
            </w:r>
          </w:p>
        </w:tc>
      </w:tr>
      <w:tr w14:paraId="7945E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8" w:type="dxa"/>
            <w:vAlign w:val="center"/>
          </w:tcPr>
          <w:p w14:paraId="398FA49B">
            <w:pPr>
              <w:pStyle w:val="37"/>
              <w:keepNext w:val="0"/>
              <w:keepLines w:val="0"/>
              <w:pageBreakBefore w:val="0"/>
              <w:widowControl w:val="0"/>
              <w:kinsoku/>
              <w:overflowPunct/>
              <w:bidi w:val="0"/>
              <w:snapToGrid/>
              <w:spacing w:line="320" w:lineRule="exact"/>
              <w:jc w:val="center"/>
              <w:textAlignment w:val="auto"/>
              <w:rPr>
                <w:color w:val="auto"/>
                <w:sz w:val="21"/>
                <w:szCs w:val="21"/>
                <w:highlight w:val="none"/>
              </w:rPr>
            </w:pPr>
            <w:r>
              <w:rPr>
                <w:rFonts w:hint="eastAsia"/>
                <w:color w:val="auto"/>
                <w:sz w:val="21"/>
                <w:szCs w:val="21"/>
                <w:highlight w:val="none"/>
              </w:rPr>
              <w:t>10</w:t>
            </w:r>
          </w:p>
        </w:tc>
        <w:tc>
          <w:tcPr>
            <w:tcW w:w="2269" w:type="dxa"/>
            <w:vAlign w:val="center"/>
          </w:tcPr>
          <w:p w14:paraId="401572BA">
            <w:pPr>
              <w:pStyle w:val="37"/>
              <w:keepNext w:val="0"/>
              <w:keepLines w:val="0"/>
              <w:pageBreakBefore w:val="0"/>
              <w:widowControl w:val="0"/>
              <w:kinsoku/>
              <w:overflowPunct/>
              <w:bidi w:val="0"/>
              <w:snapToGrid/>
              <w:spacing w:line="320" w:lineRule="exact"/>
              <w:jc w:val="center"/>
              <w:textAlignment w:val="auto"/>
              <w:rPr>
                <w:color w:val="auto"/>
                <w:sz w:val="21"/>
                <w:szCs w:val="21"/>
                <w:highlight w:val="none"/>
              </w:rPr>
            </w:pPr>
            <w:r>
              <w:rPr>
                <w:rFonts w:hint="eastAsia"/>
                <w:color w:val="auto"/>
                <w:sz w:val="21"/>
                <w:szCs w:val="21"/>
                <w:highlight w:val="none"/>
              </w:rPr>
              <w:t>需要补充的其他内容</w:t>
            </w:r>
          </w:p>
        </w:tc>
        <w:tc>
          <w:tcPr>
            <w:tcW w:w="7009" w:type="dxa"/>
            <w:vAlign w:val="center"/>
          </w:tcPr>
          <w:p w14:paraId="4BE70629">
            <w:pPr>
              <w:keepNext w:val="0"/>
              <w:keepLines w:val="0"/>
              <w:pageBreakBefore w:val="0"/>
              <w:widowControl w:val="0"/>
              <w:kinsoku/>
              <w:overflowPunct/>
              <w:bidi w:val="0"/>
              <w:snapToGrid/>
              <w:spacing w:line="320" w:lineRule="exact"/>
              <w:ind w:left="88" w:leftChars="40"/>
              <w:jc w:val="both"/>
              <w:textAlignment w:val="auto"/>
              <w:rPr>
                <w:rFonts w:hint="default" w:eastAsia="宋体"/>
                <w:color w:val="auto"/>
                <w:highlight w:val="none"/>
                <w:lang w:val="en-US" w:eastAsia="zh-CN"/>
              </w:rPr>
            </w:pPr>
          </w:p>
        </w:tc>
      </w:tr>
      <w:tr w14:paraId="0111C95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46" w:type="dxa"/>
            <w:right w:w="118" w:type="dxa"/>
          </w:tblCellMar>
        </w:tblPrEx>
        <w:trPr>
          <w:trHeight w:val="90" w:hRule="atLeast"/>
          <w:jc w:val="center"/>
        </w:trPr>
        <w:tc>
          <w:tcPr>
            <w:tcW w:w="1248" w:type="dxa"/>
            <w:tcBorders>
              <w:top w:val="single" w:color="000000" w:sz="4" w:space="0"/>
              <w:left w:val="single" w:color="000000" w:sz="4" w:space="0"/>
              <w:bottom w:val="single" w:color="000000" w:sz="4" w:space="0"/>
              <w:right w:val="single" w:color="000000" w:sz="4" w:space="0"/>
            </w:tcBorders>
            <w:vAlign w:val="center"/>
          </w:tcPr>
          <w:p w14:paraId="7A0BF1CD">
            <w:pPr>
              <w:keepNext w:val="0"/>
              <w:keepLines w:val="0"/>
              <w:pageBreakBefore w:val="0"/>
              <w:widowControl w:val="0"/>
              <w:kinsoku/>
              <w:overflowPunct/>
              <w:bidi w:val="0"/>
              <w:snapToGrid/>
              <w:spacing w:line="320" w:lineRule="exact"/>
              <w:ind w:left="263" w:hanging="262" w:hangingChars="125"/>
              <w:jc w:val="center"/>
              <w:textAlignment w:val="auto"/>
              <w:rPr>
                <w:rFonts w:hint="eastAsia" w:eastAsia="宋体" w:cs="Times New Roman"/>
                <w:color w:val="auto"/>
                <w:sz w:val="21"/>
                <w:szCs w:val="21"/>
                <w:highlight w:val="none"/>
                <w:lang w:eastAsia="zh-CN"/>
              </w:rPr>
            </w:pPr>
            <w:r>
              <w:rPr>
                <w:rFonts w:hint="eastAsia" w:cs="Times New Roman"/>
                <w:color w:val="auto"/>
                <w:sz w:val="21"/>
                <w:szCs w:val="21"/>
                <w:highlight w:val="none"/>
              </w:rPr>
              <w:t>10.</w:t>
            </w:r>
            <w:r>
              <w:rPr>
                <w:rFonts w:hint="eastAsia" w:cs="Times New Roman"/>
                <w:color w:val="auto"/>
                <w:sz w:val="21"/>
                <w:szCs w:val="21"/>
                <w:highlight w:val="none"/>
                <w:lang w:val="en-US" w:eastAsia="zh-CN"/>
              </w:rPr>
              <w:t>1</w:t>
            </w:r>
          </w:p>
        </w:tc>
        <w:tc>
          <w:tcPr>
            <w:tcW w:w="2269" w:type="dxa"/>
            <w:tcBorders>
              <w:top w:val="single" w:color="000000" w:sz="4" w:space="0"/>
              <w:left w:val="single" w:color="000000" w:sz="4" w:space="0"/>
              <w:bottom w:val="single" w:color="000000" w:sz="4" w:space="0"/>
              <w:right w:val="single" w:color="000000" w:sz="4" w:space="0"/>
            </w:tcBorders>
            <w:vAlign w:val="center"/>
          </w:tcPr>
          <w:p w14:paraId="76109BA2">
            <w:pPr>
              <w:keepNext w:val="0"/>
              <w:keepLines w:val="0"/>
              <w:pageBreakBefore w:val="0"/>
              <w:widowControl w:val="0"/>
              <w:kinsoku/>
              <w:overflowPunct/>
              <w:bidi w:val="0"/>
              <w:snapToGrid/>
              <w:spacing w:line="320" w:lineRule="exact"/>
              <w:jc w:val="center"/>
              <w:textAlignment w:val="auto"/>
              <w:rPr>
                <w:color w:val="auto"/>
                <w:sz w:val="21"/>
                <w:szCs w:val="21"/>
                <w:highlight w:val="none"/>
                <w:lang w:eastAsia="zh-CN"/>
              </w:rPr>
            </w:pPr>
            <w:r>
              <w:rPr>
                <w:rFonts w:hint="eastAsia"/>
                <w:color w:val="auto"/>
                <w:sz w:val="21"/>
                <w:szCs w:val="21"/>
                <w:highlight w:val="none"/>
                <w:lang w:val="en-US" w:eastAsia="zh-CN"/>
              </w:rPr>
              <w:t>是否采用电子招标投标</w:t>
            </w:r>
          </w:p>
        </w:tc>
        <w:tc>
          <w:tcPr>
            <w:tcW w:w="7009" w:type="dxa"/>
            <w:tcBorders>
              <w:top w:val="single" w:color="000000" w:sz="4" w:space="0"/>
              <w:left w:val="single" w:color="000000" w:sz="4" w:space="0"/>
              <w:bottom w:val="single" w:color="000000" w:sz="4" w:space="0"/>
              <w:right w:val="single" w:color="000000" w:sz="4" w:space="0"/>
            </w:tcBorders>
            <w:vAlign w:val="center"/>
          </w:tcPr>
          <w:p w14:paraId="4B336C0E">
            <w:pPr>
              <w:keepNext w:val="0"/>
              <w:keepLines w:val="0"/>
              <w:pageBreakBefore w:val="0"/>
              <w:widowControl w:val="0"/>
              <w:kinsoku/>
              <w:overflowPunct/>
              <w:bidi w:val="0"/>
              <w:snapToGrid/>
              <w:spacing w:line="320" w:lineRule="exact"/>
              <w:ind w:left="44" w:leftChars="20"/>
              <w:jc w:val="both"/>
              <w:textAlignment w:val="auto"/>
              <w:rPr>
                <w:rFonts w:hint="default"/>
                <w:color w:val="auto"/>
                <w:sz w:val="21"/>
                <w:szCs w:val="21"/>
                <w:highlight w:val="none"/>
                <w:lang w:val="en-US" w:eastAsia="zh-CN"/>
              </w:rPr>
            </w:pPr>
            <w:r>
              <w:rPr>
                <w:rFonts w:hint="eastAsia"/>
                <w:color w:val="auto"/>
                <w:sz w:val="21"/>
                <w:szCs w:val="21"/>
                <w:highlight w:val="none"/>
              </w:rPr>
              <w:sym w:font="Wingdings" w:char="00A8"/>
            </w:r>
            <w:r>
              <w:rPr>
                <w:rFonts w:hint="default"/>
                <w:color w:val="auto"/>
                <w:sz w:val="21"/>
                <w:szCs w:val="21"/>
                <w:highlight w:val="none"/>
                <w:lang w:val="en-US" w:eastAsia="zh-CN"/>
              </w:rPr>
              <w:t xml:space="preserve">否 </w:t>
            </w:r>
          </w:p>
          <w:p w14:paraId="323B27C1">
            <w:pPr>
              <w:keepNext w:val="0"/>
              <w:keepLines w:val="0"/>
              <w:pageBreakBefore w:val="0"/>
              <w:widowControl w:val="0"/>
              <w:kinsoku/>
              <w:overflowPunct/>
              <w:bidi w:val="0"/>
              <w:snapToGrid/>
              <w:spacing w:line="320" w:lineRule="exact"/>
              <w:ind w:left="44" w:leftChars="20"/>
              <w:jc w:val="both"/>
              <w:textAlignment w:val="auto"/>
              <w:rPr>
                <w:rFonts w:hint="default"/>
                <w:color w:val="auto"/>
                <w:sz w:val="21"/>
                <w:szCs w:val="21"/>
                <w:highlight w:val="none"/>
                <w:lang w:val="en-US" w:eastAsia="zh-CN"/>
              </w:rPr>
            </w:pPr>
            <w:r>
              <w:rPr>
                <w:rFonts w:hint="default"/>
                <w:color w:val="auto"/>
                <w:sz w:val="21"/>
                <w:szCs w:val="21"/>
                <w:highlight w:val="none"/>
                <w:lang w:val="en-US" w:eastAsia="zh-CN"/>
              </w:rPr>
              <w:t>☑ 是</w:t>
            </w:r>
          </w:p>
        </w:tc>
      </w:tr>
      <w:tr w14:paraId="07D817E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46" w:type="dxa"/>
            <w:right w:w="118" w:type="dxa"/>
          </w:tblCellMar>
        </w:tblPrEx>
        <w:trPr>
          <w:trHeight w:val="90" w:hRule="atLeast"/>
          <w:jc w:val="center"/>
        </w:trPr>
        <w:tc>
          <w:tcPr>
            <w:tcW w:w="1248" w:type="dxa"/>
            <w:tcBorders>
              <w:top w:val="single" w:color="000000" w:sz="4" w:space="0"/>
              <w:left w:val="single" w:color="000000" w:sz="4" w:space="0"/>
              <w:bottom w:val="single" w:color="000000" w:sz="4" w:space="0"/>
              <w:right w:val="single" w:color="000000" w:sz="4" w:space="0"/>
            </w:tcBorders>
            <w:vAlign w:val="center"/>
          </w:tcPr>
          <w:p w14:paraId="48F0A4E5">
            <w:pPr>
              <w:keepNext w:val="0"/>
              <w:keepLines w:val="0"/>
              <w:pageBreakBefore w:val="0"/>
              <w:widowControl w:val="0"/>
              <w:kinsoku/>
              <w:overflowPunct/>
              <w:bidi w:val="0"/>
              <w:snapToGrid/>
              <w:spacing w:line="320" w:lineRule="exact"/>
              <w:jc w:val="center"/>
              <w:textAlignment w:val="auto"/>
              <w:rPr>
                <w:rFonts w:hint="eastAsia" w:eastAsia="宋体" w:cs="Times New Roman"/>
                <w:color w:val="auto"/>
                <w:sz w:val="21"/>
                <w:szCs w:val="21"/>
                <w:highlight w:val="none"/>
                <w:lang w:eastAsia="zh-CN"/>
              </w:rPr>
            </w:pPr>
            <w:r>
              <w:rPr>
                <w:rFonts w:hint="eastAsia" w:cs="Times New Roman"/>
                <w:color w:val="auto"/>
                <w:sz w:val="21"/>
                <w:szCs w:val="21"/>
                <w:highlight w:val="none"/>
              </w:rPr>
              <w:t>10.</w:t>
            </w:r>
            <w:r>
              <w:rPr>
                <w:rFonts w:hint="eastAsia" w:cs="Times New Roman"/>
                <w:color w:val="auto"/>
                <w:sz w:val="21"/>
                <w:szCs w:val="21"/>
                <w:highlight w:val="none"/>
                <w:lang w:val="en-US" w:eastAsia="zh-CN"/>
              </w:rPr>
              <w:t>2</w:t>
            </w:r>
          </w:p>
        </w:tc>
        <w:tc>
          <w:tcPr>
            <w:tcW w:w="2269" w:type="dxa"/>
            <w:tcBorders>
              <w:top w:val="single" w:color="000000" w:sz="4" w:space="0"/>
              <w:left w:val="single" w:color="000000" w:sz="4" w:space="0"/>
              <w:bottom w:val="single" w:color="000000" w:sz="4" w:space="0"/>
              <w:right w:val="single" w:color="000000" w:sz="4" w:space="0"/>
            </w:tcBorders>
            <w:vAlign w:val="center"/>
          </w:tcPr>
          <w:p w14:paraId="1AC961F4">
            <w:pPr>
              <w:keepNext w:val="0"/>
              <w:keepLines w:val="0"/>
              <w:pageBreakBefore w:val="0"/>
              <w:widowControl w:val="0"/>
              <w:kinsoku/>
              <w:overflowPunct/>
              <w:bidi w:val="0"/>
              <w:snapToGrid/>
              <w:spacing w:line="320" w:lineRule="exact"/>
              <w:jc w:val="center"/>
              <w:textAlignment w:val="auto"/>
              <w:rPr>
                <w:color w:val="auto"/>
                <w:sz w:val="21"/>
                <w:szCs w:val="21"/>
                <w:highlight w:val="none"/>
                <w:lang w:val="zh-CN" w:eastAsia="zh-CN"/>
              </w:rPr>
            </w:pPr>
            <w:r>
              <w:rPr>
                <w:rFonts w:hint="eastAsia"/>
                <w:color w:val="auto"/>
                <w:sz w:val="21"/>
                <w:szCs w:val="21"/>
                <w:highlight w:val="none"/>
                <w:lang w:val="zh-CN" w:eastAsia="zh-CN"/>
              </w:rPr>
              <w:t>招标代理服务费</w:t>
            </w:r>
          </w:p>
        </w:tc>
        <w:tc>
          <w:tcPr>
            <w:tcW w:w="7009" w:type="dxa"/>
            <w:tcBorders>
              <w:top w:val="single" w:color="000000" w:sz="4" w:space="0"/>
              <w:left w:val="single" w:color="000000" w:sz="4" w:space="0"/>
              <w:bottom w:val="single" w:color="000000" w:sz="4" w:space="0"/>
              <w:right w:val="single" w:color="000000" w:sz="4" w:space="0"/>
            </w:tcBorders>
            <w:vAlign w:val="center"/>
          </w:tcPr>
          <w:p w14:paraId="02AD2840">
            <w:pPr>
              <w:keepNext w:val="0"/>
              <w:keepLines w:val="0"/>
              <w:pageBreakBefore w:val="0"/>
              <w:widowControl w:val="0"/>
              <w:kinsoku/>
              <w:overflowPunct/>
              <w:bidi w:val="0"/>
              <w:snapToGrid/>
              <w:spacing w:line="320" w:lineRule="exact"/>
              <w:ind w:left="44" w:leftChars="20"/>
              <w:jc w:val="both"/>
              <w:textAlignment w:val="auto"/>
              <w:rPr>
                <w:rFonts w:hint="default"/>
                <w:color w:val="auto"/>
                <w:sz w:val="21"/>
                <w:szCs w:val="21"/>
                <w:highlight w:val="none"/>
                <w:lang w:val="en-US" w:eastAsia="zh-CN"/>
              </w:rPr>
            </w:pPr>
            <w:r>
              <w:rPr>
                <w:rFonts w:hint="eastAsia"/>
                <w:color w:val="auto"/>
                <w:sz w:val="21"/>
                <w:szCs w:val="21"/>
                <w:highlight w:val="none"/>
                <w:lang w:eastAsia="zh-CN"/>
              </w:rPr>
              <w:t>执行《国家发展改革委关于进一步放开建设项目专业服务价格的通知》（发改价格【2015】299号）的规定。</w:t>
            </w:r>
            <w:r>
              <w:rPr>
                <w:rFonts w:hint="eastAsia"/>
                <w:color w:val="auto"/>
                <w:sz w:val="21"/>
                <w:szCs w:val="21"/>
                <w:highlight w:val="none"/>
                <w:lang w:val="en-US" w:eastAsia="zh-CN"/>
              </w:rPr>
              <w:t>招标代理服务费</w:t>
            </w:r>
            <w:r>
              <w:rPr>
                <w:rFonts w:hint="eastAsia"/>
                <w:color w:val="auto"/>
                <w:sz w:val="21"/>
                <w:szCs w:val="21"/>
                <w:highlight w:val="none"/>
                <w:lang w:eastAsia="zh-CN"/>
              </w:rPr>
              <w:t>由中标人支付。</w:t>
            </w:r>
          </w:p>
        </w:tc>
      </w:tr>
      <w:tr w14:paraId="1C4586C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46" w:type="dxa"/>
            <w:right w:w="118" w:type="dxa"/>
          </w:tblCellMar>
        </w:tblPrEx>
        <w:trPr>
          <w:trHeight w:val="90" w:hRule="atLeast"/>
          <w:jc w:val="center"/>
        </w:trPr>
        <w:tc>
          <w:tcPr>
            <w:tcW w:w="1248" w:type="dxa"/>
            <w:tcBorders>
              <w:top w:val="single" w:color="000000" w:sz="4" w:space="0"/>
              <w:left w:val="single" w:color="000000" w:sz="4" w:space="0"/>
              <w:bottom w:val="single" w:color="000000" w:sz="4" w:space="0"/>
              <w:right w:val="single" w:color="000000" w:sz="4" w:space="0"/>
            </w:tcBorders>
            <w:vAlign w:val="center"/>
          </w:tcPr>
          <w:p w14:paraId="186EA44F">
            <w:pPr>
              <w:keepNext w:val="0"/>
              <w:keepLines w:val="0"/>
              <w:pageBreakBefore w:val="0"/>
              <w:widowControl w:val="0"/>
              <w:kinsoku/>
              <w:overflowPunct/>
              <w:bidi w:val="0"/>
              <w:snapToGrid/>
              <w:spacing w:line="320" w:lineRule="exact"/>
              <w:jc w:val="center"/>
              <w:textAlignment w:val="auto"/>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10.3</w:t>
            </w:r>
          </w:p>
        </w:tc>
        <w:tc>
          <w:tcPr>
            <w:tcW w:w="2269" w:type="dxa"/>
            <w:tcBorders>
              <w:top w:val="single" w:color="000000" w:sz="4" w:space="0"/>
              <w:left w:val="single" w:color="000000" w:sz="4" w:space="0"/>
              <w:bottom w:val="single" w:color="000000" w:sz="4" w:space="0"/>
              <w:right w:val="single" w:color="000000" w:sz="4" w:space="0"/>
            </w:tcBorders>
            <w:vAlign w:val="center"/>
          </w:tcPr>
          <w:p w14:paraId="61D52275">
            <w:pPr>
              <w:keepNext w:val="0"/>
              <w:keepLines w:val="0"/>
              <w:pageBreakBefore w:val="0"/>
              <w:widowControl w:val="0"/>
              <w:kinsoku/>
              <w:overflowPunct/>
              <w:bidi w:val="0"/>
              <w:snapToGrid/>
              <w:spacing w:line="320" w:lineRule="exact"/>
              <w:jc w:val="center"/>
              <w:textAlignment w:val="auto"/>
              <w:rPr>
                <w:rFonts w:hint="eastAsia"/>
                <w:color w:val="auto"/>
                <w:sz w:val="21"/>
                <w:szCs w:val="21"/>
                <w:highlight w:val="none"/>
                <w:lang w:val="zh-CN" w:eastAsia="zh-CN"/>
              </w:rPr>
            </w:pPr>
            <w:r>
              <w:rPr>
                <w:rFonts w:hint="eastAsia"/>
                <w:color w:val="auto"/>
                <w:sz w:val="21"/>
                <w:szCs w:val="21"/>
                <w:highlight w:val="none"/>
                <w:lang w:val="zh-CN" w:eastAsia="zh-CN"/>
              </w:rPr>
              <w:t>落实政府采购政策</w:t>
            </w:r>
          </w:p>
        </w:tc>
        <w:tc>
          <w:tcPr>
            <w:tcW w:w="7009" w:type="dxa"/>
            <w:tcBorders>
              <w:top w:val="single" w:color="000000" w:sz="4" w:space="0"/>
              <w:left w:val="single" w:color="000000" w:sz="4" w:space="0"/>
              <w:bottom w:val="single" w:color="000000" w:sz="4" w:space="0"/>
              <w:right w:val="single" w:color="000000" w:sz="4" w:space="0"/>
            </w:tcBorders>
            <w:vAlign w:val="center"/>
          </w:tcPr>
          <w:p w14:paraId="74015FC7">
            <w:pPr>
              <w:pStyle w:val="10"/>
              <w:keepNext w:val="0"/>
              <w:keepLines w:val="0"/>
              <w:pageBreakBefore w:val="0"/>
              <w:widowControl w:val="0"/>
              <w:kinsoku/>
              <w:wordWrap/>
              <w:overflowPunct/>
              <w:topLinePunct w:val="0"/>
              <w:autoSpaceDE/>
              <w:autoSpaceDN/>
              <w:bidi w:val="0"/>
              <w:adjustRightInd/>
              <w:snapToGrid/>
              <w:spacing w:before="17" w:line="380" w:lineRule="exact"/>
              <w:ind w:right="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（1）执行《政府采购促进中小企业发展管理办法》（财库[2020]46号）；</w:t>
            </w:r>
          </w:p>
          <w:p w14:paraId="49E78EDD">
            <w:pPr>
              <w:pStyle w:val="10"/>
              <w:keepNext w:val="0"/>
              <w:keepLines w:val="0"/>
              <w:pageBreakBefore w:val="0"/>
              <w:widowControl w:val="0"/>
              <w:kinsoku/>
              <w:wordWrap/>
              <w:overflowPunct/>
              <w:topLinePunct w:val="0"/>
              <w:autoSpaceDE/>
              <w:autoSpaceDN/>
              <w:bidi w:val="0"/>
              <w:adjustRightInd/>
              <w:snapToGrid/>
              <w:spacing w:before="17" w:line="380" w:lineRule="exact"/>
              <w:ind w:right="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（2）执行《财政部、司法部关于政府采购支持监狱企业发展有关问题的通知》（财库[2014]68号）；</w:t>
            </w:r>
          </w:p>
          <w:p w14:paraId="582C8635">
            <w:pPr>
              <w:pStyle w:val="10"/>
              <w:keepNext w:val="0"/>
              <w:keepLines w:val="0"/>
              <w:pageBreakBefore w:val="0"/>
              <w:widowControl w:val="0"/>
              <w:kinsoku/>
              <w:wordWrap/>
              <w:overflowPunct/>
              <w:topLinePunct w:val="0"/>
              <w:autoSpaceDE/>
              <w:autoSpaceDN/>
              <w:bidi w:val="0"/>
              <w:adjustRightInd/>
              <w:snapToGrid/>
              <w:spacing w:before="17" w:line="380" w:lineRule="exact"/>
              <w:ind w:right="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（3）执行《关于促进残疾人就业政府采购政策的通知》（财库〔2017〕141号）；</w:t>
            </w:r>
          </w:p>
          <w:p w14:paraId="2D7DE981">
            <w:pPr>
              <w:pStyle w:val="10"/>
              <w:keepNext w:val="0"/>
              <w:keepLines w:val="0"/>
              <w:pageBreakBefore w:val="0"/>
              <w:widowControl w:val="0"/>
              <w:kinsoku/>
              <w:wordWrap/>
              <w:overflowPunct/>
              <w:topLinePunct w:val="0"/>
              <w:autoSpaceDE/>
              <w:autoSpaceDN/>
              <w:bidi w:val="0"/>
              <w:adjustRightInd/>
              <w:snapToGrid/>
              <w:spacing w:before="17" w:line="380" w:lineRule="exact"/>
              <w:ind w:right="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（4）执行《财政部 国家发展改革委关于印发〈节能产品政府采购实施意见〉的通知》（财库[2004]185号）；</w:t>
            </w:r>
          </w:p>
          <w:p w14:paraId="28D5F8CC">
            <w:pPr>
              <w:pStyle w:val="10"/>
              <w:keepNext w:val="0"/>
              <w:keepLines w:val="0"/>
              <w:pageBreakBefore w:val="0"/>
              <w:widowControl w:val="0"/>
              <w:kinsoku/>
              <w:wordWrap/>
              <w:overflowPunct/>
              <w:topLinePunct w:val="0"/>
              <w:autoSpaceDE/>
              <w:autoSpaceDN/>
              <w:bidi w:val="0"/>
              <w:adjustRightInd/>
              <w:snapToGrid/>
              <w:spacing w:before="17" w:line="380" w:lineRule="exact"/>
              <w:ind w:right="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（5）执行《财政部 环保总局关于环境标志产品政府采购实施的意见》（财库[2006]90号）；</w:t>
            </w:r>
          </w:p>
          <w:p w14:paraId="2C2A6FEF">
            <w:pPr>
              <w:pStyle w:val="10"/>
              <w:keepNext w:val="0"/>
              <w:keepLines w:val="0"/>
              <w:pageBreakBefore w:val="0"/>
              <w:widowControl w:val="0"/>
              <w:kinsoku/>
              <w:wordWrap/>
              <w:overflowPunct/>
              <w:topLinePunct w:val="0"/>
              <w:autoSpaceDE/>
              <w:autoSpaceDN/>
              <w:bidi w:val="0"/>
              <w:adjustRightInd/>
              <w:snapToGrid/>
              <w:spacing w:before="17" w:line="380" w:lineRule="exact"/>
              <w:ind w:right="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（6）《关于调整优化节能产品、环境标志产品政府采购执行机制的通知》（财库【2019】9号）；</w:t>
            </w:r>
          </w:p>
          <w:p w14:paraId="1052184D">
            <w:pPr>
              <w:pStyle w:val="10"/>
              <w:keepNext w:val="0"/>
              <w:keepLines w:val="0"/>
              <w:pageBreakBefore w:val="0"/>
              <w:widowControl w:val="0"/>
              <w:kinsoku/>
              <w:wordWrap/>
              <w:overflowPunct/>
              <w:topLinePunct w:val="0"/>
              <w:autoSpaceDE/>
              <w:autoSpaceDN/>
              <w:bidi w:val="0"/>
              <w:adjustRightInd/>
              <w:snapToGrid/>
              <w:spacing w:before="17" w:line="380" w:lineRule="exact"/>
              <w:ind w:right="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（7）执行《财政部关于在政府采购活动中查询及使用信用记录有关问题的通知》（财库[2016]125号）；</w:t>
            </w:r>
          </w:p>
          <w:p w14:paraId="52BEE9B4">
            <w:pPr>
              <w:pStyle w:val="10"/>
              <w:keepNext w:val="0"/>
              <w:keepLines w:val="0"/>
              <w:pageBreakBefore w:val="0"/>
              <w:widowControl w:val="0"/>
              <w:kinsoku/>
              <w:wordWrap/>
              <w:overflowPunct/>
              <w:topLinePunct w:val="0"/>
              <w:autoSpaceDE/>
              <w:autoSpaceDN/>
              <w:bidi w:val="0"/>
              <w:adjustRightInd/>
              <w:snapToGrid/>
              <w:spacing w:before="17" w:line="380" w:lineRule="exact"/>
              <w:ind w:right="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（8）财政部《关于进一步加大政府采购支持中小企业力度的通知》（财库﹝2022﹞19号）</w:t>
            </w:r>
          </w:p>
          <w:p w14:paraId="6E8A8324">
            <w:pPr>
              <w:keepNext w:val="0"/>
              <w:keepLines w:val="0"/>
              <w:pageBreakBefore w:val="0"/>
              <w:widowControl w:val="0"/>
              <w:kinsoku/>
              <w:overflowPunct/>
              <w:bidi w:val="0"/>
              <w:snapToGrid/>
              <w:spacing w:line="320" w:lineRule="exact"/>
              <w:ind w:left="44" w:leftChars="20"/>
              <w:jc w:val="both"/>
              <w:textAlignment w:val="auto"/>
              <w:rPr>
                <w:rFonts w:hint="eastAsia"/>
                <w:color w:val="auto"/>
                <w:sz w:val="21"/>
                <w:szCs w:val="21"/>
                <w:highlight w:val="none"/>
                <w:lang w:eastAsia="zh-CN"/>
              </w:rPr>
            </w:pPr>
            <w:r>
              <w:rPr>
                <w:rFonts w:hint="eastAsia" w:ascii="宋体" w:hAnsi="宋体" w:eastAsia="宋体" w:cs="宋体"/>
                <w:color w:val="auto"/>
                <w:sz w:val="21"/>
                <w:szCs w:val="21"/>
                <w:highlight w:val="none"/>
                <w:lang w:val="en-US" w:eastAsia="zh-CN" w:bidi="ar-SA"/>
              </w:rPr>
              <w:t>注：小微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以上政策不重复享受</w:t>
            </w:r>
          </w:p>
        </w:tc>
      </w:tr>
    </w:tbl>
    <w:p w14:paraId="69A992AA">
      <w:pPr>
        <w:jc w:val="center"/>
        <w:rPr>
          <w:color w:val="auto"/>
          <w:sz w:val="21"/>
          <w:highlight w:val="none"/>
          <w:lang w:eastAsia="zh-CN"/>
        </w:rPr>
        <w:sectPr>
          <w:footerReference r:id="rId5" w:type="default"/>
          <w:pgSz w:w="12240" w:h="15840"/>
          <w:pgMar w:top="1440" w:right="1417" w:bottom="1060" w:left="1417" w:header="0" w:footer="861" w:gutter="0"/>
          <w:pgNumType w:fmt="decimal" w:start="1"/>
          <w:cols w:space="720" w:num="1"/>
        </w:sectPr>
      </w:pPr>
    </w:p>
    <w:p w14:paraId="607B8D24">
      <w:pPr>
        <w:pStyle w:val="4"/>
        <w:spacing w:before="120" w:beforeLines="50" w:after="120" w:afterLines="50" w:line="300" w:lineRule="auto"/>
        <w:rPr>
          <w:rFonts w:ascii="宋体" w:hAnsi="宋体" w:eastAsia="宋体" w:cs="宋体"/>
          <w:color w:val="auto"/>
          <w:highlight w:val="none"/>
          <w:lang w:eastAsia="zh-CN"/>
        </w:rPr>
      </w:pPr>
      <w:bookmarkStart w:id="8" w:name="_Toc4182"/>
      <w:r>
        <w:rPr>
          <w:rFonts w:hint="eastAsia" w:ascii="宋体" w:hAnsi="宋体" w:eastAsia="宋体" w:cs="宋体"/>
          <w:color w:val="auto"/>
          <w:highlight w:val="none"/>
          <w:lang w:eastAsia="zh-CN"/>
        </w:rPr>
        <w:t>1.  总则</w:t>
      </w:r>
      <w:bookmarkEnd w:id="8"/>
    </w:p>
    <w:p w14:paraId="53177A44">
      <w:pPr>
        <w:pStyle w:val="5"/>
        <w:spacing w:before="120" w:beforeLines="50" w:after="120" w:afterLines="50" w:line="300" w:lineRule="auto"/>
        <w:rPr>
          <w:color w:val="auto"/>
          <w:highlight w:val="none"/>
          <w:lang w:eastAsia="zh-CN"/>
        </w:rPr>
      </w:pPr>
      <w:bookmarkStart w:id="9" w:name="_Toc9636"/>
      <w:bookmarkStart w:id="10" w:name="_Toc12951"/>
      <w:r>
        <w:rPr>
          <w:rFonts w:hint="eastAsia"/>
          <w:color w:val="auto"/>
          <w:highlight w:val="none"/>
          <w:lang w:eastAsia="zh-CN"/>
        </w:rPr>
        <w:t>1.1</w:t>
      </w:r>
      <w:r>
        <w:rPr>
          <w:rFonts w:hint="eastAsia"/>
          <w:color w:val="auto"/>
          <w:spacing w:val="69"/>
          <w:highlight w:val="none"/>
          <w:lang w:eastAsia="zh-CN"/>
        </w:rPr>
        <w:t xml:space="preserve"> </w:t>
      </w:r>
      <w:r>
        <w:rPr>
          <w:rFonts w:hint="eastAsia"/>
          <w:color w:val="auto"/>
          <w:highlight w:val="none"/>
          <w:lang w:eastAsia="zh-CN"/>
        </w:rPr>
        <w:t>招标项目概况</w:t>
      </w:r>
      <w:bookmarkEnd w:id="9"/>
      <w:bookmarkEnd w:id="10"/>
    </w:p>
    <w:p w14:paraId="4F668375">
      <w:pPr>
        <w:pStyle w:val="10"/>
        <w:spacing w:before="120" w:beforeLines="50" w:after="120" w:afterLines="50" w:line="300" w:lineRule="auto"/>
        <w:ind w:left="100" w:right="108" w:firstLine="419"/>
        <w:rPr>
          <w:color w:val="auto"/>
          <w:highlight w:val="none"/>
          <w:lang w:eastAsia="zh-CN"/>
        </w:rPr>
      </w:pPr>
      <w:r>
        <w:rPr>
          <w:rFonts w:hint="eastAsia"/>
          <w:color w:val="auto"/>
          <w:highlight w:val="none"/>
          <w:lang w:eastAsia="zh-CN"/>
        </w:rPr>
        <w:t>1.1.1</w:t>
      </w:r>
      <w:r>
        <w:rPr>
          <w:rFonts w:hint="eastAsia"/>
          <w:color w:val="auto"/>
          <w:highlight w:val="none"/>
          <w:lang w:val="zh-CN" w:eastAsia="zh-CN"/>
        </w:rPr>
        <w:t>依据《中华人民共和国政府采购法》《中华人民共和国政府采购法实施条例》以及相关的法律、法规、规章等，并结合本次招标项目的特点制定本招标文件。</w:t>
      </w:r>
    </w:p>
    <w:p w14:paraId="7C36479C">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1.1.2</w:t>
      </w:r>
      <w:r>
        <w:rPr>
          <w:rFonts w:hint="eastAsia"/>
          <w:color w:val="auto"/>
          <w:spacing w:val="51"/>
          <w:highlight w:val="none"/>
          <w:lang w:eastAsia="zh-CN"/>
        </w:rPr>
        <w:t xml:space="preserve"> </w:t>
      </w:r>
      <w:r>
        <w:rPr>
          <w:rFonts w:hint="eastAsia"/>
          <w:color w:val="auto"/>
          <w:highlight w:val="none"/>
          <w:lang w:eastAsia="zh-CN"/>
        </w:rPr>
        <w:t>招标人：见投标人须知前附表。</w:t>
      </w:r>
    </w:p>
    <w:p w14:paraId="4793856A">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1.1.3 招标代理机构：见投标人须知前附表。</w:t>
      </w:r>
    </w:p>
    <w:p w14:paraId="72960FC4">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1.1.4 招标项目名称：见投标人须知前附表。</w:t>
      </w:r>
    </w:p>
    <w:p w14:paraId="10FC48F7">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1.1.5 项目建设地点：见投标人须知前附表。</w:t>
      </w:r>
    </w:p>
    <w:p w14:paraId="5C1810A1">
      <w:pPr>
        <w:pStyle w:val="5"/>
        <w:spacing w:before="120" w:beforeLines="50" w:after="120" w:afterLines="50" w:line="300" w:lineRule="auto"/>
        <w:rPr>
          <w:color w:val="auto"/>
          <w:highlight w:val="none"/>
          <w:lang w:eastAsia="zh-CN"/>
        </w:rPr>
      </w:pPr>
      <w:bookmarkStart w:id="11" w:name="_Toc29642"/>
      <w:bookmarkStart w:id="12" w:name="_Toc16157"/>
      <w:r>
        <w:rPr>
          <w:rFonts w:hint="eastAsia"/>
          <w:color w:val="auto"/>
          <w:highlight w:val="none"/>
          <w:lang w:eastAsia="zh-CN"/>
        </w:rPr>
        <w:t>1.2 招标项目的资金来源和落实情况</w:t>
      </w:r>
      <w:bookmarkEnd w:id="11"/>
      <w:bookmarkEnd w:id="12"/>
    </w:p>
    <w:p w14:paraId="35CEE9DE">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1.2.1</w:t>
      </w:r>
      <w:r>
        <w:rPr>
          <w:rFonts w:hint="eastAsia"/>
          <w:color w:val="auto"/>
          <w:spacing w:val="50"/>
          <w:highlight w:val="none"/>
          <w:lang w:eastAsia="zh-CN"/>
        </w:rPr>
        <w:t xml:space="preserve"> </w:t>
      </w:r>
      <w:r>
        <w:rPr>
          <w:rFonts w:hint="eastAsia"/>
          <w:color w:val="auto"/>
          <w:highlight w:val="none"/>
          <w:lang w:eastAsia="zh-CN"/>
        </w:rPr>
        <w:t>资金来源及比例：见投标人须知前附表。</w:t>
      </w:r>
    </w:p>
    <w:p w14:paraId="50614D2A">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1.2.2 资金落实情况：见投标人须知前附表。</w:t>
      </w:r>
    </w:p>
    <w:p w14:paraId="5F9648DC">
      <w:pPr>
        <w:pStyle w:val="5"/>
        <w:spacing w:before="120" w:beforeLines="50" w:after="120" w:afterLines="50" w:line="300" w:lineRule="auto"/>
        <w:rPr>
          <w:color w:val="auto"/>
          <w:highlight w:val="none"/>
          <w:lang w:eastAsia="zh-CN"/>
        </w:rPr>
      </w:pPr>
      <w:bookmarkStart w:id="13" w:name="_Toc22017"/>
      <w:bookmarkStart w:id="14" w:name="_Toc15609"/>
      <w:r>
        <w:rPr>
          <w:rFonts w:hint="eastAsia"/>
          <w:color w:val="auto"/>
          <w:highlight w:val="none"/>
          <w:lang w:eastAsia="zh-CN"/>
        </w:rPr>
        <w:t>1.3 招标范围、监理服务期限和质量标准</w:t>
      </w:r>
      <w:bookmarkEnd w:id="13"/>
      <w:bookmarkEnd w:id="14"/>
    </w:p>
    <w:p w14:paraId="74D92353">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1.3.1</w:t>
      </w:r>
      <w:r>
        <w:rPr>
          <w:rFonts w:hint="eastAsia"/>
          <w:color w:val="auto"/>
          <w:spacing w:val="50"/>
          <w:highlight w:val="none"/>
          <w:lang w:eastAsia="zh-CN"/>
        </w:rPr>
        <w:t xml:space="preserve"> </w:t>
      </w:r>
      <w:r>
        <w:rPr>
          <w:rFonts w:hint="eastAsia"/>
          <w:color w:val="auto"/>
          <w:highlight w:val="none"/>
          <w:lang w:eastAsia="zh-CN"/>
        </w:rPr>
        <w:t>招标范围：见投标人须知前附表。</w:t>
      </w:r>
    </w:p>
    <w:p w14:paraId="4394F950">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1.3.2 监理服务期限：见投标人须知前附表。</w:t>
      </w:r>
    </w:p>
    <w:p w14:paraId="1594932A">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1.3.3</w:t>
      </w:r>
      <w:r>
        <w:rPr>
          <w:rFonts w:hint="eastAsia"/>
          <w:color w:val="auto"/>
          <w:spacing w:val="50"/>
          <w:highlight w:val="none"/>
          <w:lang w:eastAsia="zh-CN"/>
        </w:rPr>
        <w:t xml:space="preserve"> </w:t>
      </w:r>
      <w:r>
        <w:rPr>
          <w:rFonts w:hint="eastAsia"/>
          <w:color w:val="auto"/>
          <w:highlight w:val="none"/>
          <w:lang w:eastAsia="zh-CN"/>
        </w:rPr>
        <w:t>质量标准：见投标人须知前附表。</w:t>
      </w:r>
    </w:p>
    <w:p w14:paraId="3899EB75">
      <w:pPr>
        <w:pStyle w:val="5"/>
        <w:spacing w:before="120" w:beforeLines="50" w:after="120" w:afterLines="50" w:line="300" w:lineRule="auto"/>
        <w:rPr>
          <w:color w:val="auto"/>
          <w:highlight w:val="none"/>
          <w:lang w:eastAsia="zh-CN"/>
        </w:rPr>
      </w:pPr>
      <w:bookmarkStart w:id="15" w:name="_Toc8511"/>
      <w:bookmarkStart w:id="16" w:name="_Toc21531"/>
      <w:r>
        <w:rPr>
          <w:rFonts w:hint="eastAsia"/>
          <w:color w:val="auto"/>
          <w:highlight w:val="none"/>
          <w:lang w:eastAsia="zh-CN"/>
        </w:rPr>
        <w:t>1.4 投标人资格要求</w:t>
      </w:r>
      <w:bookmarkEnd w:id="15"/>
      <w:bookmarkEnd w:id="16"/>
    </w:p>
    <w:p w14:paraId="51BF5D5A">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1.4.1 投标人应具备承担本招标项目资质条件、能力和信誉：</w:t>
      </w:r>
    </w:p>
    <w:p w14:paraId="6A6B2298">
      <w:pPr>
        <w:pStyle w:val="10"/>
        <w:spacing w:before="120" w:beforeLines="50" w:after="120" w:afterLines="50" w:line="300" w:lineRule="auto"/>
        <w:ind w:left="414" w:right="113"/>
        <w:rPr>
          <w:color w:val="auto"/>
          <w:highlight w:val="none"/>
          <w:lang w:eastAsia="zh-CN"/>
        </w:rPr>
      </w:pPr>
      <w:r>
        <w:rPr>
          <w:rFonts w:hint="eastAsia"/>
          <w:color w:val="auto"/>
          <w:highlight w:val="none"/>
          <w:lang w:eastAsia="zh-CN"/>
        </w:rPr>
        <w:t>（1）资质要求：见投标人须知前附表；</w:t>
      </w:r>
    </w:p>
    <w:p w14:paraId="0900715F">
      <w:pPr>
        <w:pStyle w:val="10"/>
        <w:spacing w:before="120" w:beforeLines="50" w:after="120" w:afterLines="50" w:line="300" w:lineRule="auto"/>
        <w:ind w:left="414" w:right="113"/>
        <w:rPr>
          <w:color w:val="auto"/>
          <w:highlight w:val="none"/>
          <w:lang w:eastAsia="zh-CN"/>
        </w:rPr>
      </w:pPr>
      <w:r>
        <w:rPr>
          <w:rFonts w:hint="eastAsia"/>
          <w:color w:val="auto"/>
          <w:highlight w:val="none"/>
          <w:lang w:eastAsia="zh-CN"/>
        </w:rPr>
        <w:t>（2）财务要求：见投标人须知前附表；</w:t>
      </w:r>
    </w:p>
    <w:p w14:paraId="34C16E90">
      <w:pPr>
        <w:pStyle w:val="10"/>
        <w:spacing w:before="120" w:beforeLines="50" w:after="120" w:afterLines="50" w:line="300" w:lineRule="auto"/>
        <w:ind w:left="414" w:right="113"/>
        <w:rPr>
          <w:color w:val="auto"/>
          <w:highlight w:val="none"/>
          <w:lang w:eastAsia="zh-CN"/>
        </w:rPr>
      </w:pPr>
      <w:r>
        <w:rPr>
          <w:rFonts w:hint="eastAsia"/>
          <w:color w:val="auto"/>
          <w:highlight w:val="none"/>
          <w:lang w:eastAsia="zh-CN"/>
        </w:rPr>
        <w:t>（3）业绩要求：见投标人须知前附表；</w:t>
      </w:r>
    </w:p>
    <w:p w14:paraId="7EBE8550">
      <w:pPr>
        <w:pStyle w:val="10"/>
        <w:spacing w:before="120" w:beforeLines="50" w:after="120" w:afterLines="50" w:line="300" w:lineRule="auto"/>
        <w:ind w:left="414" w:right="113"/>
        <w:rPr>
          <w:color w:val="auto"/>
          <w:highlight w:val="none"/>
          <w:lang w:eastAsia="zh-CN"/>
        </w:rPr>
      </w:pPr>
      <w:r>
        <w:rPr>
          <w:rFonts w:hint="eastAsia"/>
          <w:color w:val="auto"/>
          <w:highlight w:val="none"/>
          <w:lang w:eastAsia="zh-CN"/>
        </w:rPr>
        <w:t>（4）信誉要求：见投标人须知前附表；</w:t>
      </w:r>
    </w:p>
    <w:p w14:paraId="26805D6C">
      <w:pPr>
        <w:pStyle w:val="10"/>
        <w:spacing w:before="120" w:beforeLines="50" w:after="120" w:afterLines="50" w:line="300" w:lineRule="auto"/>
        <w:ind w:left="100" w:right="105" w:firstLine="314"/>
        <w:rPr>
          <w:color w:val="auto"/>
          <w:highlight w:val="none"/>
          <w:lang w:eastAsia="zh-CN"/>
        </w:rPr>
      </w:pPr>
      <w:r>
        <w:rPr>
          <w:rFonts w:hint="eastAsia"/>
          <w:color w:val="auto"/>
          <w:highlight w:val="none"/>
          <w:lang w:eastAsia="zh-CN"/>
        </w:rPr>
        <w:t>（5</w:t>
      </w:r>
      <w:r>
        <w:rPr>
          <w:rFonts w:hint="eastAsia"/>
          <w:color w:val="auto"/>
          <w:spacing w:val="-22"/>
          <w:highlight w:val="none"/>
          <w:lang w:eastAsia="zh-CN"/>
        </w:rPr>
        <w:t>）</w:t>
      </w:r>
      <w:r>
        <w:rPr>
          <w:rFonts w:hint="eastAsia"/>
          <w:color w:val="auto"/>
          <w:highlight w:val="none"/>
          <w:lang w:eastAsia="zh-CN"/>
        </w:rPr>
        <w:t>总</w:t>
      </w:r>
      <w:r>
        <w:rPr>
          <w:rFonts w:hint="eastAsia"/>
          <w:color w:val="auto"/>
          <w:spacing w:val="-3"/>
          <w:highlight w:val="none"/>
          <w:lang w:eastAsia="zh-CN"/>
        </w:rPr>
        <w:t>监</w:t>
      </w:r>
      <w:r>
        <w:rPr>
          <w:rFonts w:hint="eastAsia"/>
          <w:color w:val="auto"/>
          <w:highlight w:val="none"/>
          <w:lang w:eastAsia="zh-CN"/>
        </w:rPr>
        <w:t>理</w:t>
      </w:r>
      <w:r>
        <w:rPr>
          <w:rFonts w:hint="eastAsia"/>
          <w:color w:val="auto"/>
          <w:spacing w:val="-3"/>
          <w:highlight w:val="none"/>
          <w:lang w:eastAsia="zh-CN"/>
        </w:rPr>
        <w:t>工</w:t>
      </w:r>
      <w:r>
        <w:rPr>
          <w:rFonts w:hint="eastAsia"/>
          <w:color w:val="auto"/>
          <w:highlight w:val="none"/>
          <w:lang w:eastAsia="zh-CN"/>
        </w:rPr>
        <w:t>程</w:t>
      </w:r>
      <w:r>
        <w:rPr>
          <w:rFonts w:hint="eastAsia"/>
          <w:color w:val="auto"/>
          <w:spacing w:val="-1"/>
          <w:highlight w:val="none"/>
          <w:lang w:eastAsia="zh-CN"/>
        </w:rPr>
        <w:t>师</w:t>
      </w:r>
      <w:r>
        <w:rPr>
          <w:rFonts w:hint="eastAsia"/>
          <w:color w:val="auto"/>
          <w:spacing w:val="-3"/>
          <w:highlight w:val="none"/>
          <w:lang w:eastAsia="zh-CN"/>
        </w:rPr>
        <w:t>的</w:t>
      </w:r>
      <w:r>
        <w:rPr>
          <w:rFonts w:hint="eastAsia"/>
          <w:color w:val="auto"/>
          <w:highlight w:val="none"/>
          <w:lang w:eastAsia="zh-CN"/>
        </w:rPr>
        <w:t>资</w:t>
      </w:r>
      <w:r>
        <w:rPr>
          <w:rFonts w:hint="eastAsia"/>
          <w:color w:val="auto"/>
          <w:spacing w:val="-3"/>
          <w:highlight w:val="none"/>
          <w:lang w:eastAsia="zh-CN"/>
        </w:rPr>
        <w:t>格</w:t>
      </w:r>
      <w:r>
        <w:rPr>
          <w:rFonts w:hint="eastAsia"/>
          <w:color w:val="auto"/>
          <w:highlight w:val="none"/>
          <w:lang w:eastAsia="zh-CN"/>
        </w:rPr>
        <w:t>要求</w:t>
      </w:r>
      <w:r>
        <w:rPr>
          <w:rFonts w:hint="eastAsia"/>
          <w:color w:val="auto"/>
          <w:spacing w:val="-22"/>
          <w:highlight w:val="none"/>
          <w:lang w:eastAsia="zh-CN"/>
        </w:rPr>
        <w:t>：</w:t>
      </w:r>
      <w:r>
        <w:rPr>
          <w:rFonts w:hint="eastAsia"/>
          <w:color w:val="auto"/>
          <w:highlight w:val="none"/>
          <w:lang w:eastAsia="zh-CN"/>
        </w:rPr>
        <w:t>应</w:t>
      </w:r>
      <w:r>
        <w:rPr>
          <w:rFonts w:hint="eastAsia"/>
          <w:color w:val="auto"/>
          <w:spacing w:val="-3"/>
          <w:highlight w:val="none"/>
          <w:lang w:eastAsia="zh-CN"/>
        </w:rPr>
        <w:t>当</w:t>
      </w:r>
      <w:r>
        <w:rPr>
          <w:rFonts w:hint="eastAsia"/>
          <w:color w:val="auto"/>
          <w:highlight w:val="none"/>
          <w:lang w:eastAsia="zh-CN"/>
        </w:rPr>
        <w:t>具</w:t>
      </w:r>
      <w:r>
        <w:rPr>
          <w:rFonts w:hint="eastAsia"/>
          <w:color w:val="auto"/>
          <w:spacing w:val="-3"/>
          <w:highlight w:val="none"/>
          <w:lang w:eastAsia="zh-CN"/>
        </w:rPr>
        <w:t>备</w:t>
      </w:r>
      <w:r>
        <w:rPr>
          <w:rFonts w:hint="eastAsia"/>
          <w:color w:val="auto"/>
          <w:highlight w:val="none"/>
          <w:lang w:eastAsia="zh-CN"/>
        </w:rPr>
        <w:t>工</w:t>
      </w:r>
      <w:r>
        <w:rPr>
          <w:rFonts w:hint="eastAsia"/>
          <w:color w:val="auto"/>
          <w:spacing w:val="-3"/>
          <w:highlight w:val="none"/>
          <w:lang w:eastAsia="zh-CN"/>
        </w:rPr>
        <w:t>程</w:t>
      </w:r>
      <w:r>
        <w:rPr>
          <w:rFonts w:hint="eastAsia"/>
          <w:color w:val="auto"/>
          <w:highlight w:val="none"/>
          <w:lang w:eastAsia="zh-CN"/>
        </w:rPr>
        <w:t>注</w:t>
      </w:r>
      <w:r>
        <w:rPr>
          <w:rFonts w:hint="eastAsia"/>
          <w:color w:val="auto"/>
          <w:spacing w:val="-3"/>
          <w:highlight w:val="none"/>
          <w:lang w:eastAsia="zh-CN"/>
        </w:rPr>
        <w:t>册</w:t>
      </w:r>
      <w:r>
        <w:rPr>
          <w:rFonts w:hint="eastAsia"/>
          <w:color w:val="auto"/>
          <w:highlight w:val="none"/>
          <w:lang w:eastAsia="zh-CN"/>
        </w:rPr>
        <w:t>监理</w:t>
      </w:r>
      <w:r>
        <w:rPr>
          <w:rFonts w:hint="eastAsia"/>
          <w:color w:val="auto"/>
          <w:spacing w:val="-3"/>
          <w:highlight w:val="none"/>
          <w:lang w:eastAsia="zh-CN"/>
        </w:rPr>
        <w:t>工</w:t>
      </w:r>
      <w:r>
        <w:rPr>
          <w:rFonts w:hint="eastAsia"/>
          <w:color w:val="auto"/>
          <w:highlight w:val="none"/>
          <w:lang w:eastAsia="zh-CN"/>
        </w:rPr>
        <w:t>程</w:t>
      </w:r>
      <w:r>
        <w:rPr>
          <w:rFonts w:hint="eastAsia"/>
          <w:color w:val="auto"/>
          <w:spacing w:val="-3"/>
          <w:highlight w:val="none"/>
          <w:lang w:eastAsia="zh-CN"/>
        </w:rPr>
        <w:t>师</w:t>
      </w:r>
      <w:r>
        <w:rPr>
          <w:rFonts w:hint="eastAsia"/>
          <w:color w:val="auto"/>
          <w:highlight w:val="none"/>
          <w:lang w:eastAsia="zh-CN"/>
        </w:rPr>
        <w:t>执</w:t>
      </w:r>
      <w:r>
        <w:rPr>
          <w:rFonts w:hint="eastAsia"/>
          <w:color w:val="auto"/>
          <w:spacing w:val="-3"/>
          <w:highlight w:val="none"/>
          <w:lang w:eastAsia="zh-CN"/>
        </w:rPr>
        <w:t>业</w:t>
      </w:r>
      <w:r>
        <w:rPr>
          <w:rFonts w:hint="eastAsia"/>
          <w:color w:val="auto"/>
          <w:highlight w:val="none"/>
          <w:lang w:eastAsia="zh-CN"/>
        </w:rPr>
        <w:t>资</w:t>
      </w:r>
      <w:r>
        <w:rPr>
          <w:rFonts w:hint="eastAsia"/>
          <w:color w:val="auto"/>
          <w:spacing w:val="-22"/>
          <w:highlight w:val="none"/>
          <w:lang w:eastAsia="zh-CN"/>
        </w:rPr>
        <w:t>格</w:t>
      </w:r>
      <w:r>
        <w:rPr>
          <w:rFonts w:hint="eastAsia"/>
          <w:color w:val="auto"/>
          <w:highlight w:val="none"/>
          <w:lang w:eastAsia="zh-CN"/>
        </w:rPr>
        <w:t>（</w:t>
      </w:r>
      <w:r>
        <w:rPr>
          <w:rFonts w:hint="eastAsia"/>
          <w:color w:val="auto"/>
          <w:spacing w:val="-3"/>
          <w:highlight w:val="none"/>
          <w:lang w:eastAsia="zh-CN"/>
        </w:rPr>
        <w:t>如</w:t>
      </w:r>
      <w:r>
        <w:rPr>
          <w:rFonts w:hint="eastAsia"/>
          <w:color w:val="auto"/>
          <w:highlight w:val="none"/>
          <w:lang w:eastAsia="zh-CN"/>
        </w:rPr>
        <w:t>有</w:t>
      </w:r>
      <w:r>
        <w:rPr>
          <w:rFonts w:hint="eastAsia"/>
          <w:color w:val="auto"/>
          <w:spacing w:val="-106"/>
          <w:highlight w:val="none"/>
          <w:lang w:eastAsia="zh-CN"/>
        </w:rPr>
        <w:t>）</w:t>
      </w:r>
      <w:r>
        <w:rPr>
          <w:rFonts w:hint="eastAsia"/>
          <w:color w:val="auto"/>
          <w:spacing w:val="-21"/>
          <w:highlight w:val="none"/>
          <w:lang w:eastAsia="zh-CN"/>
        </w:rPr>
        <w:t>，</w:t>
      </w:r>
      <w:r>
        <w:rPr>
          <w:rFonts w:hint="eastAsia"/>
          <w:color w:val="auto"/>
          <w:highlight w:val="none"/>
          <w:lang w:eastAsia="zh-CN"/>
        </w:rPr>
        <w:t>具</w:t>
      </w:r>
      <w:r>
        <w:rPr>
          <w:rFonts w:hint="eastAsia"/>
          <w:color w:val="auto"/>
          <w:spacing w:val="-3"/>
          <w:highlight w:val="none"/>
          <w:lang w:eastAsia="zh-CN"/>
        </w:rPr>
        <w:t>体</w:t>
      </w:r>
      <w:r>
        <w:rPr>
          <w:rFonts w:hint="eastAsia"/>
          <w:color w:val="auto"/>
          <w:highlight w:val="none"/>
          <w:lang w:eastAsia="zh-CN"/>
        </w:rPr>
        <w:t>要求 见投标人须知前附表；</w:t>
      </w:r>
    </w:p>
    <w:p w14:paraId="364F2EC8">
      <w:pPr>
        <w:spacing w:line="331" w:lineRule="auto"/>
        <w:rPr>
          <w:color w:val="auto"/>
          <w:highlight w:val="none"/>
          <w:lang w:eastAsia="zh-CN"/>
        </w:rPr>
        <w:sectPr>
          <w:pgSz w:w="12240" w:h="15840"/>
          <w:pgMar w:top="1400" w:right="1680" w:bottom="1060" w:left="1700" w:header="0" w:footer="861" w:gutter="0"/>
          <w:pgNumType w:fmt="decimal"/>
          <w:cols w:space="720" w:num="1"/>
        </w:sectPr>
      </w:pPr>
    </w:p>
    <w:p w14:paraId="18578695">
      <w:pPr>
        <w:pStyle w:val="10"/>
        <w:spacing w:before="120" w:beforeLines="50" w:after="120" w:afterLines="50" w:line="300" w:lineRule="auto"/>
        <w:ind w:left="414" w:right="113"/>
        <w:rPr>
          <w:color w:val="auto"/>
          <w:highlight w:val="none"/>
          <w:lang w:eastAsia="zh-CN"/>
        </w:rPr>
      </w:pPr>
      <w:r>
        <w:rPr>
          <w:rFonts w:hint="eastAsia"/>
          <w:color w:val="auto"/>
          <w:highlight w:val="none"/>
          <w:lang w:eastAsia="zh-CN"/>
        </w:rPr>
        <w:t>（6）其他主要人员要求：见投标人须知前附表。</w:t>
      </w:r>
    </w:p>
    <w:p w14:paraId="7AFFF134">
      <w:pPr>
        <w:pStyle w:val="10"/>
        <w:spacing w:before="120" w:beforeLines="50" w:after="120" w:afterLines="50" w:line="300" w:lineRule="auto"/>
        <w:ind w:left="414" w:right="113"/>
        <w:rPr>
          <w:color w:val="auto"/>
          <w:highlight w:val="none"/>
          <w:lang w:eastAsia="zh-CN"/>
        </w:rPr>
      </w:pPr>
      <w:r>
        <w:rPr>
          <w:rFonts w:hint="eastAsia"/>
          <w:color w:val="auto"/>
          <w:highlight w:val="none"/>
          <w:lang w:eastAsia="zh-CN"/>
        </w:rPr>
        <w:t>（7）试验检测仪器设备要求：见投标人须知前附表。</w:t>
      </w:r>
    </w:p>
    <w:p w14:paraId="5D09E683">
      <w:pPr>
        <w:pStyle w:val="10"/>
        <w:spacing w:before="120" w:beforeLines="50" w:after="120" w:afterLines="50" w:line="300" w:lineRule="auto"/>
        <w:ind w:left="414"/>
        <w:rPr>
          <w:color w:val="auto"/>
          <w:highlight w:val="none"/>
          <w:lang w:eastAsia="zh-CN"/>
        </w:rPr>
      </w:pPr>
      <w:r>
        <w:rPr>
          <w:rFonts w:hint="eastAsia"/>
          <w:color w:val="auto"/>
          <w:highlight w:val="none"/>
          <w:lang w:eastAsia="zh-CN"/>
        </w:rPr>
        <w:t>（8）其他要求：见投标人须知前附表。 需要提交的相关证明材料见本章第</w:t>
      </w:r>
      <w:r>
        <w:rPr>
          <w:rFonts w:hint="eastAsia"/>
          <w:color w:val="auto"/>
          <w:spacing w:val="-55"/>
          <w:highlight w:val="none"/>
          <w:lang w:eastAsia="zh-CN"/>
        </w:rPr>
        <w:t xml:space="preserve"> </w:t>
      </w:r>
      <w:r>
        <w:rPr>
          <w:rFonts w:hint="eastAsia"/>
          <w:color w:val="auto"/>
          <w:highlight w:val="none"/>
          <w:lang w:eastAsia="zh-CN"/>
        </w:rPr>
        <w:t>3.5 款的规定。</w:t>
      </w:r>
    </w:p>
    <w:p w14:paraId="2AFA6970">
      <w:pPr>
        <w:pStyle w:val="10"/>
        <w:spacing w:before="120" w:beforeLines="50" w:after="120" w:afterLines="50" w:line="300" w:lineRule="auto"/>
        <w:ind w:left="100" w:right="108" w:firstLine="419"/>
        <w:rPr>
          <w:color w:val="auto"/>
          <w:highlight w:val="none"/>
          <w:lang w:eastAsia="zh-CN"/>
        </w:rPr>
      </w:pPr>
      <w:r>
        <w:rPr>
          <w:rFonts w:hint="eastAsia"/>
          <w:color w:val="auto"/>
          <w:highlight w:val="none"/>
          <w:lang w:eastAsia="zh-CN"/>
        </w:rPr>
        <w:t>1.4.2 投标人须知前附表规定接受联合体投标的，联合体除应符合本章第 1.4.1 项和投标人 须知前附表的要求外，还应遵守以下规定：</w:t>
      </w:r>
    </w:p>
    <w:p w14:paraId="1E3C2B9C">
      <w:pPr>
        <w:pStyle w:val="10"/>
        <w:spacing w:before="120" w:beforeLines="50" w:after="120" w:afterLines="50" w:line="300" w:lineRule="auto"/>
        <w:ind w:left="100" w:right="113" w:firstLine="314"/>
        <w:rPr>
          <w:color w:val="auto"/>
          <w:highlight w:val="none"/>
          <w:lang w:eastAsia="zh-CN"/>
        </w:rPr>
      </w:pPr>
      <w:r>
        <w:rPr>
          <w:rFonts w:hint="eastAsia"/>
          <w:color w:val="auto"/>
          <w:highlight w:val="none"/>
          <w:lang w:eastAsia="zh-CN"/>
        </w:rPr>
        <w:t>（1）联合体各方应按招标文件提供的格式签订联合体协议书，明确联合体牵头人和各方权 利义务，并承诺就中标项目向招标人承担连带责任；</w:t>
      </w:r>
    </w:p>
    <w:p w14:paraId="64D30C5D">
      <w:pPr>
        <w:pStyle w:val="10"/>
        <w:spacing w:before="120" w:beforeLines="50" w:after="120" w:afterLines="50" w:line="300" w:lineRule="auto"/>
        <w:ind w:left="414" w:right="113"/>
        <w:rPr>
          <w:color w:val="auto"/>
          <w:highlight w:val="none"/>
          <w:lang w:eastAsia="zh-CN"/>
        </w:rPr>
      </w:pPr>
      <w:r>
        <w:rPr>
          <w:rFonts w:hint="eastAsia"/>
          <w:color w:val="auto"/>
          <w:highlight w:val="none"/>
          <w:lang w:eastAsia="zh-CN"/>
        </w:rPr>
        <w:t>（2）由同一专业的单位组成的联合体，按照资质等级较低的单位确定资质等级；</w:t>
      </w:r>
    </w:p>
    <w:p w14:paraId="78BCD588">
      <w:pPr>
        <w:pStyle w:val="10"/>
        <w:spacing w:before="120" w:beforeLines="50" w:after="120" w:afterLines="50" w:line="300" w:lineRule="auto"/>
        <w:ind w:left="100" w:right="113" w:firstLine="314"/>
        <w:rPr>
          <w:color w:val="auto"/>
          <w:highlight w:val="none"/>
          <w:lang w:eastAsia="zh-CN"/>
        </w:rPr>
      </w:pPr>
      <w:r>
        <w:rPr>
          <w:rFonts w:hint="eastAsia"/>
          <w:color w:val="auto"/>
          <w:highlight w:val="none"/>
          <w:lang w:eastAsia="zh-CN"/>
        </w:rPr>
        <w:t>（3）联合体各方不得再以自己名义单独或参加其他联合体在本招标项目中投标，否则各相 关投标均无效。</w:t>
      </w:r>
    </w:p>
    <w:p w14:paraId="7A80CD6B">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1.4.3</w:t>
      </w:r>
      <w:r>
        <w:rPr>
          <w:rFonts w:hint="eastAsia"/>
          <w:color w:val="auto"/>
          <w:spacing w:val="51"/>
          <w:highlight w:val="none"/>
          <w:lang w:eastAsia="zh-CN"/>
        </w:rPr>
        <w:t xml:space="preserve"> </w:t>
      </w:r>
      <w:r>
        <w:rPr>
          <w:rFonts w:hint="eastAsia"/>
          <w:color w:val="auto"/>
          <w:highlight w:val="none"/>
          <w:lang w:eastAsia="zh-CN"/>
        </w:rPr>
        <w:t>投标人不得存在下列情形之一：</w:t>
      </w:r>
    </w:p>
    <w:p w14:paraId="3C6CA67D">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（1</w:t>
      </w:r>
      <w:r>
        <w:rPr>
          <w:rFonts w:hint="eastAsia"/>
          <w:color w:val="auto"/>
          <w:spacing w:val="-3"/>
          <w:highlight w:val="none"/>
          <w:lang w:eastAsia="zh-CN"/>
        </w:rPr>
        <w:t>）</w:t>
      </w:r>
      <w:r>
        <w:rPr>
          <w:rFonts w:hint="eastAsia"/>
          <w:color w:val="auto"/>
          <w:highlight w:val="none"/>
          <w:lang w:eastAsia="zh-CN"/>
        </w:rPr>
        <w:t>为</w:t>
      </w:r>
      <w:r>
        <w:rPr>
          <w:rFonts w:hint="eastAsia"/>
          <w:color w:val="auto"/>
          <w:spacing w:val="-3"/>
          <w:highlight w:val="none"/>
          <w:lang w:eastAsia="zh-CN"/>
        </w:rPr>
        <w:t>招</w:t>
      </w:r>
      <w:r>
        <w:rPr>
          <w:rFonts w:hint="eastAsia"/>
          <w:color w:val="auto"/>
          <w:highlight w:val="none"/>
          <w:lang w:eastAsia="zh-CN"/>
        </w:rPr>
        <w:t>标</w:t>
      </w:r>
      <w:r>
        <w:rPr>
          <w:rFonts w:hint="eastAsia"/>
          <w:color w:val="auto"/>
          <w:spacing w:val="-3"/>
          <w:highlight w:val="none"/>
          <w:lang w:eastAsia="zh-CN"/>
        </w:rPr>
        <w:t>人</w:t>
      </w:r>
      <w:r>
        <w:rPr>
          <w:rFonts w:hint="eastAsia"/>
          <w:color w:val="auto"/>
          <w:highlight w:val="none"/>
          <w:lang w:eastAsia="zh-CN"/>
        </w:rPr>
        <w:t>不</w:t>
      </w:r>
      <w:r>
        <w:rPr>
          <w:rFonts w:hint="eastAsia"/>
          <w:color w:val="auto"/>
          <w:spacing w:val="-3"/>
          <w:highlight w:val="none"/>
          <w:lang w:eastAsia="zh-CN"/>
        </w:rPr>
        <w:t>具</w:t>
      </w:r>
      <w:r>
        <w:rPr>
          <w:rFonts w:hint="eastAsia"/>
          <w:color w:val="auto"/>
          <w:highlight w:val="none"/>
          <w:lang w:eastAsia="zh-CN"/>
        </w:rPr>
        <w:t>有</w:t>
      </w:r>
      <w:r>
        <w:rPr>
          <w:rFonts w:hint="eastAsia"/>
          <w:color w:val="auto"/>
          <w:spacing w:val="-3"/>
          <w:highlight w:val="none"/>
          <w:lang w:eastAsia="zh-CN"/>
        </w:rPr>
        <w:t>独立</w:t>
      </w:r>
      <w:r>
        <w:rPr>
          <w:rFonts w:hint="eastAsia"/>
          <w:color w:val="auto"/>
          <w:highlight w:val="none"/>
          <w:lang w:eastAsia="zh-CN"/>
        </w:rPr>
        <w:t>法人</w:t>
      </w:r>
      <w:r>
        <w:rPr>
          <w:rFonts w:hint="eastAsia"/>
          <w:color w:val="auto"/>
          <w:spacing w:val="-3"/>
          <w:highlight w:val="none"/>
          <w:lang w:eastAsia="zh-CN"/>
        </w:rPr>
        <w:t>资</w:t>
      </w:r>
      <w:r>
        <w:rPr>
          <w:rFonts w:hint="eastAsia"/>
          <w:color w:val="auto"/>
          <w:highlight w:val="none"/>
          <w:lang w:eastAsia="zh-CN"/>
        </w:rPr>
        <w:t>格</w:t>
      </w:r>
      <w:r>
        <w:rPr>
          <w:rFonts w:hint="eastAsia"/>
          <w:color w:val="auto"/>
          <w:spacing w:val="-3"/>
          <w:highlight w:val="none"/>
          <w:lang w:eastAsia="zh-CN"/>
        </w:rPr>
        <w:t>的</w:t>
      </w:r>
      <w:r>
        <w:rPr>
          <w:rFonts w:hint="eastAsia"/>
          <w:color w:val="auto"/>
          <w:highlight w:val="none"/>
          <w:lang w:eastAsia="zh-CN"/>
        </w:rPr>
        <w:t>附</w:t>
      </w:r>
      <w:r>
        <w:rPr>
          <w:rFonts w:hint="eastAsia"/>
          <w:color w:val="auto"/>
          <w:spacing w:val="-3"/>
          <w:highlight w:val="none"/>
          <w:lang w:eastAsia="zh-CN"/>
        </w:rPr>
        <w:t>属</w:t>
      </w:r>
      <w:r>
        <w:rPr>
          <w:rFonts w:hint="eastAsia"/>
          <w:color w:val="auto"/>
          <w:highlight w:val="none"/>
          <w:lang w:eastAsia="zh-CN"/>
        </w:rPr>
        <w:t>机</w:t>
      </w:r>
      <w:r>
        <w:rPr>
          <w:rFonts w:hint="eastAsia"/>
          <w:color w:val="auto"/>
          <w:spacing w:val="-3"/>
          <w:highlight w:val="none"/>
          <w:lang w:eastAsia="zh-CN"/>
        </w:rPr>
        <w:t>构</w:t>
      </w:r>
      <w:r>
        <w:rPr>
          <w:rFonts w:hint="eastAsia"/>
          <w:color w:val="auto"/>
          <w:highlight w:val="none"/>
          <w:lang w:eastAsia="zh-CN"/>
        </w:rPr>
        <w:t>（</w:t>
      </w:r>
      <w:r>
        <w:rPr>
          <w:rFonts w:hint="eastAsia"/>
          <w:color w:val="auto"/>
          <w:spacing w:val="-3"/>
          <w:highlight w:val="none"/>
          <w:lang w:eastAsia="zh-CN"/>
        </w:rPr>
        <w:t>单</w:t>
      </w:r>
      <w:r>
        <w:rPr>
          <w:rFonts w:hint="eastAsia"/>
          <w:color w:val="auto"/>
          <w:highlight w:val="none"/>
          <w:lang w:eastAsia="zh-CN"/>
        </w:rPr>
        <w:t>位</w:t>
      </w:r>
      <w:r>
        <w:rPr>
          <w:rFonts w:hint="eastAsia"/>
          <w:color w:val="auto"/>
          <w:spacing w:val="-106"/>
          <w:highlight w:val="none"/>
          <w:lang w:eastAsia="zh-CN"/>
        </w:rPr>
        <w:t>）</w:t>
      </w:r>
      <w:r>
        <w:rPr>
          <w:rFonts w:hint="eastAsia"/>
          <w:color w:val="auto"/>
          <w:highlight w:val="none"/>
          <w:lang w:eastAsia="zh-CN"/>
        </w:rPr>
        <w:t>；</w:t>
      </w:r>
    </w:p>
    <w:p w14:paraId="1F1A8C74">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（2）与招标人存在利害关系且可能影响招标公正性；</w:t>
      </w:r>
    </w:p>
    <w:p w14:paraId="617CBD95">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（3）与本招标项目的其他投标人为同一个单位负责人；</w:t>
      </w:r>
    </w:p>
    <w:p w14:paraId="36B29E9A">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（4）与本招标项目的其他投标人存在控股、管理关系；</w:t>
      </w:r>
    </w:p>
    <w:p w14:paraId="42C45B1C">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（5）为本招标项目的代建人；</w:t>
      </w:r>
    </w:p>
    <w:p w14:paraId="768B2DDE">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（6）为本招标项目的招标代理机构；</w:t>
      </w:r>
    </w:p>
    <w:p w14:paraId="41BA0C48">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（7）与本招标项目的代建人或招标代理机构同为一个法定代表人；</w:t>
      </w:r>
    </w:p>
    <w:p w14:paraId="4955E9AC">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（8）与本招标项目的代建人或招标代理机构存在控股或参股关系；</w:t>
      </w:r>
    </w:p>
    <w:p w14:paraId="2DA0C103">
      <w:pPr>
        <w:pStyle w:val="10"/>
        <w:spacing w:before="120" w:beforeLines="50" w:after="120" w:afterLines="50" w:line="300" w:lineRule="auto"/>
        <w:ind w:left="100" w:right="26" w:firstLine="419"/>
        <w:rPr>
          <w:color w:val="auto"/>
          <w:highlight w:val="none"/>
          <w:lang w:eastAsia="zh-CN"/>
        </w:rPr>
      </w:pPr>
      <w:r>
        <w:rPr>
          <w:rFonts w:hint="eastAsia"/>
          <w:color w:val="auto"/>
          <w:highlight w:val="none"/>
          <w:lang w:eastAsia="zh-CN"/>
        </w:rPr>
        <w:t>（9）与本招标项目的施工承包人以及建筑材料、建筑构配件和设备供应商有隶属关系或者 其他利害关系；</w:t>
      </w:r>
    </w:p>
    <w:p w14:paraId="474EAE7F">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（10）被依法暂停或者取消投标资格；</w:t>
      </w:r>
    </w:p>
    <w:p w14:paraId="7D86D746">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（11）被责令停产停业、暂扣或者吊销许可证、暂扣或者吊销执照；</w:t>
      </w:r>
    </w:p>
    <w:p w14:paraId="1CB77FD0">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（12）进入清算程序，或被宣告破产，或其他丧失履约能力的情形；</w:t>
      </w:r>
    </w:p>
    <w:p w14:paraId="7C94CA84">
      <w:pPr>
        <w:pStyle w:val="10"/>
        <w:spacing w:before="120" w:beforeLines="50" w:after="120" w:afterLines="50" w:line="300" w:lineRule="auto"/>
        <w:ind w:left="100" w:right="113" w:firstLine="419"/>
        <w:rPr>
          <w:color w:val="auto"/>
          <w:highlight w:val="none"/>
          <w:lang w:eastAsia="zh-CN"/>
        </w:rPr>
      </w:pPr>
      <w:r>
        <w:rPr>
          <w:rFonts w:hint="eastAsia"/>
          <w:color w:val="auto"/>
          <w:spacing w:val="-1"/>
          <w:highlight w:val="none"/>
          <w:lang w:eastAsia="zh-CN"/>
        </w:rPr>
        <w:t xml:space="preserve">（13）在最近三年内发生重大监理质量问题（以相关行业主管部门的行政处罚决定或司法 </w:t>
      </w:r>
      <w:r>
        <w:rPr>
          <w:rFonts w:hint="eastAsia"/>
          <w:color w:val="auto"/>
          <w:highlight w:val="none"/>
          <w:lang w:eastAsia="zh-CN"/>
        </w:rPr>
        <w:t>机关</w:t>
      </w:r>
      <w:r>
        <w:rPr>
          <w:rFonts w:hint="eastAsia"/>
          <w:color w:val="auto"/>
          <w:spacing w:val="-3"/>
          <w:highlight w:val="none"/>
          <w:lang w:eastAsia="zh-CN"/>
        </w:rPr>
        <w:t>出</w:t>
      </w:r>
      <w:r>
        <w:rPr>
          <w:rFonts w:hint="eastAsia"/>
          <w:color w:val="auto"/>
          <w:highlight w:val="none"/>
          <w:lang w:eastAsia="zh-CN"/>
        </w:rPr>
        <w:t>具</w:t>
      </w:r>
      <w:r>
        <w:rPr>
          <w:rFonts w:hint="eastAsia"/>
          <w:color w:val="auto"/>
          <w:spacing w:val="-3"/>
          <w:highlight w:val="none"/>
          <w:lang w:eastAsia="zh-CN"/>
        </w:rPr>
        <w:t>的</w:t>
      </w:r>
      <w:r>
        <w:rPr>
          <w:rFonts w:hint="eastAsia"/>
          <w:color w:val="auto"/>
          <w:highlight w:val="none"/>
          <w:lang w:eastAsia="zh-CN"/>
        </w:rPr>
        <w:t>有</w:t>
      </w:r>
      <w:r>
        <w:rPr>
          <w:rFonts w:hint="eastAsia"/>
          <w:color w:val="auto"/>
          <w:spacing w:val="-3"/>
          <w:highlight w:val="none"/>
          <w:lang w:eastAsia="zh-CN"/>
        </w:rPr>
        <w:t>关</w:t>
      </w:r>
      <w:r>
        <w:rPr>
          <w:rFonts w:hint="eastAsia"/>
          <w:color w:val="auto"/>
          <w:highlight w:val="none"/>
          <w:lang w:eastAsia="zh-CN"/>
        </w:rPr>
        <w:t>法</w:t>
      </w:r>
      <w:r>
        <w:rPr>
          <w:rFonts w:hint="eastAsia"/>
          <w:color w:val="auto"/>
          <w:spacing w:val="-3"/>
          <w:highlight w:val="none"/>
          <w:lang w:eastAsia="zh-CN"/>
        </w:rPr>
        <w:t>律</w:t>
      </w:r>
      <w:r>
        <w:rPr>
          <w:rFonts w:hint="eastAsia"/>
          <w:color w:val="auto"/>
          <w:highlight w:val="none"/>
          <w:lang w:eastAsia="zh-CN"/>
        </w:rPr>
        <w:t>文</w:t>
      </w:r>
      <w:r>
        <w:rPr>
          <w:rFonts w:hint="eastAsia"/>
          <w:color w:val="auto"/>
          <w:spacing w:val="-3"/>
          <w:highlight w:val="none"/>
          <w:lang w:eastAsia="zh-CN"/>
        </w:rPr>
        <w:t>书</w:t>
      </w:r>
      <w:r>
        <w:rPr>
          <w:rFonts w:hint="eastAsia"/>
          <w:color w:val="auto"/>
          <w:highlight w:val="none"/>
          <w:lang w:eastAsia="zh-CN"/>
        </w:rPr>
        <w:t>为准</w:t>
      </w:r>
      <w:r>
        <w:rPr>
          <w:rFonts w:hint="eastAsia"/>
          <w:color w:val="auto"/>
          <w:spacing w:val="-108"/>
          <w:highlight w:val="none"/>
          <w:lang w:eastAsia="zh-CN"/>
        </w:rPr>
        <w:t>）</w:t>
      </w:r>
      <w:r>
        <w:rPr>
          <w:rFonts w:hint="eastAsia"/>
          <w:color w:val="auto"/>
          <w:highlight w:val="none"/>
          <w:lang w:eastAsia="zh-CN"/>
        </w:rPr>
        <w:t>；</w:t>
      </w:r>
    </w:p>
    <w:p w14:paraId="4612A2CC">
      <w:pPr>
        <w:pStyle w:val="10"/>
        <w:spacing w:before="120" w:beforeLines="50" w:after="120" w:afterLines="50" w:line="300" w:lineRule="auto"/>
        <w:ind w:left="520" w:right="108"/>
        <w:rPr>
          <w:color w:val="auto"/>
          <w:highlight w:val="none"/>
          <w:lang w:eastAsia="zh-CN"/>
        </w:rPr>
      </w:pPr>
      <w:r>
        <w:rPr>
          <w:rFonts w:hint="eastAsia"/>
          <w:color w:val="auto"/>
          <w:highlight w:val="none"/>
          <w:lang w:eastAsia="zh-CN"/>
        </w:rPr>
        <w:t>（14）被工商行政管理机关在全国企业信用信息公示系统中列入严重违法失信企业名单；</w:t>
      </w:r>
    </w:p>
    <w:p w14:paraId="53C65420">
      <w:pPr>
        <w:pStyle w:val="10"/>
        <w:spacing w:before="120" w:beforeLines="50" w:after="120" w:afterLines="50" w:line="300" w:lineRule="auto"/>
        <w:ind w:left="100" w:right="113" w:firstLine="419"/>
        <w:rPr>
          <w:color w:val="auto"/>
          <w:highlight w:val="none"/>
          <w:lang w:eastAsia="zh-CN"/>
        </w:rPr>
      </w:pPr>
      <w:r>
        <w:rPr>
          <w:rFonts w:hint="eastAsia"/>
          <w:color w:val="auto"/>
          <w:spacing w:val="-4"/>
          <w:highlight w:val="none"/>
          <w:lang w:eastAsia="zh-CN"/>
        </w:rPr>
        <w:t>（15）被最高人民法院在“信用中国”网站（</w:t>
      </w:r>
      <w:r>
        <w:rPr>
          <w:rFonts w:hint="eastAsia"/>
          <w:color w:val="auto"/>
          <w:highlight w:val="none"/>
        </w:rPr>
        <w:fldChar w:fldCharType="begin"/>
      </w:r>
      <w:r>
        <w:rPr>
          <w:color w:val="auto"/>
          <w:highlight w:val="none"/>
          <w:lang w:eastAsia="zh-CN"/>
        </w:rPr>
        <w:instrText xml:space="preserve"> HYPERLINK "http://www.creditchina.gov.cn/" \h </w:instrText>
      </w:r>
      <w:r>
        <w:rPr>
          <w:rFonts w:hint="eastAsia"/>
          <w:color w:val="auto"/>
          <w:highlight w:val="none"/>
        </w:rPr>
        <w:fldChar w:fldCharType="separate"/>
      </w:r>
      <w:r>
        <w:rPr>
          <w:rFonts w:hint="eastAsia"/>
          <w:color w:val="auto"/>
          <w:spacing w:val="-4"/>
          <w:highlight w:val="none"/>
          <w:lang w:eastAsia="zh-CN"/>
        </w:rPr>
        <w:t>www.creditchina.gov.cn</w:t>
      </w:r>
      <w:r>
        <w:rPr>
          <w:rFonts w:hint="eastAsia"/>
          <w:color w:val="auto"/>
          <w:spacing w:val="-4"/>
          <w:highlight w:val="none"/>
          <w:lang w:eastAsia="zh-CN"/>
        </w:rPr>
        <w:fldChar w:fldCharType="end"/>
      </w:r>
      <w:r>
        <w:rPr>
          <w:rFonts w:hint="eastAsia"/>
          <w:color w:val="auto"/>
          <w:spacing w:val="-4"/>
          <w:highlight w:val="none"/>
          <w:lang w:eastAsia="zh-CN"/>
        </w:rPr>
        <w:t>）或各级信用信息共享平</w:t>
      </w:r>
      <w:r>
        <w:rPr>
          <w:rFonts w:hint="eastAsia"/>
          <w:color w:val="auto"/>
          <w:highlight w:val="none"/>
          <w:lang w:eastAsia="zh-CN"/>
        </w:rPr>
        <w:t>台中列入失信被执行人名单；</w:t>
      </w:r>
    </w:p>
    <w:p w14:paraId="03F0725C">
      <w:pPr>
        <w:pStyle w:val="10"/>
        <w:spacing w:before="120" w:beforeLines="50" w:after="120" w:afterLines="50" w:line="300" w:lineRule="auto"/>
        <w:ind w:left="100" w:right="113" w:firstLine="419"/>
        <w:rPr>
          <w:color w:val="auto"/>
          <w:highlight w:val="none"/>
          <w:lang w:eastAsia="zh-CN"/>
        </w:rPr>
      </w:pPr>
      <w:r>
        <w:rPr>
          <w:rFonts w:hint="eastAsia"/>
          <w:color w:val="auto"/>
          <w:spacing w:val="-1"/>
          <w:highlight w:val="none"/>
          <w:lang w:eastAsia="zh-CN"/>
        </w:rPr>
        <w:t xml:space="preserve">（16）在近三年内投标人或其法定代表人、拟委任的总监理工程师有行贿犯罪行为的（以 </w:t>
      </w:r>
      <w:r>
        <w:rPr>
          <w:rFonts w:hint="eastAsia"/>
          <w:color w:val="auto"/>
          <w:highlight w:val="none"/>
          <w:lang w:eastAsia="zh-CN"/>
        </w:rPr>
        <w:t>检察</w:t>
      </w:r>
      <w:r>
        <w:rPr>
          <w:rFonts w:hint="eastAsia"/>
          <w:color w:val="auto"/>
          <w:spacing w:val="-3"/>
          <w:highlight w:val="none"/>
          <w:lang w:eastAsia="zh-CN"/>
        </w:rPr>
        <w:t>机</w:t>
      </w:r>
      <w:r>
        <w:rPr>
          <w:rFonts w:hint="eastAsia"/>
          <w:color w:val="auto"/>
          <w:highlight w:val="none"/>
          <w:lang w:eastAsia="zh-CN"/>
        </w:rPr>
        <w:t>关</w:t>
      </w:r>
      <w:r>
        <w:rPr>
          <w:rFonts w:hint="eastAsia"/>
          <w:color w:val="auto"/>
          <w:spacing w:val="-3"/>
          <w:highlight w:val="none"/>
          <w:lang w:eastAsia="zh-CN"/>
        </w:rPr>
        <w:t>职</w:t>
      </w:r>
      <w:r>
        <w:rPr>
          <w:rFonts w:hint="eastAsia"/>
          <w:color w:val="auto"/>
          <w:highlight w:val="none"/>
          <w:lang w:eastAsia="zh-CN"/>
        </w:rPr>
        <w:t>务</w:t>
      </w:r>
      <w:r>
        <w:rPr>
          <w:rFonts w:hint="eastAsia"/>
          <w:color w:val="auto"/>
          <w:spacing w:val="-3"/>
          <w:highlight w:val="none"/>
          <w:lang w:eastAsia="zh-CN"/>
        </w:rPr>
        <w:t>犯</w:t>
      </w:r>
      <w:r>
        <w:rPr>
          <w:rFonts w:hint="eastAsia"/>
          <w:color w:val="auto"/>
          <w:highlight w:val="none"/>
          <w:lang w:eastAsia="zh-CN"/>
        </w:rPr>
        <w:t>罪</w:t>
      </w:r>
      <w:r>
        <w:rPr>
          <w:rFonts w:hint="eastAsia"/>
          <w:color w:val="auto"/>
          <w:spacing w:val="-3"/>
          <w:highlight w:val="none"/>
          <w:lang w:eastAsia="zh-CN"/>
        </w:rPr>
        <w:t>预</w:t>
      </w:r>
      <w:r>
        <w:rPr>
          <w:rFonts w:hint="eastAsia"/>
          <w:color w:val="auto"/>
          <w:highlight w:val="none"/>
          <w:lang w:eastAsia="zh-CN"/>
        </w:rPr>
        <w:t>防</w:t>
      </w:r>
      <w:r>
        <w:rPr>
          <w:rFonts w:hint="eastAsia"/>
          <w:color w:val="auto"/>
          <w:spacing w:val="-3"/>
          <w:highlight w:val="none"/>
          <w:lang w:eastAsia="zh-CN"/>
        </w:rPr>
        <w:t>部</w:t>
      </w:r>
      <w:r>
        <w:rPr>
          <w:rFonts w:hint="eastAsia"/>
          <w:color w:val="auto"/>
          <w:highlight w:val="none"/>
          <w:lang w:eastAsia="zh-CN"/>
        </w:rPr>
        <w:t>门出</w:t>
      </w:r>
      <w:r>
        <w:rPr>
          <w:rFonts w:hint="eastAsia"/>
          <w:color w:val="auto"/>
          <w:spacing w:val="-3"/>
          <w:highlight w:val="none"/>
          <w:lang w:eastAsia="zh-CN"/>
        </w:rPr>
        <w:t>具</w:t>
      </w:r>
      <w:r>
        <w:rPr>
          <w:rFonts w:hint="eastAsia"/>
          <w:color w:val="auto"/>
          <w:highlight w:val="none"/>
          <w:lang w:eastAsia="zh-CN"/>
        </w:rPr>
        <w:t>的</w:t>
      </w:r>
      <w:r>
        <w:rPr>
          <w:rFonts w:hint="eastAsia"/>
          <w:color w:val="auto"/>
          <w:spacing w:val="-3"/>
          <w:highlight w:val="none"/>
          <w:lang w:eastAsia="zh-CN"/>
        </w:rPr>
        <w:t>查</w:t>
      </w:r>
      <w:r>
        <w:rPr>
          <w:rFonts w:hint="eastAsia"/>
          <w:color w:val="auto"/>
          <w:highlight w:val="none"/>
          <w:lang w:eastAsia="zh-CN"/>
        </w:rPr>
        <w:t>询</w:t>
      </w:r>
      <w:r>
        <w:rPr>
          <w:rFonts w:hint="eastAsia"/>
          <w:color w:val="auto"/>
          <w:spacing w:val="-3"/>
          <w:highlight w:val="none"/>
          <w:lang w:eastAsia="zh-CN"/>
        </w:rPr>
        <w:t>结</w:t>
      </w:r>
      <w:r>
        <w:rPr>
          <w:rFonts w:hint="eastAsia"/>
          <w:color w:val="auto"/>
          <w:highlight w:val="none"/>
          <w:lang w:eastAsia="zh-CN"/>
        </w:rPr>
        <w:t>果</w:t>
      </w:r>
      <w:r>
        <w:rPr>
          <w:rFonts w:hint="eastAsia"/>
          <w:color w:val="auto"/>
          <w:spacing w:val="-3"/>
          <w:highlight w:val="none"/>
          <w:lang w:eastAsia="zh-CN"/>
        </w:rPr>
        <w:t>为</w:t>
      </w:r>
      <w:r>
        <w:rPr>
          <w:rFonts w:hint="eastAsia"/>
          <w:color w:val="auto"/>
          <w:highlight w:val="none"/>
          <w:lang w:eastAsia="zh-CN"/>
        </w:rPr>
        <w:t>准</w:t>
      </w:r>
      <w:r>
        <w:rPr>
          <w:rFonts w:hint="eastAsia"/>
          <w:color w:val="auto"/>
          <w:spacing w:val="-108"/>
          <w:highlight w:val="none"/>
          <w:lang w:eastAsia="zh-CN"/>
        </w:rPr>
        <w:t>）</w:t>
      </w:r>
      <w:r>
        <w:rPr>
          <w:rFonts w:hint="eastAsia"/>
          <w:color w:val="auto"/>
          <w:highlight w:val="none"/>
          <w:lang w:eastAsia="zh-CN"/>
        </w:rPr>
        <w:t>；</w:t>
      </w:r>
    </w:p>
    <w:p w14:paraId="165FA02B">
      <w:pPr>
        <w:pStyle w:val="10"/>
        <w:spacing w:before="120" w:beforeLines="50" w:after="120" w:afterLines="50" w:line="300" w:lineRule="auto"/>
        <w:ind w:left="100" w:right="113" w:firstLine="419"/>
        <w:rPr>
          <w:color w:val="auto"/>
          <w:highlight w:val="none"/>
          <w:lang w:eastAsia="zh-CN"/>
        </w:rPr>
      </w:pPr>
      <w:r>
        <w:rPr>
          <w:rFonts w:hint="eastAsia"/>
          <w:color w:val="auto"/>
          <w:highlight w:val="none"/>
          <w:lang w:eastAsia="zh-CN"/>
        </w:rPr>
        <w:t>（17）法律法规或投标人须知前附表规定的其他情形。</w:t>
      </w:r>
    </w:p>
    <w:p w14:paraId="46B70893">
      <w:pPr>
        <w:pStyle w:val="5"/>
        <w:spacing w:before="50" w:after="50" w:line="300" w:lineRule="auto"/>
        <w:rPr>
          <w:color w:val="auto"/>
          <w:highlight w:val="none"/>
          <w:lang w:eastAsia="zh-CN"/>
        </w:rPr>
      </w:pPr>
      <w:bookmarkStart w:id="17" w:name="_Toc25807"/>
      <w:bookmarkStart w:id="18" w:name="_Toc26876"/>
      <w:r>
        <w:rPr>
          <w:rFonts w:hint="eastAsia"/>
          <w:color w:val="auto"/>
          <w:highlight w:val="none"/>
          <w:lang w:eastAsia="zh-CN"/>
        </w:rPr>
        <w:t>1.5 费用承担</w:t>
      </w:r>
      <w:bookmarkEnd w:id="17"/>
      <w:bookmarkEnd w:id="18"/>
    </w:p>
    <w:p w14:paraId="38BAFBAE">
      <w:pPr>
        <w:pStyle w:val="10"/>
        <w:spacing w:before="50" w:after="50" w:line="300" w:lineRule="auto"/>
        <w:ind w:left="520" w:right="113"/>
        <w:rPr>
          <w:color w:val="auto"/>
          <w:highlight w:val="none"/>
          <w:lang w:eastAsia="zh-CN"/>
        </w:rPr>
      </w:pPr>
      <w:r>
        <w:rPr>
          <w:rFonts w:hint="eastAsia"/>
          <w:color w:val="auto"/>
          <w:highlight w:val="none"/>
          <w:lang w:eastAsia="zh-CN"/>
        </w:rPr>
        <w:t>投标人准备和参加投标活动发生的费用自理。</w:t>
      </w:r>
    </w:p>
    <w:p w14:paraId="0143CCFA">
      <w:pPr>
        <w:pStyle w:val="5"/>
        <w:spacing w:before="50" w:after="50" w:line="300" w:lineRule="auto"/>
        <w:rPr>
          <w:color w:val="auto"/>
          <w:highlight w:val="none"/>
          <w:lang w:eastAsia="zh-CN"/>
        </w:rPr>
      </w:pPr>
      <w:bookmarkStart w:id="19" w:name="_Toc17534"/>
      <w:bookmarkStart w:id="20" w:name="_Toc27431"/>
      <w:r>
        <w:rPr>
          <w:rFonts w:hint="eastAsia"/>
          <w:color w:val="auto"/>
          <w:highlight w:val="none"/>
          <w:lang w:eastAsia="zh-CN"/>
        </w:rPr>
        <w:t>1.6 保密</w:t>
      </w:r>
      <w:bookmarkEnd w:id="19"/>
      <w:bookmarkEnd w:id="20"/>
    </w:p>
    <w:p w14:paraId="008C3EFB">
      <w:pPr>
        <w:pStyle w:val="10"/>
        <w:spacing w:before="50" w:after="50" w:line="300" w:lineRule="auto"/>
        <w:ind w:left="100" w:right="113" w:firstLine="419"/>
        <w:rPr>
          <w:color w:val="auto"/>
          <w:highlight w:val="none"/>
          <w:lang w:eastAsia="zh-CN"/>
        </w:rPr>
      </w:pPr>
      <w:r>
        <w:rPr>
          <w:rFonts w:hint="eastAsia"/>
          <w:color w:val="auto"/>
          <w:highlight w:val="none"/>
          <w:lang w:eastAsia="zh-CN"/>
        </w:rPr>
        <w:t>参与招标投标活动的各方应对招标文件和投标文件中的商业和技术等秘密保密，否则应承 担相应的法律责任。</w:t>
      </w:r>
    </w:p>
    <w:p w14:paraId="12DCAA59">
      <w:pPr>
        <w:pStyle w:val="5"/>
        <w:spacing w:before="50" w:after="50" w:line="300" w:lineRule="auto"/>
        <w:rPr>
          <w:color w:val="auto"/>
          <w:highlight w:val="none"/>
          <w:lang w:eastAsia="zh-CN"/>
        </w:rPr>
      </w:pPr>
      <w:bookmarkStart w:id="21" w:name="_Toc19574"/>
      <w:bookmarkStart w:id="22" w:name="_Toc15993"/>
      <w:r>
        <w:rPr>
          <w:rFonts w:hint="eastAsia"/>
          <w:color w:val="auto"/>
          <w:highlight w:val="none"/>
          <w:lang w:eastAsia="zh-CN"/>
        </w:rPr>
        <w:t>1.7 语言文字</w:t>
      </w:r>
      <w:bookmarkEnd w:id="21"/>
      <w:bookmarkEnd w:id="22"/>
    </w:p>
    <w:p w14:paraId="4596A159">
      <w:pPr>
        <w:pStyle w:val="10"/>
        <w:spacing w:before="50" w:after="50" w:line="300" w:lineRule="auto"/>
        <w:ind w:left="520" w:right="113"/>
        <w:rPr>
          <w:color w:val="auto"/>
          <w:highlight w:val="none"/>
          <w:lang w:eastAsia="zh-CN"/>
        </w:rPr>
      </w:pPr>
      <w:r>
        <w:rPr>
          <w:rFonts w:hint="eastAsia"/>
          <w:color w:val="auto"/>
          <w:highlight w:val="none"/>
          <w:lang w:eastAsia="zh-CN"/>
        </w:rPr>
        <w:t>招标投标文件使用的语言文字为中文。专用术语使用外文的，应附有中文注释。</w:t>
      </w:r>
    </w:p>
    <w:p w14:paraId="75B5825F">
      <w:pPr>
        <w:pStyle w:val="5"/>
        <w:spacing w:before="50" w:after="50" w:line="300" w:lineRule="auto"/>
        <w:rPr>
          <w:color w:val="auto"/>
          <w:highlight w:val="none"/>
          <w:lang w:eastAsia="zh-CN"/>
        </w:rPr>
      </w:pPr>
      <w:bookmarkStart w:id="23" w:name="_Toc27201"/>
      <w:bookmarkStart w:id="24" w:name="_Toc17702"/>
      <w:r>
        <w:rPr>
          <w:rFonts w:hint="eastAsia"/>
          <w:color w:val="auto"/>
          <w:highlight w:val="none"/>
          <w:lang w:eastAsia="zh-CN"/>
        </w:rPr>
        <w:t>1.8 计量单位</w:t>
      </w:r>
      <w:bookmarkEnd w:id="23"/>
      <w:bookmarkEnd w:id="24"/>
    </w:p>
    <w:p w14:paraId="21A0A2E3">
      <w:pPr>
        <w:pStyle w:val="10"/>
        <w:spacing w:before="50" w:after="50" w:line="300" w:lineRule="auto"/>
        <w:ind w:left="520" w:right="113"/>
        <w:rPr>
          <w:color w:val="auto"/>
          <w:highlight w:val="none"/>
          <w:lang w:eastAsia="zh-CN"/>
        </w:rPr>
      </w:pPr>
      <w:r>
        <w:rPr>
          <w:rFonts w:hint="eastAsia"/>
          <w:color w:val="auto"/>
          <w:highlight w:val="none"/>
          <w:lang w:eastAsia="zh-CN"/>
        </w:rPr>
        <w:t>所有计量均采用中华人民共和国法定计量单位。</w:t>
      </w:r>
    </w:p>
    <w:p w14:paraId="04A2C024">
      <w:pPr>
        <w:pStyle w:val="5"/>
        <w:spacing w:before="50" w:after="50" w:line="300" w:lineRule="auto"/>
        <w:rPr>
          <w:color w:val="auto"/>
          <w:highlight w:val="none"/>
          <w:lang w:eastAsia="zh-CN"/>
        </w:rPr>
      </w:pPr>
      <w:bookmarkStart w:id="25" w:name="_Toc8253"/>
      <w:bookmarkStart w:id="26" w:name="_Toc21538"/>
      <w:r>
        <w:rPr>
          <w:rFonts w:hint="eastAsia"/>
          <w:color w:val="auto"/>
          <w:highlight w:val="none"/>
          <w:lang w:eastAsia="zh-CN"/>
        </w:rPr>
        <w:t>1.9 踏勘现场</w:t>
      </w:r>
      <w:bookmarkEnd w:id="25"/>
      <w:bookmarkEnd w:id="26"/>
    </w:p>
    <w:p w14:paraId="210213B2">
      <w:pPr>
        <w:pStyle w:val="10"/>
        <w:spacing w:before="50" w:after="50" w:line="300" w:lineRule="auto"/>
        <w:ind w:left="100" w:right="109" w:firstLine="419"/>
        <w:rPr>
          <w:color w:val="auto"/>
          <w:highlight w:val="none"/>
          <w:lang w:eastAsia="zh-CN"/>
        </w:rPr>
      </w:pPr>
      <w:r>
        <w:rPr>
          <w:rFonts w:hint="eastAsia"/>
          <w:color w:val="auto"/>
          <w:highlight w:val="none"/>
          <w:lang w:eastAsia="zh-CN"/>
        </w:rPr>
        <w:t xml:space="preserve">1.9.1 </w:t>
      </w:r>
      <w:r>
        <w:rPr>
          <w:rFonts w:hint="eastAsia"/>
          <w:color w:val="auto"/>
          <w:spacing w:val="-4"/>
          <w:highlight w:val="none"/>
          <w:lang w:eastAsia="zh-CN"/>
        </w:rPr>
        <w:t>投标人须知前附表规定组织踏勘现场的，招标人按投标人须知前附表规定的时间、地</w:t>
      </w:r>
      <w:r>
        <w:rPr>
          <w:rFonts w:hint="eastAsia"/>
          <w:color w:val="auto"/>
          <w:highlight w:val="none"/>
          <w:lang w:eastAsia="zh-CN"/>
        </w:rPr>
        <w:t>点组</w:t>
      </w:r>
      <w:r>
        <w:rPr>
          <w:rFonts w:hint="eastAsia"/>
          <w:color w:val="auto"/>
          <w:spacing w:val="-3"/>
          <w:highlight w:val="none"/>
          <w:lang w:eastAsia="zh-CN"/>
        </w:rPr>
        <w:t>织</w:t>
      </w:r>
      <w:r>
        <w:rPr>
          <w:rFonts w:hint="eastAsia"/>
          <w:color w:val="auto"/>
          <w:highlight w:val="none"/>
          <w:lang w:eastAsia="zh-CN"/>
        </w:rPr>
        <w:t>投</w:t>
      </w:r>
      <w:r>
        <w:rPr>
          <w:rFonts w:hint="eastAsia"/>
          <w:color w:val="auto"/>
          <w:spacing w:val="-3"/>
          <w:highlight w:val="none"/>
          <w:lang w:eastAsia="zh-CN"/>
        </w:rPr>
        <w:t>标</w:t>
      </w:r>
      <w:r>
        <w:rPr>
          <w:rFonts w:hint="eastAsia"/>
          <w:color w:val="auto"/>
          <w:highlight w:val="none"/>
          <w:lang w:eastAsia="zh-CN"/>
        </w:rPr>
        <w:t>人</w:t>
      </w:r>
      <w:r>
        <w:rPr>
          <w:rFonts w:hint="eastAsia"/>
          <w:color w:val="auto"/>
          <w:spacing w:val="-3"/>
          <w:highlight w:val="none"/>
          <w:lang w:eastAsia="zh-CN"/>
        </w:rPr>
        <w:t>踏</w:t>
      </w:r>
      <w:r>
        <w:rPr>
          <w:rFonts w:hint="eastAsia"/>
          <w:color w:val="auto"/>
          <w:highlight w:val="none"/>
          <w:lang w:eastAsia="zh-CN"/>
        </w:rPr>
        <w:t>勘</w:t>
      </w:r>
      <w:r>
        <w:rPr>
          <w:rFonts w:hint="eastAsia"/>
          <w:color w:val="auto"/>
          <w:spacing w:val="-3"/>
          <w:highlight w:val="none"/>
          <w:lang w:eastAsia="zh-CN"/>
        </w:rPr>
        <w:t>项</w:t>
      </w:r>
      <w:r>
        <w:rPr>
          <w:rFonts w:hint="eastAsia"/>
          <w:color w:val="auto"/>
          <w:highlight w:val="none"/>
          <w:lang w:eastAsia="zh-CN"/>
        </w:rPr>
        <w:t>目</w:t>
      </w:r>
      <w:r>
        <w:rPr>
          <w:rFonts w:hint="eastAsia"/>
          <w:color w:val="auto"/>
          <w:spacing w:val="-3"/>
          <w:highlight w:val="none"/>
          <w:lang w:eastAsia="zh-CN"/>
        </w:rPr>
        <w:t>现</w:t>
      </w:r>
      <w:r>
        <w:rPr>
          <w:rFonts w:hint="eastAsia"/>
          <w:color w:val="auto"/>
          <w:highlight w:val="none"/>
          <w:lang w:eastAsia="zh-CN"/>
        </w:rPr>
        <w:t>场</w:t>
      </w:r>
      <w:r>
        <w:rPr>
          <w:rFonts w:hint="eastAsia"/>
          <w:color w:val="auto"/>
          <w:spacing w:val="-92"/>
          <w:highlight w:val="none"/>
          <w:lang w:eastAsia="zh-CN"/>
        </w:rPr>
        <w:t>。</w:t>
      </w:r>
      <w:r>
        <w:rPr>
          <w:rFonts w:hint="eastAsia"/>
          <w:color w:val="auto"/>
          <w:highlight w:val="none"/>
          <w:lang w:eastAsia="zh-CN"/>
        </w:rPr>
        <w:t>部</w:t>
      </w:r>
      <w:r>
        <w:rPr>
          <w:rFonts w:hint="eastAsia"/>
          <w:color w:val="auto"/>
          <w:spacing w:val="-3"/>
          <w:highlight w:val="none"/>
          <w:lang w:eastAsia="zh-CN"/>
        </w:rPr>
        <w:t>分</w:t>
      </w:r>
      <w:r>
        <w:rPr>
          <w:rFonts w:hint="eastAsia"/>
          <w:color w:val="auto"/>
          <w:highlight w:val="none"/>
          <w:lang w:eastAsia="zh-CN"/>
        </w:rPr>
        <w:t>投</w:t>
      </w:r>
      <w:r>
        <w:rPr>
          <w:rFonts w:hint="eastAsia"/>
          <w:color w:val="auto"/>
          <w:spacing w:val="-3"/>
          <w:highlight w:val="none"/>
          <w:lang w:eastAsia="zh-CN"/>
        </w:rPr>
        <w:t>标</w:t>
      </w:r>
      <w:r>
        <w:rPr>
          <w:rFonts w:hint="eastAsia"/>
          <w:color w:val="auto"/>
          <w:highlight w:val="none"/>
          <w:lang w:eastAsia="zh-CN"/>
        </w:rPr>
        <w:t>人</w:t>
      </w:r>
      <w:r>
        <w:rPr>
          <w:rFonts w:hint="eastAsia"/>
          <w:color w:val="auto"/>
          <w:spacing w:val="-3"/>
          <w:highlight w:val="none"/>
          <w:lang w:eastAsia="zh-CN"/>
        </w:rPr>
        <w:t>未</w:t>
      </w:r>
      <w:r>
        <w:rPr>
          <w:rFonts w:hint="eastAsia"/>
          <w:color w:val="auto"/>
          <w:highlight w:val="none"/>
          <w:lang w:eastAsia="zh-CN"/>
        </w:rPr>
        <w:t>按</w:t>
      </w:r>
      <w:r>
        <w:rPr>
          <w:rFonts w:hint="eastAsia"/>
          <w:color w:val="auto"/>
          <w:spacing w:val="-3"/>
          <w:highlight w:val="none"/>
          <w:lang w:eastAsia="zh-CN"/>
        </w:rPr>
        <w:t>时</w:t>
      </w:r>
      <w:r>
        <w:rPr>
          <w:rFonts w:hint="eastAsia"/>
          <w:color w:val="auto"/>
          <w:highlight w:val="none"/>
          <w:lang w:eastAsia="zh-CN"/>
        </w:rPr>
        <w:t>参</w:t>
      </w:r>
      <w:r>
        <w:rPr>
          <w:rFonts w:hint="eastAsia"/>
          <w:color w:val="auto"/>
          <w:spacing w:val="-3"/>
          <w:highlight w:val="none"/>
          <w:lang w:eastAsia="zh-CN"/>
        </w:rPr>
        <w:t>加</w:t>
      </w:r>
      <w:r>
        <w:rPr>
          <w:rFonts w:hint="eastAsia"/>
          <w:color w:val="auto"/>
          <w:highlight w:val="none"/>
          <w:lang w:eastAsia="zh-CN"/>
        </w:rPr>
        <w:t>踏勘</w:t>
      </w:r>
      <w:r>
        <w:rPr>
          <w:rFonts w:hint="eastAsia"/>
          <w:color w:val="auto"/>
          <w:spacing w:val="-3"/>
          <w:highlight w:val="none"/>
          <w:lang w:eastAsia="zh-CN"/>
        </w:rPr>
        <w:t>现</w:t>
      </w:r>
      <w:r>
        <w:rPr>
          <w:rFonts w:hint="eastAsia"/>
          <w:color w:val="auto"/>
          <w:highlight w:val="none"/>
          <w:lang w:eastAsia="zh-CN"/>
        </w:rPr>
        <w:t>场的</w:t>
      </w:r>
      <w:r>
        <w:rPr>
          <w:rFonts w:hint="eastAsia"/>
          <w:color w:val="auto"/>
          <w:spacing w:val="-94"/>
          <w:highlight w:val="none"/>
          <w:lang w:eastAsia="zh-CN"/>
        </w:rPr>
        <w:t>，</w:t>
      </w:r>
      <w:r>
        <w:rPr>
          <w:rFonts w:hint="eastAsia"/>
          <w:color w:val="auto"/>
          <w:highlight w:val="none"/>
          <w:lang w:eastAsia="zh-CN"/>
        </w:rPr>
        <w:t>不</w:t>
      </w:r>
      <w:r>
        <w:rPr>
          <w:rFonts w:hint="eastAsia"/>
          <w:color w:val="auto"/>
          <w:spacing w:val="-3"/>
          <w:highlight w:val="none"/>
          <w:lang w:eastAsia="zh-CN"/>
        </w:rPr>
        <w:t>影</w:t>
      </w:r>
      <w:r>
        <w:rPr>
          <w:rFonts w:hint="eastAsia"/>
          <w:color w:val="auto"/>
          <w:highlight w:val="none"/>
          <w:lang w:eastAsia="zh-CN"/>
        </w:rPr>
        <w:t>响</w:t>
      </w:r>
      <w:r>
        <w:rPr>
          <w:rFonts w:hint="eastAsia"/>
          <w:color w:val="auto"/>
          <w:spacing w:val="-3"/>
          <w:highlight w:val="none"/>
          <w:lang w:eastAsia="zh-CN"/>
        </w:rPr>
        <w:t>踏</w:t>
      </w:r>
      <w:r>
        <w:rPr>
          <w:rFonts w:hint="eastAsia"/>
          <w:color w:val="auto"/>
          <w:highlight w:val="none"/>
          <w:lang w:eastAsia="zh-CN"/>
        </w:rPr>
        <w:t>勘</w:t>
      </w:r>
      <w:r>
        <w:rPr>
          <w:rFonts w:hint="eastAsia"/>
          <w:color w:val="auto"/>
          <w:spacing w:val="-3"/>
          <w:highlight w:val="none"/>
          <w:lang w:eastAsia="zh-CN"/>
        </w:rPr>
        <w:t>现</w:t>
      </w:r>
      <w:r>
        <w:rPr>
          <w:rFonts w:hint="eastAsia"/>
          <w:color w:val="auto"/>
          <w:highlight w:val="none"/>
          <w:lang w:eastAsia="zh-CN"/>
        </w:rPr>
        <w:t>场的</w:t>
      </w:r>
      <w:r>
        <w:rPr>
          <w:rFonts w:hint="eastAsia"/>
          <w:color w:val="auto"/>
          <w:spacing w:val="-3"/>
          <w:highlight w:val="none"/>
          <w:lang w:eastAsia="zh-CN"/>
        </w:rPr>
        <w:t>正常进行</w:t>
      </w:r>
      <w:r>
        <w:rPr>
          <w:rFonts w:hint="eastAsia"/>
          <w:color w:val="auto"/>
          <w:highlight w:val="none"/>
          <w:lang w:eastAsia="zh-CN"/>
        </w:rPr>
        <w:t>。</w:t>
      </w:r>
    </w:p>
    <w:p w14:paraId="287B06DA">
      <w:pPr>
        <w:pStyle w:val="10"/>
        <w:spacing w:before="50" w:after="50" w:line="300" w:lineRule="auto"/>
        <w:ind w:left="520" w:right="113"/>
        <w:rPr>
          <w:color w:val="auto"/>
          <w:highlight w:val="none"/>
          <w:lang w:eastAsia="zh-CN"/>
        </w:rPr>
      </w:pPr>
      <w:r>
        <w:rPr>
          <w:rFonts w:hint="eastAsia"/>
          <w:color w:val="auto"/>
          <w:highlight w:val="none"/>
          <w:lang w:eastAsia="zh-CN"/>
        </w:rPr>
        <w:t>1.9.2</w:t>
      </w:r>
      <w:r>
        <w:rPr>
          <w:color w:val="auto"/>
          <w:highlight w:val="none"/>
          <w:lang w:eastAsia="zh-CN"/>
        </w:rPr>
        <w:t xml:space="preserve"> </w:t>
      </w:r>
      <w:r>
        <w:rPr>
          <w:rFonts w:hint="eastAsia"/>
          <w:color w:val="auto"/>
          <w:highlight w:val="none"/>
          <w:lang w:eastAsia="zh-CN"/>
        </w:rPr>
        <w:t>投标人踏勘现场发生的费用自理。</w:t>
      </w:r>
    </w:p>
    <w:p w14:paraId="621989F8">
      <w:pPr>
        <w:pStyle w:val="10"/>
        <w:spacing w:before="50" w:after="50" w:line="300" w:lineRule="auto"/>
        <w:ind w:left="520" w:right="113"/>
        <w:rPr>
          <w:color w:val="auto"/>
          <w:highlight w:val="none"/>
          <w:lang w:eastAsia="zh-CN"/>
        </w:rPr>
      </w:pPr>
      <w:r>
        <w:rPr>
          <w:rFonts w:hint="eastAsia"/>
          <w:color w:val="auto"/>
          <w:highlight w:val="none"/>
          <w:lang w:eastAsia="zh-CN"/>
        </w:rPr>
        <w:t>1.9.3 除招标人的原因外，投标人自行负责在踏勘现场中所发生的人员伤亡和财产损失。</w:t>
      </w:r>
    </w:p>
    <w:p w14:paraId="5643E49B">
      <w:pPr>
        <w:pStyle w:val="10"/>
        <w:spacing w:before="50" w:after="50" w:line="300" w:lineRule="auto"/>
        <w:ind w:left="100" w:right="26" w:firstLine="419"/>
        <w:rPr>
          <w:color w:val="auto"/>
          <w:highlight w:val="none"/>
          <w:lang w:eastAsia="zh-CN"/>
        </w:rPr>
      </w:pPr>
      <w:r>
        <w:rPr>
          <w:rFonts w:hint="eastAsia"/>
          <w:color w:val="auto"/>
          <w:highlight w:val="none"/>
          <w:lang w:eastAsia="zh-CN"/>
        </w:rPr>
        <w:t>1.9.4 招标人在踏勘现场中介绍的工程场地和相关的周边环境情况，供投标人在编制投标文件时参考，招标人不对投标人据此作出的判断和决策负责。</w:t>
      </w:r>
    </w:p>
    <w:p w14:paraId="2DD75250">
      <w:pPr>
        <w:pStyle w:val="5"/>
        <w:spacing w:before="50" w:after="50" w:line="300" w:lineRule="auto"/>
        <w:rPr>
          <w:color w:val="auto"/>
          <w:highlight w:val="none"/>
          <w:lang w:eastAsia="zh-CN"/>
        </w:rPr>
      </w:pPr>
      <w:bookmarkStart w:id="27" w:name="_Toc32484"/>
      <w:bookmarkStart w:id="28" w:name="_Toc3927"/>
      <w:r>
        <w:rPr>
          <w:rFonts w:hint="eastAsia"/>
          <w:color w:val="auto"/>
          <w:highlight w:val="none"/>
          <w:lang w:eastAsia="zh-CN"/>
        </w:rPr>
        <w:t>1.10 投标预备会</w:t>
      </w:r>
      <w:bookmarkEnd w:id="27"/>
      <w:bookmarkEnd w:id="28"/>
    </w:p>
    <w:p w14:paraId="017B49D8">
      <w:pPr>
        <w:pStyle w:val="10"/>
        <w:spacing w:before="50" w:after="50" w:line="300" w:lineRule="auto"/>
        <w:ind w:left="100" w:right="113" w:firstLine="419"/>
        <w:rPr>
          <w:color w:val="auto"/>
          <w:highlight w:val="none"/>
          <w:lang w:eastAsia="zh-CN"/>
        </w:rPr>
      </w:pPr>
      <w:r>
        <w:rPr>
          <w:rFonts w:hint="eastAsia"/>
          <w:color w:val="auto"/>
          <w:highlight w:val="none"/>
          <w:lang w:eastAsia="zh-CN"/>
        </w:rPr>
        <w:t>1.10.1 投标人须知前附表规定召开投标预备会的，招标人按投标人须知前附表规定的时间和地点召开投标预备会，澄清投标人提出的问题。</w:t>
      </w:r>
    </w:p>
    <w:p w14:paraId="1AC3076E">
      <w:pPr>
        <w:pStyle w:val="10"/>
        <w:spacing w:before="50" w:after="50" w:line="300" w:lineRule="auto"/>
        <w:ind w:left="100" w:right="113" w:firstLine="419"/>
        <w:rPr>
          <w:color w:val="auto"/>
          <w:highlight w:val="none"/>
          <w:lang w:eastAsia="zh-CN"/>
        </w:rPr>
      </w:pPr>
      <w:r>
        <w:rPr>
          <w:rFonts w:hint="eastAsia"/>
          <w:color w:val="auto"/>
          <w:highlight w:val="none"/>
          <w:lang w:eastAsia="zh-CN"/>
        </w:rPr>
        <w:t>1.10.3 投标预备会后，招标人将对投标人所提问题的澄清，以投标人须知前附表规定的形式通知所有购买招标文件的投标人。该澄清内容为招标文件的组成部分。</w:t>
      </w:r>
    </w:p>
    <w:p w14:paraId="3E3413B7">
      <w:pPr>
        <w:pStyle w:val="5"/>
        <w:spacing w:before="120" w:beforeLines="50" w:after="120" w:afterLines="50" w:line="300" w:lineRule="auto"/>
        <w:rPr>
          <w:color w:val="auto"/>
          <w:highlight w:val="none"/>
          <w:lang w:eastAsia="zh-CN"/>
        </w:rPr>
      </w:pPr>
      <w:bookmarkStart w:id="29" w:name="_Toc5388"/>
      <w:bookmarkStart w:id="30" w:name="_Toc29103"/>
      <w:r>
        <w:rPr>
          <w:rFonts w:hint="eastAsia"/>
          <w:color w:val="auto"/>
          <w:highlight w:val="none"/>
          <w:lang w:eastAsia="zh-CN"/>
        </w:rPr>
        <w:t>1.11 分包</w:t>
      </w:r>
      <w:bookmarkEnd w:id="29"/>
      <w:bookmarkEnd w:id="30"/>
    </w:p>
    <w:p w14:paraId="038D6621">
      <w:pPr>
        <w:pStyle w:val="10"/>
        <w:spacing w:before="120" w:beforeLines="50" w:after="120" w:afterLines="50" w:line="300" w:lineRule="auto"/>
        <w:ind w:left="520" w:right="108"/>
        <w:rPr>
          <w:color w:val="auto"/>
          <w:highlight w:val="none"/>
          <w:lang w:eastAsia="zh-CN"/>
        </w:rPr>
      </w:pPr>
      <w:r>
        <w:rPr>
          <w:rFonts w:hint="eastAsia"/>
          <w:color w:val="auto"/>
          <w:highlight w:val="none"/>
          <w:lang w:eastAsia="zh-CN"/>
        </w:rPr>
        <w:t>本项目严禁分包。</w:t>
      </w:r>
    </w:p>
    <w:p w14:paraId="42275874">
      <w:pPr>
        <w:pStyle w:val="5"/>
        <w:spacing w:before="120" w:beforeLines="50" w:after="120" w:afterLines="50" w:line="300" w:lineRule="auto"/>
        <w:ind w:right="108"/>
        <w:rPr>
          <w:color w:val="auto"/>
          <w:highlight w:val="none"/>
          <w:lang w:eastAsia="zh-CN"/>
        </w:rPr>
      </w:pPr>
      <w:bookmarkStart w:id="31" w:name="_Toc26993"/>
      <w:bookmarkStart w:id="32" w:name="_Toc24689"/>
      <w:r>
        <w:rPr>
          <w:rFonts w:hint="eastAsia"/>
          <w:color w:val="auto"/>
          <w:highlight w:val="none"/>
          <w:lang w:eastAsia="zh-CN"/>
        </w:rPr>
        <w:t>1.12 响应和偏差</w:t>
      </w:r>
      <w:bookmarkEnd w:id="31"/>
      <w:bookmarkEnd w:id="32"/>
    </w:p>
    <w:p w14:paraId="53DB32B0">
      <w:pPr>
        <w:pStyle w:val="10"/>
        <w:spacing w:before="120" w:beforeLines="50" w:after="120" w:afterLines="50" w:line="300" w:lineRule="auto"/>
        <w:ind w:left="100" w:right="21" w:firstLine="419"/>
        <w:rPr>
          <w:color w:val="auto"/>
          <w:highlight w:val="none"/>
          <w:lang w:eastAsia="zh-CN"/>
        </w:rPr>
      </w:pPr>
      <w:r>
        <w:rPr>
          <w:rFonts w:hint="eastAsia"/>
          <w:color w:val="auto"/>
          <w:highlight w:val="none"/>
          <w:lang w:eastAsia="zh-CN"/>
        </w:rPr>
        <w:t>1.12.1 投标文件应当对招标文件的实质性要求和条件作出满足性或更有利于招标人的响应，否则，投标人的投标将被否决。实质性要求和条件见投标人须知前附表。</w:t>
      </w:r>
    </w:p>
    <w:p w14:paraId="77989ABF">
      <w:pPr>
        <w:pStyle w:val="10"/>
        <w:spacing w:before="120" w:beforeLines="50" w:after="120" w:afterLines="50" w:line="300" w:lineRule="auto"/>
        <w:ind w:left="520" w:right="108"/>
        <w:rPr>
          <w:color w:val="auto"/>
          <w:highlight w:val="none"/>
          <w:lang w:eastAsia="zh-CN"/>
        </w:rPr>
      </w:pPr>
      <w:r>
        <w:rPr>
          <w:rFonts w:hint="eastAsia"/>
          <w:color w:val="auto"/>
          <w:highlight w:val="none"/>
          <w:lang w:eastAsia="zh-CN"/>
        </w:rPr>
        <w:t>1.12.2</w:t>
      </w:r>
      <w:r>
        <w:rPr>
          <w:rFonts w:hint="eastAsia"/>
          <w:color w:val="auto"/>
          <w:spacing w:val="50"/>
          <w:highlight w:val="none"/>
          <w:lang w:eastAsia="zh-CN"/>
        </w:rPr>
        <w:t xml:space="preserve"> </w:t>
      </w:r>
      <w:r>
        <w:rPr>
          <w:rFonts w:hint="eastAsia"/>
          <w:color w:val="auto"/>
          <w:highlight w:val="none"/>
          <w:lang w:eastAsia="zh-CN"/>
        </w:rPr>
        <w:t>投标人应根据招标文件的要求提供投标监理大纲等内容以对招标文件作出响应。</w:t>
      </w:r>
    </w:p>
    <w:p w14:paraId="45EBF1A1">
      <w:pPr>
        <w:pStyle w:val="10"/>
        <w:spacing w:before="120" w:beforeLines="50" w:after="120" w:afterLines="50" w:line="300" w:lineRule="auto"/>
        <w:ind w:left="100" w:right="108" w:firstLine="434"/>
        <w:rPr>
          <w:color w:val="auto"/>
          <w:highlight w:val="none"/>
          <w:lang w:eastAsia="zh-CN"/>
        </w:rPr>
      </w:pPr>
      <w:r>
        <w:rPr>
          <w:rFonts w:hint="eastAsia"/>
          <w:color w:val="auto"/>
          <w:highlight w:val="none"/>
          <w:lang w:eastAsia="zh-CN"/>
        </w:rPr>
        <w:t>1.12.3 投标人须知前附表允许投标文件偏离招标文件某些要求的，偏差应当符合招标文件 规定的偏差范围和幅度。</w:t>
      </w:r>
    </w:p>
    <w:p w14:paraId="6AF2CE65">
      <w:pPr>
        <w:pStyle w:val="4"/>
        <w:spacing w:before="120" w:beforeLines="50" w:after="120" w:afterLines="50" w:line="300" w:lineRule="auto"/>
        <w:ind w:right="108"/>
        <w:rPr>
          <w:rFonts w:ascii="宋体" w:hAnsi="宋体" w:eastAsia="宋体" w:cs="宋体"/>
          <w:color w:val="auto"/>
          <w:highlight w:val="none"/>
          <w:lang w:eastAsia="zh-CN"/>
        </w:rPr>
      </w:pPr>
      <w:bookmarkStart w:id="33" w:name="_Toc21945"/>
      <w:r>
        <w:rPr>
          <w:rFonts w:hint="eastAsia" w:ascii="宋体" w:hAnsi="宋体" w:eastAsia="宋体" w:cs="宋体"/>
          <w:color w:val="auto"/>
          <w:highlight w:val="none"/>
          <w:lang w:eastAsia="zh-CN"/>
        </w:rPr>
        <w:t>2.  招标文件</w:t>
      </w:r>
      <w:bookmarkEnd w:id="33"/>
    </w:p>
    <w:p w14:paraId="224E04D9">
      <w:pPr>
        <w:pStyle w:val="5"/>
        <w:spacing w:before="120" w:beforeLines="50" w:after="120" w:afterLines="50" w:line="300" w:lineRule="auto"/>
        <w:ind w:right="108"/>
        <w:rPr>
          <w:color w:val="auto"/>
          <w:highlight w:val="none"/>
          <w:lang w:eastAsia="zh-CN"/>
        </w:rPr>
      </w:pPr>
      <w:bookmarkStart w:id="34" w:name="_Toc6484"/>
      <w:bookmarkStart w:id="35" w:name="_Toc18022"/>
      <w:r>
        <w:rPr>
          <w:rFonts w:hint="eastAsia"/>
          <w:color w:val="auto"/>
          <w:highlight w:val="none"/>
          <w:lang w:eastAsia="zh-CN"/>
        </w:rPr>
        <w:t>2.1 招标文件的组成</w:t>
      </w:r>
      <w:bookmarkEnd w:id="34"/>
      <w:bookmarkEnd w:id="35"/>
    </w:p>
    <w:p w14:paraId="60BB5D7B">
      <w:pPr>
        <w:pStyle w:val="10"/>
        <w:spacing w:before="120" w:beforeLines="50" w:after="120" w:afterLines="50" w:line="300" w:lineRule="auto"/>
        <w:ind w:left="460" w:right="108"/>
        <w:rPr>
          <w:color w:val="auto"/>
          <w:highlight w:val="none"/>
          <w:lang w:eastAsia="zh-CN"/>
        </w:rPr>
      </w:pPr>
      <w:r>
        <w:rPr>
          <w:rFonts w:hint="eastAsia"/>
          <w:color w:val="auto"/>
          <w:highlight w:val="none"/>
          <w:lang w:eastAsia="zh-CN"/>
        </w:rPr>
        <w:t>本招标文件包括：</w:t>
      </w:r>
    </w:p>
    <w:p w14:paraId="6BE5D42A">
      <w:pPr>
        <w:pStyle w:val="10"/>
        <w:spacing w:before="120" w:beforeLines="50" w:after="120" w:afterLines="50" w:line="300" w:lineRule="auto"/>
        <w:ind w:left="460" w:right="108"/>
        <w:rPr>
          <w:color w:val="auto"/>
          <w:highlight w:val="none"/>
          <w:lang w:eastAsia="zh-CN"/>
        </w:rPr>
      </w:pPr>
      <w:r>
        <w:rPr>
          <w:rFonts w:hint="eastAsia"/>
          <w:color w:val="auto"/>
          <w:highlight w:val="none"/>
          <w:lang w:eastAsia="zh-CN"/>
        </w:rPr>
        <w:t>（1</w:t>
      </w:r>
      <w:r>
        <w:rPr>
          <w:rFonts w:hint="eastAsia"/>
          <w:color w:val="auto"/>
          <w:spacing w:val="-3"/>
          <w:highlight w:val="none"/>
          <w:lang w:eastAsia="zh-CN"/>
        </w:rPr>
        <w:t>）</w:t>
      </w:r>
      <w:r>
        <w:rPr>
          <w:rFonts w:hint="eastAsia"/>
          <w:color w:val="auto"/>
          <w:highlight w:val="none"/>
          <w:lang w:eastAsia="zh-CN"/>
        </w:rPr>
        <w:t>招</w:t>
      </w:r>
      <w:r>
        <w:rPr>
          <w:rFonts w:hint="eastAsia"/>
          <w:color w:val="auto"/>
          <w:spacing w:val="-3"/>
          <w:highlight w:val="none"/>
          <w:lang w:eastAsia="zh-CN"/>
        </w:rPr>
        <w:t>标</w:t>
      </w:r>
      <w:r>
        <w:rPr>
          <w:rFonts w:hint="eastAsia"/>
          <w:color w:val="auto"/>
          <w:highlight w:val="none"/>
          <w:lang w:eastAsia="zh-CN"/>
        </w:rPr>
        <w:t>公</w:t>
      </w:r>
      <w:r>
        <w:rPr>
          <w:rFonts w:hint="eastAsia"/>
          <w:color w:val="auto"/>
          <w:spacing w:val="-3"/>
          <w:highlight w:val="none"/>
          <w:lang w:eastAsia="zh-CN"/>
        </w:rPr>
        <w:t>告</w:t>
      </w:r>
      <w:r>
        <w:rPr>
          <w:rFonts w:hint="eastAsia"/>
          <w:color w:val="auto"/>
          <w:highlight w:val="none"/>
          <w:lang w:eastAsia="zh-CN"/>
        </w:rPr>
        <w:t>（</w:t>
      </w:r>
      <w:r>
        <w:rPr>
          <w:rFonts w:hint="eastAsia"/>
          <w:color w:val="auto"/>
          <w:spacing w:val="-3"/>
          <w:highlight w:val="none"/>
          <w:lang w:eastAsia="zh-CN"/>
        </w:rPr>
        <w:t>或</w:t>
      </w:r>
      <w:r>
        <w:rPr>
          <w:rFonts w:hint="eastAsia"/>
          <w:color w:val="auto"/>
          <w:highlight w:val="none"/>
          <w:lang w:eastAsia="zh-CN"/>
        </w:rPr>
        <w:t>投</w:t>
      </w:r>
      <w:r>
        <w:rPr>
          <w:rFonts w:hint="eastAsia"/>
          <w:color w:val="auto"/>
          <w:spacing w:val="-3"/>
          <w:highlight w:val="none"/>
          <w:lang w:eastAsia="zh-CN"/>
        </w:rPr>
        <w:t>标邀</w:t>
      </w:r>
      <w:r>
        <w:rPr>
          <w:rFonts w:hint="eastAsia"/>
          <w:color w:val="auto"/>
          <w:highlight w:val="none"/>
          <w:lang w:eastAsia="zh-CN"/>
        </w:rPr>
        <w:t>请书</w:t>
      </w:r>
      <w:r>
        <w:rPr>
          <w:rFonts w:hint="eastAsia"/>
          <w:color w:val="auto"/>
          <w:spacing w:val="-108"/>
          <w:highlight w:val="none"/>
          <w:lang w:eastAsia="zh-CN"/>
        </w:rPr>
        <w:t>）</w:t>
      </w:r>
      <w:r>
        <w:rPr>
          <w:rFonts w:hint="eastAsia"/>
          <w:color w:val="auto"/>
          <w:highlight w:val="none"/>
          <w:lang w:eastAsia="zh-CN"/>
        </w:rPr>
        <w:t>；</w:t>
      </w:r>
    </w:p>
    <w:p w14:paraId="4EDDDB15">
      <w:pPr>
        <w:pStyle w:val="10"/>
        <w:spacing w:before="120" w:beforeLines="50" w:after="120" w:afterLines="50" w:line="300" w:lineRule="auto"/>
        <w:ind w:left="460" w:right="108"/>
        <w:rPr>
          <w:color w:val="auto"/>
          <w:highlight w:val="none"/>
          <w:lang w:eastAsia="zh-CN"/>
        </w:rPr>
      </w:pPr>
      <w:r>
        <w:rPr>
          <w:rFonts w:hint="eastAsia"/>
          <w:color w:val="auto"/>
          <w:highlight w:val="none"/>
          <w:lang w:eastAsia="zh-CN"/>
        </w:rPr>
        <w:t>（2）投标人须知；</w:t>
      </w:r>
    </w:p>
    <w:p w14:paraId="0824B772">
      <w:pPr>
        <w:pStyle w:val="10"/>
        <w:spacing w:before="120" w:beforeLines="50" w:after="120" w:afterLines="50" w:line="300" w:lineRule="auto"/>
        <w:ind w:left="460" w:right="108"/>
        <w:rPr>
          <w:color w:val="auto"/>
          <w:highlight w:val="none"/>
          <w:lang w:eastAsia="zh-CN"/>
        </w:rPr>
      </w:pPr>
      <w:r>
        <w:rPr>
          <w:rFonts w:hint="eastAsia"/>
          <w:color w:val="auto"/>
          <w:highlight w:val="none"/>
          <w:lang w:eastAsia="zh-CN"/>
        </w:rPr>
        <w:t>（3）评标办法；</w:t>
      </w:r>
    </w:p>
    <w:p w14:paraId="273D132F">
      <w:pPr>
        <w:pStyle w:val="10"/>
        <w:spacing w:before="120" w:beforeLines="50" w:after="120" w:afterLines="50" w:line="300" w:lineRule="auto"/>
        <w:ind w:left="460" w:right="108"/>
        <w:rPr>
          <w:color w:val="auto"/>
          <w:highlight w:val="none"/>
          <w:lang w:eastAsia="zh-CN"/>
        </w:rPr>
      </w:pPr>
      <w:r>
        <w:rPr>
          <w:rFonts w:hint="eastAsia"/>
          <w:color w:val="auto"/>
          <w:highlight w:val="none"/>
          <w:lang w:eastAsia="zh-CN"/>
        </w:rPr>
        <w:t>（4）合同条款及格式；</w:t>
      </w:r>
    </w:p>
    <w:p w14:paraId="0334CE52">
      <w:pPr>
        <w:pStyle w:val="10"/>
        <w:spacing w:before="120" w:beforeLines="50" w:after="120" w:afterLines="50" w:line="300" w:lineRule="auto"/>
        <w:ind w:left="460" w:right="108"/>
        <w:rPr>
          <w:color w:val="auto"/>
          <w:highlight w:val="none"/>
          <w:lang w:eastAsia="zh-CN"/>
        </w:rPr>
      </w:pPr>
      <w:r>
        <w:rPr>
          <w:rFonts w:hint="eastAsia"/>
          <w:color w:val="auto"/>
          <w:highlight w:val="none"/>
          <w:lang w:eastAsia="zh-CN"/>
        </w:rPr>
        <w:t>（5）委托人要求；</w:t>
      </w:r>
    </w:p>
    <w:p w14:paraId="650C358C">
      <w:pPr>
        <w:pStyle w:val="10"/>
        <w:spacing w:before="120" w:beforeLines="50" w:after="120" w:afterLines="50" w:line="300" w:lineRule="auto"/>
        <w:ind w:left="460" w:right="108"/>
        <w:rPr>
          <w:color w:val="auto"/>
          <w:highlight w:val="none"/>
          <w:lang w:eastAsia="zh-CN"/>
        </w:rPr>
      </w:pPr>
      <w:r>
        <w:rPr>
          <w:rFonts w:hint="eastAsia"/>
          <w:color w:val="auto"/>
          <w:highlight w:val="none"/>
          <w:lang w:eastAsia="zh-CN"/>
        </w:rPr>
        <w:t>（6）投标文件格式；</w:t>
      </w:r>
    </w:p>
    <w:p w14:paraId="6C4F5A32">
      <w:pPr>
        <w:pStyle w:val="10"/>
        <w:spacing w:before="120" w:beforeLines="50" w:after="120" w:afterLines="50" w:line="300" w:lineRule="auto"/>
        <w:ind w:left="460" w:right="108"/>
        <w:rPr>
          <w:color w:val="auto"/>
          <w:highlight w:val="none"/>
          <w:lang w:eastAsia="zh-CN"/>
        </w:rPr>
      </w:pPr>
      <w:r>
        <w:rPr>
          <w:rFonts w:hint="eastAsia"/>
          <w:color w:val="auto"/>
          <w:highlight w:val="none"/>
          <w:lang w:eastAsia="zh-CN"/>
        </w:rPr>
        <w:t>（7）投标人须知前附表规定的其他资料。</w:t>
      </w:r>
    </w:p>
    <w:p w14:paraId="0AD9FB3A">
      <w:pPr>
        <w:pStyle w:val="10"/>
        <w:spacing w:before="120" w:beforeLines="50" w:after="120" w:afterLines="50" w:line="300" w:lineRule="auto"/>
        <w:ind w:left="100" w:right="209" w:firstLine="419"/>
        <w:rPr>
          <w:color w:val="auto"/>
          <w:highlight w:val="none"/>
          <w:lang w:eastAsia="zh-CN"/>
        </w:rPr>
      </w:pPr>
      <w:r>
        <w:rPr>
          <w:rFonts w:hint="eastAsia"/>
          <w:color w:val="auto"/>
          <w:highlight w:val="none"/>
          <w:lang w:eastAsia="zh-CN"/>
        </w:rPr>
        <w:t>根据本章第 1.10 款、第 2.2 款和第</w:t>
      </w:r>
      <w:r>
        <w:rPr>
          <w:rFonts w:hint="eastAsia"/>
          <w:color w:val="auto"/>
          <w:spacing w:val="-83"/>
          <w:highlight w:val="none"/>
          <w:lang w:eastAsia="zh-CN"/>
        </w:rPr>
        <w:t xml:space="preserve"> </w:t>
      </w:r>
      <w:r>
        <w:rPr>
          <w:rFonts w:hint="eastAsia"/>
          <w:color w:val="auto"/>
          <w:highlight w:val="none"/>
          <w:lang w:eastAsia="zh-CN"/>
        </w:rPr>
        <w:t>2.3 款对招标文件所作的澄清、修改，构成招标文件的组成部分。</w:t>
      </w:r>
    </w:p>
    <w:p w14:paraId="17B994FB">
      <w:pPr>
        <w:pStyle w:val="5"/>
        <w:spacing w:before="120" w:beforeLines="50" w:after="120" w:afterLines="50" w:line="300" w:lineRule="auto"/>
        <w:ind w:right="108"/>
        <w:rPr>
          <w:color w:val="auto"/>
          <w:highlight w:val="none"/>
          <w:lang w:eastAsia="zh-CN"/>
        </w:rPr>
      </w:pPr>
      <w:bookmarkStart w:id="36" w:name="_Toc23551"/>
      <w:bookmarkStart w:id="37" w:name="_Toc832"/>
      <w:r>
        <w:rPr>
          <w:rFonts w:hint="eastAsia"/>
          <w:color w:val="auto"/>
          <w:highlight w:val="none"/>
          <w:lang w:eastAsia="zh-CN"/>
        </w:rPr>
        <w:t>2.2 招标文件的澄清</w:t>
      </w:r>
      <w:bookmarkEnd w:id="36"/>
      <w:bookmarkEnd w:id="37"/>
    </w:p>
    <w:p w14:paraId="0AEC716C">
      <w:pPr>
        <w:pStyle w:val="10"/>
        <w:spacing w:before="120" w:beforeLines="50" w:after="120" w:afterLines="50" w:line="300" w:lineRule="auto"/>
        <w:ind w:left="100" w:right="211" w:firstLine="419"/>
        <w:jc w:val="both"/>
        <w:rPr>
          <w:color w:val="auto"/>
          <w:highlight w:val="none"/>
          <w:lang w:eastAsia="zh-CN"/>
        </w:rPr>
      </w:pPr>
      <w:r>
        <w:rPr>
          <w:rFonts w:hint="eastAsia"/>
          <w:color w:val="auto"/>
          <w:highlight w:val="none"/>
          <w:lang w:eastAsia="zh-CN"/>
        </w:rPr>
        <w:t xml:space="preserve">2.2.1 </w:t>
      </w:r>
      <w:r>
        <w:rPr>
          <w:rFonts w:hint="eastAsia"/>
          <w:color w:val="auto"/>
          <w:spacing w:val="-4"/>
          <w:highlight w:val="none"/>
          <w:lang w:eastAsia="zh-CN"/>
        </w:rPr>
        <w:t>投标人应仔细阅读和检查招标文件的全部内容。如发现缺页或附件不全，应及时向招</w:t>
      </w:r>
      <w:r>
        <w:rPr>
          <w:rFonts w:hint="eastAsia"/>
          <w:color w:val="auto"/>
          <w:spacing w:val="-1"/>
          <w:highlight w:val="none"/>
          <w:lang w:eastAsia="zh-CN"/>
        </w:rPr>
        <w:t>标人提出，以便补齐。如有疑问，应按投标人须知前附表规定的时间和形式将提出的问题送达</w:t>
      </w:r>
      <w:r>
        <w:rPr>
          <w:rFonts w:hint="eastAsia"/>
          <w:color w:val="auto"/>
          <w:highlight w:val="none"/>
          <w:lang w:eastAsia="zh-CN"/>
        </w:rPr>
        <w:t>招标人，要求招标人对招标文件予以澄清。</w:t>
      </w:r>
    </w:p>
    <w:p w14:paraId="13CB7903">
      <w:pPr>
        <w:pStyle w:val="10"/>
        <w:spacing w:before="120" w:beforeLines="50" w:after="120" w:afterLines="50" w:line="300" w:lineRule="auto"/>
        <w:ind w:right="108" w:firstLine="518" w:firstLineChars="247"/>
        <w:rPr>
          <w:color w:val="auto"/>
          <w:highlight w:val="none"/>
          <w:lang w:eastAsia="zh-CN"/>
        </w:rPr>
      </w:pPr>
      <w:r>
        <w:rPr>
          <w:rFonts w:hint="eastAsia"/>
          <w:color w:val="auto"/>
          <w:highlight w:val="none"/>
          <w:lang w:eastAsia="zh-CN"/>
        </w:rPr>
        <w:t>2.2.2 招标文件的澄清以投标人须知前附表规定的形式发给所有购买招标文件的投标人，但不指明澄清问题的来源。澄清发出的时间距本章第 4.2.1 项规定的投标截止时间不足</w:t>
      </w:r>
      <w:r>
        <w:rPr>
          <w:rFonts w:hint="eastAsia"/>
          <w:color w:val="auto"/>
          <w:spacing w:val="-75"/>
          <w:highlight w:val="none"/>
          <w:lang w:eastAsia="zh-CN"/>
        </w:rPr>
        <w:t xml:space="preserve"> </w:t>
      </w:r>
      <w:r>
        <w:rPr>
          <w:rFonts w:hint="eastAsia"/>
          <w:color w:val="auto"/>
          <w:highlight w:val="none"/>
          <w:lang w:eastAsia="zh-CN"/>
        </w:rPr>
        <w:t xml:space="preserve">15 </w:t>
      </w:r>
      <w:r>
        <w:rPr>
          <w:rFonts w:hint="eastAsia"/>
          <w:color w:val="auto"/>
          <w:spacing w:val="-3"/>
          <w:highlight w:val="none"/>
          <w:lang w:eastAsia="zh-CN"/>
        </w:rPr>
        <w:t>日的，</w:t>
      </w:r>
      <w:r>
        <w:rPr>
          <w:rFonts w:hint="eastAsia"/>
          <w:color w:val="auto"/>
          <w:highlight w:val="none"/>
          <w:lang w:eastAsia="zh-CN"/>
        </w:rPr>
        <w:t>并且澄清内容可能影响投标文件编制的，将相应延长投标截止时间。</w:t>
      </w:r>
    </w:p>
    <w:p w14:paraId="78274199">
      <w:pPr>
        <w:pStyle w:val="10"/>
        <w:spacing w:before="120" w:beforeLines="50" w:after="120" w:afterLines="50" w:line="300" w:lineRule="auto"/>
        <w:ind w:left="100" w:right="26" w:firstLine="419"/>
        <w:rPr>
          <w:color w:val="auto"/>
          <w:highlight w:val="none"/>
          <w:lang w:eastAsia="zh-CN"/>
        </w:rPr>
      </w:pPr>
      <w:r>
        <w:rPr>
          <w:rFonts w:hint="eastAsia"/>
          <w:color w:val="auto"/>
          <w:highlight w:val="none"/>
          <w:lang w:eastAsia="zh-CN"/>
        </w:rPr>
        <w:t>2.2.3 投标人在收到澄清后，应按投标人须知前附表规定的时间和形式通知招标人，确认已收到该澄清。</w:t>
      </w:r>
    </w:p>
    <w:p w14:paraId="32EAA900">
      <w:pPr>
        <w:pStyle w:val="10"/>
        <w:spacing w:before="120" w:beforeLines="50" w:after="120" w:afterLines="50" w:line="300" w:lineRule="auto"/>
        <w:ind w:left="100" w:right="108" w:firstLine="419"/>
        <w:rPr>
          <w:color w:val="auto"/>
          <w:highlight w:val="none"/>
          <w:lang w:eastAsia="zh-CN"/>
        </w:rPr>
      </w:pPr>
      <w:r>
        <w:rPr>
          <w:rFonts w:hint="eastAsia"/>
          <w:color w:val="auto"/>
          <w:highlight w:val="none"/>
          <w:lang w:eastAsia="zh-CN"/>
        </w:rPr>
        <w:t>2.2.4 除非招标人认为确有必要答复，否则，招标人有权拒绝回复投标人在本章第 2.2.1 项规定的时间后的任何澄清要求。</w:t>
      </w:r>
    </w:p>
    <w:p w14:paraId="6C56B818">
      <w:pPr>
        <w:pStyle w:val="5"/>
        <w:spacing w:before="120" w:beforeLines="50" w:after="120" w:afterLines="50" w:line="300" w:lineRule="auto"/>
        <w:ind w:left="0" w:right="5930"/>
        <w:jc w:val="center"/>
        <w:rPr>
          <w:color w:val="auto"/>
          <w:highlight w:val="none"/>
          <w:lang w:eastAsia="zh-CN"/>
        </w:rPr>
      </w:pPr>
      <w:bookmarkStart w:id="38" w:name="_Toc20929"/>
      <w:bookmarkStart w:id="39" w:name="_Toc17413"/>
      <w:r>
        <w:rPr>
          <w:rFonts w:hint="eastAsia"/>
          <w:color w:val="auto"/>
          <w:highlight w:val="none"/>
          <w:lang w:eastAsia="zh-CN"/>
        </w:rPr>
        <w:t>2.3 招标文件的修改</w:t>
      </w:r>
      <w:bookmarkEnd w:id="38"/>
      <w:bookmarkEnd w:id="39"/>
    </w:p>
    <w:p w14:paraId="70AFA120">
      <w:pPr>
        <w:pStyle w:val="10"/>
        <w:spacing w:before="120" w:beforeLines="50" w:after="120" w:afterLines="50" w:line="300" w:lineRule="auto"/>
        <w:ind w:firstLine="518" w:firstLineChars="247"/>
        <w:rPr>
          <w:color w:val="auto"/>
          <w:highlight w:val="none"/>
          <w:lang w:eastAsia="zh-CN"/>
        </w:rPr>
      </w:pPr>
      <w:r>
        <w:rPr>
          <w:rFonts w:hint="eastAsia"/>
          <w:color w:val="auto"/>
          <w:highlight w:val="none"/>
          <w:lang w:eastAsia="zh-CN"/>
        </w:rPr>
        <w:t>2.3.1  招标人以投标人须知前附表规定的形式修改招标文件，并通知所有已购买招标文件的投标人。修改招标文件的时间距本章第 4.2.1 项规定的投标截止时间不足</w:t>
      </w:r>
      <w:r>
        <w:rPr>
          <w:rFonts w:hint="eastAsia"/>
          <w:color w:val="auto"/>
          <w:spacing w:val="-82"/>
          <w:highlight w:val="none"/>
          <w:lang w:eastAsia="zh-CN"/>
        </w:rPr>
        <w:t xml:space="preserve"> </w:t>
      </w:r>
      <w:r>
        <w:rPr>
          <w:rFonts w:hint="eastAsia"/>
          <w:color w:val="auto"/>
          <w:highlight w:val="none"/>
          <w:lang w:eastAsia="zh-CN"/>
        </w:rPr>
        <w:t>15 日的，并且修改内容可能影响投标文件编制的，将相应延长投标截止时间。</w:t>
      </w:r>
    </w:p>
    <w:p w14:paraId="2E47F3E9">
      <w:pPr>
        <w:pStyle w:val="10"/>
        <w:spacing w:before="120" w:beforeLines="50" w:after="120" w:afterLines="50" w:line="300" w:lineRule="auto"/>
        <w:ind w:right="26" w:firstLine="518" w:firstLineChars="247"/>
        <w:rPr>
          <w:color w:val="auto"/>
          <w:highlight w:val="none"/>
          <w:lang w:eastAsia="zh-CN"/>
        </w:rPr>
      </w:pPr>
      <w:r>
        <w:rPr>
          <w:rFonts w:hint="eastAsia"/>
          <w:color w:val="auto"/>
          <w:highlight w:val="none"/>
          <w:lang w:eastAsia="zh-CN"/>
        </w:rPr>
        <w:t>2.3.2 投标人收到修改内容后，应按投标人须知前附表规定的时间和形式通知招标人，确认已收到该修改。</w:t>
      </w:r>
    </w:p>
    <w:p w14:paraId="1FCADF7D">
      <w:pPr>
        <w:pStyle w:val="5"/>
        <w:spacing w:before="120" w:beforeLines="50" w:after="120" w:afterLines="50" w:line="300" w:lineRule="auto"/>
        <w:ind w:left="0" w:right="5930"/>
        <w:jc w:val="center"/>
        <w:rPr>
          <w:color w:val="auto"/>
          <w:highlight w:val="none"/>
          <w:lang w:eastAsia="zh-CN"/>
        </w:rPr>
      </w:pPr>
      <w:bookmarkStart w:id="40" w:name="_Toc25169"/>
      <w:bookmarkStart w:id="41" w:name="_Toc515"/>
      <w:r>
        <w:rPr>
          <w:rFonts w:hint="eastAsia"/>
          <w:color w:val="auto"/>
          <w:highlight w:val="none"/>
          <w:lang w:eastAsia="zh-CN"/>
        </w:rPr>
        <w:t>2.4 招标文件的异议</w:t>
      </w:r>
      <w:bookmarkEnd w:id="40"/>
      <w:bookmarkEnd w:id="41"/>
    </w:p>
    <w:p w14:paraId="44ECA780">
      <w:pPr>
        <w:pStyle w:val="10"/>
        <w:spacing w:before="120" w:beforeLines="50" w:after="120" w:afterLines="50" w:line="300" w:lineRule="auto"/>
        <w:ind w:left="520" w:right="26"/>
        <w:rPr>
          <w:color w:val="auto"/>
          <w:highlight w:val="none"/>
          <w:lang w:eastAsia="zh-CN"/>
        </w:rPr>
      </w:pPr>
      <w:r>
        <w:rPr>
          <w:rFonts w:hint="eastAsia"/>
          <w:color w:val="auto"/>
          <w:spacing w:val="-4"/>
          <w:highlight w:val="none"/>
          <w:lang w:eastAsia="zh-CN"/>
        </w:rPr>
        <w:t xml:space="preserve">投标人或者其他利害关系人对招标文件有异议的，应当在投标截止时间 </w:t>
      </w:r>
      <w:r>
        <w:rPr>
          <w:rFonts w:hint="eastAsia"/>
          <w:color w:val="auto"/>
          <w:highlight w:val="none"/>
          <w:lang w:eastAsia="zh-CN"/>
        </w:rPr>
        <w:t>10 日前以书面形式</w:t>
      </w:r>
    </w:p>
    <w:p w14:paraId="11D20B68">
      <w:pPr>
        <w:pStyle w:val="10"/>
        <w:spacing w:before="120" w:beforeLines="50" w:after="120" w:afterLines="50" w:line="300" w:lineRule="auto"/>
        <w:ind w:left="100" w:right="113"/>
        <w:rPr>
          <w:color w:val="auto"/>
          <w:highlight w:val="none"/>
          <w:lang w:eastAsia="zh-CN"/>
        </w:rPr>
      </w:pPr>
      <w:r>
        <w:rPr>
          <w:rFonts w:hint="eastAsia"/>
          <w:color w:val="auto"/>
          <w:highlight w:val="none"/>
          <w:lang w:eastAsia="zh-CN"/>
        </w:rPr>
        <w:t>提出。招标人将在收到异议之日起</w:t>
      </w:r>
      <w:r>
        <w:rPr>
          <w:rFonts w:hint="eastAsia"/>
          <w:color w:val="auto"/>
          <w:spacing w:val="-58"/>
          <w:highlight w:val="none"/>
          <w:lang w:eastAsia="zh-CN"/>
        </w:rPr>
        <w:t xml:space="preserve"> </w:t>
      </w:r>
      <w:r>
        <w:rPr>
          <w:rFonts w:hint="eastAsia"/>
          <w:color w:val="auto"/>
          <w:highlight w:val="none"/>
          <w:lang w:eastAsia="zh-CN"/>
        </w:rPr>
        <w:t>3 日内作出答复；作出答复前，将暂停招标投标活动。</w:t>
      </w:r>
    </w:p>
    <w:p w14:paraId="43EEBA4F">
      <w:pPr>
        <w:pStyle w:val="4"/>
        <w:spacing w:before="120" w:beforeLines="50" w:after="120" w:afterLines="50" w:line="300" w:lineRule="auto"/>
        <w:rPr>
          <w:rFonts w:ascii="宋体" w:hAnsi="宋体" w:eastAsia="宋体" w:cs="宋体"/>
          <w:color w:val="auto"/>
          <w:highlight w:val="none"/>
          <w:lang w:eastAsia="zh-CN"/>
        </w:rPr>
      </w:pPr>
      <w:bookmarkStart w:id="42" w:name="_Toc23834"/>
      <w:r>
        <w:rPr>
          <w:rFonts w:hint="eastAsia" w:ascii="宋体" w:hAnsi="宋体" w:eastAsia="宋体" w:cs="宋体"/>
          <w:color w:val="auto"/>
          <w:highlight w:val="none"/>
          <w:lang w:eastAsia="zh-CN"/>
        </w:rPr>
        <w:t>3.  投标文件</w:t>
      </w:r>
      <w:bookmarkEnd w:id="42"/>
    </w:p>
    <w:p w14:paraId="40793DF4">
      <w:pPr>
        <w:pStyle w:val="5"/>
        <w:spacing w:before="120" w:beforeLines="50" w:after="120" w:afterLines="50" w:line="300" w:lineRule="auto"/>
        <w:ind w:left="0" w:right="5930"/>
        <w:jc w:val="center"/>
        <w:rPr>
          <w:color w:val="auto"/>
          <w:highlight w:val="none"/>
          <w:lang w:eastAsia="zh-CN"/>
        </w:rPr>
      </w:pPr>
      <w:bookmarkStart w:id="43" w:name="_Toc500"/>
      <w:bookmarkStart w:id="44" w:name="_Toc2732"/>
      <w:r>
        <w:rPr>
          <w:rFonts w:hint="eastAsia"/>
          <w:color w:val="auto"/>
          <w:highlight w:val="none"/>
          <w:lang w:eastAsia="zh-CN"/>
        </w:rPr>
        <w:t>3.1 投标文件的组成</w:t>
      </w:r>
      <w:bookmarkEnd w:id="43"/>
      <w:bookmarkEnd w:id="44"/>
    </w:p>
    <w:p w14:paraId="10BB97AF">
      <w:pPr>
        <w:pStyle w:val="10"/>
        <w:spacing w:before="120" w:beforeLines="50" w:after="120" w:afterLines="50" w:line="300" w:lineRule="auto"/>
        <w:ind w:left="522" w:right="113"/>
        <w:rPr>
          <w:color w:val="auto"/>
          <w:highlight w:val="none"/>
          <w:lang w:eastAsia="zh-CN"/>
        </w:rPr>
      </w:pPr>
      <w:r>
        <w:rPr>
          <w:rFonts w:hint="eastAsia"/>
          <w:color w:val="auto"/>
          <w:highlight w:val="none"/>
          <w:lang w:eastAsia="zh-CN"/>
        </w:rPr>
        <w:t>3.1.1 投标文件应包括下列内容：</w:t>
      </w:r>
    </w:p>
    <w:p w14:paraId="07426A9B">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（1）投标函及投标函附录；</w:t>
      </w:r>
    </w:p>
    <w:p w14:paraId="5BF8A8D8">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（2）法定代表人身份证明或授权委托书；</w:t>
      </w:r>
    </w:p>
    <w:p w14:paraId="79C74FD1">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（3）联合体协议书；</w:t>
      </w:r>
    </w:p>
    <w:p w14:paraId="7BD94622">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（4）投标保证金；</w:t>
      </w:r>
    </w:p>
    <w:p w14:paraId="4F2B5056">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（5）监理报酬清单；</w:t>
      </w:r>
    </w:p>
    <w:p w14:paraId="5AC2B75C">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（6）资格审查资料；</w:t>
      </w:r>
    </w:p>
    <w:p w14:paraId="612E2389">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（7）监理大纲；</w:t>
      </w:r>
    </w:p>
    <w:p w14:paraId="0D8887AF">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（8）投标人须知前附表规定的其他资料。 投标人在评标过程中作出的符合法律法规和招标文件规定的澄清确认，构成投标文件的组成部分。</w:t>
      </w:r>
    </w:p>
    <w:p w14:paraId="62CD2550">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3.1.2 投标人须知前附表规定不接受联合体投标的，或投标人没有组成联合体的，投标文件不包括本章第</w:t>
      </w:r>
      <w:r>
        <w:rPr>
          <w:rFonts w:hint="eastAsia"/>
          <w:color w:val="auto"/>
          <w:spacing w:val="-55"/>
          <w:highlight w:val="none"/>
          <w:lang w:eastAsia="zh-CN"/>
        </w:rPr>
        <w:t xml:space="preserve"> </w:t>
      </w:r>
      <w:r>
        <w:rPr>
          <w:rFonts w:hint="eastAsia"/>
          <w:color w:val="auto"/>
          <w:highlight w:val="none"/>
          <w:lang w:eastAsia="zh-CN"/>
        </w:rPr>
        <w:t>3.1.1（3）目所指的联合体协议书。</w:t>
      </w:r>
    </w:p>
    <w:p w14:paraId="3A76E2FD">
      <w:pPr>
        <w:pStyle w:val="10"/>
        <w:spacing w:before="120" w:beforeLines="50" w:after="120" w:afterLines="50" w:line="300" w:lineRule="auto"/>
        <w:ind w:left="100" w:right="113" w:firstLine="420" w:firstLineChars="200"/>
        <w:jc w:val="both"/>
        <w:rPr>
          <w:color w:val="auto"/>
          <w:highlight w:val="none"/>
          <w:lang w:eastAsia="zh-CN"/>
        </w:rPr>
      </w:pPr>
      <w:r>
        <w:rPr>
          <w:rFonts w:hint="eastAsia"/>
          <w:color w:val="auto"/>
          <w:highlight w:val="none"/>
          <w:lang w:eastAsia="zh-CN"/>
        </w:rPr>
        <w:t>3.1.3 投标人须知前附表未要求提交投标保证金的，投标文件不包括本章第 3.1.1（4）目所指的投标保证金。</w:t>
      </w:r>
    </w:p>
    <w:p w14:paraId="410A28F9">
      <w:pPr>
        <w:pStyle w:val="5"/>
        <w:spacing w:before="120" w:beforeLines="50" w:after="120" w:afterLines="50" w:line="300" w:lineRule="auto"/>
        <w:rPr>
          <w:color w:val="auto"/>
          <w:highlight w:val="none"/>
          <w:lang w:eastAsia="zh-CN"/>
        </w:rPr>
      </w:pPr>
      <w:bookmarkStart w:id="45" w:name="_Toc32292"/>
      <w:bookmarkStart w:id="46" w:name="_Toc10788"/>
      <w:r>
        <w:rPr>
          <w:rFonts w:hint="eastAsia"/>
          <w:color w:val="auto"/>
          <w:highlight w:val="none"/>
          <w:lang w:eastAsia="zh-CN"/>
        </w:rPr>
        <w:t>3.2 投标报价</w:t>
      </w:r>
      <w:bookmarkEnd w:id="45"/>
      <w:bookmarkEnd w:id="46"/>
    </w:p>
    <w:p w14:paraId="2134375C">
      <w:pPr>
        <w:pStyle w:val="10"/>
        <w:spacing w:before="120" w:beforeLines="50" w:after="120" w:afterLines="50" w:line="300" w:lineRule="auto"/>
        <w:ind w:left="100" w:right="112" w:firstLine="419"/>
        <w:jc w:val="both"/>
        <w:rPr>
          <w:color w:val="auto"/>
          <w:highlight w:val="none"/>
          <w:lang w:eastAsia="zh-CN"/>
        </w:rPr>
      </w:pPr>
      <w:r>
        <w:rPr>
          <w:rFonts w:hint="eastAsia"/>
          <w:color w:val="auto"/>
          <w:highlight w:val="none"/>
          <w:lang w:eastAsia="zh-CN"/>
        </w:rPr>
        <w:t xml:space="preserve">3.2.1 </w:t>
      </w:r>
      <w:r>
        <w:rPr>
          <w:rFonts w:hint="eastAsia"/>
          <w:color w:val="auto"/>
          <w:spacing w:val="-3"/>
          <w:highlight w:val="none"/>
          <w:lang w:eastAsia="zh-CN"/>
        </w:rPr>
        <w:t>投标报价应包括国家规定的增值税税金，除投标人须知前附表另有规定外，增值税税</w:t>
      </w:r>
      <w:r>
        <w:rPr>
          <w:rFonts w:hint="eastAsia"/>
          <w:color w:val="auto"/>
          <w:highlight w:val="none"/>
          <w:lang w:eastAsia="zh-CN"/>
        </w:rPr>
        <w:t>金按一般计税方法计算。投标人应按第六章“投标文件格式”的要求在投标函中进行报价并填写 监理报酬清单。</w:t>
      </w:r>
    </w:p>
    <w:p w14:paraId="313912CE">
      <w:pPr>
        <w:pStyle w:val="10"/>
        <w:spacing w:before="120" w:beforeLines="50" w:after="120" w:afterLines="50" w:line="300" w:lineRule="auto"/>
        <w:ind w:right="113" w:firstLine="518" w:firstLineChars="247"/>
        <w:rPr>
          <w:color w:val="auto"/>
          <w:highlight w:val="none"/>
          <w:lang w:eastAsia="zh-CN"/>
        </w:rPr>
      </w:pPr>
      <w:r>
        <w:rPr>
          <w:rFonts w:hint="eastAsia"/>
          <w:color w:val="auto"/>
          <w:highlight w:val="none"/>
          <w:lang w:eastAsia="zh-CN"/>
        </w:rPr>
        <w:t>3.2.2 投标人应充分了解该项目的总体情况以及影响投标报价的其他要素。</w:t>
      </w:r>
    </w:p>
    <w:p w14:paraId="207CC709">
      <w:pPr>
        <w:pStyle w:val="10"/>
        <w:spacing w:before="120" w:beforeLines="50" w:after="120" w:afterLines="50" w:line="300" w:lineRule="auto"/>
        <w:ind w:right="26" w:firstLine="518" w:firstLineChars="247"/>
        <w:rPr>
          <w:color w:val="auto"/>
          <w:highlight w:val="none"/>
          <w:lang w:eastAsia="zh-CN"/>
        </w:rPr>
      </w:pPr>
      <w:r>
        <w:rPr>
          <w:rFonts w:hint="eastAsia"/>
          <w:color w:val="auto"/>
          <w:highlight w:val="none"/>
          <w:lang w:eastAsia="zh-CN"/>
        </w:rPr>
        <w:t xml:space="preserve">3.2.3 </w:t>
      </w:r>
      <w:r>
        <w:rPr>
          <w:rFonts w:hint="eastAsia"/>
          <w:color w:val="auto"/>
          <w:spacing w:val="-4"/>
          <w:highlight w:val="none"/>
          <w:lang w:eastAsia="zh-CN"/>
        </w:rPr>
        <w:t>本项目的报价方式见投标人须知前附表。投标人在投标截止时间前修改投标函中的投</w:t>
      </w:r>
      <w:r>
        <w:rPr>
          <w:rFonts w:hint="eastAsia"/>
          <w:color w:val="auto"/>
          <w:spacing w:val="-5"/>
          <w:highlight w:val="none"/>
          <w:lang w:eastAsia="zh-CN"/>
        </w:rPr>
        <w:t xml:space="preserve">标报价总额，应同时修改投标文件“监理报酬清单”中的相应报价。此修改须符合本章第 </w:t>
      </w:r>
      <w:r>
        <w:rPr>
          <w:rFonts w:hint="eastAsia"/>
          <w:color w:val="auto"/>
          <w:highlight w:val="none"/>
          <w:lang w:eastAsia="zh-CN"/>
        </w:rPr>
        <w:t>4.3 款的有关要求。</w:t>
      </w:r>
    </w:p>
    <w:p w14:paraId="7A62C7E1">
      <w:pPr>
        <w:pStyle w:val="10"/>
        <w:spacing w:before="120" w:beforeLines="50" w:after="120" w:afterLines="50" w:line="300" w:lineRule="auto"/>
        <w:ind w:right="113" w:firstLine="518" w:firstLineChars="247"/>
        <w:jc w:val="both"/>
        <w:rPr>
          <w:color w:val="auto"/>
          <w:highlight w:val="none"/>
          <w:lang w:eastAsia="zh-CN"/>
        </w:rPr>
      </w:pPr>
      <w:r>
        <w:rPr>
          <w:rFonts w:hint="eastAsia"/>
          <w:color w:val="auto"/>
          <w:highlight w:val="none"/>
          <w:lang w:eastAsia="zh-CN"/>
        </w:rPr>
        <w:t xml:space="preserve">3.2.4 </w:t>
      </w:r>
      <w:r>
        <w:rPr>
          <w:rFonts w:hint="eastAsia"/>
          <w:color w:val="auto"/>
          <w:spacing w:val="-4"/>
          <w:highlight w:val="none"/>
          <w:lang w:eastAsia="zh-CN"/>
        </w:rPr>
        <w:t>招标人设有最高投标限价的，投标人的投标报价不得超过最高投标限价，最高投标限</w:t>
      </w:r>
      <w:r>
        <w:rPr>
          <w:rFonts w:hint="eastAsia"/>
          <w:color w:val="auto"/>
          <w:highlight w:val="none"/>
          <w:lang w:eastAsia="zh-CN"/>
        </w:rPr>
        <w:t>价在投标人须知前附表中载明。</w:t>
      </w:r>
    </w:p>
    <w:p w14:paraId="3135F343">
      <w:pPr>
        <w:pStyle w:val="10"/>
        <w:spacing w:before="120" w:beforeLines="50" w:after="120" w:afterLines="50" w:line="300" w:lineRule="auto"/>
        <w:ind w:right="113" w:firstLine="518" w:firstLineChars="247"/>
        <w:rPr>
          <w:color w:val="auto"/>
          <w:highlight w:val="none"/>
          <w:lang w:eastAsia="zh-CN"/>
        </w:rPr>
      </w:pPr>
      <w:r>
        <w:rPr>
          <w:rFonts w:hint="eastAsia"/>
          <w:color w:val="auto"/>
          <w:highlight w:val="none"/>
          <w:lang w:eastAsia="zh-CN"/>
        </w:rPr>
        <w:t>3.2.5 投标报价的其他要求见投标人须知前附表。</w:t>
      </w:r>
    </w:p>
    <w:p w14:paraId="03907431">
      <w:pPr>
        <w:pStyle w:val="5"/>
        <w:spacing w:before="120" w:beforeLines="50" w:after="120" w:afterLines="50" w:line="300" w:lineRule="auto"/>
        <w:rPr>
          <w:color w:val="auto"/>
          <w:highlight w:val="none"/>
          <w:lang w:eastAsia="zh-CN"/>
        </w:rPr>
      </w:pPr>
      <w:bookmarkStart w:id="47" w:name="_Toc17700"/>
      <w:bookmarkStart w:id="48" w:name="_Toc10817"/>
      <w:r>
        <w:rPr>
          <w:rFonts w:hint="eastAsia"/>
          <w:color w:val="auto"/>
          <w:highlight w:val="none"/>
          <w:lang w:eastAsia="zh-CN"/>
        </w:rPr>
        <w:t>3.3 投标有效期</w:t>
      </w:r>
      <w:bookmarkEnd w:id="47"/>
      <w:bookmarkEnd w:id="48"/>
    </w:p>
    <w:p w14:paraId="1E5527DA">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3.3.1 除投标人须知前附表另有规定外，投标有效期为 90 天。</w:t>
      </w:r>
    </w:p>
    <w:p w14:paraId="01D45F03">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3.3.2 在投标有效期内，投标人撤销投标文件的，应承担招标文件和法律规定的责任。</w:t>
      </w:r>
    </w:p>
    <w:p w14:paraId="2CD5EFD3">
      <w:pPr>
        <w:pStyle w:val="10"/>
        <w:spacing w:before="120" w:beforeLines="50" w:after="120" w:afterLines="50" w:line="300" w:lineRule="auto"/>
        <w:ind w:left="100" w:right="111" w:firstLine="419"/>
        <w:jc w:val="both"/>
        <w:rPr>
          <w:color w:val="auto"/>
          <w:highlight w:val="none"/>
          <w:lang w:eastAsia="zh-CN"/>
        </w:rPr>
      </w:pPr>
      <w:r>
        <w:rPr>
          <w:rFonts w:hint="eastAsia"/>
          <w:color w:val="auto"/>
          <w:highlight w:val="none"/>
          <w:lang w:eastAsia="zh-CN"/>
        </w:rPr>
        <w:t xml:space="preserve">3.3.3 </w:t>
      </w:r>
      <w:r>
        <w:rPr>
          <w:rFonts w:hint="eastAsia"/>
          <w:color w:val="auto"/>
          <w:spacing w:val="-4"/>
          <w:highlight w:val="none"/>
          <w:lang w:eastAsia="zh-CN"/>
        </w:rPr>
        <w:t>出现特殊情况需要延长投标有效期的，招标人以书面形式通知所有投标人延长投标有</w:t>
      </w:r>
      <w:r>
        <w:rPr>
          <w:rFonts w:hint="eastAsia"/>
          <w:color w:val="auto"/>
          <w:spacing w:val="-1"/>
          <w:highlight w:val="none"/>
          <w:lang w:eastAsia="zh-CN"/>
        </w:rPr>
        <w:t>效期。投标人应予以书面答复，同意延长的，应相应延长其投标保证金的有效期，但不得要求或被允许修改其投标文件；投标人拒绝延长的，其投标失效，但投标人有权收回其投标保证金</w:t>
      </w:r>
      <w:r>
        <w:rPr>
          <w:rFonts w:hint="eastAsia"/>
          <w:color w:val="auto"/>
          <w:highlight w:val="none"/>
          <w:lang w:eastAsia="zh-CN"/>
        </w:rPr>
        <w:t>及以现金或者支票形式递交的投标保证金的银行同期存款利息。</w:t>
      </w:r>
    </w:p>
    <w:p w14:paraId="49E0500A">
      <w:pPr>
        <w:pStyle w:val="5"/>
        <w:spacing w:before="120" w:beforeLines="50" w:after="120" w:afterLines="50" w:line="300" w:lineRule="auto"/>
        <w:rPr>
          <w:color w:val="auto"/>
          <w:highlight w:val="none"/>
          <w:lang w:eastAsia="zh-CN"/>
        </w:rPr>
      </w:pPr>
      <w:bookmarkStart w:id="49" w:name="_Toc17298"/>
      <w:bookmarkStart w:id="50" w:name="_Toc2585"/>
      <w:r>
        <w:rPr>
          <w:rFonts w:hint="eastAsia"/>
          <w:color w:val="auto"/>
          <w:highlight w:val="none"/>
          <w:lang w:eastAsia="zh-CN"/>
        </w:rPr>
        <w:t>3.4 投标保证金</w:t>
      </w:r>
      <w:bookmarkEnd w:id="49"/>
      <w:bookmarkEnd w:id="50"/>
    </w:p>
    <w:p w14:paraId="0A3654D9">
      <w:pPr>
        <w:pStyle w:val="10"/>
        <w:spacing w:before="120" w:beforeLines="50" w:after="120" w:afterLines="50" w:line="300" w:lineRule="auto"/>
        <w:ind w:left="100" w:right="113" w:firstLine="419"/>
        <w:jc w:val="both"/>
        <w:rPr>
          <w:color w:val="auto"/>
          <w:highlight w:val="none"/>
          <w:lang w:eastAsia="zh-CN"/>
        </w:rPr>
      </w:pPr>
      <w:r>
        <w:rPr>
          <w:rFonts w:hint="eastAsia"/>
          <w:color w:val="auto"/>
          <w:highlight w:val="none"/>
          <w:lang w:eastAsia="zh-CN"/>
        </w:rPr>
        <w:t>3.4.1  投</w:t>
      </w:r>
      <w:r>
        <w:rPr>
          <w:rFonts w:hint="eastAsia"/>
          <w:color w:val="auto"/>
          <w:spacing w:val="-3"/>
          <w:highlight w:val="none"/>
          <w:lang w:eastAsia="zh-CN"/>
        </w:rPr>
        <w:t>标</w:t>
      </w:r>
      <w:r>
        <w:rPr>
          <w:rFonts w:hint="eastAsia"/>
          <w:color w:val="auto"/>
          <w:highlight w:val="none"/>
          <w:lang w:eastAsia="zh-CN"/>
        </w:rPr>
        <w:t>人</w:t>
      </w:r>
      <w:r>
        <w:rPr>
          <w:rFonts w:hint="eastAsia"/>
          <w:color w:val="auto"/>
          <w:spacing w:val="-3"/>
          <w:highlight w:val="none"/>
          <w:lang w:eastAsia="zh-CN"/>
        </w:rPr>
        <w:t>在</w:t>
      </w:r>
      <w:r>
        <w:rPr>
          <w:rFonts w:hint="eastAsia"/>
          <w:color w:val="auto"/>
          <w:highlight w:val="none"/>
          <w:lang w:eastAsia="zh-CN"/>
        </w:rPr>
        <w:t>递</w:t>
      </w:r>
      <w:r>
        <w:rPr>
          <w:rFonts w:hint="eastAsia"/>
          <w:color w:val="auto"/>
          <w:spacing w:val="-3"/>
          <w:highlight w:val="none"/>
          <w:lang w:eastAsia="zh-CN"/>
        </w:rPr>
        <w:t>交</w:t>
      </w:r>
      <w:r>
        <w:rPr>
          <w:rFonts w:hint="eastAsia"/>
          <w:color w:val="auto"/>
          <w:highlight w:val="none"/>
          <w:lang w:eastAsia="zh-CN"/>
        </w:rPr>
        <w:t>投</w:t>
      </w:r>
      <w:r>
        <w:rPr>
          <w:rFonts w:hint="eastAsia"/>
          <w:color w:val="auto"/>
          <w:spacing w:val="-3"/>
          <w:highlight w:val="none"/>
          <w:lang w:eastAsia="zh-CN"/>
        </w:rPr>
        <w:t>标文</w:t>
      </w:r>
      <w:r>
        <w:rPr>
          <w:rFonts w:hint="eastAsia"/>
          <w:color w:val="auto"/>
          <w:highlight w:val="none"/>
          <w:lang w:eastAsia="zh-CN"/>
        </w:rPr>
        <w:t>件的</w:t>
      </w:r>
      <w:r>
        <w:rPr>
          <w:rFonts w:hint="eastAsia"/>
          <w:color w:val="auto"/>
          <w:spacing w:val="-3"/>
          <w:highlight w:val="none"/>
          <w:lang w:eastAsia="zh-CN"/>
        </w:rPr>
        <w:t>同时</w:t>
      </w:r>
      <w:r>
        <w:rPr>
          <w:rFonts w:hint="eastAsia"/>
          <w:color w:val="auto"/>
          <w:spacing w:val="-85"/>
          <w:highlight w:val="none"/>
          <w:lang w:eastAsia="zh-CN"/>
        </w:rPr>
        <w:t>，</w:t>
      </w:r>
      <w:r>
        <w:rPr>
          <w:rFonts w:hint="eastAsia"/>
          <w:color w:val="auto"/>
          <w:highlight w:val="none"/>
          <w:lang w:eastAsia="zh-CN"/>
        </w:rPr>
        <w:t>应</w:t>
      </w:r>
      <w:r>
        <w:rPr>
          <w:rFonts w:hint="eastAsia"/>
          <w:color w:val="auto"/>
          <w:spacing w:val="-3"/>
          <w:highlight w:val="none"/>
          <w:lang w:eastAsia="zh-CN"/>
        </w:rPr>
        <w:t>按</w:t>
      </w:r>
      <w:r>
        <w:rPr>
          <w:rFonts w:hint="eastAsia"/>
          <w:color w:val="auto"/>
          <w:highlight w:val="none"/>
          <w:lang w:eastAsia="zh-CN"/>
        </w:rPr>
        <w:t>投</w:t>
      </w:r>
      <w:r>
        <w:rPr>
          <w:rFonts w:hint="eastAsia"/>
          <w:color w:val="auto"/>
          <w:spacing w:val="-3"/>
          <w:highlight w:val="none"/>
          <w:lang w:eastAsia="zh-CN"/>
        </w:rPr>
        <w:t>标</w:t>
      </w:r>
      <w:r>
        <w:rPr>
          <w:rFonts w:hint="eastAsia"/>
          <w:color w:val="auto"/>
          <w:highlight w:val="none"/>
          <w:lang w:eastAsia="zh-CN"/>
        </w:rPr>
        <w:t>人</w:t>
      </w:r>
      <w:r>
        <w:rPr>
          <w:rFonts w:hint="eastAsia"/>
          <w:color w:val="auto"/>
          <w:spacing w:val="-3"/>
          <w:highlight w:val="none"/>
          <w:lang w:eastAsia="zh-CN"/>
        </w:rPr>
        <w:t>须知</w:t>
      </w:r>
      <w:r>
        <w:rPr>
          <w:rFonts w:hint="eastAsia"/>
          <w:color w:val="auto"/>
          <w:highlight w:val="none"/>
          <w:lang w:eastAsia="zh-CN"/>
        </w:rPr>
        <w:t>前附</w:t>
      </w:r>
      <w:r>
        <w:rPr>
          <w:rFonts w:hint="eastAsia"/>
          <w:color w:val="auto"/>
          <w:spacing w:val="-3"/>
          <w:highlight w:val="none"/>
          <w:lang w:eastAsia="zh-CN"/>
        </w:rPr>
        <w:t>表</w:t>
      </w:r>
      <w:r>
        <w:rPr>
          <w:rFonts w:hint="eastAsia"/>
          <w:color w:val="auto"/>
          <w:highlight w:val="none"/>
          <w:lang w:eastAsia="zh-CN"/>
        </w:rPr>
        <w:t>规</w:t>
      </w:r>
      <w:r>
        <w:rPr>
          <w:rFonts w:hint="eastAsia"/>
          <w:color w:val="auto"/>
          <w:spacing w:val="-3"/>
          <w:highlight w:val="none"/>
          <w:lang w:eastAsia="zh-CN"/>
        </w:rPr>
        <w:t>定</w:t>
      </w:r>
      <w:r>
        <w:rPr>
          <w:rFonts w:hint="eastAsia"/>
          <w:color w:val="auto"/>
          <w:highlight w:val="none"/>
          <w:lang w:eastAsia="zh-CN"/>
        </w:rPr>
        <w:t>的</w:t>
      </w:r>
      <w:r>
        <w:rPr>
          <w:rFonts w:hint="eastAsia"/>
          <w:color w:val="auto"/>
          <w:spacing w:val="-3"/>
          <w:highlight w:val="none"/>
          <w:lang w:eastAsia="zh-CN"/>
        </w:rPr>
        <w:t>金</w:t>
      </w:r>
      <w:r>
        <w:rPr>
          <w:rFonts w:hint="eastAsia"/>
          <w:color w:val="auto"/>
          <w:highlight w:val="none"/>
          <w:lang w:eastAsia="zh-CN"/>
        </w:rPr>
        <w:t>额</w:t>
      </w:r>
      <w:r>
        <w:rPr>
          <w:rFonts w:hint="eastAsia"/>
          <w:color w:val="auto"/>
          <w:spacing w:val="-87"/>
          <w:highlight w:val="none"/>
          <w:lang w:eastAsia="zh-CN"/>
        </w:rPr>
        <w:t>、</w:t>
      </w:r>
      <w:r>
        <w:rPr>
          <w:rFonts w:hint="eastAsia"/>
          <w:color w:val="auto"/>
          <w:highlight w:val="none"/>
          <w:lang w:eastAsia="zh-CN"/>
        </w:rPr>
        <w:t>形</w:t>
      </w:r>
      <w:r>
        <w:rPr>
          <w:rFonts w:hint="eastAsia"/>
          <w:color w:val="auto"/>
          <w:spacing w:val="-3"/>
          <w:highlight w:val="none"/>
          <w:lang w:eastAsia="zh-CN"/>
        </w:rPr>
        <w:t>式和</w:t>
      </w:r>
      <w:r>
        <w:rPr>
          <w:rFonts w:hint="eastAsia"/>
          <w:color w:val="auto"/>
          <w:highlight w:val="none"/>
          <w:lang w:eastAsia="zh-CN"/>
        </w:rPr>
        <w:t>第六</w:t>
      </w:r>
      <w:r>
        <w:rPr>
          <w:rFonts w:hint="eastAsia"/>
          <w:color w:val="auto"/>
          <w:spacing w:val="-2"/>
          <w:highlight w:val="none"/>
          <w:lang w:eastAsia="zh-CN"/>
        </w:rPr>
        <w:t>章</w:t>
      </w:r>
      <w:r>
        <w:rPr>
          <w:rFonts w:hint="eastAsia"/>
          <w:color w:val="auto"/>
          <w:spacing w:val="-1"/>
          <w:highlight w:val="none"/>
          <w:lang w:eastAsia="zh-CN"/>
        </w:rPr>
        <w:t>“</w:t>
      </w:r>
      <w:r>
        <w:rPr>
          <w:rFonts w:hint="eastAsia"/>
          <w:color w:val="auto"/>
          <w:highlight w:val="none"/>
          <w:lang w:eastAsia="zh-CN"/>
        </w:rPr>
        <w:t>投</w:t>
      </w:r>
      <w:r>
        <w:rPr>
          <w:rFonts w:hint="eastAsia"/>
          <w:color w:val="auto"/>
          <w:spacing w:val="-3"/>
          <w:highlight w:val="none"/>
          <w:lang w:eastAsia="zh-CN"/>
        </w:rPr>
        <w:t>标文件格式”规定的投标保证金格式递交投标保证金，并作为其投标文件的组成部分。境内投标</w:t>
      </w:r>
      <w:r>
        <w:rPr>
          <w:rFonts w:hint="eastAsia"/>
          <w:color w:val="auto"/>
          <w:spacing w:val="-1"/>
          <w:highlight w:val="none"/>
          <w:lang w:eastAsia="zh-CN"/>
        </w:rPr>
        <w:t>人以现金或者支票形式提交的投标保证金，应当从其基本账户转出并在投标文件中附上基本账户开户证明。联合体投标的，其投标保证金可以由牵头人递交，并应符合投标人须知前附表的</w:t>
      </w:r>
      <w:r>
        <w:rPr>
          <w:rFonts w:hint="eastAsia"/>
          <w:color w:val="auto"/>
          <w:highlight w:val="none"/>
          <w:lang w:eastAsia="zh-CN"/>
        </w:rPr>
        <w:t>规定。</w:t>
      </w:r>
    </w:p>
    <w:p w14:paraId="653C5AFC">
      <w:pPr>
        <w:pStyle w:val="10"/>
        <w:spacing w:before="120" w:beforeLines="50" w:after="120" w:afterLines="50" w:line="300" w:lineRule="auto"/>
        <w:ind w:left="100" w:right="113" w:firstLine="419"/>
        <w:jc w:val="both"/>
        <w:rPr>
          <w:color w:val="auto"/>
          <w:highlight w:val="none"/>
          <w:lang w:eastAsia="zh-CN"/>
        </w:rPr>
      </w:pPr>
      <w:r>
        <w:rPr>
          <w:rFonts w:hint="eastAsia"/>
          <w:color w:val="auto"/>
          <w:highlight w:val="none"/>
          <w:lang w:eastAsia="zh-CN"/>
        </w:rPr>
        <w:t>3.4.2 投标人不按本章第 3.4.1 项要求提交投标保证金的，评标委员会将否决其投标。</w:t>
      </w:r>
    </w:p>
    <w:p w14:paraId="549FCB66">
      <w:pPr>
        <w:pStyle w:val="10"/>
        <w:spacing w:before="120" w:beforeLines="50" w:after="120" w:afterLines="50" w:line="300" w:lineRule="auto"/>
        <w:ind w:left="100" w:right="191" w:firstLine="419"/>
        <w:jc w:val="both"/>
        <w:rPr>
          <w:color w:val="auto"/>
          <w:highlight w:val="none"/>
          <w:lang w:eastAsia="zh-CN"/>
        </w:rPr>
      </w:pPr>
      <w:r>
        <w:rPr>
          <w:rFonts w:hint="eastAsia"/>
          <w:color w:val="auto"/>
          <w:highlight w:val="none"/>
          <w:lang w:eastAsia="zh-CN"/>
        </w:rPr>
        <w:t xml:space="preserve">3.4.3 招标人最迟将在与中标人签订合同后 5 </w:t>
      </w:r>
      <w:r>
        <w:rPr>
          <w:rFonts w:hint="eastAsia"/>
          <w:color w:val="auto"/>
          <w:spacing w:val="-6"/>
          <w:highlight w:val="none"/>
          <w:lang w:eastAsia="zh-CN"/>
        </w:rPr>
        <w:t>日内，向未中标的投标人和中标人退还投标保</w:t>
      </w:r>
      <w:r>
        <w:rPr>
          <w:rFonts w:hint="eastAsia"/>
          <w:color w:val="auto"/>
          <w:highlight w:val="none"/>
          <w:lang w:eastAsia="zh-CN"/>
        </w:rPr>
        <w:t>证金。投标保证金以现金或者支票形式递交的，还应退还银行同期存款利息。</w:t>
      </w:r>
    </w:p>
    <w:p w14:paraId="3A47B464">
      <w:pPr>
        <w:pStyle w:val="10"/>
        <w:spacing w:before="120" w:beforeLines="50" w:after="120" w:afterLines="50" w:line="300" w:lineRule="auto"/>
        <w:ind w:left="520" w:right="96"/>
        <w:rPr>
          <w:color w:val="auto"/>
          <w:highlight w:val="none"/>
          <w:lang w:eastAsia="zh-CN"/>
        </w:rPr>
      </w:pPr>
      <w:r>
        <w:rPr>
          <w:rFonts w:hint="eastAsia"/>
          <w:color w:val="auto"/>
          <w:highlight w:val="none"/>
          <w:lang w:eastAsia="zh-CN"/>
        </w:rPr>
        <w:t>3.4.4 有下列情形之一的，投标保证金将不予退还：</w:t>
      </w:r>
    </w:p>
    <w:p w14:paraId="7A6FB153">
      <w:pPr>
        <w:pStyle w:val="10"/>
        <w:spacing w:before="120" w:beforeLines="50" w:after="120" w:afterLines="50" w:line="300" w:lineRule="auto"/>
        <w:ind w:left="414" w:right="96"/>
        <w:rPr>
          <w:color w:val="auto"/>
          <w:highlight w:val="none"/>
          <w:lang w:eastAsia="zh-CN"/>
        </w:rPr>
      </w:pPr>
      <w:r>
        <w:rPr>
          <w:rFonts w:hint="eastAsia"/>
          <w:color w:val="auto"/>
          <w:highlight w:val="none"/>
          <w:lang w:eastAsia="zh-CN"/>
        </w:rPr>
        <w:t>（1）投标人在投标有效期内撤销投标文件；</w:t>
      </w:r>
    </w:p>
    <w:p w14:paraId="10859ACC">
      <w:pPr>
        <w:pStyle w:val="10"/>
        <w:spacing w:before="120" w:beforeLines="50" w:after="120" w:afterLines="50" w:line="300" w:lineRule="auto"/>
        <w:ind w:left="100" w:right="96" w:firstLine="314"/>
        <w:rPr>
          <w:color w:val="auto"/>
          <w:highlight w:val="none"/>
          <w:lang w:eastAsia="zh-CN"/>
        </w:rPr>
      </w:pPr>
      <w:r>
        <w:rPr>
          <w:rFonts w:hint="eastAsia"/>
          <w:color w:val="auto"/>
          <w:highlight w:val="none"/>
          <w:lang w:eastAsia="zh-CN"/>
        </w:rPr>
        <w:t>（2）中标人在收到中标通知书后，无正当理由不与招标人订立合同，在签订合同时向招标 人提出附加条件，或者不按照招标文件要求提交履约保证金；</w:t>
      </w:r>
    </w:p>
    <w:p w14:paraId="0DAE45F4">
      <w:pPr>
        <w:pStyle w:val="10"/>
        <w:spacing w:before="120" w:beforeLines="50" w:after="120" w:afterLines="50" w:line="300" w:lineRule="auto"/>
        <w:ind w:left="414" w:right="96"/>
        <w:rPr>
          <w:color w:val="auto"/>
          <w:highlight w:val="none"/>
          <w:lang w:eastAsia="zh-CN"/>
        </w:rPr>
      </w:pPr>
      <w:r>
        <w:rPr>
          <w:rFonts w:hint="eastAsia"/>
          <w:color w:val="auto"/>
          <w:highlight w:val="none"/>
          <w:lang w:eastAsia="zh-CN"/>
        </w:rPr>
        <w:t>（3）发生投标人须知前附表规定的其他可以不予退还投标保证金的情形。</w:t>
      </w:r>
    </w:p>
    <w:p w14:paraId="0AD4DCC9">
      <w:pPr>
        <w:pStyle w:val="5"/>
        <w:spacing w:before="120" w:beforeLines="50" w:after="120" w:afterLines="50" w:line="300" w:lineRule="auto"/>
        <w:ind w:right="96"/>
        <w:rPr>
          <w:color w:val="auto"/>
          <w:highlight w:val="none"/>
          <w:lang w:eastAsia="zh-CN"/>
        </w:rPr>
      </w:pPr>
      <w:bookmarkStart w:id="51" w:name="_Toc13010"/>
      <w:bookmarkStart w:id="52" w:name="_Toc24468"/>
      <w:r>
        <w:rPr>
          <w:rFonts w:hint="eastAsia"/>
          <w:color w:val="auto"/>
          <w:highlight w:val="none"/>
          <w:lang w:eastAsia="zh-CN"/>
        </w:rPr>
        <w:t>3.5</w:t>
      </w:r>
      <w:r>
        <w:rPr>
          <w:rFonts w:hint="eastAsia"/>
          <w:color w:val="auto"/>
          <w:spacing w:val="68"/>
          <w:highlight w:val="none"/>
          <w:lang w:eastAsia="zh-CN"/>
        </w:rPr>
        <w:t xml:space="preserve"> </w:t>
      </w:r>
      <w:r>
        <w:rPr>
          <w:rFonts w:hint="eastAsia"/>
          <w:color w:val="auto"/>
          <w:highlight w:val="none"/>
          <w:lang w:eastAsia="zh-CN"/>
        </w:rPr>
        <w:t>资格审查资料（适用于已进行资格预审的）</w:t>
      </w:r>
      <w:bookmarkEnd w:id="51"/>
      <w:bookmarkEnd w:id="52"/>
    </w:p>
    <w:p w14:paraId="4B5AB44B">
      <w:pPr>
        <w:pStyle w:val="10"/>
        <w:spacing w:before="120" w:beforeLines="50" w:after="120" w:afterLines="50" w:line="300" w:lineRule="auto"/>
        <w:ind w:left="100" w:right="220" w:firstLine="419"/>
        <w:jc w:val="both"/>
        <w:rPr>
          <w:color w:val="auto"/>
          <w:highlight w:val="none"/>
          <w:lang w:eastAsia="zh-CN"/>
        </w:rPr>
      </w:pPr>
      <w:r>
        <w:rPr>
          <w:rFonts w:hint="eastAsia"/>
          <w:color w:val="auto"/>
          <w:highlight w:val="none"/>
          <w:lang w:eastAsia="zh-CN"/>
        </w:rPr>
        <w:t>投标人在递交投标文件前，发生可能影响其投标资格的新情况的，应更新或补充其在申请 资格预审时提供的资料，以证实其各项资格条件仍能继续满足资格预审文件的要求，且没有实 质性降低。</w:t>
      </w:r>
    </w:p>
    <w:p w14:paraId="039A4CB3">
      <w:pPr>
        <w:pStyle w:val="5"/>
        <w:spacing w:before="120" w:beforeLines="50" w:after="120" w:afterLines="50" w:line="300" w:lineRule="auto"/>
        <w:ind w:right="96"/>
        <w:rPr>
          <w:color w:val="auto"/>
          <w:highlight w:val="none"/>
          <w:lang w:eastAsia="zh-CN"/>
        </w:rPr>
      </w:pPr>
      <w:bookmarkStart w:id="53" w:name="_Toc16781"/>
      <w:bookmarkStart w:id="54" w:name="_Toc29915"/>
      <w:r>
        <w:rPr>
          <w:rFonts w:hint="eastAsia"/>
          <w:color w:val="auto"/>
          <w:highlight w:val="none"/>
          <w:lang w:eastAsia="zh-CN"/>
        </w:rPr>
        <w:t>3.5</w:t>
      </w:r>
      <w:r>
        <w:rPr>
          <w:rFonts w:hint="eastAsia"/>
          <w:color w:val="auto"/>
          <w:spacing w:val="68"/>
          <w:highlight w:val="none"/>
          <w:lang w:eastAsia="zh-CN"/>
        </w:rPr>
        <w:t xml:space="preserve"> </w:t>
      </w:r>
      <w:r>
        <w:rPr>
          <w:rFonts w:hint="eastAsia"/>
          <w:color w:val="auto"/>
          <w:highlight w:val="none"/>
          <w:lang w:eastAsia="zh-CN"/>
        </w:rPr>
        <w:t>资格审查资料（适用于未进行资格预审的）</w:t>
      </w:r>
      <w:bookmarkEnd w:id="53"/>
      <w:bookmarkEnd w:id="54"/>
    </w:p>
    <w:p w14:paraId="7510D3E6">
      <w:pPr>
        <w:pStyle w:val="10"/>
        <w:spacing w:before="120" w:beforeLines="50" w:after="120" w:afterLines="50" w:line="300" w:lineRule="auto"/>
        <w:ind w:left="100" w:right="194" w:firstLine="419"/>
        <w:jc w:val="both"/>
        <w:rPr>
          <w:color w:val="auto"/>
          <w:highlight w:val="none"/>
          <w:lang w:eastAsia="zh-CN"/>
        </w:rPr>
      </w:pPr>
      <w:r>
        <w:rPr>
          <w:rFonts w:hint="eastAsia"/>
          <w:color w:val="auto"/>
          <w:spacing w:val="-1"/>
          <w:highlight w:val="none"/>
          <w:lang w:eastAsia="zh-CN"/>
        </w:rPr>
        <w:t xml:space="preserve">除投标人须知前附表另有规定外，投标人应按下列规定提供资格审查资料，以证明其满足 </w:t>
      </w:r>
      <w:r>
        <w:rPr>
          <w:rFonts w:hint="eastAsia"/>
          <w:color w:val="auto"/>
          <w:highlight w:val="none"/>
          <w:lang w:eastAsia="zh-CN"/>
        </w:rPr>
        <w:t>本章第</w:t>
      </w:r>
      <w:r>
        <w:rPr>
          <w:rFonts w:hint="eastAsia"/>
          <w:color w:val="auto"/>
          <w:spacing w:val="-55"/>
          <w:highlight w:val="none"/>
          <w:lang w:eastAsia="zh-CN"/>
        </w:rPr>
        <w:t xml:space="preserve"> </w:t>
      </w:r>
      <w:r>
        <w:rPr>
          <w:rFonts w:hint="eastAsia"/>
          <w:color w:val="auto"/>
          <w:highlight w:val="none"/>
          <w:lang w:eastAsia="zh-CN"/>
        </w:rPr>
        <w:t>1.4 款规定的资质、财务、业绩、信誉等要求。</w:t>
      </w:r>
    </w:p>
    <w:p w14:paraId="37A08472">
      <w:pPr>
        <w:pStyle w:val="10"/>
        <w:spacing w:before="120" w:beforeLines="50" w:after="120" w:afterLines="50" w:line="300" w:lineRule="auto"/>
        <w:ind w:left="100" w:right="96" w:firstLine="419"/>
        <w:rPr>
          <w:color w:val="auto"/>
          <w:highlight w:val="none"/>
          <w:lang w:eastAsia="zh-CN"/>
        </w:rPr>
      </w:pPr>
      <w:r>
        <w:rPr>
          <w:rFonts w:hint="eastAsia"/>
          <w:color w:val="auto"/>
          <w:highlight w:val="none"/>
          <w:lang w:eastAsia="zh-CN"/>
        </w:rPr>
        <w:t xml:space="preserve">3.5.1 </w:t>
      </w:r>
      <w:r>
        <w:rPr>
          <w:rFonts w:hint="eastAsia"/>
          <w:color w:val="auto"/>
          <w:spacing w:val="-3"/>
          <w:highlight w:val="none"/>
          <w:lang w:eastAsia="zh-CN"/>
        </w:rPr>
        <w:t>“</w:t>
      </w:r>
      <w:r>
        <w:rPr>
          <w:rFonts w:hint="eastAsia"/>
          <w:color w:val="auto"/>
          <w:highlight w:val="none"/>
          <w:lang w:eastAsia="zh-CN"/>
        </w:rPr>
        <w:t>投</w:t>
      </w:r>
      <w:r>
        <w:rPr>
          <w:rFonts w:hint="eastAsia"/>
          <w:color w:val="auto"/>
          <w:spacing w:val="-3"/>
          <w:highlight w:val="none"/>
          <w:lang w:eastAsia="zh-CN"/>
        </w:rPr>
        <w:t>标</w:t>
      </w:r>
      <w:r>
        <w:rPr>
          <w:rFonts w:hint="eastAsia"/>
          <w:color w:val="auto"/>
          <w:highlight w:val="none"/>
          <w:lang w:eastAsia="zh-CN"/>
        </w:rPr>
        <w:t>人</w:t>
      </w:r>
      <w:r>
        <w:rPr>
          <w:rFonts w:hint="eastAsia"/>
          <w:color w:val="auto"/>
          <w:spacing w:val="-3"/>
          <w:highlight w:val="none"/>
          <w:lang w:eastAsia="zh-CN"/>
        </w:rPr>
        <w:t>基</w:t>
      </w:r>
      <w:r>
        <w:rPr>
          <w:rFonts w:hint="eastAsia"/>
          <w:color w:val="auto"/>
          <w:highlight w:val="none"/>
          <w:lang w:eastAsia="zh-CN"/>
        </w:rPr>
        <w:t>本</w:t>
      </w:r>
      <w:r>
        <w:rPr>
          <w:rFonts w:hint="eastAsia"/>
          <w:color w:val="auto"/>
          <w:spacing w:val="-3"/>
          <w:highlight w:val="none"/>
          <w:lang w:eastAsia="zh-CN"/>
        </w:rPr>
        <w:t>情</w:t>
      </w:r>
      <w:r>
        <w:rPr>
          <w:rFonts w:hint="eastAsia"/>
          <w:color w:val="auto"/>
          <w:highlight w:val="none"/>
          <w:lang w:eastAsia="zh-CN"/>
        </w:rPr>
        <w:t>况表</w:t>
      </w:r>
      <w:r>
        <w:rPr>
          <w:rFonts w:hint="eastAsia"/>
          <w:color w:val="auto"/>
          <w:spacing w:val="-3"/>
          <w:highlight w:val="none"/>
          <w:lang w:eastAsia="zh-CN"/>
        </w:rPr>
        <w:t>”</w:t>
      </w:r>
      <w:r>
        <w:rPr>
          <w:rFonts w:hint="eastAsia"/>
          <w:color w:val="auto"/>
          <w:highlight w:val="none"/>
          <w:lang w:eastAsia="zh-CN"/>
        </w:rPr>
        <w:t>应附</w:t>
      </w:r>
      <w:r>
        <w:rPr>
          <w:rFonts w:hint="eastAsia"/>
          <w:color w:val="auto"/>
          <w:spacing w:val="-3"/>
          <w:highlight w:val="none"/>
          <w:lang w:eastAsia="zh-CN"/>
        </w:rPr>
        <w:t>投</w:t>
      </w:r>
      <w:r>
        <w:rPr>
          <w:rFonts w:hint="eastAsia"/>
          <w:color w:val="auto"/>
          <w:highlight w:val="none"/>
          <w:lang w:eastAsia="zh-CN"/>
        </w:rPr>
        <w:t>标</w:t>
      </w:r>
      <w:r>
        <w:rPr>
          <w:rFonts w:hint="eastAsia"/>
          <w:color w:val="auto"/>
          <w:spacing w:val="-3"/>
          <w:highlight w:val="none"/>
          <w:lang w:eastAsia="zh-CN"/>
        </w:rPr>
        <w:t>人</w:t>
      </w:r>
      <w:r>
        <w:rPr>
          <w:rFonts w:hint="eastAsia"/>
          <w:color w:val="auto"/>
          <w:highlight w:val="none"/>
          <w:lang w:eastAsia="zh-CN"/>
        </w:rPr>
        <w:t>营</w:t>
      </w:r>
      <w:r>
        <w:rPr>
          <w:rFonts w:hint="eastAsia"/>
          <w:color w:val="auto"/>
          <w:spacing w:val="-3"/>
          <w:highlight w:val="none"/>
          <w:lang w:eastAsia="zh-CN"/>
        </w:rPr>
        <w:t>业</w:t>
      </w:r>
      <w:r>
        <w:rPr>
          <w:rFonts w:hint="eastAsia"/>
          <w:color w:val="auto"/>
          <w:highlight w:val="none"/>
          <w:lang w:eastAsia="zh-CN"/>
        </w:rPr>
        <w:t>执</w:t>
      </w:r>
      <w:r>
        <w:rPr>
          <w:rFonts w:hint="eastAsia"/>
          <w:color w:val="auto"/>
          <w:spacing w:val="-3"/>
          <w:highlight w:val="none"/>
          <w:lang w:eastAsia="zh-CN"/>
        </w:rPr>
        <w:t>照</w:t>
      </w:r>
      <w:r>
        <w:rPr>
          <w:rFonts w:hint="eastAsia"/>
          <w:color w:val="auto"/>
          <w:highlight w:val="none"/>
          <w:lang w:eastAsia="zh-CN"/>
        </w:rPr>
        <w:t>和</w:t>
      </w:r>
      <w:r>
        <w:rPr>
          <w:rFonts w:hint="eastAsia"/>
          <w:color w:val="auto"/>
          <w:spacing w:val="-3"/>
          <w:highlight w:val="none"/>
          <w:lang w:eastAsia="zh-CN"/>
        </w:rPr>
        <w:t>组</w:t>
      </w:r>
      <w:r>
        <w:rPr>
          <w:rFonts w:hint="eastAsia"/>
          <w:color w:val="auto"/>
          <w:highlight w:val="none"/>
          <w:lang w:eastAsia="zh-CN"/>
        </w:rPr>
        <w:t>织机</w:t>
      </w:r>
      <w:r>
        <w:rPr>
          <w:rFonts w:hint="eastAsia"/>
          <w:color w:val="auto"/>
          <w:spacing w:val="-3"/>
          <w:highlight w:val="none"/>
          <w:lang w:eastAsia="zh-CN"/>
        </w:rPr>
        <w:t>构</w:t>
      </w:r>
      <w:r>
        <w:rPr>
          <w:rFonts w:hint="eastAsia"/>
          <w:color w:val="auto"/>
          <w:highlight w:val="none"/>
          <w:lang w:eastAsia="zh-CN"/>
        </w:rPr>
        <w:t>代</w:t>
      </w:r>
      <w:r>
        <w:rPr>
          <w:rFonts w:hint="eastAsia"/>
          <w:color w:val="auto"/>
          <w:spacing w:val="-3"/>
          <w:highlight w:val="none"/>
          <w:lang w:eastAsia="zh-CN"/>
        </w:rPr>
        <w:t>码</w:t>
      </w:r>
      <w:r>
        <w:rPr>
          <w:rFonts w:hint="eastAsia"/>
          <w:color w:val="auto"/>
          <w:highlight w:val="none"/>
          <w:lang w:eastAsia="zh-CN"/>
        </w:rPr>
        <w:t>证</w:t>
      </w:r>
      <w:r>
        <w:rPr>
          <w:rFonts w:hint="eastAsia"/>
          <w:color w:val="auto"/>
          <w:spacing w:val="-3"/>
          <w:highlight w:val="none"/>
          <w:lang w:eastAsia="zh-CN"/>
        </w:rPr>
        <w:t>的</w:t>
      </w:r>
      <w:r>
        <w:rPr>
          <w:rFonts w:hint="eastAsia"/>
          <w:color w:val="auto"/>
          <w:highlight w:val="none"/>
          <w:lang w:eastAsia="zh-CN"/>
        </w:rPr>
        <w:t>复</w:t>
      </w:r>
      <w:r>
        <w:rPr>
          <w:rFonts w:hint="eastAsia"/>
          <w:color w:val="auto"/>
          <w:spacing w:val="-3"/>
          <w:highlight w:val="none"/>
          <w:lang w:eastAsia="zh-CN"/>
        </w:rPr>
        <w:t>印</w:t>
      </w:r>
      <w:r>
        <w:rPr>
          <w:rFonts w:hint="eastAsia"/>
          <w:color w:val="auto"/>
          <w:spacing w:val="-94"/>
          <w:highlight w:val="none"/>
          <w:lang w:eastAsia="zh-CN"/>
        </w:rPr>
        <w:t>件</w:t>
      </w:r>
      <w:r>
        <w:rPr>
          <w:rFonts w:hint="eastAsia"/>
          <w:color w:val="auto"/>
          <w:highlight w:val="none"/>
          <w:lang w:eastAsia="zh-CN"/>
        </w:rPr>
        <w:t>（</w:t>
      </w:r>
      <w:r>
        <w:rPr>
          <w:rFonts w:hint="eastAsia"/>
          <w:color w:val="auto"/>
          <w:spacing w:val="-3"/>
          <w:highlight w:val="none"/>
          <w:lang w:eastAsia="zh-CN"/>
        </w:rPr>
        <w:t>按</w:t>
      </w:r>
      <w:r>
        <w:rPr>
          <w:rFonts w:hint="eastAsia"/>
          <w:color w:val="auto"/>
          <w:spacing w:val="-1"/>
          <w:highlight w:val="none"/>
          <w:lang w:eastAsia="zh-CN"/>
        </w:rPr>
        <w:t>照</w:t>
      </w:r>
      <w:r>
        <w:rPr>
          <w:rFonts w:hint="eastAsia"/>
          <w:color w:val="auto"/>
          <w:highlight w:val="none"/>
          <w:lang w:eastAsia="zh-CN"/>
        </w:rPr>
        <w:t>“</w:t>
      </w:r>
      <w:r>
        <w:rPr>
          <w:rFonts w:hint="eastAsia"/>
          <w:color w:val="auto"/>
          <w:spacing w:val="-3"/>
          <w:highlight w:val="none"/>
          <w:lang w:eastAsia="zh-CN"/>
        </w:rPr>
        <w:t>三</w:t>
      </w:r>
      <w:r>
        <w:rPr>
          <w:rFonts w:hint="eastAsia"/>
          <w:color w:val="auto"/>
          <w:highlight w:val="none"/>
          <w:lang w:eastAsia="zh-CN"/>
        </w:rPr>
        <w:t>证</w:t>
      </w:r>
      <w:r>
        <w:rPr>
          <w:rFonts w:hint="eastAsia"/>
          <w:color w:val="auto"/>
          <w:spacing w:val="-3"/>
          <w:highlight w:val="none"/>
          <w:lang w:eastAsia="zh-CN"/>
        </w:rPr>
        <w:t>合一</w:t>
      </w:r>
      <w:r>
        <w:rPr>
          <w:rFonts w:hint="eastAsia"/>
          <w:color w:val="auto"/>
          <w:highlight w:val="none"/>
          <w:lang w:eastAsia="zh-CN"/>
        </w:rPr>
        <w:t>”</w:t>
      </w:r>
      <w:r>
        <w:rPr>
          <w:rFonts w:hint="eastAsia"/>
          <w:color w:val="auto"/>
          <w:spacing w:val="-1"/>
          <w:highlight w:val="none"/>
          <w:lang w:eastAsia="zh-CN"/>
        </w:rPr>
        <w:t>或“</w:t>
      </w:r>
      <w:r>
        <w:rPr>
          <w:rFonts w:hint="eastAsia"/>
          <w:color w:val="auto"/>
          <w:spacing w:val="-3"/>
          <w:highlight w:val="none"/>
          <w:lang w:eastAsia="zh-CN"/>
        </w:rPr>
        <w:t>五</w:t>
      </w:r>
      <w:r>
        <w:rPr>
          <w:rFonts w:hint="eastAsia"/>
          <w:color w:val="auto"/>
          <w:highlight w:val="none"/>
          <w:lang w:eastAsia="zh-CN"/>
        </w:rPr>
        <w:t>证</w:t>
      </w:r>
      <w:r>
        <w:rPr>
          <w:rFonts w:hint="eastAsia"/>
          <w:color w:val="auto"/>
          <w:spacing w:val="-3"/>
          <w:highlight w:val="none"/>
          <w:lang w:eastAsia="zh-CN"/>
        </w:rPr>
        <w:t>合</w:t>
      </w:r>
      <w:r>
        <w:rPr>
          <w:rFonts w:hint="eastAsia"/>
          <w:color w:val="auto"/>
          <w:spacing w:val="-1"/>
          <w:highlight w:val="none"/>
          <w:lang w:eastAsia="zh-CN"/>
        </w:rPr>
        <w:t>一”</w:t>
      </w:r>
      <w:r>
        <w:rPr>
          <w:rFonts w:hint="eastAsia"/>
          <w:color w:val="auto"/>
          <w:spacing w:val="-3"/>
          <w:highlight w:val="none"/>
          <w:lang w:eastAsia="zh-CN"/>
        </w:rPr>
        <w:t>登</w:t>
      </w:r>
      <w:r>
        <w:rPr>
          <w:rFonts w:hint="eastAsia"/>
          <w:color w:val="auto"/>
          <w:highlight w:val="none"/>
          <w:lang w:eastAsia="zh-CN"/>
        </w:rPr>
        <w:t>记</w:t>
      </w:r>
      <w:r>
        <w:rPr>
          <w:rFonts w:hint="eastAsia"/>
          <w:color w:val="auto"/>
          <w:spacing w:val="-3"/>
          <w:highlight w:val="none"/>
          <w:lang w:eastAsia="zh-CN"/>
        </w:rPr>
        <w:t>制</w:t>
      </w:r>
      <w:r>
        <w:rPr>
          <w:rFonts w:hint="eastAsia"/>
          <w:color w:val="auto"/>
          <w:highlight w:val="none"/>
          <w:lang w:eastAsia="zh-CN"/>
        </w:rPr>
        <w:t>度</w:t>
      </w:r>
      <w:r>
        <w:rPr>
          <w:rFonts w:hint="eastAsia"/>
          <w:color w:val="auto"/>
          <w:spacing w:val="-3"/>
          <w:highlight w:val="none"/>
          <w:lang w:eastAsia="zh-CN"/>
        </w:rPr>
        <w:t>进</w:t>
      </w:r>
      <w:r>
        <w:rPr>
          <w:rFonts w:hint="eastAsia"/>
          <w:color w:val="auto"/>
          <w:highlight w:val="none"/>
          <w:lang w:eastAsia="zh-CN"/>
        </w:rPr>
        <w:t>行登</w:t>
      </w:r>
      <w:r>
        <w:rPr>
          <w:rFonts w:hint="eastAsia"/>
          <w:color w:val="auto"/>
          <w:spacing w:val="-3"/>
          <w:highlight w:val="none"/>
          <w:lang w:eastAsia="zh-CN"/>
        </w:rPr>
        <w:t>记</w:t>
      </w:r>
      <w:r>
        <w:rPr>
          <w:rFonts w:hint="eastAsia"/>
          <w:color w:val="auto"/>
          <w:highlight w:val="none"/>
          <w:lang w:eastAsia="zh-CN"/>
        </w:rPr>
        <w:t>的</w:t>
      </w:r>
      <w:r>
        <w:rPr>
          <w:rFonts w:hint="eastAsia"/>
          <w:color w:val="auto"/>
          <w:spacing w:val="-29"/>
          <w:highlight w:val="none"/>
          <w:lang w:eastAsia="zh-CN"/>
        </w:rPr>
        <w:t>，</w:t>
      </w:r>
      <w:r>
        <w:rPr>
          <w:rFonts w:hint="eastAsia"/>
          <w:color w:val="auto"/>
          <w:highlight w:val="none"/>
          <w:lang w:eastAsia="zh-CN"/>
        </w:rPr>
        <w:t>可</w:t>
      </w:r>
      <w:r>
        <w:rPr>
          <w:rFonts w:hint="eastAsia"/>
          <w:color w:val="auto"/>
          <w:spacing w:val="-3"/>
          <w:highlight w:val="none"/>
          <w:lang w:eastAsia="zh-CN"/>
        </w:rPr>
        <w:t>仅</w:t>
      </w:r>
      <w:r>
        <w:rPr>
          <w:rFonts w:hint="eastAsia"/>
          <w:color w:val="auto"/>
          <w:highlight w:val="none"/>
          <w:lang w:eastAsia="zh-CN"/>
        </w:rPr>
        <w:t>提</w:t>
      </w:r>
      <w:r>
        <w:rPr>
          <w:rFonts w:hint="eastAsia"/>
          <w:color w:val="auto"/>
          <w:spacing w:val="-3"/>
          <w:highlight w:val="none"/>
          <w:lang w:eastAsia="zh-CN"/>
        </w:rPr>
        <w:t>供</w:t>
      </w:r>
      <w:r>
        <w:rPr>
          <w:rFonts w:hint="eastAsia"/>
          <w:color w:val="auto"/>
          <w:highlight w:val="none"/>
          <w:lang w:eastAsia="zh-CN"/>
        </w:rPr>
        <w:t>营</w:t>
      </w:r>
      <w:r>
        <w:rPr>
          <w:rFonts w:hint="eastAsia"/>
          <w:color w:val="auto"/>
          <w:spacing w:val="-3"/>
          <w:highlight w:val="none"/>
          <w:lang w:eastAsia="zh-CN"/>
        </w:rPr>
        <w:t>业</w:t>
      </w:r>
      <w:r>
        <w:rPr>
          <w:rFonts w:hint="eastAsia"/>
          <w:color w:val="auto"/>
          <w:highlight w:val="none"/>
          <w:lang w:eastAsia="zh-CN"/>
        </w:rPr>
        <w:t>执照</w:t>
      </w:r>
      <w:r>
        <w:rPr>
          <w:rFonts w:hint="eastAsia"/>
          <w:color w:val="auto"/>
          <w:spacing w:val="-3"/>
          <w:highlight w:val="none"/>
          <w:lang w:eastAsia="zh-CN"/>
        </w:rPr>
        <w:t>复</w:t>
      </w:r>
      <w:r>
        <w:rPr>
          <w:rFonts w:hint="eastAsia"/>
          <w:color w:val="auto"/>
          <w:highlight w:val="none"/>
          <w:lang w:eastAsia="zh-CN"/>
        </w:rPr>
        <w:t>印</w:t>
      </w:r>
      <w:r>
        <w:rPr>
          <w:rFonts w:hint="eastAsia"/>
          <w:color w:val="auto"/>
          <w:spacing w:val="-3"/>
          <w:highlight w:val="none"/>
          <w:lang w:eastAsia="zh-CN"/>
        </w:rPr>
        <w:t>件</w:t>
      </w:r>
      <w:r>
        <w:rPr>
          <w:rFonts w:hint="eastAsia"/>
          <w:color w:val="auto"/>
          <w:spacing w:val="-106"/>
          <w:highlight w:val="none"/>
          <w:lang w:eastAsia="zh-CN"/>
        </w:rPr>
        <w:t>）</w:t>
      </w:r>
      <w:r>
        <w:rPr>
          <w:rFonts w:hint="eastAsia"/>
          <w:color w:val="auto"/>
          <w:spacing w:val="-27"/>
          <w:highlight w:val="none"/>
          <w:lang w:eastAsia="zh-CN"/>
        </w:rPr>
        <w:t>、</w:t>
      </w:r>
      <w:r>
        <w:rPr>
          <w:rFonts w:hint="eastAsia"/>
          <w:color w:val="auto"/>
          <w:spacing w:val="-3"/>
          <w:highlight w:val="none"/>
          <w:lang w:eastAsia="zh-CN"/>
        </w:rPr>
        <w:t>投</w:t>
      </w:r>
      <w:r>
        <w:rPr>
          <w:rFonts w:hint="eastAsia"/>
          <w:color w:val="auto"/>
          <w:highlight w:val="none"/>
          <w:lang w:eastAsia="zh-CN"/>
        </w:rPr>
        <w:t>标</w:t>
      </w:r>
      <w:r>
        <w:rPr>
          <w:rFonts w:hint="eastAsia"/>
          <w:color w:val="auto"/>
          <w:spacing w:val="-3"/>
          <w:highlight w:val="none"/>
          <w:lang w:eastAsia="zh-CN"/>
        </w:rPr>
        <w:t>人</w:t>
      </w:r>
      <w:r>
        <w:rPr>
          <w:rFonts w:hint="eastAsia"/>
          <w:color w:val="auto"/>
          <w:highlight w:val="none"/>
          <w:lang w:eastAsia="zh-CN"/>
        </w:rPr>
        <w:t>监</w:t>
      </w:r>
      <w:r>
        <w:rPr>
          <w:rFonts w:hint="eastAsia"/>
          <w:color w:val="auto"/>
          <w:spacing w:val="-3"/>
          <w:highlight w:val="none"/>
          <w:lang w:eastAsia="zh-CN"/>
        </w:rPr>
        <w:t>理</w:t>
      </w:r>
      <w:r>
        <w:rPr>
          <w:rFonts w:hint="eastAsia"/>
          <w:color w:val="auto"/>
          <w:highlight w:val="none"/>
          <w:lang w:eastAsia="zh-CN"/>
        </w:rPr>
        <w:t>资质</w:t>
      </w:r>
      <w:r>
        <w:rPr>
          <w:rFonts w:hint="eastAsia"/>
          <w:color w:val="auto"/>
          <w:spacing w:val="-3"/>
          <w:highlight w:val="none"/>
          <w:lang w:eastAsia="zh-CN"/>
        </w:rPr>
        <w:t>证</w:t>
      </w:r>
      <w:r>
        <w:rPr>
          <w:rFonts w:hint="eastAsia"/>
          <w:color w:val="auto"/>
          <w:highlight w:val="none"/>
          <w:lang w:eastAsia="zh-CN"/>
        </w:rPr>
        <w:t>书</w:t>
      </w:r>
      <w:r>
        <w:rPr>
          <w:rFonts w:hint="eastAsia"/>
          <w:color w:val="auto"/>
          <w:spacing w:val="-3"/>
          <w:highlight w:val="none"/>
          <w:lang w:eastAsia="zh-CN"/>
        </w:rPr>
        <w:t>副</w:t>
      </w:r>
      <w:r>
        <w:rPr>
          <w:rFonts w:hint="eastAsia"/>
          <w:color w:val="auto"/>
          <w:highlight w:val="none"/>
          <w:lang w:eastAsia="zh-CN"/>
        </w:rPr>
        <w:t>本</w:t>
      </w:r>
      <w:r>
        <w:rPr>
          <w:rFonts w:hint="eastAsia"/>
          <w:color w:val="auto"/>
          <w:spacing w:val="-3"/>
          <w:highlight w:val="none"/>
          <w:lang w:eastAsia="zh-CN"/>
        </w:rPr>
        <w:t>等</w:t>
      </w:r>
      <w:r>
        <w:rPr>
          <w:rFonts w:hint="eastAsia"/>
          <w:color w:val="auto"/>
          <w:highlight w:val="none"/>
          <w:lang w:eastAsia="zh-CN"/>
        </w:rPr>
        <w:t>材料的复印件。</w:t>
      </w:r>
    </w:p>
    <w:p w14:paraId="16F3876D">
      <w:pPr>
        <w:pStyle w:val="10"/>
        <w:spacing w:before="120" w:beforeLines="50" w:after="120" w:afterLines="50" w:line="300" w:lineRule="auto"/>
        <w:ind w:left="100" w:right="191" w:firstLine="419"/>
        <w:jc w:val="both"/>
        <w:rPr>
          <w:color w:val="auto"/>
          <w:highlight w:val="none"/>
          <w:lang w:eastAsia="zh-CN"/>
        </w:rPr>
      </w:pPr>
      <w:r>
        <w:rPr>
          <w:rFonts w:hint="eastAsia"/>
          <w:color w:val="auto"/>
          <w:highlight w:val="none"/>
          <w:lang w:eastAsia="zh-CN"/>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75E6CCDE">
      <w:pPr>
        <w:pStyle w:val="10"/>
        <w:spacing w:before="120" w:beforeLines="50" w:after="120" w:afterLines="50" w:line="300" w:lineRule="auto"/>
        <w:ind w:left="100" w:right="197" w:firstLine="419"/>
        <w:jc w:val="both"/>
        <w:rPr>
          <w:color w:val="auto"/>
          <w:highlight w:val="none"/>
          <w:lang w:eastAsia="zh-CN"/>
        </w:rPr>
      </w:pPr>
      <w:r>
        <w:rPr>
          <w:rFonts w:hint="eastAsia"/>
          <w:color w:val="auto"/>
          <w:highlight w:val="none"/>
          <w:lang w:eastAsia="zh-CN"/>
        </w:rPr>
        <w:t>3.5.3 “近年完成的类似监理项目情况表”应附中标通知书或合同协议书、委托人出具的证明文件；具体时间要求见投标人须知前附表，每张表格只填写一个项目，并标明序号。</w:t>
      </w:r>
    </w:p>
    <w:p w14:paraId="4ACCDE1F">
      <w:pPr>
        <w:pStyle w:val="10"/>
        <w:spacing w:before="120" w:beforeLines="50" w:after="120" w:afterLines="50" w:line="300" w:lineRule="auto"/>
        <w:ind w:left="100" w:right="193" w:firstLine="419"/>
        <w:jc w:val="both"/>
        <w:rPr>
          <w:color w:val="auto"/>
          <w:highlight w:val="none"/>
          <w:lang w:eastAsia="zh-CN"/>
        </w:rPr>
      </w:pPr>
      <w:r>
        <w:rPr>
          <w:rFonts w:hint="eastAsia"/>
          <w:color w:val="auto"/>
          <w:highlight w:val="none"/>
          <w:lang w:eastAsia="zh-CN"/>
        </w:rPr>
        <w:t>3.5.4 “正在监理和新承接的项目情况表”应附中标通知书或合同协议书复印件。每张表格只填写一个项目，并标明序号。</w:t>
      </w:r>
    </w:p>
    <w:p w14:paraId="1BE527C7">
      <w:pPr>
        <w:pStyle w:val="10"/>
        <w:spacing w:before="120" w:beforeLines="50" w:after="120" w:afterLines="50" w:line="300" w:lineRule="auto"/>
        <w:ind w:left="100" w:right="193" w:firstLine="419"/>
        <w:jc w:val="both"/>
        <w:rPr>
          <w:color w:val="auto"/>
          <w:highlight w:val="none"/>
          <w:lang w:eastAsia="zh-CN"/>
        </w:rPr>
      </w:pPr>
      <w:r>
        <w:rPr>
          <w:rFonts w:hint="eastAsia"/>
          <w:color w:val="auto"/>
          <w:highlight w:val="none"/>
          <w:lang w:eastAsia="zh-CN"/>
        </w:rPr>
        <w:t>3.5.5 “近年发生的诉讼及仲裁情况”应说明投标人败诉的监理合同的相关情况，并附法院或仲裁机构作出的判决、裁决等有关法律文书复印件，具体时间要求见投标人须知前附表。</w:t>
      </w:r>
    </w:p>
    <w:p w14:paraId="5E5CDCDD">
      <w:pPr>
        <w:pStyle w:val="10"/>
        <w:spacing w:before="120" w:beforeLines="50" w:after="120" w:afterLines="50" w:line="300" w:lineRule="auto"/>
        <w:ind w:left="100" w:right="108" w:firstLine="420" w:firstLineChars="200"/>
        <w:rPr>
          <w:color w:val="auto"/>
          <w:highlight w:val="none"/>
          <w:lang w:eastAsia="zh-CN"/>
        </w:rPr>
      </w:pPr>
      <w:r>
        <w:rPr>
          <w:rFonts w:hint="eastAsia"/>
          <w:color w:val="auto"/>
          <w:highlight w:val="none"/>
          <w:lang w:eastAsia="zh-CN"/>
        </w:rPr>
        <w:t>3.5.6 “拟委任的主要人员汇总表”应填报满足本章第 1.4.1 项规定的总监理工程师和其他主 要人员的相关信息。“主要人员简历表”中总监理工程师应附身份证、学历证、职称证、注册监理工程师执业证书和社保缴费证明复印件，管理过的项目业绩须附合同协议书复印件；其他主要人员应附身份证、学历证、职称证、有关证书和社保缴费证明复印件。</w:t>
      </w:r>
    </w:p>
    <w:p w14:paraId="280FCCE4">
      <w:pPr>
        <w:pStyle w:val="10"/>
        <w:spacing w:before="120" w:beforeLines="50" w:after="120" w:afterLines="50" w:line="300" w:lineRule="auto"/>
        <w:ind w:left="100" w:right="213" w:firstLine="419"/>
        <w:jc w:val="both"/>
        <w:rPr>
          <w:color w:val="auto"/>
          <w:highlight w:val="none"/>
          <w:lang w:eastAsia="zh-CN"/>
        </w:rPr>
      </w:pPr>
      <w:r>
        <w:rPr>
          <w:rFonts w:hint="eastAsia"/>
          <w:color w:val="auto"/>
          <w:highlight w:val="none"/>
          <w:lang w:eastAsia="zh-CN"/>
        </w:rPr>
        <w:t>3.5.7 “拟投入本项目的主要试验检测仪器设备表”应填报满足本章第 1.4.1 项规定的试验检 测仪器设备。</w:t>
      </w:r>
    </w:p>
    <w:p w14:paraId="3829E046">
      <w:pPr>
        <w:pStyle w:val="10"/>
        <w:spacing w:before="120" w:beforeLines="50" w:after="120" w:afterLines="50" w:line="300" w:lineRule="auto"/>
        <w:ind w:left="100" w:right="211" w:firstLine="419"/>
        <w:jc w:val="both"/>
        <w:rPr>
          <w:color w:val="auto"/>
          <w:highlight w:val="none"/>
          <w:lang w:eastAsia="zh-CN"/>
        </w:rPr>
      </w:pPr>
      <w:r>
        <w:rPr>
          <w:rFonts w:hint="eastAsia"/>
          <w:color w:val="auto"/>
          <w:highlight w:val="none"/>
          <w:lang w:eastAsia="zh-CN"/>
        </w:rPr>
        <w:t xml:space="preserve">3.5.8 </w:t>
      </w:r>
      <w:r>
        <w:rPr>
          <w:rFonts w:hint="eastAsia"/>
          <w:color w:val="auto"/>
          <w:spacing w:val="-5"/>
          <w:highlight w:val="none"/>
          <w:lang w:eastAsia="zh-CN"/>
        </w:rPr>
        <w:t xml:space="preserve">投标人须知前附表规定接受联合体投标的，本章第 </w:t>
      </w:r>
      <w:r>
        <w:rPr>
          <w:rFonts w:hint="eastAsia"/>
          <w:color w:val="auto"/>
          <w:highlight w:val="none"/>
          <w:lang w:eastAsia="zh-CN"/>
        </w:rPr>
        <w:t>3.5.1 项至第</w:t>
      </w:r>
      <w:r>
        <w:rPr>
          <w:rFonts w:hint="eastAsia"/>
          <w:color w:val="auto"/>
          <w:spacing w:val="-72"/>
          <w:highlight w:val="none"/>
          <w:lang w:eastAsia="zh-CN"/>
        </w:rPr>
        <w:t xml:space="preserve"> </w:t>
      </w:r>
      <w:r>
        <w:rPr>
          <w:rFonts w:hint="eastAsia"/>
          <w:color w:val="auto"/>
          <w:highlight w:val="none"/>
          <w:lang w:eastAsia="zh-CN"/>
        </w:rPr>
        <w:t>3.5.7 项规定的表格和资料应包括联合体各方相关情况。</w:t>
      </w:r>
    </w:p>
    <w:p w14:paraId="4DDFC598">
      <w:pPr>
        <w:pStyle w:val="5"/>
        <w:spacing w:before="120" w:beforeLines="50" w:after="120" w:afterLines="50" w:line="300" w:lineRule="auto"/>
        <w:ind w:right="108"/>
        <w:rPr>
          <w:color w:val="auto"/>
          <w:highlight w:val="none"/>
          <w:lang w:eastAsia="zh-CN"/>
        </w:rPr>
      </w:pPr>
      <w:bookmarkStart w:id="55" w:name="_Toc27543"/>
      <w:bookmarkStart w:id="56" w:name="_Toc21905"/>
      <w:r>
        <w:rPr>
          <w:rFonts w:hint="eastAsia"/>
          <w:color w:val="auto"/>
          <w:highlight w:val="none"/>
          <w:lang w:eastAsia="zh-CN"/>
        </w:rPr>
        <w:t>3.6</w:t>
      </w:r>
      <w:r>
        <w:rPr>
          <w:rFonts w:hint="eastAsia"/>
          <w:color w:val="auto"/>
          <w:spacing w:val="69"/>
          <w:highlight w:val="none"/>
          <w:lang w:eastAsia="zh-CN"/>
        </w:rPr>
        <w:t xml:space="preserve"> </w:t>
      </w:r>
      <w:r>
        <w:rPr>
          <w:rFonts w:hint="eastAsia"/>
          <w:color w:val="auto"/>
          <w:highlight w:val="none"/>
          <w:lang w:eastAsia="zh-CN"/>
        </w:rPr>
        <w:t>备选投标方案</w:t>
      </w:r>
      <w:bookmarkEnd w:id="55"/>
      <w:bookmarkEnd w:id="56"/>
    </w:p>
    <w:p w14:paraId="43275FFB">
      <w:pPr>
        <w:pStyle w:val="10"/>
        <w:spacing w:before="120" w:beforeLines="50" w:after="120" w:afterLines="50" w:line="300" w:lineRule="auto"/>
        <w:ind w:left="100" w:right="213" w:firstLine="419"/>
        <w:jc w:val="both"/>
        <w:rPr>
          <w:color w:val="auto"/>
          <w:highlight w:val="none"/>
          <w:lang w:eastAsia="zh-CN"/>
        </w:rPr>
      </w:pPr>
      <w:r>
        <w:rPr>
          <w:rFonts w:hint="eastAsia"/>
          <w:color w:val="auto"/>
          <w:highlight w:val="none"/>
          <w:lang w:eastAsia="zh-CN"/>
        </w:rPr>
        <w:t xml:space="preserve">3.6.1 </w:t>
      </w:r>
      <w:r>
        <w:rPr>
          <w:rFonts w:hint="eastAsia"/>
          <w:color w:val="auto"/>
          <w:spacing w:val="-4"/>
          <w:highlight w:val="none"/>
          <w:lang w:eastAsia="zh-CN"/>
        </w:rPr>
        <w:t>除投标人须知前附表规定允许外，投标人不得递交备选投标方案，否则其投标将被否</w:t>
      </w:r>
      <w:r>
        <w:rPr>
          <w:rFonts w:hint="eastAsia"/>
          <w:color w:val="auto"/>
          <w:highlight w:val="none"/>
          <w:lang w:eastAsia="zh-CN"/>
        </w:rPr>
        <w:t>决。</w:t>
      </w:r>
    </w:p>
    <w:p w14:paraId="58BB0B28">
      <w:pPr>
        <w:pStyle w:val="10"/>
        <w:spacing w:before="120" w:beforeLines="50" w:after="120" w:afterLines="50" w:line="300" w:lineRule="auto"/>
        <w:ind w:left="100" w:right="108" w:firstLine="419"/>
        <w:rPr>
          <w:color w:val="auto"/>
          <w:highlight w:val="none"/>
          <w:lang w:eastAsia="zh-CN"/>
        </w:rPr>
      </w:pPr>
      <w:r>
        <w:rPr>
          <w:rFonts w:hint="eastAsia"/>
          <w:color w:val="auto"/>
          <w:highlight w:val="none"/>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2095ED42">
      <w:pPr>
        <w:pStyle w:val="10"/>
        <w:spacing w:before="120" w:beforeLines="50" w:after="120" w:afterLines="50" w:line="300" w:lineRule="auto"/>
        <w:ind w:left="100" w:right="213" w:firstLine="419"/>
        <w:jc w:val="both"/>
        <w:rPr>
          <w:color w:val="auto"/>
          <w:highlight w:val="none"/>
          <w:lang w:eastAsia="zh-CN"/>
        </w:rPr>
      </w:pPr>
      <w:r>
        <w:rPr>
          <w:rFonts w:hint="eastAsia"/>
          <w:color w:val="auto"/>
          <w:highlight w:val="none"/>
          <w:lang w:eastAsia="zh-CN"/>
        </w:rPr>
        <w:t xml:space="preserve">3.6.3 </w:t>
      </w:r>
      <w:r>
        <w:rPr>
          <w:rFonts w:hint="eastAsia"/>
          <w:color w:val="auto"/>
          <w:spacing w:val="-4"/>
          <w:highlight w:val="none"/>
          <w:lang w:eastAsia="zh-CN"/>
        </w:rPr>
        <w:t>投标人提供两个或两个以上投标报价，或者在投标文件中提供一个报价，但同时提供</w:t>
      </w:r>
      <w:r>
        <w:rPr>
          <w:rFonts w:hint="eastAsia"/>
          <w:color w:val="auto"/>
          <w:highlight w:val="none"/>
          <w:lang w:eastAsia="zh-CN"/>
        </w:rPr>
        <w:t>两个或两个以上监理方案的，视为提供备选方案。</w:t>
      </w:r>
    </w:p>
    <w:p w14:paraId="5494AE23">
      <w:pPr>
        <w:pStyle w:val="5"/>
        <w:spacing w:before="120" w:beforeLines="50" w:after="120" w:afterLines="50" w:line="300" w:lineRule="auto"/>
        <w:ind w:right="108"/>
        <w:rPr>
          <w:color w:val="auto"/>
          <w:highlight w:val="none"/>
          <w:lang w:eastAsia="zh-CN"/>
        </w:rPr>
      </w:pPr>
      <w:bookmarkStart w:id="57" w:name="_Toc22523"/>
      <w:bookmarkStart w:id="58" w:name="_Toc31870"/>
      <w:r>
        <w:rPr>
          <w:rFonts w:hint="eastAsia"/>
          <w:color w:val="auto"/>
          <w:highlight w:val="none"/>
          <w:lang w:eastAsia="zh-CN"/>
        </w:rPr>
        <w:t>3.7 投标文件的编制</w:t>
      </w:r>
      <w:bookmarkEnd w:id="57"/>
      <w:bookmarkEnd w:id="58"/>
    </w:p>
    <w:p w14:paraId="56FEB75D">
      <w:pPr>
        <w:pStyle w:val="10"/>
        <w:spacing w:before="120" w:beforeLines="50" w:after="120" w:afterLines="50" w:line="300" w:lineRule="auto"/>
        <w:ind w:left="100" w:right="214" w:firstLine="419"/>
        <w:jc w:val="both"/>
        <w:rPr>
          <w:color w:val="auto"/>
          <w:highlight w:val="none"/>
          <w:lang w:eastAsia="zh-CN"/>
        </w:rPr>
      </w:pPr>
      <w:r>
        <w:rPr>
          <w:rFonts w:hint="eastAsia"/>
          <w:color w:val="auto"/>
          <w:highlight w:val="none"/>
          <w:lang w:eastAsia="zh-CN"/>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BAB1AAA">
      <w:pPr>
        <w:pStyle w:val="10"/>
        <w:spacing w:before="120" w:beforeLines="50" w:after="120" w:afterLines="50" w:line="300" w:lineRule="auto"/>
        <w:ind w:left="100" w:right="214" w:firstLine="419"/>
        <w:jc w:val="both"/>
        <w:rPr>
          <w:color w:val="auto"/>
          <w:highlight w:val="none"/>
          <w:lang w:eastAsia="zh-CN"/>
        </w:rPr>
      </w:pPr>
      <w:r>
        <w:rPr>
          <w:rFonts w:hint="eastAsia"/>
          <w:color w:val="auto"/>
          <w:highlight w:val="none"/>
          <w:lang w:eastAsia="zh-CN"/>
        </w:rPr>
        <w:t xml:space="preserve">3.7.2 </w:t>
      </w:r>
      <w:r>
        <w:rPr>
          <w:rFonts w:hint="eastAsia"/>
          <w:color w:val="auto"/>
          <w:spacing w:val="-4"/>
          <w:highlight w:val="none"/>
          <w:lang w:eastAsia="zh-CN"/>
        </w:rPr>
        <w:t>投标文件应当对招标文件有关监理服务期限、投标有效期、委托人要求、招标范围等</w:t>
      </w:r>
      <w:r>
        <w:rPr>
          <w:rFonts w:hint="eastAsia"/>
          <w:color w:val="auto"/>
          <w:highlight w:val="none"/>
          <w:lang w:eastAsia="zh-CN"/>
        </w:rPr>
        <w:t>实质性内容作出响应。</w:t>
      </w:r>
    </w:p>
    <w:p w14:paraId="380CFEA1">
      <w:pPr>
        <w:pStyle w:val="10"/>
        <w:spacing w:before="120" w:beforeLines="50" w:after="120" w:afterLines="50" w:line="300" w:lineRule="auto"/>
        <w:ind w:left="100" w:right="213" w:firstLine="419"/>
        <w:jc w:val="both"/>
        <w:rPr>
          <w:color w:val="auto"/>
          <w:highlight w:val="none"/>
          <w:lang w:eastAsia="zh-CN"/>
        </w:rPr>
      </w:pPr>
      <w:r>
        <w:rPr>
          <w:rFonts w:hint="eastAsia"/>
          <w:color w:val="auto"/>
          <w:highlight w:val="none"/>
          <w:lang w:eastAsia="zh-CN"/>
        </w:rPr>
        <w:t>3.7.3</w:t>
      </w:r>
      <w:r>
        <w:rPr>
          <w:color w:val="auto"/>
          <w:highlight w:val="none"/>
          <w:lang w:eastAsia="zh-CN"/>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683A3345">
      <w:pPr>
        <w:pStyle w:val="4"/>
        <w:spacing w:before="120" w:beforeLines="50" w:after="120" w:afterLines="50" w:line="300" w:lineRule="auto"/>
        <w:rPr>
          <w:rFonts w:ascii="宋体" w:hAnsi="宋体" w:eastAsia="宋体" w:cs="宋体"/>
          <w:color w:val="auto"/>
          <w:highlight w:val="none"/>
          <w:lang w:eastAsia="zh-CN"/>
        </w:rPr>
      </w:pPr>
      <w:bookmarkStart w:id="59" w:name="_Toc19383"/>
      <w:r>
        <w:rPr>
          <w:rFonts w:hint="eastAsia" w:ascii="宋体" w:hAnsi="宋体" w:eastAsia="宋体" w:cs="宋体"/>
          <w:color w:val="auto"/>
          <w:highlight w:val="none"/>
          <w:lang w:eastAsia="zh-CN"/>
        </w:rPr>
        <w:t>4.  投标</w:t>
      </w:r>
      <w:bookmarkEnd w:id="59"/>
    </w:p>
    <w:p w14:paraId="5DC8F1BD">
      <w:pPr>
        <w:pStyle w:val="5"/>
        <w:spacing w:before="120" w:beforeLines="50" w:after="120" w:afterLines="50" w:line="300" w:lineRule="auto"/>
        <w:rPr>
          <w:color w:val="auto"/>
          <w:highlight w:val="none"/>
          <w:lang w:eastAsia="zh-CN"/>
        </w:rPr>
      </w:pPr>
      <w:bookmarkStart w:id="60" w:name="_Toc28271"/>
      <w:bookmarkStart w:id="61" w:name="_Toc7297"/>
      <w:r>
        <w:rPr>
          <w:rFonts w:hint="eastAsia"/>
          <w:color w:val="auto"/>
          <w:highlight w:val="none"/>
          <w:lang w:eastAsia="zh-CN"/>
        </w:rPr>
        <w:t>4.1 投标文件的密封和标记</w:t>
      </w:r>
      <w:bookmarkEnd w:id="60"/>
      <w:bookmarkEnd w:id="61"/>
    </w:p>
    <w:p w14:paraId="5353150E">
      <w:pPr>
        <w:pStyle w:val="10"/>
        <w:spacing w:before="120" w:beforeLines="50" w:after="120" w:afterLines="50" w:line="300" w:lineRule="auto"/>
        <w:ind w:left="100" w:right="113" w:firstLine="419"/>
        <w:rPr>
          <w:color w:val="auto"/>
          <w:highlight w:val="none"/>
          <w:lang w:eastAsia="zh-CN"/>
        </w:rPr>
      </w:pPr>
      <w:r>
        <w:rPr>
          <w:rFonts w:hint="eastAsia"/>
          <w:color w:val="auto"/>
          <w:highlight w:val="none"/>
          <w:lang w:eastAsia="zh-CN"/>
        </w:rPr>
        <w:t>4.1.1</w:t>
      </w:r>
      <w:r>
        <w:rPr>
          <w:color w:val="auto"/>
          <w:highlight w:val="none"/>
          <w:lang w:eastAsia="zh-CN"/>
        </w:rPr>
        <w:t>投标人应当按照招标文件和电子招标投标交易平台的要求加密投标文件，具体要求见投标人须知前附表</w:t>
      </w:r>
      <w:r>
        <w:rPr>
          <w:rFonts w:hint="eastAsia"/>
          <w:color w:val="auto"/>
          <w:highlight w:val="none"/>
          <w:lang w:eastAsia="zh-CN"/>
        </w:rPr>
        <w:t>。</w:t>
      </w:r>
    </w:p>
    <w:p w14:paraId="6D09669B">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4.1.</w:t>
      </w:r>
      <w:r>
        <w:rPr>
          <w:color w:val="auto"/>
          <w:highlight w:val="none"/>
          <w:lang w:eastAsia="zh-CN"/>
        </w:rPr>
        <w:t xml:space="preserve">2 </w:t>
      </w:r>
      <w:r>
        <w:rPr>
          <w:rFonts w:hint="eastAsia"/>
          <w:color w:val="auto"/>
          <w:highlight w:val="none"/>
          <w:lang w:eastAsia="zh-CN"/>
        </w:rPr>
        <w:t>投标文件封套上应写明的内容见投标人须知前附表。</w:t>
      </w:r>
    </w:p>
    <w:p w14:paraId="34B50BFD">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4.1.3 未按本章第 4.1.1 项要求密封的投标文件，招标人将予以拒收。</w:t>
      </w:r>
    </w:p>
    <w:p w14:paraId="69AED172">
      <w:pPr>
        <w:pStyle w:val="5"/>
        <w:spacing w:before="120" w:beforeLines="50" w:after="120" w:afterLines="50" w:line="300" w:lineRule="auto"/>
        <w:rPr>
          <w:color w:val="auto"/>
          <w:highlight w:val="none"/>
          <w:lang w:eastAsia="zh-CN"/>
        </w:rPr>
      </w:pPr>
      <w:bookmarkStart w:id="62" w:name="_Toc12867"/>
      <w:bookmarkStart w:id="63" w:name="_Toc25112"/>
      <w:r>
        <w:rPr>
          <w:rFonts w:hint="eastAsia"/>
          <w:color w:val="auto"/>
          <w:highlight w:val="none"/>
          <w:lang w:eastAsia="zh-CN"/>
        </w:rPr>
        <w:t>4.2 投标文件的递交</w:t>
      </w:r>
      <w:bookmarkEnd w:id="62"/>
      <w:bookmarkEnd w:id="63"/>
    </w:p>
    <w:p w14:paraId="6E284FB1">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4.2.1 投标人应在投标人须知前附表规定的投标截止时间前递交投标文件。</w:t>
      </w:r>
    </w:p>
    <w:p w14:paraId="02292819">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4.2.2 投标人递交投标文件的地点：见投标人须知前附表。</w:t>
      </w:r>
    </w:p>
    <w:p w14:paraId="6B77A0B0">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4.2.3 除投标人须知前附表另有规定外，投标人所递交的投标文件不予退还。</w:t>
      </w:r>
    </w:p>
    <w:p w14:paraId="3DE25924">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4.2.4</w:t>
      </w:r>
      <w:r>
        <w:rPr>
          <w:color w:val="auto"/>
          <w:highlight w:val="none"/>
          <w:lang w:eastAsia="zh-CN"/>
        </w:rPr>
        <w:t xml:space="preserve"> </w:t>
      </w:r>
      <w:r>
        <w:rPr>
          <w:rFonts w:hint="eastAsia"/>
          <w:color w:val="auto"/>
          <w:highlight w:val="none"/>
          <w:lang w:eastAsia="zh-CN"/>
        </w:rPr>
        <w:t>招标人收到投标文件后，向投标人出具签收凭证。</w:t>
      </w:r>
    </w:p>
    <w:p w14:paraId="063E0F36">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4.2.5</w:t>
      </w:r>
      <w:r>
        <w:rPr>
          <w:color w:val="auto"/>
          <w:highlight w:val="none"/>
          <w:lang w:eastAsia="zh-CN"/>
        </w:rPr>
        <w:t xml:space="preserve"> </w:t>
      </w:r>
      <w:r>
        <w:rPr>
          <w:rFonts w:hint="eastAsia"/>
          <w:color w:val="auto"/>
          <w:highlight w:val="none"/>
          <w:lang w:eastAsia="zh-CN"/>
        </w:rPr>
        <w:t>逾期送达的投标文件，招标人将予以拒收。</w:t>
      </w:r>
    </w:p>
    <w:p w14:paraId="676E5C68">
      <w:pPr>
        <w:pStyle w:val="5"/>
        <w:spacing w:before="120" w:beforeLines="50" w:after="120" w:afterLines="50" w:line="300" w:lineRule="auto"/>
        <w:rPr>
          <w:color w:val="auto"/>
          <w:highlight w:val="none"/>
          <w:lang w:eastAsia="zh-CN"/>
        </w:rPr>
      </w:pPr>
      <w:bookmarkStart w:id="64" w:name="_Toc2906"/>
      <w:bookmarkStart w:id="65" w:name="_Toc30114"/>
      <w:r>
        <w:rPr>
          <w:rFonts w:hint="eastAsia"/>
          <w:color w:val="auto"/>
          <w:highlight w:val="none"/>
          <w:lang w:eastAsia="zh-CN"/>
        </w:rPr>
        <w:t>4.3 投标文件的修改与撤回</w:t>
      </w:r>
      <w:bookmarkEnd w:id="64"/>
      <w:bookmarkEnd w:id="65"/>
    </w:p>
    <w:p w14:paraId="5DA0C590">
      <w:pPr>
        <w:pStyle w:val="10"/>
        <w:spacing w:before="120" w:beforeLines="50" w:after="120" w:afterLines="50" w:line="300" w:lineRule="auto"/>
        <w:ind w:left="100" w:right="21" w:firstLine="419"/>
        <w:rPr>
          <w:color w:val="auto"/>
          <w:highlight w:val="none"/>
          <w:lang w:eastAsia="zh-CN"/>
        </w:rPr>
      </w:pPr>
      <w:r>
        <w:rPr>
          <w:rFonts w:hint="eastAsia"/>
          <w:color w:val="auto"/>
          <w:highlight w:val="none"/>
          <w:lang w:eastAsia="zh-CN"/>
        </w:rPr>
        <w:t>4.3.1 在本章第 4.2.1 项规定的投标截止时间前，投标人可以修改或撤回已递交的投标文件，但应以书面形式通知招标人。</w:t>
      </w:r>
    </w:p>
    <w:p w14:paraId="2260619C">
      <w:pPr>
        <w:pStyle w:val="10"/>
        <w:spacing w:before="120" w:beforeLines="50" w:after="120" w:afterLines="50" w:line="300" w:lineRule="auto"/>
        <w:ind w:left="100" w:right="108" w:firstLine="419"/>
        <w:rPr>
          <w:color w:val="auto"/>
          <w:highlight w:val="none"/>
          <w:lang w:eastAsia="zh-CN"/>
        </w:rPr>
      </w:pPr>
      <w:r>
        <w:rPr>
          <w:rFonts w:hint="eastAsia"/>
          <w:color w:val="auto"/>
          <w:highlight w:val="none"/>
          <w:lang w:eastAsia="zh-CN"/>
        </w:rPr>
        <w:t>4.3.2 投标人修改或撤回已递交投标文件的书面通知应按照本章第</w:t>
      </w:r>
      <w:r>
        <w:rPr>
          <w:rFonts w:hint="eastAsia"/>
          <w:color w:val="auto"/>
          <w:spacing w:val="-71"/>
          <w:highlight w:val="none"/>
          <w:lang w:eastAsia="zh-CN"/>
        </w:rPr>
        <w:t xml:space="preserve"> </w:t>
      </w:r>
      <w:r>
        <w:rPr>
          <w:rFonts w:hint="eastAsia"/>
          <w:color w:val="auto"/>
          <w:highlight w:val="none"/>
          <w:lang w:eastAsia="zh-CN"/>
        </w:rPr>
        <w:t>3.7.3项的要求签字或盖章。招标人收到书面通知后，向投标人出具签收凭证。</w:t>
      </w:r>
    </w:p>
    <w:p w14:paraId="4BCB7BD9">
      <w:pPr>
        <w:pStyle w:val="10"/>
        <w:spacing w:before="120" w:beforeLines="50" w:after="120" w:afterLines="50" w:line="300" w:lineRule="auto"/>
        <w:ind w:left="100" w:right="126" w:firstLine="419"/>
        <w:rPr>
          <w:color w:val="auto"/>
          <w:highlight w:val="none"/>
          <w:lang w:eastAsia="zh-CN"/>
        </w:rPr>
      </w:pPr>
      <w:r>
        <w:rPr>
          <w:rFonts w:hint="eastAsia"/>
          <w:color w:val="auto"/>
          <w:highlight w:val="none"/>
          <w:lang w:eastAsia="zh-CN"/>
        </w:rPr>
        <w:t>4.3.3 投标人撤回投标文件的，招标人自收到投标人书面撤回通知之日起 5 日内退还已收取的投标保证金。</w:t>
      </w:r>
    </w:p>
    <w:p w14:paraId="28E255BD">
      <w:pPr>
        <w:pStyle w:val="10"/>
        <w:spacing w:before="120" w:beforeLines="50" w:after="120" w:afterLines="50" w:line="300" w:lineRule="auto"/>
        <w:ind w:left="100" w:right="108" w:firstLine="419"/>
        <w:rPr>
          <w:color w:val="auto"/>
          <w:highlight w:val="none"/>
          <w:lang w:eastAsia="zh-CN"/>
        </w:rPr>
      </w:pPr>
      <w:r>
        <w:rPr>
          <w:rFonts w:hint="eastAsia"/>
          <w:color w:val="auto"/>
          <w:highlight w:val="none"/>
          <w:lang w:eastAsia="zh-CN"/>
        </w:rPr>
        <w:t xml:space="preserve">4.3.4 </w:t>
      </w:r>
      <w:r>
        <w:rPr>
          <w:rFonts w:hint="eastAsia"/>
          <w:color w:val="auto"/>
          <w:spacing w:val="-3"/>
          <w:highlight w:val="none"/>
          <w:lang w:eastAsia="zh-CN"/>
        </w:rPr>
        <w:t xml:space="preserve">修改的内容为投标文件的组成部分。修改的投标文件应按照本章第 </w:t>
      </w:r>
      <w:r>
        <w:rPr>
          <w:rFonts w:hint="eastAsia"/>
          <w:color w:val="auto"/>
          <w:highlight w:val="none"/>
          <w:lang w:eastAsia="zh-CN"/>
        </w:rPr>
        <w:t xml:space="preserve">3 </w:t>
      </w:r>
      <w:r>
        <w:rPr>
          <w:rFonts w:hint="eastAsia"/>
          <w:color w:val="auto"/>
          <w:spacing w:val="-14"/>
          <w:highlight w:val="none"/>
          <w:lang w:eastAsia="zh-CN"/>
        </w:rPr>
        <w:t xml:space="preserve">条、第 </w:t>
      </w:r>
      <w:r>
        <w:rPr>
          <w:rFonts w:hint="eastAsia"/>
          <w:color w:val="auto"/>
          <w:highlight w:val="none"/>
          <w:lang w:eastAsia="zh-CN"/>
        </w:rPr>
        <w:t>4 条的规定进行编制、密封、标记和递交，并标明“修改”字样。</w:t>
      </w:r>
    </w:p>
    <w:p w14:paraId="59B89142">
      <w:pPr>
        <w:pStyle w:val="4"/>
        <w:spacing w:before="120" w:beforeLines="50" w:after="120" w:afterLines="50" w:line="300" w:lineRule="auto"/>
        <w:ind w:right="108"/>
        <w:rPr>
          <w:rFonts w:ascii="宋体" w:hAnsi="宋体" w:eastAsia="宋体" w:cs="宋体"/>
          <w:color w:val="auto"/>
          <w:highlight w:val="none"/>
          <w:lang w:eastAsia="zh-CN"/>
        </w:rPr>
      </w:pPr>
      <w:bookmarkStart w:id="66" w:name="_Toc10627"/>
      <w:r>
        <w:rPr>
          <w:rFonts w:hint="eastAsia" w:ascii="宋体" w:hAnsi="宋体" w:eastAsia="宋体" w:cs="宋体"/>
          <w:color w:val="auto"/>
          <w:highlight w:val="none"/>
          <w:lang w:eastAsia="zh-CN"/>
        </w:rPr>
        <w:t>5.  开标</w:t>
      </w:r>
      <w:bookmarkEnd w:id="66"/>
    </w:p>
    <w:p w14:paraId="14C994DB">
      <w:pPr>
        <w:pStyle w:val="5"/>
        <w:spacing w:before="120" w:beforeLines="50" w:after="120" w:afterLines="50" w:line="300" w:lineRule="auto"/>
        <w:ind w:right="108"/>
        <w:rPr>
          <w:color w:val="auto"/>
          <w:highlight w:val="none"/>
          <w:lang w:eastAsia="zh-CN"/>
        </w:rPr>
      </w:pPr>
      <w:bookmarkStart w:id="67" w:name="_Toc12306"/>
      <w:bookmarkStart w:id="68" w:name="_Toc12018"/>
      <w:r>
        <w:rPr>
          <w:rFonts w:hint="eastAsia"/>
          <w:color w:val="auto"/>
          <w:highlight w:val="none"/>
          <w:lang w:eastAsia="zh-CN"/>
        </w:rPr>
        <w:t>5.1</w:t>
      </w:r>
      <w:r>
        <w:rPr>
          <w:color w:val="auto"/>
          <w:highlight w:val="none"/>
          <w:lang w:eastAsia="zh-CN"/>
        </w:rPr>
        <w:t xml:space="preserve"> </w:t>
      </w:r>
      <w:r>
        <w:rPr>
          <w:rFonts w:hint="eastAsia"/>
          <w:color w:val="auto"/>
          <w:highlight w:val="none"/>
          <w:lang w:eastAsia="zh-CN"/>
        </w:rPr>
        <w:t>开标时间和地点</w:t>
      </w:r>
      <w:bookmarkEnd w:id="67"/>
      <w:bookmarkEnd w:id="68"/>
    </w:p>
    <w:p w14:paraId="7FD1B3A9">
      <w:pPr>
        <w:pStyle w:val="10"/>
        <w:spacing w:before="120" w:beforeLines="50" w:after="120" w:afterLines="50" w:line="300" w:lineRule="auto"/>
        <w:ind w:left="100" w:right="193" w:firstLine="419"/>
        <w:rPr>
          <w:color w:val="auto"/>
          <w:highlight w:val="none"/>
          <w:lang w:eastAsia="zh-CN"/>
        </w:rPr>
      </w:pPr>
      <w:r>
        <w:rPr>
          <w:color w:val="auto"/>
          <w:highlight w:val="none"/>
          <w:lang w:eastAsia="zh-CN"/>
        </w:rPr>
        <w:t>招标人在本章第 4.2.1 项规定的投标截止时间（开标时间）,通过电子招标投标交易平台公开开标，所有投标人的法定代表人或其委托代理人应当准时参加。</w:t>
      </w:r>
    </w:p>
    <w:p w14:paraId="4E4F6DA6">
      <w:pPr>
        <w:pStyle w:val="5"/>
        <w:spacing w:before="120" w:beforeLines="50" w:after="120" w:afterLines="50" w:line="300" w:lineRule="auto"/>
        <w:ind w:right="108"/>
        <w:rPr>
          <w:color w:val="auto"/>
          <w:highlight w:val="none"/>
          <w:lang w:eastAsia="zh-CN"/>
        </w:rPr>
      </w:pPr>
      <w:bookmarkStart w:id="69" w:name="_Toc9715"/>
      <w:bookmarkStart w:id="70" w:name="_Toc11457"/>
      <w:r>
        <w:rPr>
          <w:rFonts w:hint="eastAsia"/>
          <w:color w:val="auto"/>
          <w:highlight w:val="none"/>
          <w:lang w:eastAsia="zh-CN"/>
        </w:rPr>
        <w:t>5.2</w:t>
      </w:r>
      <w:r>
        <w:rPr>
          <w:color w:val="auto"/>
          <w:highlight w:val="none"/>
          <w:lang w:eastAsia="zh-CN"/>
        </w:rPr>
        <w:t xml:space="preserve"> </w:t>
      </w:r>
      <w:r>
        <w:rPr>
          <w:rFonts w:hint="eastAsia"/>
          <w:color w:val="auto"/>
          <w:highlight w:val="none"/>
          <w:lang w:eastAsia="zh-CN"/>
        </w:rPr>
        <w:t>开标程序</w:t>
      </w:r>
      <w:bookmarkEnd w:id="69"/>
      <w:bookmarkEnd w:id="70"/>
    </w:p>
    <w:p w14:paraId="1F1D3073">
      <w:pPr>
        <w:pStyle w:val="5"/>
        <w:spacing w:before="120" w:beforeLines="50" w:after="120" w:afterLines="50" w:line="300" w:lineRule="auto"/>
        <w:rPr>
          <w:rFonts w:hint="eastAsia" w:ascii="宋体" w:hAnsi="宋体" w:eastAsia="宋体" w:cs="宋体"/>
          <w:color w:val="auto"/>
          <w:sz w:val="21"/>
          <w:szCs w:val="21"/>
          <w:highlight w:val="none"/>
          <w:lang w:val="en-US" w:eastAsia="zh-CN" w:bidi="ar-SA"/>
        </w:rPr>
      </w:pPr>
      <w:bookmarkStart w:id="71" w:name="_Toc30178"/>
      <w:bookmarkStart w:id="72" w:name="_Toc24782"/>
      <w:r>
        <w:rPr>
          <w:rFonts w:hint="eastAsia" w:ascii="宋体" w:hAnsi="宋体" w:eastAsia="宋体" w:cs="宋体"/>
          <w:color w:val="auto"/>
          <w:sz w:val="21"/>
          <w:szCs w:val="21"/>
          <w:highlight w:val="none"/>
          <w:lang w:val="en-US" w:eastAsia="zh-CN" w:bidi="ar-SA"/>
        </w:rPr>
        <w:t>主持人按下列程序进行开标：</w:t>
      </w:r>
    </w:p>
    <w:p w14:paraId="1470F053">
      <w:pPr>
        <w:pStyle w:val="5"/>
        <w:spacing w:before="120" w:beforeLines="50" w:after="120" w:afterLines="50" w:line="30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5.2.1评审小组将以递交投标文件的顺序进行招标排序。</w:t>
      </w:r>
    </w:p>
    <w:p w14:paraId="4DD27435">
      <w:pPr>
        <w:pStyle w:val="5"/>
        <w:spacing w:before="120" w:beforeLines="50" w:after="120" w:afterLines="50" w:line="30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5.2.2评审小组按招标排序的顺序逐一与所有合格投标人分别就技术、商务和价格进行相同轮次报价，并形成纪要文件。公开招标目的在于澄清报价、优化需求，使所有投标人的响应具有可比性。在公开招标中，招标的任何一方不得透露与招标有关的其他投标人的技术资料、 报价和其他信息。（招标文件有实质性变动的，评审小组以书面的形式通知所有参加投标的投标人）</w:t>
      </w:r>
    </w:p>
    <w:p w14:paraId="6A6C4C7E">
      <w:pPr>
        <w:pStyle w:val="5"/>
        <w:spacing w:before="120" w:beforeLines="50" w:after="120" w:afterLines="50" w:line="30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招标的内容包括但不限于：监理范围、监理内容、监理依据、监理工作目标、监理机构设置和岗位职责、监理工作程序、方法和制度、质量、进度、造价、安全、环保监理措施、合同、信息管理方案、监理组织协调内容及措施、监理工作重点、难点分析、合理化建议等内容。</w:t>
      </w:r>
    </w:p>
    <w:p w14:paraId="2D8F7BAB">
      <w:pPr>
        <w:pStyle w:val="5"/>
        <w:spacing w:before="120" w:beforeLines="50" w:after="120" w:afterLines="50" w:line="30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5.2.3在开标过程中，对投标文件作出的实质性变动是投标文件的有效组成部分，评审小组将及时以书面形式同时通知所有参加公开招标的投标人。</w:t>
      </w:r>
    </w:p>
    <w:p w14:paraId="3EEF7876">
      <w:pPr>
        <w:pStyle w:val="5"/>
        <w:spacing w:before="120" w:beforeLines="50" w:after="120" w:afterLines="50" w:line="30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5.2.4投标人应当按照招标文件的变动情况和评审小组的要求重新提交响应文件，并由其法定代表人或授权代表签字或者加盖公章。由授权代表签字的，应当附法定代表人授权书。供应商为自然人的，应当由本人签字并附身份证明。</w:t>
      </w:r>
    </w:p>
    <w:p w14:paraId="61013FC0">
      <w:pPr>
        <w:pStyle w:val="5"/>
        <w:spacing w:before="120" w:beforeLines="50" w:after="120" w:afterLines="50" w:line="300" w:lineRule="auto"/>
        <w:rPr>
          <w:color w:val="auto"/>
          <w:highlight w:val="none"/>
          <w:lang w:eastAsia="zh-CN"/>
        </w:rPr>
      </w:pPr>
      <w:r>
        <w:rPr>
          <w:rFonts w:hint="eastAsia"/>
          <w:color w:val="auto"/>
          <w:highlight w:val="none"/>
          <w:lang w:eastAsia="zh-CN"/>
        </w:rPr>
        <w:t>5.3 开标异议</w:t>
      </w:r>
      <w:bookmarkEnd w:id="71"/>
      <w:bookmarkEnd w:id="72"/>
    </w:p>
    <w:p w14:paraId="2E4B1A22">
      <w:pPr>
        <w:pStyle w:val="10"/>
        <w:spacing w:before="120" w:beforeLines="50" w:after="120" w:afterLines="50" w:line="300" w:lineRule="auto"/>
        <w:ind w:left="460" w:right="113"/>
        <w:rPr>
          <w:color w:val="auto"/>
          <w:highlight w:val="none"/>
          <w:lang w:eastAsia="zh-CN"/>
        </w:rPr>
      </w:pPr>
      <w:r>
        <w:rPr>
          <w:rFonts w:hint="eastAsia"/>
          <w:color w:val="auto"/>
          <w:highlight w:val="none"/>
          <w:lang w:eastAsia="zh-CN"/>
        </w:rPr>
        <w:t>投标人对开标有异议的，应当在开标现场提出，招标人当场作出答复，并制作记录。</w:t>
      </w:r>
    </w:p>
    <w:p w14:paraId="51C04664">
      <w:pPr>
        <w:pStyle w:val="4"/>
        <w:spacing w:before="120" w:beforeLines="50" w:after="120" w:afterLines="50" w:line="300" w:lineRule="auto"/>
        <w:rPr>
          <w:rFonts w:ascii="宋体" w:hAnsi="宋体" w:eastAsia="宋体" w:cs="宋体"/>
          <w:color w:val="auto"/>
          <w:highlight w:val="none"/>
          <w:lang w:eastAsia="zh-CN"/>
        </w:rPr>
      </w:pPr>
      <w:bookmarkStart w:id="73" w:name="_Toc29900"/>
      <w:r>
        <w:rPr>
          <w:rFonts w:hint="eastAsia" w:ascii="宋体" w:hAnsi="宋体" w:eastAsia="宋体" w:cs="宋体"/>
          <w:color w:val="auto"/>
          <w:highlight w:val="none"/>
          <w:lang w:eastAsia="zh-CN"/>
        </w:rPr>
        <w:t>6.  评标</w:t>
      </w:r>
      <w:bookmarkEnd w:id="73"/>
    </w:p>
    <w:p w14:paraId="55871EBB">
      <w:pPr>
        <w:pStyle w:val="5"/>
        <w:spacing w:before="120" w:beforeLines="50" w:after="120" w:afterLines="50" w:line="300" w:lineRule="auto"/>
        <w:rPr>
          <w:color w:val="auto"/>
          <w:highlight w:val="none"/>
          <w:lang w:eastAsia="zh-CN"/>
        </w:rPr>
      </w:pPr>
      <w:bookmarkStart w:id="74" w:name="_Toc23825"/>
      <w:bookmarkStart w:id="75" w:name="_Toc21"/>
      <w:r>
        <w:rPr>
          <w:rFonts w:hint="eastAsia"/>
          <w:color w:val="auto"/>
          <w:highlight w:val="none"/>
          <w:lang w:eastAsia="zh-CN"/>
        </w:rPr>
        <w:t>6.1 评标委员会</w:t>
      </w:r>
      <w:bookmarkEnd w:id="74"/>
      <w:bookmarkEnd w:id="75"/>
    </w:p>
    <w:p w14:paraId="38995669">
      <w:pPr>
        <w:pStyle w:val="10"/>
        <w:spacing w:before="120" w:beforeLines="50" w:after="120" w:afterLines="50" w:line="300" w:lineRule="auto"/>
        <w:ind w:left="100" w:right="111" w:firstLine="419"/>
        <w:jc w:val="both"/>
        <w:rPr>
          <w:color w:val="auto"/>
          <w:highlight w:val="none"/>
          <w:lang w:eastAsia="zh-CN"/>
        </w:rPr>
      </w:pPr>
      <w:r>
        <w:rPr>
          <w:rFonts w:hint="eastAsia"/>
          <w:color w:val="auto"/>
          <w:highlight w:val="none"/>
          <w:lang w:eastAsia="zh-CN"/>
        </w:rPr>
        <w:t xml:space="preserve">6.1.1 </w:t>
      </w:r>
      <w:r>
        <w:rPr>
          <w:rFonts w:hint="eastAsia"/>
          <w:color w:val="auto"/>
          <w:spacing w:val="-4"/>
          <w:highlight w:val="none"/>
          <w:lang w:eastAsia="zh-CN"/>
        </w:rPr>
        <w:t>评标由招标人依法组建的评标委员会负责。评标委员会由招标人或其委托的招标代理</w:t>
      </w:r>
      <w:r>
        <w:rPr>
          <w:rFonts w:hint="eastAsia"/>
          <w:color w:val="auto"/>
          <w:spacing w:val="-1"/>
          <w:highlight w:val="none"/>
          <w:lang w:eastAsia="zh-CN"/>
        </w:rPr>
        <w:t>机构熟悉相关业务的代表，以及有关技术、经济等方面的专家组成。评标委员会成员人数以及</w:t>
      </w:r>
      <w:r>
        <w:rPr>
          <w:rFonts w:hint="eastAsia"/>
          <w:color w:val="auto"/>
          <w:highlight w:val="none"/>
          <w:lang w:eastAsia="zh-CN"/>
        </w:rPr>
        <w:t>技术、经济等方面专家的确定方式见投标人须知前附表。</w:t>
      </w:r>
    </w:p>
    <w:p w14:paraId="6CBF6AE5">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6.1.2 评标委员会成员有下列情形之一的，应当回避：</w:t>
      </w:r>
    </w:p>
    <w:p w14:paraId="66C9ADFA">
      <w:pPr>
        <w:pStyle w:val="10"/>
        <w:spacing w:before="120" w:beforeLines="50" w:after="120" w:afterLines="50" w:line="300" w:lineRule="auto"/>
        <w:ind w:left="818" w:right="113"/>
        <w:rPr>
          <w:color w:val="auto"/>
          <w:highlight w:val="none"/>
          <w:lang w:eastAsia="zh-CN"/>
        </w:rPr>
      </w:pPr>
      <w:r>
        <w:rPr>
          <w:rFonts w:hint="eastAsia"/>
          <w:color w:val="auto"/>
          <w:highlight w:val="none"/>
          <w:lang w:eastAsia="zh-CN"/>
        </w:rPr>
        <w:t>（1）投标人或投标人主要负责人的近亲属；</w:t>
      </w:r>
    </w:p>
    <w:p w14:paraId="7B01F46E">
      <w:pPr>
        <w:pStyle w:val="10"/>
        <w:spacing w:before="120" w:beforeLines="50" w:after="120" w:afterLines="50" w:line="300" w:lineRule="auto"/>
        <w:ind w:left="818" w:right="113"/>
        <w:rPr>
          <w:color w:val="auto"/>
          <w:highlight w:val="none"/>
          <w:lang w:eastAsia="zh-CN"/>
        </w:rPr>
      </w:pPr>
      <w:r>
        <w:rPr>
          <w:rFonts w:hint="eastAsia"/>
          <w:color w:val="auto"/>
          <w:highlight w:val="none"/>
          <w:lang w:eastAsia="zh-CN"/>
        </w:rPr>
        <w:t>（2）项目主管部门或者行政监督部门的人员；</w:t>
      </w:r>
    </w:p>
    <w:p w14:paraId="10257665">
      <w:pPr>
        <w:pStyle w:val="10"/>
        <w:spacing w:before="120" w:beforeLines="50" w:after="120" w:afterLines="50" w:line="300" w:lineRule="auto"/>
        <w:ind w:left="818" w:right="113"/>
        <w:rPr>
          <w:color w:val="auto"/>
          <w:highlight w:val="none"/>
          <w:lang w:eastAsia="zh-CN"/>
        </w:rPr>
      </w:pPr>
      <w:r>
        <w:rPr>
          <w:rFonts w:hint="eastAsia"/>
          <w:color w:val="auto"/>
          <w:highlight w:val="none"/>
          <w:lang w:eastAsia="zh-CN"/>
        </w:rPr>
        <w:t>（3）与投标人有经济利益关系，可能影响对投标公正评审的；</w:t>
      </w:r>
    </w:p>
    <w:p w14:paraId="79827A12">
      <w:pPr>
        <w:pStyle w:val="10"/>
        <w:spacing w:before="120" w:beforeLines="50" w:after="120" w:afterLines="50" w:line="300" w:lineRule="auto"/>
        <w:ind w:left="100" w:right="113" w:firstLine="717"/>
        <w:rPr>
          <w:color w:val="auto"/>
          <w:highlight w:val="none"/>
          <w:lang w:eastAsia="zh-CN"/>
        </w:rPr>
      </w:pPr>
      <w:r>
        <w:rPr>
          <w:rFonts w:hint="eastAsia"/>
          <w:color w:val="auto"/>
          <w:highlight w:val="none"/>
          <w:lang w:eastAsia="zh-CN"/>
        </w:rPr>
        <w:t>（4）曾因在招标、评标以及其他与招标投标有关活动中从事违法行为而受过行政处罚 或刑事处罚的；</w:t>
      </w:r>
    </w:p>
    <w:p w14:paraId="4120B19C">
      <w:pPr>
        <w:pStyle w:val="10"/>
        <w:spacing w:before="120" w:beforeLines="50" w:after="120" w:afterLines="50" w:line="300" w:lineRule="auto"/>
        <w:ind w:left="818" w:right="113"/>
        <w:rPr>
          <w:color w:val="auto"/>
          <w:highlight w:val="none"/>
          <w:lang w:eastAsia="zh-CN"/>
        </w:rPr>
      </w:pPr>
      <w:r>
        <w:rPr>
          <w:rFonts w:hint="eastAsia"/>
          <w:color w:val="auto"/>
          <w:highlight w:val="none"/>
          <w:lang w:eastAsia="zh-CN"/>
        </w:rPr>
        <w:t>（5）与投标人有其他利害关系。</w:t>
      </w:r>
    </w:p>
    <w:p w14:paraId="1593CC45">
      <w:pPr>
        <w:pStyle w:val="10"/>
        <w:spacing w:before="120" w:beforeLines="50" w:after="120" w:afterLines="50" w:line="300" w:lineRule="auto"/>
        <w:ind w:left="100" w:right="111" w:firstLine="419"/>
        <w:jc w:val="both"/>
        <w:rPr>
          <w:color w:val="auto"/>
          <w:highlight w:val="none"/>
          <w:lang w:eastAsia="zh-CN"/>
        </w:rPr>
      </w:pPr>
      <w:r>
        <w:rPr>
          <w:rFonts w:hint="eastAsia"/>
          <w:color w:val="auto"/>
          <w:highlight w:val="none"/>
          <w:lang w:eastAsia="zh-CN"/>
        </w:rPr>
        <w:t xml:space="preserve">6.1.3 </w:t>
      </w:r>
      <w:r>
        <w:rPr>
          <w:rFonts w:hint="eastAsia"/>
          <w:color w:val="auto"/>
          <w:spacing w:val="-4"/>
          <w:highlight w:val="none"/>
          <w:lang w:eastAsia="zh-CN"/>
        </w:rPr>
        <w:t>评标过程中，评标委员会成员有回避事由、擅离职守或者因健康等原因不能继续评标</w:t>
      </w:r>
      <w:r>
        <w:rPr>
          <w:rFonts w:hint="eastAsia"/>
          <w:color w:val="auto"/>
          <w:spacing w:val="-1"/>
          <w:highlight w:val="none"/>
          <w:lang w:eastAsia="zh-CN"/>
        </w:rPr>
        <w:t>的，招标人有权更换。被更换的评标委员会成员作出的评审结论无效，由更换后的评标委员会</w:t>
      </w:r>
      <w:r>
        <w:rPr>
          <w:rFonts w:hint="eastAsia"/>
          <w:color w:val="auto"/>
          <w:highlight w:val="none"/>
          <w:lang w:eastAsia="zh-CN"/>
        </w:rPr>
        <w:t>成员重新进行评审。</w:t>
      </w:r>
    </w:p>
    <w:p w14:paraId="436FC146">
      <w:pPr>
        <w:pStyle w:val="5"/>
        <w:spacing w:before="120" w:beforeLines="50" w:after="120" w:afterLines="50" w:line="300" w:lineRule="auto"/>
        <w:rPr>
          <w:color w:val="auto"/>
          <w:highlight w:val="none"/>
          <w:lang w:eastAsia="zh-CN"/>
        </w:rPr>
      </w:pPr>
      <w:bookmarkStart w:id="76" w:name="_Toc22899"/>
      <w:bookmarkStart w:id="77" w:name="_Toc21084"/>
      <w:r>
        <w:rPr>
          <w:rFonts w:hint="eastAsia"/>
          <w:color w:val="auto"/>
          <w:highlight w:val="none"/>
          <w:lang w:eastAsia="zh-CN"/>
        </w:rPr>
        <w:t>6.2 评标原则</w:t>
      </w:r>
      <w:bookmarkEnd w:id="76"/>
      <w:bookmarkEnd w:id="77"/>
    </w:p>
    <w:p w14:paraId="3F92F355">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评标活动遵循公平、公正、科学和择优的原则。</w:t>
      </w:r>
    </w:p>
    <w:p w14:paraId="2EB0EB2E">
      <w:pPr>
        <w:pStyle w:val="5"/>
        <w:spacing w:before="120" w:beforeLines="50" w:after="120" w:afterLines="50" w:line="300" w:lineRule="auto"/>
        <w:rPr>
          <w:color w:val="auto"/>
          <w:highlight w:val="none"/>
          <w:lang w:eastAsia="zh-CN"/>
        </w:rPr>
      </w:pPr>
      <w:bookmarkStart w:id="78" w:name="_Toc6770"/>
      <w:bookmarkStart w:id="79" w:name="_Toc7916"/>
      <w:r>
        <w:rPr>
          <w:rFonts w:hint="eastAsia"/>
          <w:color w:val="auto"/>
          <w:highlight w:val="none"/>
          <w:lang w:eastAsia="zh-CN"/>
        </w:rPr>
        <w:t>6.3 评标</w:t>
      </w:r>
      <w:bookmarkEnd w:id="78"/>
      <w:bookmarkEnd w:id="79"/>
    </w:p>
    <w:p w14:paraId="7DD36CD5">
      <w:pPr>
        <w:pStyle w:val="10"/>
        <w:spacing w:before="120" w:beforeLines="50" w:after="120" w:afterLines="50" w:line="300" w:lineRule="auto"/>
        <w:ind w:left="100" w:right="111" w:firstLine="419"/>
        <w:jc w:val="both"/>
        <w:rPr>
          <w:color w:val="auto"/>
          <w:highlight w:val="none"/>
          <w:lang w:eastAsia="zh-CN"/>
        </w:rPr>
      </w:pPr>
      <w:r>
        <w:rPr>
          <w:rFonts w:hint="eastAsia"/>
          <w:color w:val="auto"/>
          <w:highlight w:val="none"/>
          <w:lang w:eastAsia="zh-CN"/>
        </w:rPr>
        <w:t>6.3.1 评标委员会按照第三章“评标办法”规定的方法、评审因素、标准和程序对投标文件进行评审。第三章“评标办法”没有规定的方法、评审因素和标准，不作为评标依据。</w:t>
      </w:r>
    </w:p>
    <w:p w14:paraId="702164AF">
      <w:pPr>
        <w:pStyle w:val="10"/>
        <w:spacing w:before="120" w:beforeLines="50" w:after="120" w:afterLines="50" w:line="300" w:lineRule="auto"/>
        <w:ind w:left="100" w:right="111" w:firstLine="419"/>
        <w:jc w:val="both"/>
        <w:rPr>
          <w:color w:val="auto"/>
          <w:highlight w:val="none"/>
          <w:lang w:eastAsia="zh-CN"/>
        </w:rPr>
      </w:pPr>
      <w:r>
        <w:rPr>
          <w:rFonts w:hint="eastAsia"/>
          <w:color w:val="auto"/>
          <w:spacing w:val="-1"/>
          <w:highlight w:val="none"/>
          <w:lang w:eastAsia="zh-CN"/>
        </w:rPr>
        <w:t>6.3.2 评标完成后，评标委员会应当向招标人提交书面评标报告和中标候选人名单。评标委</w:t>
      </w:r>
      <w:r>
        <w:rPr>
          <w:rFonts w:hint="eastAsia"/>
          <w:color w:val="auto"/>
          <w:highlight w:val="none"/>
          <w:lang w:eastAsia="zh-CN"/>
        </w:rPr>
        <w:t>员会推荐中标候选人的人数见投标人须知前附表。</w:t>
      </w:r>
    </w:p>
    <w:p w14:paraId="7028BF54">
      <w:pPr>
        <w:pStyle w:val="4"/>
        <w:spacing w:before="120" w:beforeLines="50" w:after="120" w:afterLines="50" w:line="300" w:lineRule="auto"/>
        <w:rPr>
          <w:rFonts w:ascii="宋体" w:hAnsi="宋体" w:eastAsia="宋体" w:cs="宋体"/>
          <w:color w:val="auto"/>
          <w:highlight w:val="none"/>
          <w:lang w:eastAsia="zh-CN"/>
        </w:rPr>
      </w:pPr>
      <w:bookmarkStart w:id="80" w:name="_Toc20503"/>
      <w:r>
        <w:rPr>
          <w:rFonts w:hint="eastAsia" w:ascii="宋体" w:hAnsi="宋体" w:eastAsia="宋体" w:cs="宋体"/>
          <w:color w:val="auto"/>
          <w:highlight w:val="none"/>
          <w:lang w:eastAsia="zh-CN"/>
        </w:rPr>
        <w:t>7.  合同授予</w:t>
      </w:r>
      <w:bookmarkEnd w:id="80"/>
    </w:p>
    <w:p w14:paraId="1CB02260">
      <w:pPr>
        <w:pStyle w:val="5"/>
        <w:spacing w:before="120" w:beforeLines="50" w:after="120" w:afterLines="50" w:line="300" w:lineRule="auto"/>
        <w:rPr>
          <w:color w:val="auto"/>
          <w:highlight w:val="none"/>
          <w:lang w:eastAsia="zh-CN"/>
        </w:rPr>
      </w:pPr>
      <w:bookmarkStart w:id="81" w:name="_Toc25472"/>
      <w:bookmarkStart w:id="82" w:name="_Toc13117"/>
      <w:r>
        <w:rPr>
          <w:rFonts w:hint="eastAsia"/>
          <w:color w:val="auto"/>
          <w:highlight w:val="none"/>
          <w:lang w:eastAsia="zh-CN"/>
        </w:rPr>
        <w:t>7.1 中标候选人公示</w:t>
      </w:r>
      <w:bookmarkEnd w:id="81"/>
      <w:bookmarkEnd w:id="82"/>
    </w:p>
    <w:p w14:paraId="6511422E">
      <w:pPr>
        <w:pStyle w:val="10"/>
        <w:spacing w:before="120" w:beforeLines="50" w:after="120" w:afterLines="50" w:line="300" w:lineRule="auto"/>
        <w:ind w:left="520" w:right="26"/>
        <w:rPr>
          <w:color w:val="auto"/>
          <w:highlight w:val="none"/>
          <w:lang w:eastAsia="zh-CN"/>
        </w:rPr>
      </w:pPr>
      <w:r>
        <w:rPr>
          <w:rFonts w:hint="eastAsia"/>
          <w:color w:val="auto"/>
          <w:highlight w:val="none"/>
          <w:lang w:eastAsia="zh-CN"/>
        </w:rPr>
        <w:t>招标人在收到评标报告之日起 3 日内，按照投标人须知前附表规定的公示媒介和期限公示</w:t>
      </w:r>
    </w:p>
    <w:p w14:paraId="6DC2FD11">
      <w:pPr>
        <w:pStyle w:val="10"/>
        <w:spacing w:before="120" w:beforeLines="50" w:after="120" w:afterLines="50" w:line="300" w:lineRule="auto"/>
        <w:ind w:left="100" w:right="113"/>
        <w:rPr>
          <w:color w:val="auto"/>
          <w:highlight w:val="none"/>
          <w:lang w:eastAsia="zh-CN"/>
        </w:rPr>
      </w:pPr>
      <w:r>
        <w:rPr>
          <w:rFonts w:hint="eastAsia"/>
          <w:color w:val="auto"/>
          <w:highlight w:val="none"/>
          <w:lang w:eastAsia="zh-CN"/>
        </w:rPr>
        <w:t>中标候选人，公示期不得少于</w:t>
      </w:r>
      <w:r>
        <w:rPr>
          <w:rFonts w:hint="eastAsia"/>
          <w:color w:val="auto"/>
          <w:spacing w:val="-53"/>
          <w:highlight w:val="none"/>
          <w:lang w:eastAsia="zh-CN"/>
        </w:rPr>
        <w:t xml:space="preserve"> </w:t>
      </w:r>
      <w:r>
        <w:rPr>
          <w:rFonts w:hint="eastAsia"/>
          <w:color w:val="auto"/>
          <w:highlight w:val="none"/>
          <w:lang w:eastAsia="zh-CN"/>
        </w:rPr>
        <w:t>3 天。</w:t>
      </w:r>
    </w:p>
    <w:p w14:paraId="5EC0A1A5">
      <w:pPr>
        <w:pStyle w:val="5"/>
        <w:spacing w:before="120" w:beforeLines="50" w:after="120" w:afterLines="50" w:line="300" w:lineRule="auto"/>
        <w:rPr>
          <w:color w:val="auto"/>
          <w:highlight w:val="none"/>
          <w:lang w:eastAsia="zh-CN"/>
        </w:rPr>
      </w:pPr>
      <w:bookmarkStart w:id="83" w:name="_Toc25374"/>
      <w:bookmarkStart w:id="84" w:name="_Toc29047"/>
      <w:r>
        <w:rPr>
          <w:rFonts w:hint="eastAsia"/>
          <w:color w:val="auto"/>
          <w:highlight w:val="none"/>
          <w:lang w:eastAsia="zh-CN"/>
        </w:rPr>
        <w:t>7.2</w:t>
      </w:r>
      <w:r>
        <w:rPr>
          <w:rFonts w:hint="eastAsia"/>
          <w:color w:val="auto"/>
          <w:spacing w:val="69"/>
          <w:highlight w:val="none"/>
          <w:lang w:eastAsia="zh-CN"/>
        </w:rPr>
        <w:t xml:space="preserve"> </w:t>
      </w:r>
      <w:r>
        <w:rPr>
          <w:rFonts w:hint="eastAsia"/>
          <w:color w:val="auto"/>
          <w:highlight w:val="none"/>
          <w:lang w:eastAsia="zh-CN"/>
        </w:rPr>
        <w:t>评标结果异议</w:t>
      </w:r>
      <w:bookmarkEnd w:id="83"/>
      <w:bookmarkEnd w:id="84"/>
    </w:p>
    <w:p w14:paraId="7B1541F0">
      <w:pPr>
        <w:pStyle w:val="10"/>
        <w:spacing w:before="120" w:beforeLines="50" w:after="120" w:afterLines="50" w:line="300" w:lineRule="auto"/>
        <w:ind w:left="100" w:right="114" w:firstLine="419"/>
        <w:jc w:val="both"/>
        <w:rPr>
          <w:color w:val="auto"/>
          <w:highlight w:val="none"/>
          <w:lang w:eastAsia="zh-CN"/>
        </w:rPr>
      </w:pPr>
      <w:r>
        <w:rPr>
          <w:rFonts w:hint="eastAsia"/>
          <w:color w:val="auto"/>
          <w:spacing w:val="-1"/>
          <w:highlight w:val="none"/>
          <w:lang w:eastAsia="zh-CN"/>
        </w:rPr>
        <w:t xml:space="preserve">投标人或者其他利害关系人对评标结果有异议的，应当在中标候选人公示期间提出。招标 </w:t>
      </w:r>
      <w:r>
        <w:rPr>
          <w:rFonts w:hint="eastAsia"/>
          <w:color w:val="auto"/>
          <w:highlight w:val="none"/>
          <w:lang w:eastAsia="zh-CN"/>
        </w:rPr>
        <w:t>人将在收到异议之日起</w:t>
      </w:r>
      <w:r>
        <w:rPr>
          <w:rFonts w:hint="eastAsia"/>
          <w:color w:val="auto"/>
          <w:spacing w:val="-57"/>
          <w:highlight w:val="none"/>
          <w:lang w:eastAsia="zh-CN"/>
        </w:rPr>
        <w:t xml:space="preserve"> </w:t>
      </w:r>
      <w:r>
        <w:rPr>
          <w:rFonts w:hint="eastAsia"/>
          <w:color w:val="auto"/>
          <w:highlight w:val="none"/>
          <w:lang w:eastAsia="zh-CN"/>
        </w:rPr>
        <w:t>3 日内作出答复；作出答复前，将暂停招标投标活动。</w:t>
      </w:r>
    </w:p>
    <w:p w14:paraId="061B3FD2">
      <w:pPr>
        <w:pStyle w:val="5"/>
        <w:spacing w:before="120" w:beforeLines="50" w:after="120" w:afterLines="50" w:line="300" w:lineRule="auto"/>
        <w:rPr>
          <w:color w:val="auto"/>
          <w:highlight w:val="none"/>
          <w:lang w:eastAsia="zh-CN"/>
        </w:rPr>
      </w:pPr>
      <w:bookmarkStart w:id="85" w:name="_Toc30767"/>
      <w:bookmarkStart w:id="86" w:name="_Toc22205"/>
      <w:r>
        <w:rPr>
          <w:rFonts w:hint="eastAsia"/>
          <w:color w:val="auto"/>
          <w:highlight w:val="none"/>
          <w:lang w:eastAsia="zh-CN"/>
        </w:rPr>
        <w:t>7.3 中标候选人履约能力审查</w:t>
      </w:r>
      <w:bookmarkEnd w:id="85"/>
      <w:bookmarkEnd w:id="86"/>
    </w:p>
    <w:p w14:paraId="55695985">
      <w:pPr>
        <w:pStyle w:val="10"/>
        <w:spacing w:before="120" w:beforeLines="50" w:after="120" w:afterLines="50" w:line="300" w:lineRule="auto"/>
        <w:ind w:left="100" w:right="114" w:firstLine="419"/>
        <w:jc w:val="both"/>
        <w:rPr>
          <w:color w:val="auto"/>
          <w:highlight w:val="none"/>
          <w:lang w:eastAsia="zh-CN"/>
        </w:rPr>
      </w:pPr>
      <w:r>
        <w:rPr>
          <w:rFonts w:hint="eastAsia"/>
          <w:color w:val="auto"/>
          <w:highlight w:val="none"/>
          <w:lang w:eastAsia="zh-CN"/>
        </w:rPr>
        <w:t>中标候选人的经营、财务状况发生较大变化或存在违法行为，招标人认为可能影响其履约 能力的，将在发出中标通知书前提请原评标委员会按照招标文件规定的标准和方法进行审查确 认。</w:t>
      </w:r>
    </w:p>
    <w:p w14:paraId="598D15E7">
      <w:pPr>
        <w:pStyle w:val="5"/>
        <w:spacing w:before="120" w:beforeLines="50" w:after="120" w:afterLines="50" w:line="300" w:lineRule="auto"/>
        <w:rPr>
          <w:color w:val="auto"/>
          <w:highlight w:val="none"/>
          <w:lang w:eastAsia="zh-CN"/>
        </w:rPr>
      </w:pPr>
      <w:bookmarkStart w:id="87" w:name="_Toc15881"/>
      <w:bookmarkStart w:id="88" w:name="_Toc30364"/>
      <w:r>
        <w:rPr>
          <w:rFonts w:hint="eastAsia"/>
          <w:color w:val="auto"/>
          <w:highlight w:val="none"/>
          <w:lang w:eastAsia="zh-CN"/>
        </w:rPr>
        <w:t>7.4</w:t>
      </w:r>
      <w:r>
        <w:rPr>
          <w:rFonts w:hint="eastAsia"/>
          <w:color w:val="auto"/>
          <w:spacing w:val="69"/>
          <w:highlight w:val="none"/>
          <w:lang w:eastAsia="zh-CN"/>
        </w:rPr>
        <w:t xml:space="preserve"> </w:t>
      </w:r>
      <w:r>
        <w:rPr>
          <w:rFonts w:hint="eastAsia"/>
          <w:color w:val="auto"/>
          <w:highlight w:val="none"/>
          <w:lang w:eastAsia="zh-CN"/>
        </w:rPr>
        <w:t>定标</w:t>
      </w:r>
      <w:bookmarkEnd w:id="87"/>
      <w:bookmarkEnd w:id="88"/>
    </w:p>
    <w:p w14:paraId="7A45A521">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按照投标人须知前附表的规定，招标人或招标人授权的评标委员会依法确定中标人。</w:t>
      </w:r>
    </w:p>
    <w:p w14:paraId="1D750AAD">
      <w:pPr>
        <w:pStyle w:val="5"/>
        <w:spacing w:before="120" w:beforeLines="50" w:after="120" w:afterLines="50" w:line="300" w:lineRule="auto"/>
        <w:rPr>
          <w:color w:val="auto"/>
          <w:highlight w:val="none"/>
          <w:lang w:eastAsia="zh-CN"/>
        </w:rPr>
      </w:pPr>
      <w:bookmarkStart w:id="89" w:name="_Toc5702"/>
      <w:bookmarkStart w:id="90" w:name="_Toc7641"/>
      <w:r>
        <w:rPr>
          <w:rFonts w:hint="eastAsia"/>
          <w:color w:val="auto"/>
          <w:highlight w:val="none"/>
          <w:lang w:eastAsia="zh-CN"/>
        </w:rPr>
        <w:t>7.5 中标通知</w:t>
      </w:r>
      <w:bookmarkEnd w:id="89"/>
      <w:bookmarkEnd w:id="90"/>
    </w:p>
    <w:p w14:paraId="1897C739">
      <w:pPr>
        <w:pStyle w:val="10"/>
        <w:spacing w:before="120" w:beforeLines="50" w:after="120" w:afterLines="50" w:line="300" w:lineRule="auto"/>
        <w:ind w:left="100" w:right="111" w:firstLine="419"/>
        <w:jc w:val="both"/>
        <w:rPr>
          <w:color w:val="auto"/>
          <w:highlight w:val="none"/>
          <w:lang w:eastAsia="zh-CN"/>
        </w:rPr>
      </w:pPr>
      <w:r>
        <w:rPr>
          <w:rFonts w:hint="eastAsia"/>
          <w:color w:val="auto"/>
          <w:highlight w:val="none"/>
          <w:lang w:eastAsia="zh-CN"/>
        </w:rPr>
        <w:t>在本章第 3.3 款规定的投标有效期内，招标人以书面形式向中标人发出中标通知书，同时 将中标结果通知未中标的投标人。</w:t>
      </w:r>
    </w:p>
    <w:p w14:paraId="236FFDFB">
      <w:pPr>
        <w:pStyle w:val="5"/>
        <w:spacing w:before="120" w:beforeLines="50" w:after="120" w:afterLines="50" w:line="300" w:lineRule="auto"/>
        <w:rPr>
          <w:color w:val="auto"/>
          <w:highlight w:val="none"/>
          <w:lang w:eastAsia="zh-CN"/>
        </w:rPr>
      </w:pPr>
      <w:bookmarkStart w:id="91" w:name="_Toc26815"/>
      <w:bookmarkStart w:id="92" w:name="_Toc11877"/>
      <w:r>
        <w:rPr>
          <w:rFonts w:hint="eastAsia"/>
          <w:color w:val="auto"/>
          <w:highlight w:val="none"/>
          <w:lang w:eastAsia="zh-CN"/>
        </w:rPr>
        <w:t>7.6 履约保证金</w:t>
      </w:r>
      <w:bookmarkEnd w:id="91"/>
      <w:bookmarkEnd w:id="92"/>
    </w:p>
    <w:p w14:paraId="5D53D7C5">
      <w:pPr>
        <w:pStyle w:val="10"/>
        <w:spacing w:before="120" w:beforeLines="50" w:after="120" w:afterLines="50" w:line="300" w:lineRule="auto"/>
        <w:ind w:right="26" w:firstLine="438" w:firstLineChars="209"/>
        <w:rPr>
          <w:color w:val="auto"/>
          <w:highlight w:val="none"/>
          <w:lang w:eastAsia="zh-CN"/>
        </w:rPr>
      </w:pPr>
      <w:r>
        <w:rPr>
          <w:rFonts w:hint="eastAsia"/>
          <w:color w:val="auto"/>
          <w:highlight w:val="none"/>
          <w:lang w:eastAsia="zh-CN"/>
        </w:rPr>
        <w:t xml:space="preserve">7.6.1 </w:t>
      </w:r>
      <w:r>
        <w:rPr>
          <w:rFonts w:hint="eastAsia"/>
          <w:color w:val="auto"/>
          <w:spacing w:val="-2"/>
          <w:highlight w:val="none"/>
          <w:lang w:eastAsia="zh-CN"/>
        </w:rPr>
        <w:t xml:space="preserve"> </w:t>
      </w:r>
      <w:r>
        <w:rPr>
          <w:rFonts w:hint="eastAsia"/>
          <w:color w:val="auto"/>
          <w:highlight w:val="none"/>
          <w:lang w:eastAsia="zh-CN"/>
        </w:rPr>
        <w:t>在</w:t>
      </w:r>
      <w:r>
        <w:rPr>
          <w:rFonts w:hint="eastAsia"/>
          <w:color w:val="auto"/>
          <w:spacing w:val="-3"/>
          <w:highlight w:val="none"/>
          <w:lang w:eastAsia="zh-CN"/>
        </w:rPr>
        <w:t>签</w:t>
      </w:r>
      <w:r>
        <w:rPr>
          <w:rFonts w:hint="eastAsia"/>
          <w:color w:val="auto"/>
          <w:highlight w:val="none"/>
          <w:lang w:eastAsia="zh-CN"/>
        </w:rPr>
        <w:t>订</w:t>
      </w:r>
      <w:r>
        <w:rPr>
          <w:rFonts w:hint="eastAsia"/>
          <w:color w:val="auto"/>
          <w:spacing w:val="-3"/>
          <w:highlight w:val="none"/>
          <w:lang w:eastAsia="zh-CN"/>
        </w:rPr>
        <w:t>合</w:t>
      </w:r>
      <w:r>
        <w:rPr>
          <w:rFonts w:hint="eastAsia"/>
          <w:color w:val="auto"/>
          <w:highlight w:val="none"/>
          <w:lang w:eastAsia="zh-CN"/>
        </w:rPr>
        <w:t>同</w:t>
      </w:r>
      <w:r>
        <w:rPr>
          <w:rFonts w:hint="eastAsia"/>
          <w:color w:val="auto"/>
          <w:spacing w:val="-3"/>
          <w:highlight w:val="none"/>
          <w:lang w:eastAsia="zh-CN"/>
        </w:rPr>
        <w:t>前</w:t>
      </w:r>
      <w:r>
        <w:rPr>
          <w:rFonts w:hint="eastAsia"/>
          <w:color w:val="auto"/>
          <w:spacing w:val="-84"/>
          <w:highlight w:val="none"/>
          <w:lang w:eastAsia="zh-CN"/>
        </w:rPr>
        <w:t>，</w:t>
      </w:r>
      <w:r>
        <w:rPr>
          <w:rFonts w:hint="eastAsia"/>
          <w:color w:val="auto"/>
          <w:spacing w:val="-3"/>
          <w:highlight w:val="none"/>
          <w:lang w:eastAsia="zh-CN"/>
        </w:rPr>
        <w:t>中标</w:t>
      </w:r>
      <w:r>
        <w:rPr>
          <w:rFonts w:hint="eastAsia"/>
          <w:color w:val="auto"/>
          <w:highlight w:val="none"/>
          <w:lang w:eastAsia="zh-CN"/>
        </w:rPr>
        <w:t>人应</w:t>
      </w:r>
      <w:r>
        <w:rPr>
          <w:rFonts w:hint="eastAsia"/>
          <w:color w:val="auto"/>
          <w:spacing w:val="-3"/>
          <w:highlight w:val="none"/>
          <w:lang w:eastAsia="zh-CN"/>
        </w:rPr>
        <w:t>按</w:t>
      </w:r>
      <w:r>
        <w:rPr>
          <w:rFonts w:hint="eastAsia"/>
          <w:color w:val="auto"/>
          <w:highlight w:val="none"/>
          <w:lang w:eastAsia="zh-CN"/>
        </w:rPr>
        <w:t>投</w:t>
      </w:r>
      <w:r>
        <w:rPr>
          <w:rFonts w:hint="eastAsia"/>
          <w:color w:val="auto"/>
          <w:spacing w:val="-3"/>
          <w:highlight w:val="none"/>
          <w:lang w:eastAsia="zh-CN"/>
        </w:rPr>
        <w:t>标</w:t>
      </w:r>
      <w:r>
        <w:rPr>
          <w:rFonts w:hint="eastAsia"/>
          <w:color w:val="auto"/>
          <w:highlight w:val="none"/>
          <w:lang w:eastAsia="zh-CN"/>
        </w:rPr>
        <w:t>人</w:t>
      </w:r>
      <w:r>
        <w:rPr>
          <w:rFonts w:hint="eastAsia"/>
          <w:color w:val="auto"/>
          <w:spacing w:val="-3"/>
          <w:highlight w:val="none"/>
          <w:lang w:eastAsia="zh-CN"/>
        </w:rPr>
        <w:t>须</w:t>
      </w:r>
      <w:r>
        <w:rPr>
          <w:rFonts w:hint="eastAsia"/>
          <w:color w:val="auto"/>
          <w:highlight w:val="none"/>
          <w:lang w:eastAsia="zh-CN"/>
        </w:rPr>
        <w:t>知</w:t>
      </w:r>
      <w:r>
        <w:rPr>
          <w:rFonts w:hint="eastAsia"/>
          <w:color w:val="auto"/>
          <w:spacing w:val="-3"/>
          <w:highlight w:val="none"/>
          <w:lang w:eastAsia="zh-CN"/>
        </w:rPr>
        <w:t>前</w:t>
      </w:r>
      <w:r>
        <w:rPr>
          <w:rFonts w:hint="eastAsia"/>
          <w:color w:val="auto"/>
          <w:highlight w:val="none"/>
          <w:lang w:eastAsia="zh-CN"/>
        </w:rPr>
        <w:t>附</w:t>
      </w:r>
      <w:r>
        <w:rPr>
          <w:rFonts w:hint="eastAsia"/>
          <w:color w:val="auto"/>
          <w:spacing w:val="-3"/>
          <w:highlight w:val="none"/>
          <w:lang w:eastAsia="zh-CN"/>
        </w:rPr>
        <w:t>表</w:t>
      </w:r>
      <w:r>
        <w:rPr>
          <w:rFonts w:hint="eastAsia"/>
          <w:color w:val="auto"/>
          <w:highlight w:val="none"/>
          <w:lang w:eastAsia="zh-CN"/>
        </w:rPr>
        <w:t>规定</w:t>
      </w:r>
      <w:r>
        <w:rPr>
          <w:rFonts w:hint="eastAsia"/>
          <w:color w:val="auto"/>
          <w:spacing w:val="-3"/>
          <w:highlight w:val="none"/>
          <w:lang w:eastAsia="zh-CN"/>
        </w:rPr>
        <w:t>的</w:t>
      </w:r>
      <w:r>
        <w:rPr>
          <w:rFonts w:hint="eastAsia"/>
          <w:color w:val="auto"/>
          <w:highlight w:val="none"/>
          <w:lang w:eastAsia="zh-CN"/>
        </w:rPr>
        <w:t>形</w:t>
      </w:r>
      <w:r>
        <w:rPr>
          <w:rFonts w:hint="eastAsia"/>
          <w:color w:val="auto"/>
          <w:spacing w:val="-3"/>
          <w:highlight w:val="none"/>
          <w:lang w:eastAsia="zh-CN"/>
        </w:rPr>
        <w:t>式</w:t>
      </w:r>
      <w:r>
        <w:rPr>
          <w:rFonts w:hint="eastAsia"/>
          <w:color w:val="auto"/>
          <w:spacing w:val="-85"/>
          <w:highlight w:val="none"/>
          <w:lang w:eastAsia="zh-CN"/>
        </w:rPr>
        <w:t>、</w:t>
      </w:r>
      <w:r>
        <w:rPr>
          <w:rFonts w:hint="eastAsia"/>
          <w:color w:val="auto"/>
          <w:spacing w:val="-3"/>
          <w:highlight w:val="none"/>
          <w:lang w:eastAsia="zh-CN"/>
        </w:rPr>
        <w:t>金</w:t>
      </w:r>
      <w:r>
        <w:rPr>
          <w:rFonts w:hint="eastAsia"/>
          <w:color w:val="auto"/>
          <w:highlight w:val="none"/>
          <w:lang w:eastAsia="zh-CN"/>
        </w:rPr>
        <w:t>额</w:t>
      </w:r>
      <w:r>
        <w:rPr>
          <w:rFonts w:hint="eastAsia"/>
          <w:color w:val="auto"/>
          <w:spacing w:val="-3"/>
          <w:highlight w:val="none"/>
          <w:lang w:eastAsia="zh-CN"/>
        </w:rPr>
        <w:t>和</w:t>
      </w:r>
      <w:r>
        <w:rPr>
          <w:rFonts w:hint="eastAsia"/>
          <w:color w:val="auto"/>
          <w:highlight w:val="none"/>
          <w:lang w:eastAsia="zh-CN"/>
        </w:rPr>
        <w:t>招</w:t>
      </w:r>
      <w:r>
        <w:rPr>
          <w:rFonts w:hint="eastAsia"/>
          <w:color w:val="auto"/>
          <w:spacing w:val="-3"/>
          <w:highlight w:val="none"/>
          <w:lang w:eastAsia="zh-CN"/>
        </w:rPr>
        <w:t>标文</w:t>
      </w:r>
      <w:r>
        <w:rPr>
          <w:rFonts w:hint="eastAsia"/>
          <w:color w:val="auto"/>
          <w:highlight w:val="none"/>
          <w:lang w:eastAsia="zh-CN"/>
        </w:rPr>
        <w:t>件第</w:t>
      </w:r>
      <w:r>
        <w:rPr>
          <w:rFonts w:hint="eastAsia"/>
          <w:color w:val="auto"/>
          <w:spacing w:val="-3"/>
          <w:highlight w:val="none"/>
          <w:lang w:eastAsia="zh-CN"/>
        </w:rPr>
        <w:t>四</w:t>
      </w:r>
      <w:r>
        <w:rPr>
          <w:rFonts w:hint="eastAsia"/>
          <w:color w:val="auto"/>
          <w:highlight w:val="none"/>
          <w:lang w:eastAsia="zh-CN"/>
        </w:rPr>
        <w:t>章</w:t>
      </w:r>
      <w:r>
        <w:rPr>
          <w:rFonts w:hint="eastAsia"/>
          <w:color w:val="auto"/>
          <w:spacing w:val="-3"/>
          <w:highlight w:val="none"/>
          <w:lang w:eastAsia="zh-CN"/>
        </w:rPr>
        <w:t>“</w:t>
      </w:r>
      <w:r>
        <w:rPr>
          <w:rFonts w:hint="eastAsia"/>
          <w:color w:val="auto"/>
          <w:highlight w:val="none"/>
          <w:lang w:eastAsia="zh-CN"/>
        </w:rPr>
        <w:t>合</w:t>
      </w:r>
      <w:r>
        <w:rPr>
          <w:rFonts w:hint="eastAsia"/>
          <w:color w:val="auto"/>
          <w:spacing w:val="2"/>
          <w:highlight w:val="none"/>
          <w:lang w:eastAsia="zh-CN"/>
        </w:rPr>
        <w:t xml:space="preserve">同条款及格式”规定的或者事先经过招标人书面认可的履约保证金格式向招标人提交履约保证 </w:t>
      </w:r>
      <w:r>
        <w:rPr>
          <w:rFonts w:hint="eastAsia"/>
          <w:color w:val="auto"/>
          <w:spacing w:val="-1"/>
          <w:highlight w:val="none"/>
          <w:lang w:eastAsia="zh-CN"/>
        </w:rPr>
        <w:t>金。除投标人须知前附表另有规定外，履约保证金为中标合同金额的</w:t>
      </w:r>
      <w:r>
        <w:rPr>
          <w:rFonts w:hint="eastAsia"/>
          <w:color w:val="auto"/>
          <w:spacing w:val="-22"/>
          <w:highlight w:val="none"/>
          <w:lang w:eastAsia="zh-CN"/>
        </w:rPr>
        <w:t xml:space="preserve"> </w:t>
      </w:r>
      <w:r>
        <w:rPr>
          <w:rFonts w:hint="eastAsia"/>
          <w:color w:val="auto"/>
          <w:highlight w:val="none"/>
          <w:lang w:eastAsia="zh-CN"/>
        </w:rPr>
        <w:t>10%。联合体中标的，其 履约保证金以联合体各方或者联合体中牵头人的名义提交。</w:t>
      </w:r>
    </w:p>
    <w:p w14:paraId="7E8E088D">
      <w:pPr>
        <w:pStyle w:val="10"/>
        <w:spacing w:before="120" w:beforeLines="50" w:after="120" w:afterLines="50" w:line="300" w:lineRule="auto"/>
        <w:ind w:right="211" w:firstLine="420" w:firstLineChars="200"/>
        <w:jc w:val="both"/>
        <w:rPr>
          <w:rFonts w:hint="eastAsia"/>
          <w:color w:val="auto"/>
          <w:highlight w:val="none"/>
          <w:lang w:eastAsia="zh-CN"/>
        </w:rPr>
      </w:pPr>
      <w:r>
        <w:rPr>
          <w:rFonts w:hint="eastAsia"/>
          <w:color w:val="auto"/>
          <w:highlight w:val="none"/>
          <w:lang w:eastAsia="zh-CN"/>
        </w:rPr>
        <w:t>7.6.2 中标人不能按本章第 7.6.1 项要求提交履约保证金的，视为放弃中标，其投标保证金 不予退还，给招标人造成的损失超过投标保证金数额的，中标人还应当对超过部分予以赔偿。</w:t>
      </w:r>
    </w:p>
    <w:p w14:paraId="61C68BC7">
      <w:pPr>
        <w:pStyle w:val="5"/>
        <w:spacing w:before="120" w:beforeLines="50" w:after="120" w:afterLines="50" w:line="300" w:lineRule="auto"/>
        <w:ind w:right="108"/>
        <w:rPr>
          <w:color w:val="auto"/>
          <w:highlight w:val="none"/>
          <w:lang w:eastAsia="zh-CN"/>
        </w:rPr>
      </w:pPr>
      <w:bookmarkStart w:id="93" w:name="_Toc1730"/>
      <w:bookmarkStart w:id="94" w:name="_Toc26850"/>
      <w:r>
        <w:rPr>
          <w:rFonts w:hint="eastAsia"/>
          <w:color w:val="auto"/>
          <w:highlight w:val="none"/>
          <w:lang w:eastAsia="zh-CN"/>
        </w:rPr>
        <w:t>7.7 签订合同</w:t>
      </w:r>
      <w:bookmarkEnd w:id="93"/>
      <w:bookmarkEnd w:id="94"/>
    </w:p>
    <w:p w14:paraId="6682E66A">
      <w:pPr>
        <w:pStyle w:val="10"/>
        <w:spacing w:before="120" w:beforeLines="50" w:after="120" w:afterLines="50" w:line="300" w:lineRule="auto"/>
        <w:ind w:left="100" w:right="211" w:firstLine="419"/>
        <w:jc w:val="both"/>
        <w:rPr>
          <w:color w:val="auto"/>
          <w:highlight w:val="none"/>
          <w:lang w:eastAsia="zh-CN"/>
        </w:rPr>
      </w:pPr>
      <w:r>
        <w:rPr>
          <w:rFonts w:hint="eastAsia"/>
          <w:color w:val="auto"/>
          <w:highlight w:val="none"/>
          <w:lang w:eastAsia="zh-CN"/>
        </w:rPr>
        <w:t>7.7.1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者不按照招标文件要求提交履约保证金的，招标人有权取消其中标资格，其投标保证金不予退还；给招标人造成的损失超过投标保证金数额的，中标人还应当对超过部分予以赔偿。</w:t>
      </w:r>
    </w:p>
    <w:p w14:paraId="536189F1">
      <w:pPr>
        <w:pStyle w:val="10"/>
        <w:spacing w:before="120" w:beforeLines="50" w:after="120" w:afterLines="50" w:line="300" w:lineRule="auto"/>
        <w:ind w:left="100" w:right="211" w:firstLine="419"/>
        <w:jc w:val="both"/>
        <w:rPr>
          <w:color w:val="auto"/>
          <w:highlight w:val="none"/>
          <w:lang w:eastAsia="zh-CN"/>
        </w:rPr>
      </w:pPr>
      <w:r>
        <w:rPr>
          <w:rFonts w:hint="eastAsia"/>
          <w:color w:val="auto"/>
          <w:highlight w:val="none"/>
          <w:lang w:eastAsia="zh-CN"/>
        </w:rPr>
        <w:t xml:space="preserve">7.7.2 </w:t>
      </w:r>
      <w:r>
        <w:rPr>
          <w:rFonts w:hint="eastAsia"/>
          <w:color w:val="auto"/>
          <w:spacing w:val="-4"/>
          <w:highlight w:val="none"/>
          <w:lang w:eastAsia="zh-CN"/>
        </w:rPr>
        <w:t xml:space="preserve">发出中标通知书后，招标人无正当理由拒签合同，或者在签订合同时向中标人提出附 </w:t>
      </w:r>
      <w:r>
        <w:rPr>
          <w:rFonts w:hint="eastAsia"/>
          <w:color w:val="auto"/>
          <w:highlight w:val="none"/>
          <w:lang w:eastAsia="zh-CN"/>
        </w:rPr>
        <w:t>加条件的，招标人向中标人退还投标保证金；给中标人造成损失的，还应当赔偿损失。</w:t>
      </w:r>
    </w:p>
    <w:p w14:paraId="0F701783">
      <w:pPr>
        <w:pStyle w:val="10"/>
        <w:spacing w:before="120" w:beforeLines="50" w:after="120" w:afterLines="50" w:line="300" w:lineRule="auto"/>
        <w:ind w:left="100" w:right="211" w:firstLine="419"/>
        <w:jc w:val="both"/>
        <w:rPr>
          <w:color w:val="auto"/>
          <w:highlight w:val="none"/>
          <w:lang w:eastAsia="zh-CN"/>
        </w:rPr>
      </w:pPr>
      <w:r>
        <w:rPr>
          <w:rFonts w:hint="eastAsia"/>
          <w:color w:val="auto"/>
          <w:spacing w:val="-1"/>
          <w:highlight w:val="none"/>
          <w:lang w:eastAsia="zh-CN"/>
        </w:rPr>
        <w:t xml:space="preserve">7.7.3 联合体中标的，联合体各方应当共同与招标人签订合同，就中标项目向招标人承担连 </w:t>
      </w:r>
      <w:r>
        <w:rPr>
          <w:rFonts w:hint="eastAsia"/>
          <w:color w:val="auto"/>
          <w:highlight w:val="none"/>
          <w:lang w:eastAsia="zh-CN"/>
        </w:rPr>
        <w:t>带责任。</w:t>
      </w:r>
    </w:p>
    <w:p w14:paraId="74703448">
      <w:pPr>
        <w:pStyle w:val="4"/>
        <w:spacing w:before="120" w:beforeLines="50" w:after="120" w:afterLines="50" w:line="300" w:lineRule="auto"/>
        <w:ind w:right="0"/>
        <w:jc w:val="both"/>
        <w:rPr>
          <w:rFonts w:ascii="宋体" w:hAnsi="宋体" w:eastAsia="宋体" w:cs="宋体"/>
          <w:color w:val="auto"/>
          <w:highlight w:val="none"/>
          <w:lang w:eastAsia="zh-CN"/>
        </w:rPr>
      </w:pPr>
      <w:bookmarkStart w:id="95" w:name="_Toc14410"/>
      <w:r>
        <w:rPr>
          <w:rFonts w:hint="eastAsia" w:ascii="宋体" w:hAnsi="宋体" w:eastAsia="宋体" w:cs="宋体"/>
          <w:color w:val="auto"/>
          <w:highlight w:val="none"/>
          <w:lang w:eastAsia="zh-CN"/>
        </w:rPr>
        <w:t>8.纪律和监督</w:t>
      </w:r>
      <w:bookmarkEnd w:id="95"/>
    </w:p>
    <w:p w14:paraId="6064CFD8">
      <w:pPr>
        <w:pStyle w:val="5"/>
        <w:spacing w:before="120" w:beforeLines="50" w:after="120" w:afterLines="50" w:line="300" w:lineRule="auto"/>
        <w:ind w:right="108"/>
        <w:rPr>
          <w:color w:val="auto"/>
          <w:highlight w:val="none"/>
          <w:lang w:eastAsia="zh-CN"/>
        </w:rPr>
      </w:pPr>
      <w:bookmarkStart w:id="96" w:name="_Toc30502"/>
      <w:bookmarkStart w:id="97" w:name="_Toc12274"/>
      <w:r>
        <w:rPr>
          <w:rFonts w:hint="eastAsia"/>
          <w:color w:val="auto"/>
          <w:highlight w:val="none"/>
          <w:lang w:eastAsia="zh-CN"/>
        </w:rPr>
        <w:t>8.1</w:t>
      </w:r>
      <w:r>
        <w:rPr>
          <w:rFonts w:hint="eastAsia"/>
          <w:color w:val="auto"/>
          <w:spacing w:val="69"/>
          <w:highlight w:val="none"/>
          <w:lang w:eastAsia="zh-CN"/>
        </w:rPr>
        <w:t xml:space="preserve"> </w:t>
      </w:r>
      <w:r>
        <w:rPr>
          <w:rFonts w:hint="eastAsia"/>
          <w:color w:val="auto"/>
          <w:highlight w:val="none"/>
          <w:lang w:eastAsia="zh-CN"/>
        </w:rPr>
        <w:t>对招标人的纪律要求</w:t>
      </w:r>
      <w:bookmarkEnd w:id="96"/>
      <w:bookmarkEnd w:id="97"/>
    </w:p>
    <w:p w14:paraId="157A3169">
      <w:pPr>
        <w:pStyle w:val="10"/>
        <w:spacing w:before="120" w:beforeLines="50" w:after="120" w:afterLines="50" w:line="300" w:lineRule="auto"/>
        <w:ind w:left="100" w:right="21" w:firstLine="419"/>
        <w:rPr>
          <w:color w:val="auto"/>
          <w:highlight w:val="none"/>
          <w:lang w:eastAsia="zh-CN"/>
        </w:rPr>
      </w:pPr>
      <w:r>
        <w:rPr>
          <w:rFonts w:hint="eastAsia"/>
          <w:color w:val="auto"/>
          <w:highlight w:val="none"/>
          <w:lang w:eastAsia="zh-CN"/>
        </w:rPr>
        <w:t>招标人不得泄露招标投标活动中应当保密的情况和资料，不得与投标人串通损害国家利益、 社会公共利益或者他人合法权益。</w:t>
      </w:r>
    </w:p>
    <w:p w14:paraId="36724801">
      <w:pPr>
        <w:pStyle w:val="5"/>
        <w:spacing w:before="120" w:beforeLines="50" w:after="120" w:afterLines="50" w:line="300" w:lineRule="auto"/>
        <w:ind w:right="108"/>
        <w:rPr>
          <w:color w:val="auto"/>
          <w:highlight w:val="none"/>
          <w:lang w:eastAsia="zh-CN"/>
        </w:rPr>
      </w:pPr>
      <w:bookmarkStart w:id="98" w:name="_Toc30277"/>
      <w:bookmarkStart w:id="99" w:name="_Toc25839"/>
      <w:r>
        <w:rPr>
          <w:rFonts w:hint="eastAsia"/>
          <w:color w:val="auto"/>
          <w:highlight w:val="none"/>
          <w:lang w:eastAsia="zh-CN"/>
        </w:rPr>
        <w:t>8.2</w:t>
      </w:r>
      <w:r>
        <w:rPr>
          <w:rFonts w:hint="eastAsia"/>
          <w:color w:val="auto"/>
          <w:spacing w:val="69"/>
          <w:highlight w:val="none"/>
          <w:lang w:eastAsia="zh-CN"/>
        </w:rPr>
        <w:t xml:space="preserve"> </w:t>
      </w:r>
      <w:r>
        <w:rPr>
          <w:rFonts w:hint="eastAsia"/>
          <w:color w:val="auto"/>
          <w:highlight w:val="none"/>
          <w:lang w:eastAsia="zh-CN"/>
        </w:rPr>
        <w:t>对投标人的纪律要求</w:t>
      </w:r>
      <w:bookmarkEnd w:id="98"/>
      <w:bookmarkEnd w:id="99"/>
    </w:p>
    <w:p w14:paraId="34838C2F">
      <w:pPr>
        <w:pStyle w:val="10"/>
        <w:spacing w:before="120" w:beforeLines="50" w:after="120" w:afterLines="50" w:line="300" w:lineRule="auto"/>
        <w:ind w:left="100" w:right="214" w:firstLine="419"/>
        <w:jc w:val="both"/>
        <w:rPr>
          <w:color w:val="auto"/>
          <w:highlight w:val="none"/>
          <w:lang w:eastAsia="zh-CN"/>
        </w:rPr>
      </w:pPr>
      <w:r>
        <w:rPr>
          <w:rFonts w:hint="eastAsia"/>
          <w:color w:val="auto"/>
          <w:highlight w:val="none"/>
          <w:lang w:eastAsia="zh-CN"/>
        </w:rPr>
        <w:t>投标人不得相互串通投标或者与招标人串通投标，不得向招标人或者评标委员会成员行贿 谋取中标，不得以他人名义投标或者以其他方式弄虚作假骗取中标；投标人不得以任何方式干 扰、影响评标工作。</w:t>
      </w:r>
    </w:p>
    <w:p w14:paraId="1C8FE0AB">
      <w:pPr>
        <w:pStyle w:val="5"/>
        <w:spacing w:before="120" w:beforeLines="50" w:after="120" w:afterLines="50" w:line="300" w:lineRule="auto"/>
        <w:ind w:right="108"/>
        <w:rPr>
          <w:color w:val="auto"/>
          <w:highlight w:val="none"/>
          <w:lang w:eastAsia="zh-CN"/>
        </w:rPr>
      </w:pPr>
      <w:bookmarkStart w:id="100" w:name="_Toc28668"/>
      <w:bookmarkStart w:id="101" w:name="_Toc15613"/>
      <w:r>
        <w:rPr>
          <w:rFonts w:hint="eastAsia"/>
          <w:color w:val="auto"/>
          <w:highlight w:val="none"/>
          <w:lang w:eastAsia="zh-CN"/>
        </w:rPr>
        <w:t>8.3</w:t>
      </w:r>
      <w:r>
        <w:rPr>
          <w:rFonts w:hint="eastAsia"/>
          <w:color w:val="auto"/>
          <w:spacing w:val="69"/>
          <w:highlight w:val="none"/>
          <w:lang w:eastAsia="zh-CN"/>
        </w:rPr>
        <w:t xml:space="preserve"> </w:t>
      </w:r>
      <w:r>
        <w:rPr>
          <w:rFonts w:hint="eastAsia"/>
          <w:color w:val="auto"/>
          <w:highlight w:val="none"/>
          <w:lang w:eastAsia="zh-CN"/>
        </w:rPr>
        <w:t>对评标委员会成员的纪律要求</w:t>
      </w:r>
      <w:bookmarkEnd w:id="100"/>
      <w:bookmarkEnd w:id="101"/>
    </w:p>
    <w:p w14:paraId="649CDE45">
      <w:pPr>
        <w:pStyle w:val="10"/>
        <w:spacing w:before="120" w:beforeLines="50" w:after="120" w:afterLines="50" w:line="300" w:lineRule="auto"/>
        <w:ind w:left="100" w:right="214" w:firstLine="419"/>
        <w:jc w:val="both"/>
        <w:rPr>
          <w:color w:val="auto"/>
          <w:highlight w:val="none"/>
          <w:lang w:eastAsia="zh-CN"/>
        </w:rPr>
      </w:pPr>
      <w:r>
        <w:rPr>
          <w:rFonts w:hint="eastAsia"/>
          <w:color w:val="auto"/>
          <w:highlight w:val="none"/>
          <w:lang w:eastAsia="zh-CN"/>
        </w:rPr>
        <w:t>评标委员会成员不得收受他人的财物或者其他好处，不得向他人透露对投标文件的评审和 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14:paraId="0D299C66">
      <w:pPr>
        <w:pStyle w:val="5"/>
        <w:spacing w:before="120" w:beforeLines="50" w:after="120" w:afterLines="50" w:line="300" w:lineRule="auto"/>
        <w:rPr>
          <w:color w:val="auto"/>
          <w:highlight w:val="none"/>
          <w:lang w:eastAsia="zh-CN"/>
        </w:rPr>
      </w:pPr>
      <w:bookmarkStart w:id="102" w:name="_Toc30475"/>
      <w:bookmarkStart w:id="103" w:name="_Toc697"/>
      <w:r>
        <w:rPr>
          <w:rFonts w:hint="eastAsia"/>
          <w:color w:val="auto"/>
          <w:highlight w:val="none"/>
          <w:lang w:eastAsia="zh-CN"/>
        </w:rPr>
        <w:t>8.4</w:t>
      </w:r>
      <w:r>
        <w:rPr>
          <w:rFonts w:hint="eastAsia"/>
          <w:color w:val="auto"/>
          <w:spacing w:val="67"/>
          <w:highlight w:val="none"/>
          <w:lang w:eastAsia="zh-CN"/>
        </w:rPr>
        <w:t xml:space="preserve"> </w:t>
      </w:r>
      <w:r>
        <w:rPr>
          <w:rFonts w:hint="eastAsia"/>
          <w:color w:val="auto"/>
          <w:highlight w:val="none"/>
          <w:lang w:eastAsia="zh-CN"/>
        </w:rPr>
        <w:t>对与评标活动有关的工作人员的纪律要求</w:t>
      </w:r>
      <w:bookmarkEnd w:id="102"/>
      <w:bookmarkEnd w:id="103"/>
    </w:p>
    <w:p w14:paraId="1E627637">
      <w:pPr>
        <w:pStyle w:val="10"/>
        <w:spacing w:before="120" w:beforeLines="50" w:after="120" w:afterLines="50" w:line="300" w:lineRule="auto"/>
        <w:ind w:left="100" w:right="114" w:firstLine="419"/>
        <w:jc w:val="both"/>
        <w:rPr>
          <w:color w:val="auto"/>
          <w:highlight w:val="none"/>
          <w:lang w:eastAsia="zh-CN"/>
        </w:rPr>
      </w:pPr>
      <w:r>
        <w:rPr>
          <w:rFonts w:hint="eastAsia"/>
          <w:color w:val="auto"/>
          <w:highlight w:val="none"/>
          <w:lang w:eastAsia="zh-CN"/>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14:paraId="14D4D009">
      <w:pPr>
        <w:pStyle w:val="5"/>
        <w:spacing w:before="120" w:beforeLines="50" w:after="120" w:afterLines="50" w:line="300" w:lineRule="auto"/>
        <w:rPr>
          <w:color w:val="auto"/>
          <w:highlight w:val="none"/>
          <w:lang w:eastAsia="zh-CN"/>
        </w:rPr>
      </w:pPr>
      <w:bookmarkStart w:id="104" w:name="_Toc22787"/>
      <w:bookmarkStart w:id="105" w:name="_Toc20210"/>
      <w:r>
        <w:rPr>
          <w:rFonts w:hint="eastAsia"/>
          <w:color w:val="auto"/>
          <w:highlight w:val="none"/>
          <w:lang w:eastAsia="zh-CN"/>
        </w:rPr>
        <w:t>8.5</w:t>
      </w:r>
      <w:r>
        <w:rPr>
          <w:rFonts w:hint="eastAsia"/>
          <w:color w:val="auto"/>
          <w:spacing w:val="69"/>
          <w:highlight w:val="none"/>
          <w:lang w:eastAsia="zh-CN"/>
        </w:rPr>
        <w:t xml:space="preserve"> </w:t>
      </w:r>
      <w:r>
        <w:rPr>
          <w:rFonts w:hint="eastAsia"/>
          <w:color w:val="auto"/>
          <w:highlight w:val="none"/>
          <w:lang w:eastAsia="zh-CN"/>
        </w:rPr>
        <w:t>投诉</w:t>
      </w:r>
      <w:bookmarkEnd w:id="104"/>
      <w:bookmarkEnd w:id="105"/>
    </w:p>
    <w:p w14:paraId="70D653D8">
      <w:pPr>
        <w:pStyle w:val="10"/>
        <w:spacing w:before="120" w:beforeLines="50" w:after="120" w:afterLines="50" w:line="300" w:lineRule="auto"/>
        <w:ind w:right="26" w:firstLine="438" w:firstLineChars="209"/>
        <w:rPr>
          <w:color w:val="auto"/>
          <w:highlight w:val="none"/>
          <w:lang w:eastAsia="zh-CN"/>
        </w:rPr>
      </w:pPr>
      <w:r>
        <w:rPr>
          <w:rFonts w:hint="eastAsia"/>
          <w:color w:val="auto"/>
          <w:highlight w:val="none"/>
          <w:lang w:eastAsia="zh-CN"/>
        </w:rPr>
        <w:t xml:space="preserve">8.5.1   </w:t>
      </w:r>
      <w:r>
        <w:rPr>
          <w:rFonts w:hint="eastAsia"/>
          <w:color w:val="auto"/>
          <w:spacing w:val="-4"/>
          <w:highlight w:val="none"/>
          <w:lang w:eastAsia="zh-CN"/>
        </w:rPr>
        <w:t>投标人或者其他利害关系人认为招标投标活动不符合法律、行政法规规定的，可以自</w:t>
      </w:r>
      <w:r>
        <w:rPr>
          <w:rFonts w:hint="eastAsia"/>
          <w:color w:val="auto"/>
          <w:highlight w:val="none"/>
          <w:lang w:eastAsia="zh-CN"/>
        </w:rPr>
        <w:t xml:space="preserve">知道或者应当知道之日起 10 </w:t>
      </w:r>
      <w:r>
        <w:rPr>
          <w:rFonts w:hint="eastAsia"/>
          <w:color w:val="auto"/>
          <w:spacing w:val="-4"/>
          <w:highlight w:val="none"/>
          <w:lang w:eastAsia="zh-CN"/>
        </w:rPr>
        <w:t>日内向有关行政监督部门投诉。投诉应当有明确的请求和必要的证</w:t>
      </w:r>
      <w:r>
        <w:rPr>
          <w:rFonts w:hint="eastAsia"/>
          <w:color w:val="auto"/>
          <w:highlight w:val="none"/>
          <w:lang w:eastAsia="zh-CN"/>
        </w:rPr>
        <w:t>明材料。</w:t>
      </w:r>
    </w:p>
    <w:p w14:paraId="1AE5AE17">
      <w:pPr>
        <w:pStyle w:val="10"/>
        <w:spacing w:before="120" w:beforeLines="50" w:after="120" w:afterLines="50" w:line="300" w:lineRule="auto"/>
        <w:ind w:right="26" w:firstLine="438" w:firstLineChars="209"/>
        <w:rPr>
          <w:color w:val="auto"/>
          <w:highlight w:val="none"/>
          <w:lang w:eastAsia="zh-CN"/>
        </w:rPr>
      </w:pPr>
      <w:r>
        <w:rPr>
          <w:rFonts w:hint="eastAsia"/>
          <w:color w:val="auto"/>
          <w:highlight w:val="none"/>
          <w:lang w:eastAsia="zh-CN"/>
        </w:rPr>
        <w:t xml:space="preserve">8.5.2   </w:t>
      </w:r>
      <w:r>
        <w:rPr>
          <w:rFonts w:hint="eastAsia"/>
          <w:color w:val="auto"/>
          <w:spacing w:val="-4"/>
          <w:highlight w:val="none"/>
          <w:lang w:eastAsia="zh-CN"/>
        </w:rPr>
        <w:t>投标人或者其他利害关系人对招标文件、开标和评标结果提出投诉的，应当按照投标</w:t>
      </w:r>
      <w:r>
        <w:rPr>
          <w:rFonts w:hint="eastAsia"/>
          <w:color w:val="auto"/>
          <w:highlight w:val="none"/>
          <w:lang w:eastAsia="zh-CN"/>
        </w:rPr>
        <w:t>人须</w:t>
      </w:r>
      <w:r>
        <w:rPr>
          <w:rFonts w:hint="eastAsia"/>
          <w:color w:val="auto"/>
          <w:spacing w:val="-3"/>
          <w:highlight w:val="none"/>
          <w:lang w:eastAsia="zh-CN"/>
        </w:rPr>
        <w:t>知</w:t>
      </w:r>
      <w:r>
        <w:rPr>
          <w:rFonts w:hint="eastAsia"/>
          <w:color w:val="auto"/>
          <w:highlight w:val="none"/>
          <w:lang w:eastAsia="zh-CN"/>
        </w:rPr>
        <w:t>第</w:t>
      </w:r>
      <w:r>
        <w:rPr>
          <w:rFonts w:hint="eastAsia"/>
          <w:color w:val="auto"/>
          <w:spacing w:val="-65"/>
          <w:highlight w:val="none"/>
          <w:lang w:eastAsia="zh-CN"/>
        </w:rPr>
        <w:t xml:space="preserve"> </w:t>
      </w:r>
      <w:r>
        <w:rPr>
          <w:rFonts w:hint="eastAsia"/>
          <w:color w:val="auto"/>
          <w:highlight w:val="none"/>
          <w:lang w:eastAsia="zh-CN"/>
        </w:rPr>
        <w:t>2.4</w:t>
      </w:r>
      <w:r>
        <w:rPr>
          <w:rFonts w:hint="eastAsia"/>
          <w:color w:val="auto"/>
          <w:spacing w:val="-12"/>
          <w:highlight w:val="none"/>
          <w:lang w:eastAsia="zh-CN"/>
        </w:rPr>
        <w:t xml:space="preserve"> </w:t>
      </w:r>
      <w:r>
        <w:rPr>
          <w:rFonts w:hint="eastAsia"/>
          <w:color w:val="auto"/>
          <w:spacing w:val="-3"/>
          <w:highlight w:val="none"/>
          <w:lang w:eastAsia="zh-CN"/>
        </w:rPr>
        <w:t>款</w:t>
      </w:r>
      <w:r>
        <w:rPr>
          <w:rFonts w:hint="eastAsia"/>
          <w:color w:val="auto"/>
          <w:spacing w:val="-106"/>
          <w:highlight w:val="none"/>
          <w:lang w:eastAsia="zh-CN"/>
        </w:rPr>
        <w:t>、</w:t>
      </w:r>
      <w:r>
        <w:rPr>
          <w:rFonts w:hint="eastAsia"/>
          <w:color w:val="auto"/>
          <w:highlight w:val="none"/>
          <w:lang w:eastAsia="zh-CN"/>
        </w:rPr>
        <w:t>第</w:t>
      </w:r>
      <w:r>
        <w:rPr>
          <w:rFonts w:hint="eastAsia"/>
          <w:color w:val="auto"/>
          <w:spacing w:val="-65"/>
          <w:highlight w:val="none"/>
          <w:lang w:eastAsia="zh-CN"/>
        </w:rPr>
        <w:t xml:space="preserve"> </w:t>
      </w:r>
      <w:r>
        <w:rPr>
          <w:rFonts w:hint="eastAsia"/>
          <w:color w:val="auto"/>
          <w:highlight w:val="none"/>
          <w:lang w:eastAsia="zh-CN"/>
        </w:rPr>
        <w:t>5.3</w:t>
      </w:r>
      <w:r>
        <w:rPr>
          <w:rFonts w:hint="eastAsia"/>
          <w:color w:val="auto"/>
          <w:spacing w:val="-12"/>
          <w:highlight w:val="none"/>
          <w:lang w:eastAsia="zh-CN"/>
        </w:rPr>
        <w:t xml:space="preserve"> </w:t>
      </w:r>
      <w:r>
        <w:rPr>
          <w:rFonts w:hint="eastAsia"/>
          <w:color w:val="auto"/>
          <w:spacing w:val="-3"/>
          <w:highlight w:val="none"/>
          <w:lang w:eastAsia="zh-CN"/>
        </w:rPr>
        <w:t>款</w:t>
      </w:r>
      <w:r>
        <w:rPr>
          <w:rFonts w:hint="eastAsia"/>
          <w:color w:val="auto"/>
          <w:highlight w:val="none"/>
          <w:lang w:eastAsia="zh-CN"/>
        </w:rPr>
        <w:t>和第</w:t>
      </w:r>
      <w:r>
        <w:rPr>
          <w:rFonts w:hint="eastAsia"/>
          <w:color w:val="auto"/>
          <w:spacing w:val="-64"/>
          <w:highlight w:val="none"/>
          <w:lang w:eastAsia="zh-CN"/>
        </w:rPr>
        <w:t xml:space="preserve"> </w:t>
      </w:r>
      <w:r>
        <w:rPr>
          <w:rFonts w:hint="eastAsia"/>
          <w:color w:val="auto"/>
          <w:highlight w:val="none"/>
          <w:lang w:eastAsia="zh-CN"/>
        </w:rPr>
        <w:t>7.2</w:t>
      </w:r>
      <w:r>
        <w:rPr>
          <w:rFonts w:hint="eastAsia"/>
          <w:color w:val="auto"/>
          <w:spacing w:val="-12"/>
          <w:highlight w:val="none"/>
          <w:lang w:eastAsia="zh-CN"/>
        </w:rPr>
        <w:t xml:space="preserve"> </w:t>
      </w:r>
      <w:r>
        <w:rPr>
          <w:rFonts w:hint="eastAsia"/>
          <w:color w:val="auto"/>
          <w:spacing w:val="-3"/>
          <w:highlight w:val="none"/>
          <w:lang w:eastAsia="zh-CN"/>
        </w:rPr>
        <w:t>款</w:t>
      </w:r>
      <w:r>
        <w:rPr>
          <w:rFonts w:hint="eastAsia"/>
          <w:color w:val="auto"/>
          <w:highlight w:val="none"/>
          <w:lang w:eastAsia="zh-CN"/>
        </w:rPr>
        <w:t>的</w:t>
      </w:r>
      <w:r>
        <w:rPr>
          <w:rFonts w:hint="eastAsia"/>
          <w:color w:val="auto"/>
          <w:spacing w:val="-3"/>
          <w:highlight w:val="none"/>
          <w:lang w:eastAsia="zh-CN"/>
        </w:rPr>
        <w:t>规</w:t>
      </w:r>
      <w:r>
        <w:rPr>
          <w:rFonts w:hint="eastAsia"/>
          <w:color w:val="auto"/>
          <w:highlight w:val="none"/>
          <w:lang w:eastAsia="zh-CN"/>
        </w:rPr>
        <w:t>定</w:t>
      </w:r>
      <w:r>
        <w:rPr>
          <w:rFonts w:hint="eastAsia"/>
          <w:color w:val="auto"/>
          <w:spacing w:val="-3"/>
          <w:highlight w:val="none"/>
          <w:lang w:eastAsia="zh-CN"/>
        </w:rPr>
        <w:t>先</w:t>
      </w:r>
      <w:r>
        <w:rPr>
          <w:rFonts w:hint="eastAsia"/>
          <w:color w:val="auto"/>
          <w:highlight w:val="none"/>
          <w:lang w:eastAsia="zh-CN"/>
        </w:rPr>
        <w:t>向</w:t>
      </w:r>
      <w:r>
        <w:rPr>
          <w:rFonts w:hint="eastAsia"/>
          <w:color w:val="auto"/>
          <w:spacing w:val="-3"/>
          <w:highlight w:val="none"/>
          <w:lang w:eastAsia="zh-CN"/>
        </w:rPr>
        <w:t>招标</w:t>
      </w:r>
      <w:r>
        <w:rPr>
          <w:rFonts w:hint="eastAsia"/>
          <w:color w:val="auto"/>
          <w:highlight w:val="none"/>
          <w:lang w:eastAsia="zh-CN"/>
        </w:rPr>
        <w:t>人提</w:t>
      </w:r>
      <w:r>
        <w:rPr>
          <w:rFonts w:hint="eastAsia"/>
          <w:color w:val="auto"/>
          <w:spacing w:val="-3"/>
          <w:highlight w:val="none"/>
          <w:lang w:eastAsia="zh-CN"/>
        </w:rPr>
        <w:t>出</w:t>
      </w:r>
      <w:r>
        <w:rPr>
          <w:rFonts w:hint="eastAsia"/>
          <w:color w:val="auto"/>
          <w:highlight w:val="none"/>
          <w:lang w:eastAsia="zh-CN"/>
        </w:rPr>
        <w:t>异</w:t>
      </w:r>
      <w:r>
        <w:rPr>
          <w:rFonts w:hint="eastAsia"/>
          <w:color w:val="auto"/>
          <w:spacing w:val="-3"/>
          <w:highlight w:val="none"/>
          <w:lang w:eastAsia="zh-CN"/>
        </w:rPr>
        <w:t>议</w:t>
      </w:r>
      <w:r>
        <w:rPr>
          <w:rFonts w:hint="eastAsia"/>
          <w:color w:val="auto"/>
          <w:spacing w:val="-106"/>
          <w:highlight w:val="none"/>
          <w:lang w:eastAsia="zh-CN"/>
        </w:rPr>
        <w:t>。</w:t>
      </w:r>
      <w:r>
        <w:rPr>
          <w:rFonts w:hint="eastAsia"/>
          <w:color w:val="auto"/>
          <w:spacing w:val="-3"/>
          <w:highlight w:val="none"/>
          <w:lang w:eastAsia="zh-CN"/>
        </w:rPr>
        <w:t>异</w:t>
      </w:r>
      <w:r>
        <w:rPr>
          <w:rFonts w:hint="eastAsia"/>
          <w:color w:val="auto"/>
          <w:highlight w:val="none"/>
          <w:lang w:eastAsia="zh-CN"/>
        </w:rPr>
        <w:t>议</w:t>
      </w:r>
      <w:r>
        <w:rPr>
          <w:rFonts w:hint="eastAsia"/>
          <w:color w:val="auto"/>
          <w:spacing w:val="-3"/>
          <w:highlight w:val="none"/>
          <w:lang w:eastAsia="zh-CN"/>
        </w:rPr>
        <w:t>答</w:t>
      </w:r>
      <w:r>
        <w:rPr>
          <w:rFonts w:hint="eastAsia"/>
          <w:color w:val="auto"/>
          <w:highlight w:val="none"/>
          <w:lang w:eastAsia="zh-CN"/>
        </w:rPr>
        <w:t>复</w:t>
      </w:r>
      <w:r>
        <w:rPr>
          <w:rFonts w:hint="eastAsia"/>
          <w:color w:val="auto"/>
          <w:spacing w:val="-3"/>
          <w:highlight w:val="none"/>
          <w:lang w:eastAsia="zh-CN"/>
        </w:rPr>
        <w:t>期间</w:t>
      </w:r>
      <w:r>
        <w:rPr>
          <w:rFonts w:hint="eastAsia"/>
          <w:color w:val="auto"/>
          <w:highlight w:val="none"/>
          <w:lang w:eastAsia="zh-CN"/>
        </w:rPr>
        <w:t>不计</w:t>
      </w:r>
      <w:r>
        <w:rPr>
          <w:rFonts w:hint="eastAsia"/>
          <w:color w:val="auto"/>
          <w:spacing w:val="-3"/>
          <w:highlight w:val="none"/>
          <w:lang w:eastAsia="zh-CN"/>
        </w:rPr>
        <w:t>算</w:t>
      </w:r>
      <w:r>
        <w:rPr>
          <w:rFonts w:hint="eastAsia"/>
          <w:color w:val="auto"/>
          <w:highlight w:val="none"/>
          <w:lang w:eastAsia="zh-CN"/>
        </w:rPr>
        <w:t>在第</w:t>
      </w:r>
      <w:r>
        <w:rPr>
          <w:rFonts w:hint="eastAsia"/>
          <w:color w:val="auto"/>
          <w:spacing w:val="-65"/>
          <w:highlight w:val="none"/>
          <w:lang w:eastAsia="zh-CN"/>
        </w:rPr>
        <w:t xml:space="preserve"> </w:t>
      </w:r>
      <w:r>
        <w:rPr>
          <w:rFonts w:hint="eastAsia"/>
          <w:color w:val="auto"/>
          <w:highlight w:val="none"/>
          <w:lang w:eastAsia="zh-CN"/>
        </w:rPr>
        <w:t>8</w:t>
      </w:r>
      <w:r>
        <w:rPr>
          <w:rFonts w:hint="eastAsia"/>
          <w:color w:val="auto"/>
          <w:spacing w:val="-3"/>
          <w:highlight w:val="none"/>
          <w:lang w:eastAsia="zh-CN"/>
        </w:rPr>
        <w:t>.</w:t>
      </w:r>
      <w:r>
        <w:rPr>
          <w:rFonts w:hint="eastAsia"/>
          <w:color w:val="auto"/>
          <w:highlight w:val="none"/>
          <w:lang w:eastAsia="zh-CN"/>
        </w:rPr>
        <w:t>5.1项规定的期限内。</w:t>
      </w:r>
    </w:p>
    <w:p w14:paraId="72D987A3">
      <w:pPr>
        <w:pStyle w:val="4"/>
        <w:spacing w:before="120" w:beforeLines="50" w:after="120" w:afterLines="50" w:line="300" w:lineRule="auto"/>
        <w:rPr>
          <w:rFonts w:ascii="宋体" w:hAnsi="宋体" w:eastAsia="宋体" w:cs="宋体"/>
          <w:color w:val="auto"/>
          <w:highlight w:val="none"/>
          <w:lang w:eastAsia="zh-CN"/>
        </w:rPr>
      </w:pPr>
      <w:bookmarkStart w:id="106" w:name="_Toc25333"/>
      <w:r>
        <w:rPr>
          <w:rFonts w:hint="eastAsia" w:ascii="宋体" w:hAnsi="宋体" w:eastAsia="宋体" w:cs="宋体"/>
          <w:color w:val="auto"/>
          <w:highlight w:val="none"/>
          <w:lang w:eastAsia="zh-CN"/>
        </w:rPr>
        <w:t>9.  是否采用电子招标投标</w:t>
      </w:r>
      <w:bookmarkEnd w:id="106"/>
    </w:p>
    <w:p w14:paraId="2B85CA78">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本招标项目是否采用电子招标投标方式，见投标人须知前附表。</w:t>
      </w:r>
    </w:p>
    <w:p w14:paraId="2830E11E">
      <w:pPr>
        <w:pStyle w:val="4"/>
        <w:spacing w:before="120" w:beforeLines="50" w:after="120" w:afterLines="50" w:line="300" w:lineRule="auto"/>
        <w:rPr>
          <w:rFonts w:ascii="宋体" w:hAnsi="宋体" w:eastAsia="宋体" w:cs="宋体"/>
          <w:color w:val="auto"/>
          <w:highlight w:val="none"/>
          <w:lang w:eastAsia="zh-CN"/>
        </w:rPr>
      </w:pPr>
      <w:bookmarkStart w:id="107" w:name="_Toc2550"/>
      <w:r>
        <w:rPr>
          <w:rFonts w:hint="eastAsia" w:ascii="宋体" w:hAnsi="宋体" w:eastAsia="宋体" w:cs="宋体"/>
          <w:color w:val="auto"/>
          <w:highlight w:val="none"/>
          <w:lang w:eastAsia="zh-CN"/>
        </w:rPr>
        <w:t>10.  需要补充的其他内容</w:t>
      </w:r>
      <w:bookmarkEnd w:id="107"/>
    </w:p>
    <w:p w14:paraId="699CC39A">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需要补充的其他内容：见投标人须知前附表。</w:t>
      </w:r>
    </w:p>
    <w:p w14:paraId="5780907A">
      <w:pPr>
        <w:pStyle w:val="5"/>
        <w:spacing w:before="120" w:beforeLines="50" w:after="120" w:afterLines="50" w:line="300" w:lineRule="auto"/>
        <w:rPr>
          <w:color w:val="auto"/>
          <w:highlight w:val="none"/>
          <w:lang w:eastAsia="zh-CN"/>
        </w:rPr>
      </w:pPr>
      <w:bookmarkStart w:id="108" w:name="_Toc12044"/>
      <w:bookmarkStart w:id="109" w:name="_Toc5628"/>
      <w:r>
        <w:rPr>
          <w:rFonts w:hint="eastAsia"/>
          <w:color w:val="auto"/>
          <w:highlight w:val="none"/>
          <w:lang w:eastAsia="zh-CN"/>
        </w:rPr>
        <w:t>1</w:t>
      </w:r>
      <w:r>
        <w:rPr>
          <w:color w:val="auto"/>
          <w:highlight w:val="none"/>
          <w:lang w:eastAsia="zh-CN"/>
        </w:rPr>
        <w:t>0.</w:t>
      </w:r>
      <w:r>
        <w:rPr>
          <w:rFonts w:hint="eastAsia"/>
          <w:color w:val="auto"/>
          <w:highlight w:val="none"/>
          <w:lang w:val="en-US" w:eastAsia="zh-CN"/>
        </w:rPr>
        <w:t>1</w:t>
      </w:r>
      <w:r>
        <w:rPr>
          <w:color w:val="auto"/>
          <w:highlight w:val="none"/>
          <w:lang w:eastAsia="zh-CN"/>
        </w:rPr>
        <w:t xml:space="preserve"> </w:t>
      </w:r>
      <w:r>
        <w:rPr>
          <w:rFonts w:hint="eastAsia"/>
          <w:color w:val="auto"/>
          <w:highlight w:val="none"/>
          <w:lang w:eastAsia="zh-CN"/>
        </w:rPr>
        <w:t>澄清、补充、修改文件发出说明</w:t>
      </w:r>
      <w:bookmarkEnd w:id="108"/>
      <w:bookmarkEnd w:id="109"/>
    </w:p>
    <w:p w14:paraId="21F9FE76">
      <w:pPr>
        <w:pStyle w:val="10"/>
        <w:spacing w:before="120" w:beforeLines="50" w:after="120" w:afterLines="50" w:line="300" w:lineRule="auto"/>
        <w:ind w:left="520" w:right="113"/>
        <w:rPr>
          <w:color w:val="auto"/>
          <w:highlight w:val="none"/>
          <w:lang w:eastAsia="zh-CN"/>
        </w:rPr>
      </w:pPr>
      <w:r>
        <w:rPr>
          <w:rFonts w:hint="eastAsia"/>
          <w:color w:val="auto"/>
          <w:highlight w:val="none"/>
          <w:lang w:eastAsia="zh-CN"/>
        </w:rPr>
        <w:t>见投标人须知前附表。</w:t>
      </w:r>
    </w:p>
    <w:p w14:paraId="616629FF">
      <w:pPr>
        <w:pStyle w:val="5"/>
        <w:spacing w:before="120" w:beforeLines="50" w:after="120" w:afterLines="50" w:line="300" w:lineRule="auto"/>
        <w:rPr>
          <w:color w:val="auto"/>
          <w:highlight w:val="none"/>
          <w:lang w:eastAsia="zh-CN"/>
        </w:rPr>
      </w:pPr>
      <w:bookmarkStart w:id="110" w:name="_Toc32757"/>
      <w:bookmarkStart w:id="111" w:name="_Toc22731"/>
      <w:r>
        <w:rPr>
          <w:rFonts w:hint="eastAsia"/>
          <w:color w:val="auto"/>
          <w:highlight w:val="none"/>
          <w:lang w:eastAsia="zh-CN"/>
        </w:rPr>
        <w:t>1</w:t>
      </w:r>
      <w:r>
        <w:rPr>
          <w:color w:val="auto"/>
          <w:highlight w:val="none"/>
          <w:lang w:eastAsia="zh-CN"/>
        </w:rPr>
        <w:t>0.</w:t>
      </w:r>
      <w:r>
        <w:rPr>
          <w:rFonts w:hint="eastAsia"/>
          <w:color w:val="auto"/>
          <w:highlight w:val="none"/>
          <w:lang w:val="en-US" w:eastAsia="zh-CN"/>
        </w:rPr>
        <w:t>2</w:t>
      </w:r>
      <w:r>
        <w:rPr>
          <w:color w:val="auto"/>
          <w:highlight w:val="none"/>
          <w:lang w:eastAsia="zh-CN"/>
        </w:rPr>
        <w:t xml:space="preserve"> </w:t>
      </w:r>
      <w:r>
        <w:rPr>
          <w:rFonts w:hint="eastAsia"/>
          <w:color w:val="auto"/>
          <w:highlight w:val="none"/>
          <w:lang w:eastAsia="zh-CN"/>
        </w:rPr>
        <w:t>招标代理服务费</w:t>
      </w:r>
      <w:bookmarkEnd w:id="110"/>
      <w:bookmarkEnd w:id="111"/>
    </w:p>
    <w:p w14:paraId="604BBF27">
      <w:pPr>
        <w:pStyle w:val="10"/>
        <w:spacing w:before="120" w:beforeLines="50" w:after="120" w:afterLines="50" w:line="300" w:lineRule="auto"/>
        <w:ind w:left="520" w:right="113"/>
        <w:rPr>
          <w:rFonts w:hint="eastAsia"/>
          <w:color w:val="auto"/>
          <w:highlight w:val="none"/>
          <w:lang w:eastAsia="zh-CN"/>
        </w:rPr>
      </w:pPr>
      <w:r>
        <w:rPr>
          <w:rFonts w:hint="eastAsia"/>
          <w:color w:val="auto"/>
          <w:highlight w:val="none"/>
          <w:lang w:eastAsia="zh-CN"/>
        </w:rPr>
        <w:t>见投标人须知前附表。</w:t>
      </w:r>
    </w:p>
    <w:p w14:paraId="043E4CD3">
      <w:pPr>
        <w:rPr>
          <w:color w:val="auto"/>
          <w:highlight w:val="none"/>
          <w:lang w:eastAsia="zh-CN"/>
        </w:rPr>
        <w:sectPr>
          <w:footerReference r:id="rId6" w:type="default"/>
          <w:pgSz w:w="12240" w:h="15840"/>
          <w:pgMar w:top="1500" w:right="1680" w:bottom="1120" w:left="1700" w:header="0" w:footer="921" w:gutter="0"/>
          <w:pgNumType w:fmt="decimal"/>
          <w:cols w:space="720" w:num="1"/>
        </w:sectPr>
      </w:pPr>
    </w:p>
    <w:p w14:paraId="6B014672">
      <w:pPr>
        <w:pStyle w:val="5"/>
        <w:rPr>
          <w:rFonts w:hint="eastAsia"/>
          <w:color w:val="auto"/>
          <w:highlight w:val="none"/>
          <w:lang w:eastAsia="zh-CN"/>
        </w:rPr>
      </w:pPr>
      <w:bookmarkStart w:id="112" w:name="_Toc27758"/>
      <w:bookmarkStart w:id="113" w:name="_Toc31449"/>
      <w:r>
        <w:rPr>
          <w:color w:val="auto"/>
          <w:highlight w:val="none"/>
          <w:lang w:eastAsia="zh-CN"/>
        </w:rPr>
        <w:t>附件一：</w:t>
      </w:r>
      <w:r>
        <w:rPr>
          <w:rFonts w:hint="eastAsia"/>
          <w:color w:val="auto"/>
          <w:highlight w:val="none"/>
          <w:lang w:eastAsia="zh-CN"/>
        </w:rPr>
        <w:t>开标一览表</w:t>
      </w:r>
      <w:bookmarkEnd w:id="112"/>
      <w:bookmarkEnd w:id="113"/>
    </w:p>
    <w:p w14:paraId="744E23F4">
      <w:pPr>
        <w:jc w:val="center"/>
        <w:rPr>
          <w:rFonts w:hint="eastAsia"/>
          <w:color w:val="auto"/>
          <w:sz w:val="24"/>
          <w:szCs w:val="32"/>
          <w:highlight w:val="none"/>
        </w:rPr>
      </w:pPr>
    </w:p>
    <w:p w14:paraId="50F46959">
      <w:pPr>
        <w:spacing w:before="120" w:beforeLines="50" w:after="120" w:afterLines="50" w:line="300" w:lineRule="auto"/>
        <w:jc w:val="center"/>
        <w:rPr>
          <w:rFonts w:hint="eastAsia"/>
          <w:color w:val="auto"/>
          <w:highlight w:val="none"/>
          <w:lang w:eastAsia="zh-CN"/>
        </w:rPr>
      </w:pPr>
      <w:r>
        <w:rPr>
          <w:rFonts w:hint="eastAsia"/>
          <w:color w:val="auto"/>
          <w:highlight w:val="none"/>
          <w:lang w:val="en-US" w:eastAsia="zh-CN"/>
        </w:rPr>
        <w:t>一、</w:t>
      </w:r>
      <w:r>
        <w:rPr>
          <w:rFonts w:hint="eastAsia"/>
          <w:color w:val="auto"/>
          <w:highlight w:val="none"/>
          <w:lang w:eastAsia="zh-CN"/>
        </w:rPr>
        <w:t>开标一览表</w:t>
      </w:r>
    </w:p>
    <w:p w14:paraId="15291CFE">
      <w:pPr>
        <w:spacing w:before="120" w:beforeLines="50" w:after="120" w:afterLines="50" w:line="300" w:lineRule="auto"/>
        <w:rPr>
          <w:rFonts w:hint="eastAsia"/>
          <w:color w:val="auto"/>
          <w:highlight w:val="none"/>
          <w:u w:val="single"/>
          <w:lang w:val="en-US" w:eastAsia="zh-CN"/>
        </w:rPr>
      </w:pPr>
      <w:r>
        <w:rPr>
          <w:rFonts w:hint="eastAsia"/>
          <w:color w:val="auto"/>
          <w:highlight w:val="none"/>
          <w:lang w:eastAsia="zh-CN"/>
        </w:rPr>
        <w:t>项目名称：</w:t>
      </w:r>
      <w:r>
        <w:rPr>
          <w:rFonts w:hint="eastAsia"/>
          <w:color w:val="auto"/>
          <w:highlight w:val="none"/>
          <w:u w:val="single"/>
          <w:lang w:val="en-US" w:eastAsia="zh-CN"/>
        </w:rPr>
        <w:t xml:space="preserve">              </w:t>
      </w:r>
    </w:p>
    <w:p w14:paraId="5A24670E">
      <w:pPr>
        <w:spacing w:before="120" w:beforeLines="50" w:after="120" w:afterLines="50" w:line="300" w:lineRule="auto"/>
        <w:rPr>
          <w:rFonts w:hint="eastAsia"/>
          <w:color w:val="auto"/>
          <w:highlight w:val="none"/>
          <w:lang w:eastAsia="zh-CN"/>
        </w:rPr>
      </w:pPr>
      <w:r>
        <w:rPr>
          <w:rFonts w:hint="eastAsia"/>
          <w:color w:val="auto"/>
          <w:highlight w:val="none"/>
          <w:lang w:eastAsia="zh-CN"/>
        </w:rPr>
        <w:t>项目编号：</w:t>
      </w:r>
      <w:r>
        <w:rPr>
          <w:rFonts w:hint="eastAsia"/>
          <w:color w:val="auto"/>
          <w:highlight w:val="none"/>
          <w:u w:val="single"/>
          <w:lang w:val="en-US" w:eastAsia="zh-CN"/>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803"/>
        <w:gridCol w:w="1803"/>
        <w:gridCol w:w="1803"/>
        <w:gridCol w:w="1804"/>
      </w:tblGrid>
      <w:tr w14:paraId="3994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vMerge w:val="restart"/>
            <w:vAlign w:val="center"/>
          </w:tcPr>
          <w:p w14:paraId="43092883">
            <w:pPr>
              <w:spacing w:before="120" w:beforeLines="50" w:after="120" w:afterLines="50" w:line="300" w:lineRule="auto"/>
              <w:jc w:val="center"/>
              <w:rPr>
                <w:rFonts w:hint="eastAsia"/>
                <w:color w:val="auto"/>
                <w:highlight w:val="none"/>
                <w:lang w:eastAsia="zh-CN"/>
              </w:rPr>
            </w:pPr>
            <w:r>
              <w:rPr>
                <w:rFonts w:hint="eastAsia"/>
                <w:color w:val="auto"/>
                <w:highlight w:val="none"/>
                <w:lang w:eastAsia="zh-CN"/>
              </w:rPr>
              <w:t>包号</w:t>
            </w:r>
          </w:p>
        </w:tc>
        <w:tc>
          <w:tcPr>
            <w:tcW w:w="5409" w:type="dxa"/>
            <w:gridSpan w:val="3"/>
            <w:vAlign w:val="center"/>
          </w:tcPr>
          <w:p w14:paraId="6FB60B91">
            <w:pPr>
              <w:spacing w:before="120" w:beforeLines="50" w:after="120" w:afterLines="50" w:line="300" w:lineRule="auto"/>
              <w:jc w:val="center"/>
              <w:rPr>
                <w:rFonts w:hint="eastAsia"/>
                <w:color w:val="auto"/>
                <w:highlight w:val="none"/>
                <w:lang w:eastAsia="zh-CN"/>
              </w:rPr>
            </w:pPr>
            <w:r>
              <w:rPr>
                <w:rFonts w:hint="eastAsia"/>
                <w:color w:val="auto"/>
                <w:highlight w:val="none"/>
                <w:lang w:eastAsia="zh-CN"/>
              </w:rPr>
              <w:t>投标报价（人民币元）</w:t>
            </w:r>
          </w:p>
        </w:tc>
        <w:tc>
          <w:tcPr>
            <w:tcW w:w="1804" w:type="dxa"/>
            <w:vAlign w:val="center"/>
          </w:tcPr>
          <w:p w14:paraId="173238B0">
            <w:pPr>
              <w:spacing w:before="120" w:beforeLines="50" w:after="120" w:afterLines="50" w:line="300" w:lineRule="auto"/>
              <w:jc w:val="center"/>
              <w:rPr>
                <w:rFonts w:hint="eastAsia"/>
                <w:color w:val="auto"/>
                <w:highlight w:val="none"/>
                <w:lang w:eastAsia="zh-CN"/>
              </w:rPr>
            </w:pPr>
            <w:r>
              <w:rPr>
                <w:rFonts w:hint="eastAsia"/>
                <w:color w:val="auto"/>
                <w:highlight w:val="none"/>
                <w:lang w:eastAsia="zh-CN"/>
              </w:rPr>
              <w:t>备注</w:t>
            </w:r>
          </w:p>
        </w:tc>
      </w:tr>
      <w:tr w14:paraId="7147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vMerge w:val="continue"/>
            <w:vAlign w:val="center"/>
          </w:tcPr>
          <w:p w14:paraId="3F4240B5">
            <w:pPr>
              <w:spacing w:before="120" w:beforeLines="50" w:after="120" w:afterLines="50" w:line="300" w:lineRule="auto"/>
              <w:jc w:val="center"/>
              <w:rPr>
                <w:rFonts w:hint="eastAsia"/>
                <w:color w:val="auto"/>
                <w:highlight w:val="none"/>
                <w:lang w:eastAsia="zh-CN"/>
              </w:rPr>
            </w:pPr>
          </w:p>
        </w:tc>
        <w:tc>
          <w:tcPr>
            <w:tcW w:w="1803" w:type="dxa"/>
            <w:vAlign w:val="center"/>
          </w:tcPr>
          <w:p w14:paraId="551AE383">
            <w:pPr>
              <w:spacing w:before="120" w:beforeLines="50" w:after="120" w:afterLines="50" w:line="300" w:lineRule="auto"/>
              <w:jc w:val="center"/>
              <w:rPr>
                <w:rFonts w:hint="eastAsia"/>
                <w:color w:val="auto"/>
                <w:highlight w:val="none"/>
                <w:lang w:eastAsia="zh-CN"/>
              </w:rPr>
            </w:pPr>
            <w:r>
              <w:rPr>
                <w:rFonts w:hint="eastAsia"/>
                <w:color w:val="auto"/>
                <w:highlight w:val="none"/>
                <w:lang w:eastAsia="zh-CN"/>
              </w:rPr>
              <w:t>大写</w:t>
            </w:r>
          </w:p>
        </w:tc>
        <w:tc>
          <w:tcPr>
            <w:tcW w:w="1803" w:type="dxa"/>
            <w:vAlign w:val="center"/>
          </w:tcPr>
          <w:p w14:paraId="7880CB8A">
            <w:pPr>
              <w:spacing w:before="120" w:beforeLines="50" w:after="120" w:afterLines="50" w:line="300" w:lineRule="auto"/>
              <w:jc w:val="center"/>
              <w:rPr>
                <w:rFonts w:hint="eastAsia"/>
                <w:color w:val="auto"/>
                <w:highlight w:val="none"/>
                <w:lang w:eastAsia="zh-CN"/>
              </w:rPr>
            </w:pPr>
            <w:r>
              <w:rPr>
                <w:rFonts w:hint="eastAsia"/>
                <w:color w:val="auto"/>
                <w:highlight w:val="none"/>
                <w:lang w:eastAsia="zh-CN"/>
              </w:rPr>
              <w:t>小写</w:t>
            </w:r>
          </w:p>
        </w:tc>
        <w:tc>
          <w:tcPr>
            <w:tcW w:w="1803" w:type="dxa"/>
            <w:vAlign w:val="center"/>
          </w:tcPr>
          <w:p w14:paraId="4D9094D2">
            <w:pPr>
              <w:spacing w:before="120" w:beforeLines="50" w:after="120" w:afterLines="50" w:line="300" w:lineRule="auto"/>
              <w:jc w:val="center"/>
              <w:rPr>
                <w:rFonts w:hint="eastAsia"/>
                <w:color w:val="auto"/>
                <w:highlight w:val="none"/>
                <w:lang w:eastAsia="zh-CN"/>
              </w:rPr>
            </w:pPr>
            <w:r>
              <w:rPr>
                <w:rFonts w:hint="eastAsia"/>
                <w:color w:val="auto"/>
                <w:highlight w:val="none"/>
                <w:lang w:eastAsia="zh-CN"/>
              </w:rPr>
              <w:t>费率/折扣率</w:t>
            </w:r>
          </w:p>
        </w:tc>
        <w:tc>
          <w:tcPr>
            <w:tcW w:w="1804" w:type="dxa"/>
            <w:vAlign w:val="center"/>
          </w:tcPr>
          <w:p w14:paraId="3B7FA025">
            <w:pPr>
              <w:spacing w:before="120" w:beforeLines="50" w:after="120" w:afterLines="50" w:line="300" w:lineRule="auto"/>
              <w:jc w:val="center"/>
              <w:rPr>
                <w:rFonts w:hint="eastAsia"/>
                <w:color w:val="auto"/>
                <w:highlight w:val="none"/>
                <w:lang w:eastAsia="zh-CN"/>
              </w:rPr>
            </w:pPr>
          </w:p>
        </w:tc>
      </w:tr>
      <w:tr w14:paraId="76C9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3" w:type="dxa"/>
            <w:vAlign w:val="center"/>
          </w:tcPr>
          <w:p w14:paraId="52C85268">
            <w:pPr>
              <w:spacing w:before="120" w:beforeLines="50" w:after="120" w:afterLines="50" w:line="300" w:lineRule="auto"/>
              <w:jc w:val="center"/>
              <w:rPr>
                <w:rFonts w:hint="eastAsia"/>
                <w:color w:val="auto"/>
                <w:highlight w:val="none"/>
                <w:lang w:eastAsia="zh-CN"/>
              </w:rPr>
            </w:pPr>
          </w:p>
        </w:tc>
        <w:tc>
          <w:tcPr>
            <w:tcW w:w="1803" w:type="dxa"/>
            <w:vAlign w:val="center"/>
          </w:tcPr>
          <w:p w14:paraId="1DA401FD">
            <w:pPr>
              <w:spacing w:before="120" w:beforeLines="50" w:after="120" w:afterLines="50" w:line="300" w:lineRule="auto"/>
              <w:jc w:val="center"/>
              <w:rPr>
                <w:rFonts w:hint="eastAsia"/>
                <w:color w:val="auto"/>
                <w:highlight w:val="none"/>
                <w:lang w:eastAsia="zh-CN"/>
              </w:rPr>
            </w:pPr>
          </w:p>
        </w:tc>
        <w:tc>
          <w:tcPr>
            <w:tcW w:w="1803" w:type="dxa"/>
            <w:vAlign w:val="center"/>
          </w:tcPr>
          <w:p w14:paraId="7C54D227">
            <w:pPr>
              <w:spacing w:before="120" w:beforeLines="50" w:after="120" w:afterLines="50" w:line="300" w:lineRule="auto"/>
              <w:jc w:val="center"/>
              <w:rPr>
                <w:rFonts w:hint="eastAsia"/>
                <w:color w:val="auto"/>
                <w:highlight w:val="none"/>
                <w:lang w:eastAsia="zh-CN"/>
              </w:rPr>
            </w:pPr>
          </w:p>
        </w:tc>
        <w:tc>
          <w:tcPr>
            <w:tcW w:w="1803" w:type="dxa"/>
            <w:vAlign w:val="center"/>
          </w:tcPr>
          <w:p w14:paraId="0B3BCAA3">
            <w:pPr>
              <w:spacing w:before="120" w:beforeLines="50" w:after="120" w:afterLines="50" w:line="300" w:lineRule="auto"/>
              <w:jc w:val="center"/>
              <w:rPr>
                <w:rFonts w:hint="eastAsia"/>
                <w:color w:val="auto"/>
                <w:highlight w:val="none"/>
                <w:lang w:eastAsia="zh-CN"/>
              </w:rPr>
            </w:pPr>
          </w:p>
        </w:tc>
        <w:tc>
          <w:tcPr>
            <w:tcW w:w="1804" w:type="dxa"/>
            <w:vAlign w:val="center"/>
          </w:tcPr>
          <w:p w14:paraId="20EC8222">
            <w:pPr>
              <w:spacing w:before="120" w:beforeLines="50" w:after="120" w:afterLines="50" w:line="300" w:lineRule="auto"/>
              <w:jc w:val="center"/>
              <w:rPr>
                <w:rFonts w:hint="eastAsia"/>
                <w:color w:val="auto"/>
                <w:highlight w:val="none"/>
                <w:lang w:eastAsia="zh-CN"/>
              </w:rPr>
            </w:pPr>
          </w:p>
        </w:tc>
      </w:tr>
    </w:tbl>
    <w:p w14:paraId="1C2F979E">
      <w:pPr>
        <w:spacing w:before="120" w:beforeLines="50" w:after="120" w:afterLines="50" w:line="300" w:lineRule="auto"/>
        <w:rPr>
          <w:rFonts w:hint="eastAsia"/>
          <w:color w:val="auto"/>
          <w:highlight w:val="none"/>
          <w:lang w:eastAsia="zh-CN"/>
        </w:rPr>
      </w:pPr>
      <w:r>
        <w:rPr>
          <w:rFonts w:hint="eastAsia"/>
          <w:color w:val="auto"/>
          <w:highlight w:val="none"/>
          <w:lang w:eastAsia="zh-CN"/>
        </w:rPr>
        <w:t>提示：请根据所报项目，选择报价或费率/折扣率其中一项进行填写，另一项请填0。</w:t>
      </w:r>
    </w:p>
    <w:p w14:paraId="5DFA91F5">
      <w:pPr>
        <w:spacing w:before="120" w:beforeLines="50" w:after="120" w:afterLines="50" w:line="300" w:lineRule="auto"/>
        <w:rPr>
          <w:rFonts w:hint="eastAsia"/>
          <w:color w:val="auto"/>
          <w:highlight w:val="none"/>
          <w:lang w:eastAsia="zh-CN"/>
        </w:rPr>
      </w:pPr>
      <w:r>
        <w:rPr>
          <w:rFonts w:hint="eastAsia"/>
          <w:color w:val="auto"/>
          <w:highlight w:val="none"/>
          <w:lang w:eastAsia="zh-CN"/>
        </w:rPr>
        <w:t>投标人名称（盖章）：</w:t>
      </w:r>
      <w:r>
        <w:rPr>
          <w:rFonts w:hint="eastAsia"/>
          <w:color w:val="auto"/>
          <w:highlight w:val="none"/>
          <w:u w:val="single"/>
          <w:lang w:val="en-US" w:eastAsia="zh-CN"/>
        </w:rPr>
        <w:t xml:space="preserve">              </w:t>
      </w:r>
    </w:p>
    <w:p w14:paraId="6BE2E6B9">
      <w:pPr>
        <w:spacing w:before="120" w:beforeLines="50" w:after="120" w:afterLines="50" w:line="300" w:lineRule="auto"/>
        <w:rPr>
          <w:rFonts w:hint="eastAsia"/>
          <w:color w:val="auto"/>
          <w:highlight w:val="none"/>
          <w:lang w:eastAsia="zh-CN"/>
        </w:rPr>
      </w:pPr>
      <w:r>
        <w:rPr>
          <w:rFonts w:hint="eastAsia"/>
          <w:color w:val="auto"/>
          <w:highlight w:val="none"/>
          <w:lang w:eastAsia="zh-CN"/>
        </w:rPr>
        <w:t>法定代表人（单位负责人）（签章）：</w:t>
      </w:r>
      <w:r>
        <w:rPr>
          <w:rFonts w:hint="eastAsia"/>
          <w:color w:val="auto"/>
          <w:highlight w:val="none"/>
          <w:u w:val="single"/>
          <w:lang w:val="en-US" w:eastAsia="zh-CN"/>
        </w:rPr>
        <w:t xml:space="preserve">              </w:t>
      </w:r>
    </w:p>
    <w:p w14:paraId="73211E62">
      <w:pPr>
        <w:spacing w:before="120" w:beforeLines="50" w:after="120" w:afterLines="50" w:line="300" w:lineRule="auto"/>
        <w:rPr>
          <w:rFonts w:hint="eastAsia"/>
          <w:color w:val="auto"/>
          <w:highlight w:val="none"/>
          <w:lang w:eastAsia="zh-CN"/>
        </w:rPr>
      </w:pPr>
      <w:r>
        <w:rPr>
          <w:rFonts w:hint="eastAsia"/>
          <w:color w:val="auto"/>
          <w:highlight w:val="none"/>
          <w:lang w:eastAsia="zh-CN"/>
        </w:rPr>
        <w:t>日期：</w:t>
      </w:r>
      <w:r>
        <w:rPr>
          <w:rFonts w:hint="eastAsia"/>
          <w:color w:val="auto"/>
          <w:highlight w:val="none"/>
          <w:u w:val="single"/>
          <w:lang w:val="en-US" w:eastAsia="zh-CN"/>
        </w:rPr>
        <w:t xml:space="preserve">              </w:t>
      </w:r>
    </w:p>
    <w:p w14:paraId="190C5B7C">
      <w:pPr>
        <w:jc w:val="center"/>
        <w:rPr>
          <w:rFonts w:hint="eastAsia"/>
          <w:color w:val="auto"/>
          <w:sz w:val="24"/>
          <w:szCs w:val="32"/>
          <w:highlight w:val="none"/>
        </w:rPr>
      </w:pPr>
    </w:p>
    <w:p w14:paraId="0099D810">
      <w:pPr>
        <w:jc w:val="center"/>
        <w:rPr>
          <w:rFonts w:hint="eastAsia"/>
          <w:color w:val="auto"/>
          <w:highlight w:val="none"/>
        </w:rPr>
      </w:pPr>
    </w:p>
    <w:p w14:paraId="4532721B">
      <w:pPr>
        <w:rPr>
          <w:color w:val="auto"/>
          <w:highlight w:val="none"/>
          <w:lang w:eastAsia="zh-CN"/>
        </w:rPr>
      </w:pPr>
    </w:p>
    <w:p w14:paraId="4F9F3FBF">
      <w:pPr>
        <w:rPr>
          <w:color w:val="auto"/>
          <w:highlight w:val="none"/>
          <w:lang w:eastAsia="zh-CN"/>
        </w:rPr>
      </w:pPr>
      <w:bookmarkStart w:id="114" w:name="_Toc493082539"/>
      <w:bookmarkStart w:id="115" w:name="_Toc24916"/>
      <w:bookmarkStart w:id="116" w:name="_Toc9649"/>
      <w:r>
        <w:rPr>
          <w:color w:val="auto"/>
          <w:highlight w:val="none"/>
          <w:lang w:eastAsia="zh-CN"/>
        </w:rPr>
        <w:br w:type="page"/>
      </w:r>
    </w:p>
    <w:p w14:paraId="45EFDC10">
      <w:pPr>
        <w:pStyle w:val="5"/>
        <w:rPr>
          <w:color w:val="auto"/>
          <w:highlight w:val="none"/>
          <w:lang w:eastAsia="zh-CN"/>
        </w:rPr>
      </w:pPr>
      <w:r>
        <w:rPr>
          <w:color w:val="auto"/>
          <w:highlight w:val="none"/>
          <w:lang w:eastAsia="zh-CN"/>
        </w:rPr>
        <w:t>附件二：问题澄清通知</w:t>
      </w:r>
      <w:bookmarkEnd w:id="114"/>
      <w:bookmarkEnd w:id="115"/>
      <w:bookmarkEnd w:id="116"/>
    </w:p>
    <w:p w14:paraId="7C1F6C49">
      <w:pPr>
        <w:spacing w:after="183"/>
        <w:ind w:right="161"/>
        <w:jc w:val="center"/>
        <w:rPr>
          <w:color w:val="auto"/>
          <w:highlight w:val="none"/>
          <w:lang w:eastAsia="zh-CN"/>
        </w:rPr>
      </w:pPr>
    </w:p>
    <w:p w14:paraId="5B35D1BB">
      <w:pPr>
        <w:pStyle w:val="7"/>
        <w:spacing w:after="84"/>
        <w:ind w:right="212"/>
        <w:jc w:val="center"/>
        <w:rPr>
          <w:color w:val="auto"/>
          <w:highlight w:val="none"/>
          <w:lang w:eastAsia="zh-CN"/>
        </w:rPr>
      </w:pPr>
      <w:r>
        <w:rPr>
          <w:color w:val="auto"/>
          <w:highlight w:val="none"/>
          <w:lang w:eastAsia="zh-CN"/>
        </w:rPr>
        <w:t>问题澄清通知</w:t>
      </w:r>
    </w:p>
    <w:p w14:paraId="726FBA59">
      <w:pPr>
        <w:spacing w:after="99"/>
        <w:ind w:left="221" w:right="430" w:hanging="10"/>
        <w:jc w:val="center"/>
        <w:rPr>
          <w:color w:val="auto"/>
          <w:highlight w:val="none"/>
          <w:lang w:eastAsia="zh-CN"/>
        </w:rPr>
      </w:pPr>
      <w:r>
        <w:rPr>
          <w:color w:val="auto"/>
          <w:sz w:val="21"/>
          <w:highlight w:val="none"/>
          <w:lang w:eastAsia="zh-CN"/>
        </w:rPr>
        <w:t>（编号：）</w:t>
      </w:r>
    </w:p>
    <w:p w14:paraId="3103CC30">
      <w:pPr>
        <w:spacing w:after="178"/>
        <w:rPr>
          <w:color w:val="auto"/>
          <w:highlight w:val="none"/>
          <w:lang w:eastAsia="zh-CN"/>
        </w:rPr>
      </w:pPr>
    </w:p>
    <w:p w14:paraId="3CDD7694">
      <w:pPr>
        <w:spacing w:after="147" w:line="265" w:lineRule="auto"/>
        <w:ind w:left="10" w:right="103" w:hanging="10"/>
        <w:rPr>
          <w:color w:val="auto"/>
          <w:highlight w:val="none"/>
          <w:lang w:eastAsia="zh-CN"/>
        </w:rPr>
      </w:pPr>
      <w:r>
        <w:rPr>
          <w:color w:val="auto"/>
          <w:sz w:val="21"/>
          <w:highlight w:val="none"/>
          <w:lang w:eastAsia="zh-CN"/>
        </w:rPr>
        <w:t>（投标人名称）：</w:t>
      </w:r>
    </w:p>
    <w:p w14:paraId="09E8B3F9">
      <w:pPr>
        <w:spacing w:after="175"/>
        <w:rPr>
          <w:color w:val="auto"/>
          <w:highlight w:val="none"/>
          <w:lang w:eastAsia="zh-CN"/>
        </w:rPr>
      </w:pPr>
    </w:p>
    <w:p w14:paraId="4EFC0A06">
      <w:pPr>
        <w:spacing w:after="17" w:line="389" w:lineRule="auto"/>
        <w:ind w:left="10" w:right="103" w:firstLine="420" w:firstLineChars="200"/>
        <w:rPr>
          <w:color w:val="auto"/>
          <w:highlight w:val="none"/>
          <w:lang w:eastAsia="zh-CN"/>
        </w:rPr>
      </w:pPr>
      <w:r>
        <w:rPr>
          <w:color w:val="auto"/>
          <w:sz w:val="21"/>
          <w:highlight w:val="none"/>
          <w:lang w:eastAsia="zh-CN"/>
        </w:rPr>
        <w:t>评标委员会对你方的投标文件进行了仔细的审查，现需你方对下列问题以书面形式予以澄清、说明或补正：</w:t>
      </w:r>
    </w:p>
    <w:p w14:paraId="580132F4">
      <w:pPr>
        <w:spacing w:after="156"/>
        <w:rPr>
          <w:color w:val="auto"/>
          <w:highlight w:val="none"/>
          <w:lang w:eastAsia="zh-CN"/>
        </w:rPr>
      </w:pPr>
    </w:p>
    <w:p w14:paraId="355AECBD">
      <w:pPr>
        <w:spacing w:after="172" w:line="265" w:lineRule="auto"/>
        <w:ind w:left="10" w:hanging="10"/>
        <w:rPr>
          <w:color w:val="auto"/>
          <w:highlight w:val="none"/>
          <w:lang w:eastAsia="zh-CN"/>
        </w:rPr>
      </w:pPr>
      <w:r>
        <w:rPr>
          <w:rFonts w:cs="Times New Roman"/>
          <w:color w:val="auto"/>
          <w:sz w:val="21"/>
          <w:highlight w:val="none"/>
          <w:lang w:eastAsia="zh-CN"/>
        </w:rPr>
        <w:t xml:space="preserve">    1. </w:t>
      </w:r>
    </w:p>
    <w:p w14:paraId="27B6DB91">
      <w:pPr>
        <w:spacing w:after="172" w:line="265" w:lineRule="auto"/>
        <w:ind w:left="10" w:hanging="10"/>
        <w:rPr>
          <w:color w:val="auto"/>
          <w:highlight w:val="none"/>
          <w:lang w:eastAsia="zh-CN"/>
        </w:rPr>
      </w:pPr>
      <w:r>
        <w:rPr>
          <w:rFonts w:cs="Times New Roman"/>
          <w:color w:val="auto"/>
          <w:sz w:val="21"/>
          <w:highlight w:val="none"/>
          <w:lang w:eastAsia="zh-CN"/>
        </w:rPr>
        <w:t xml:space="preserve">    2. </w:t>
      </w:r>
    </w:p>
    <w:p w14:paraId="72FECB07">
      <w:pPr>
        <w:spacing w:after="172" w:line="265" w:lineRule="auto"/>
        <w:ind w:left="10" w:hanging="10"/>
        <w:rPr>
          <w:color w:val="auto"/>
          <w:highlight w:val="none"/>
          <w:lang w:eastAsia="zh-CN"/>
        </w:rPr>
      </w:pPr>
      <w:r>
        <w:rPr>
          <w:rFonts w:cs="Times New Roman"/>
          <w:color w:val="auto"/>
          <w:sz w:val="21"/>
          <w:highlight w:val="none"/>
          <w:lang w:eastAsia="zh-CN"/>
        </w:rPr>
        <w:t xml:space="preserve">     ......    </w:t>
      </w:r>
    </w:p>
    <w:p w14:paraId="7EDDD4EA">
      <w:pPr>
        <w:spacing w:line="398" w:lineRule="auto"/>
        <w:ind w:left="10" w:right="211" w:firstLine="420" w:firstLineChars="200"/>
        <w:rPr>
          <w:color w:val="auto"/>
          <w:highlight w:val="none"/>
          <w:lang w:eastAsia="zh-CN"/>
        </w:rPr>
      </w:pPr>
      <w:r>
        <w:rPr>
          <w:color w:val="auto"/>
          <w:sz w:val="21"/>
          <w:highlight w:val="none"/>
          <w:lang w:eastAsia="zh-CN"/>
        </w:rPr>
        <w:t>请将上述问题的澄清、说明或补正于年月日时前递交至（详细地址）或传真至（传真号码）或通过下载招标文件的电子招标交易平台上传。采用传真方式的，应在年月日时前将原件递交至（详细地址）。</w:t>
      </w:r>
    </w:p>
    <w:p w14:paraId="0F75DA9F">
      <w:pPr>
        <w:spacing w:after="176"/>
        <w:rPr>
          <w:color w:val="auto"/>
          <w:highlight w:val="none"/>
          <w:lang w:eastAsia="zh-CN"/>
        </w:rPr>
      </w:pPr>
    </w:p>
    <w:p w14:paraId="43F6866E">
      <w:pPr>
        <w:spacing w:after="235"/>
        <w:rPr>
          <w:color w:val="auto"/>
          <w:highlight w:val="none"/>
          <w:lang w:eastAsia="zh-CN"/>
        </w:rPr>
      </w:pPr>
    </w:p>
    <w:p w14:paraId="49DDA65C">
      <w:pPr>
        <w:spacing w:after="117"/>
        <w:ind w:left="10" w:right="449" w:hanging="10"/>
        <w:jc w:val="right"/>
        <w:rPr>
          <w:color w:val="auto"/>
          <w:highlight w:val="none"/>
          <w:lang w:eastAsia="zh-CN"/>
        </w:rPr>
      </w:pPr>
      <w:r>
        <w:rPr>
          <w:color w:val="auto"/>
          <w:sz w:val="21"/>
          <w:highlight w:val="none"/>
          <w:lang w:eastAsia="zh-CN"/>
        </w:rPr>
        <w:t>评标委员会授权的招标人或招标代理机构：（签字或盖章）</w:t>
      </w:r>
    </w:p>
    <w:p w14:paraId="5C2B4805">
      <w:pPr>
        <w:spacing w:after="176"/>
        <w:rPr>
          <w:color w:val="auto"/>
          <w:highlight w:val="none"/>
          <w:lang w:eastAsia="zh-CN"/>
        </w:rPr>
      </w:pPr>
    </w:p>
    <w:p w14:paraId="3EF1CD9C">
      <w:pPr>
        <w:spacing w:after="112"/>
        <w:ind w:left="10" w:right="1052" w:hanging="10"/>
        <w:jc w:val="right"/>
        <w:rPr>
          <w:color w:val="auto"/>
          <w:highlight w:val="none"/>
          <w:lang w:eastAsia="zh-CN"/>
        </w:rPr>
      </w:pPr>
      <w:r>
        <w:rPr>
          <w:color w:val="auto"/>
          <w:sz w:val="21"/>
          <w:highlight w:val="none"/>
          <w:lang w:eastAsia="zh-CN"/>
        </w:rPr>
        <w:t>年</w:t>
      </w:r>
      <w:r>
        <w:rPr>
          <w:rFonts w:hint="eastAsia"/>
          <w:color w:val="auto"/>
          <w:sz w:val="21"/>
          <w:highlight w:val="none"/>
          <w:lang w:eastAsia="zh-CN"/>
        </w:rPr>
        <w:t xml:space="preserve"> </w:t>
      </w:r>
      <w:r>
        <w:rPr>
          <w:color w:val="auto"/>
          <w:sz w:val="21"/>
          <w:highlight w:val="none"/>
          <w:lang w:eastAsia="zh-CN"/>
        </w:rPr>
        <w:t xml:space="preserve">  月</w:t>
      </w:r>
      <w:r>
        <w:rPr>
          <w:rFonts w:hint="eastAsia"/>
          <w:color w:val="auto"/>
          <w:sz w:val="21"/>
          <w:highlight w:val="none"/>
          <w:lang w:eastAsia="zh-CN"/>
        </w:rPr>
        <w:t xml:space="preserve"> </w:t>
      </w:r>
      <w:r>
        <w:rPr>
          <w:color w:val="auto"/>
          <w:sz w:val="21"/>
          <w:highlight w:val="none"/>
          <w:lang w:eastAsia="zh-CN"/>
        </w:rPr>
        <w:t xml:space="preserve">  日</w:t>
      </w:r>
    </w:p>
    <w:p w14:paraId="194657FB">
      <w:pPr>
        <w:spacing w:after="137"/>
        <w:rPr>
          <w:color w:val="auto"/>
          <w:highlight w:val="none"/>
          <w:lang w:eastAsia="zh-CN"/>
        </w:rPr>
      </w:pPr>
    </w:p>
    <w:p w14:paraId="645A9BB3">
      <w:pPr>
        <w:rPr>
          <w:color w:val="auto"/>
          <w:highlight w:val="none"/>
          <w:lang w:eastAsia="zh-CN"/>
        </w:rPr>
        <w:sectPr>
          <w:pgSz w:w="12240" w:h="15840"/>
          <w:pgMar w:top="1400" w:right="1680" w:bottom="1120" w:left="1700" w:header="0" w:footer="921" w:gutter="0"/>
          <w:pgNumType w:fmt="decimal"/>
          <w:cols w:space="720" w:num="1"/>
        </w:sectPr>
      </w:pPr>
    </w:p>
    <w:p w14:paraId="16E209B3">
      <w:pPr>
        <w:pStyle w:val="5"/>
        <w:rPr>
          <w:color w:val="auto"/>
          <w:highlight w:val="none"/>
          <w:lang w:eastAsia="zh-CN"/>
        </w:rPr>
      </w:pPr>
      <w:bookmarkStart w:id="117" w:name="_Toc3042"/>
      <w:bookmarkStart w:id="118" w:name="_Toc16590"/>
      <w:r>
        <w:rPr>
          <w:color w:val="auto"/>
          <w:highlight w:val="none"/>
          <w:lang w:eastAsia="zh-CN"/>
        </w:rPr>
        <w:t>附件三：问题的澄清</w:t>
      </w:r>
      <w:bookmarkEnd w:id="117"/>
      <w:bookmarkEnd w:id="118"/>
    </w:p>
    <w:p w14:paraId="2A0DB89B">
      <w:pPr>
        <w:spacing w:after="58"/>
        <w:ind w:right="144"/>
        <w:jc w:val="center"/>
        <w:rPr>
          <w:color w:val="auto"/>
          <w:highlight w:val="none"/>
          <w:lang w:eastAsia="zh-CN"/>
        </w:rPr>
      </w:pPr>
    </w:p>
    <w:p w14:paraId="2A36B6B5">
      <w:pPr>
        <w:pStyle w:val="7"/>
        <w:spacing w:after="46"/>
        <w:ind w:right="214"/>
        <w:jc w:val="center"/>
        <w:rPr>
          <w:color w:val="auto"/>
          <w:highlight w:val="none"/>
          <w:lang w:eastAsia="zh-CN"/>
        </w:rPr>
      </w:pPr>
      <w:r>
        <w:rPr>
          <w:color w:val="auto"/>
          <w:highlight w:val="none"/>
          <w:lang w:eastAsia="zh-CN"/>
        </w:rPr>
        <w:t>问题的澄清</w:t>
      </w:r>
    </w:p>
    <w:p w14:paraId="308F6E3A">
      <w:pPr>
        <w:spacing w:after="62"/>
        <w:ind w:left="680" w:hanging="10"/>
        <w:jc w:val="center"/>
        <w:rPr>
          <w:color w:val="auto"/>
          <w:highlight w:val="none"/>
          <w:lang w:eastAsia="zh-CN"/>
        </w:rPr>
      </w:pPr>
      <w:r>
        <w:rPr>
          <w:color w:val="auto"/>
          <w:sz w:val="21"/>
          <w:highlight w:val="none"/>
          <w:lang w:eastAsia="zh-CN"/>
        </w:rPr>
        <w:t>（编号：）</w:t>
      </w:r>
    </w:p>
    <w:p w14:paraId="45218276">
      <w:pPr>
        <w:spacing w:after="177"/>
        <w:rPr>
          <w:color w:val="auto"/>
          <w:highlight w:val="none"/>
          <w:lang w:eastAsia="zh-CN"/>
        </w:rPr>
      </w:pPr>
    </w:p>
    <w:p w14:paraId="798D936F">
      <w:pPr>
        <w:spacing w:after="153" w:line="265" w:lineRule="auto"/>
        <w:ind w:left="10" w:right="103" w:hanging="10"/>
        <w:rPr>
          <w:color w:val="auto"/>
          <w:highlight w:val="none"/>
          <w:lang w:eastAsia="zh-CN"/>
        </w:rPr>
      </w:pPr>
      <w:r>
        <w:rPr>
          <w:color w:val="auto"/>
          <w:sz w:val="21"/>
          <w:highlight w:val="none"/>
          <w:lang w:eastAsia="zh-CN"/>
        </w:rPr>
        <w:t>评标委员会：</w:t>
      </w:r>
    </w:p>
    <w:p w14:paraId="3304E70C">
      <w:pPr>
        <w:spacing w:after="236"/>
        <w:rPr>
          <w:color w:val="auto"/>
          <w:highlight w:val="none"/>
          <w:lang w:eastAsia="zh-CN"/>
        </w:rPr>
      </w:pPr>
    </w:p>
    <w:p w14:paraId="10F7FC1B">
      <w:pPr>
        <w:spacing w:after="123" w:line="265" w:lineRule="auto"/>
        <w:ind w:left="10" w:right="103" w:hanging="10"/>
        <w:rPr>
          <w:color w:val="auto"/>
          <w:highlight w:val="none"/>
          <w:lang w:eastAsia="zh-CN"/>
        </w:rPr>
      </w:pPr>
      <w:r>
        <w:rPr>
          <w:color w:val="auto"/>
          <w:sz w:val="21"/>
          <w:highlight w:val="none"/>
          <w:lang w:eastAsia="zh-CN"/>
        </w:rPr>
        <w:t xml:space="preserve">  问题澄清通知（编号：）已收悉，现澄清、说明或补正如下：</w:t>
      </w:r>
    </w:p>
    <w:p w14:paraId="22559007">
      <w:pPr>
        <w:spacing w:after="123" w:line="265" w:lineRule="auto"/>
        <w:ind w:left="10" w:right="103" w:firstLine="420" w:firstLineChars="200"/>
        <w:rPr>
          <w:color w:val="auto"/>
          <w:highlight w:val="none"/>
          <w:lang w:eastAsia="zh-CN"/>
        </w:rPr>
      </w:pPr>
      <w:r>
        <w:rPr>
          <w:rFonts w:cs="Times New Roman"/>
          <w:color w:val="auto"/>
          <w:sz w:val="21"/>
          <w:highlight w:val="none"/>
          <w:lang w:eastAsia="zh-CN"/>
        </w:rPr>
        <w:t xml:space="preserve">1. </w:t>
      </w:r>
    </w:p>
    <w:p w14:paraId="0EAC4DE7">
      <w:pPr>
        <w:spacing w:after="2" w:line="386" w:lineRule="auto"/>
        <w:ind w:left="420" w:right="7645" w:hanging="420" w:hangingChars="200"/>
        <w:rPr>
          <w:color w:val="auto"/>
          <w:highlight w:val="none"/>
          <w:lang w:eastAsia="zh-CN"/>
        </w:rPr>
      </w:pPr>
      <w:r>
        <w:rPr>
          <w:rFonts w:cs="Times New Roman"/>
          <w:color w:val="auto"/>
          <w:sz w:val="21"/>
          <w:highlight w:val="none"/>
          <w:lang w:eastAsia="zh-CN"/>
        </w:rPr>
        <w:t xml:space="preserve">     2.     ..... </w:t>
      </w:r>
    </w:p>
    <w:p w14:paraId="1A46BD03">
      <w:pPr>
        <w:spacing w:after="179"/>
        <w:rPr>
          <w:color w:val="auto"/>
          <w:highlight w:val="none"/>
          <w:lang w:eastAsia="zh-CN"/>
        </w:rPr>
      </w:pPr>
    </w:p>
    <w:p w14:paraId="4CB4579A">
      <w:pPr>
        <w:spacing w:after="153"/>
        <w:rPr>
          <w:color w:val="auto"/>
          <w:highlight w:val="none"/>
          <w:lang w:eastAsia="zh-CN"/>
        </w:rPr>
      </w:pPr>
    </w:p>
    <w:p w14:paraId="40E1F713">
      <w:pPr>
        <w:spacing w:after="177"/>
        <w:rPr>
          <w:color w:val="auto"/>
          <w:highlight w:val="none"/>
          <w:lang w:eastAsia="zh-CN"/>
        </w:rPr>
      </w:pPr>
    </w:p>
    <w:p w14:paraId="31E927B8">
      <w:pPr>
        <w:spacing w:after="143" w:line="265" w:lineRule="auto"/>
        <w:ind w:left="417" w:right="103" w:hanging="10"/>
        <w:rPr>
          <w:color w:val="auto"/>
          <w:highlight w:val="none"/>
          <w:lang w:eastAsia="zh-CN"/>
        </w:rPr>
      </w:pPr>
      <w:r>
        <w:rPr>
          <w:color w:val="auto"/>
          <w:sz w:val="21"/>
          <w:highlight w:val="none"/>
          <w:lang w:eastAsia="zh-CN"/>
        </w:rPr>
        <w:t>上述问题澄清、说明或补正，不改变我方投标文件的实质性内容，构成我方投标文件的组</w:t>
      </w:r>
    </w:p>
    <w:p w14:paraId="6F1AF097">
      <w:pPr>
        <w:spacing w:after="152" w:line="265" w:lineRule="auto"/>
        <w:ind w:left="10" w:right="103" w:hanging="10"/>
        <w:rPr>
          <w:color w:val="auto"/>
          <w:highlight w:val="none"/>
          <w:lang w:eastAsia="zh-CN"/>
        </w:rPr>
      </w:pPr>
      <w:r>
        <w:rPr>
          <w:color w:val="auto"/>
          <w:sz w:val="21"/>
          <w:highlight w:val="none"/>
          <w:lang w:eastAsia="zh-CN"/>
        </w:rPr>
        <w:t>成部分。</w:t>
      </w:r>
    </w:p>
    <w:p w14:paraId="12996FA3">
      <w:pPr>
        <w:spacing w:after="177"/>
        <w:rPr>
          <w:color w:val="auto"/>
          <w:highlight w:val="none"/>
          <w:lang w:eastAsia="zh-CN"/>
        </w:rPr>
      </w:pPr>
    </w:p>
    <w:p w14:paraId="23A190C1">
      <w:pPr>
        <w:pStyle w:val="34"/>
        <w:rPr>
          <w:color w:val="auto"/>
          <w:highlight w:val="none"/>
        </w:rPr>
      </w:pPr>
    </w:p>
    <w:p w14:paraId="7C7551BE">
      <w:pPr>
        <w:pStyle w:val="34"/>
        <w:rPr>
          <w:rFonts w:hint="eastAsia"/>
          <w:color w:val="auto"/>
          <w:highlight w:val="none"/>
        </w:rPr>
      </w:pPr>
    </w:p>
    <w:p w14:paraId="6959A566">
      <w:pPr>
        <w:spacing w:before="120" w:beforeLines="50" w:after="120" w:afterLines="50" w:line="300" w:lineRule="auto"/>
        <w:ind w:right="1783"/>
        <w:rPr>
          <w:color w:val="auto"/>
          <w:sz w:val="21"/>
          <w:highlight w:val="none"/>
          <w:lang w:eastAsia="zh-CN"/>
        </w:rPr>
      </w:pPr>
      <w:r>
        <w:rPr>
          <w:color w:val="auto"/>
          <w:sz w:val="21"/>
          <w:highlight w:val="none"/>
          <w:lang w:eastAsia="zh-CN"/>
        </w:rPr>
        <w:t>投标人：（盖单位章）</w:t>
      </w:r>
    </w:p>
    <w:p w14:paraId="6BA51020">
      <w:pPr>
        <w:pStyle w:val="34"/>
        <w:rPr>
          <w:rFonts w:hint="eastAsia"/>
          <w:color w:val="auto"/>
          <w:highlight w:val="none"/>
        </w:rPr>
      </w:pPr>
    </w:p>
    <w:p w14:paraId="70AB3599">
      <w:pPr>
        <w:spacing w:before="120" w:beforeLines="50" w:after="120" w:afterLines="50" w:line="300" w:lineRule="auto"/>
        <w:ind w:right="1363"/>
        <w:rPr>
          <w:color w:val="auto"/>
          <w:sz w:val="21"/>
          <w:highlight w:val="none"/>
          <w:lang w:eastAsia="zh-CN"/>
        </w:rPr>
      </w:pPr>
      <w:r>
        <w:rPr>
          <w:color w:val="auto"/>
          <w:sz w:val="21"/>
          <w:highlight w:val="none"/>
          <w:lang w:eastAsia="zh-CN"/>
        </w:rPr>
        <w:t>法定代表人或其委托代理人：（签字）</w:t>
      </w:r>
    </w:p>
    <w:p w14:paraId="01956C59">
      <w:pPr>
        <w:pStyle w:val="34"/>
        <w:rPr>
          <w:rFonts w:hint="eastAsia"/>
          <w:color w:val="auto"/>
          <w:highlight w:val="none"/>
        </w:rPr>
      </w:pPr>
    </w:p>
    <w:p w14:paraId="57FC9B26">
      <w:pPr>
        <w:pStyle w:val="5"/>
        <w:rPr>
          <w:rFonts w:hint="eastAsia" w:ascii="宋体" w:hAnsi="宋体" w:eastAsia="宋体" w:cs="宋体"/>
          <w:color w:val="auto"/>
          <w:sz w:val="21"/>
          <w:szCs w:val="21"/>
          <w:highlight w:val="none"/>
          <w:lang w:val="en-US" w:eastAsia="zh-CN" w:bidi="ar-SA"/>
        </w:rPr>
      </w:pPr>
      <w:r>
        <w:rPr>
          <w:color w:val="auto"/>
          <w:sz w:val="21"/>
          <w:highlight w:val="none"/>
        </w:rPr>
        <w:t>年</w:t>
      </w:r>
      <w:r>
        <w:rPr>
          <w:rFonts w:hint="eastAsia"/>
          <w:color w:val="auto"/>
          <w:sz w:val="21"/>
          <w:highlight w:val="none"/>
          <w:lang w:eastAsia="zh-CN"/>
        </w:rPr>
        <w:t xml:space="preserve"> </w:t>
      </w:r>
      <w:r>
        <w:rPr>
          <w:color w:val="auto"/>
          <w:sz w:val="21"/>
          <w:highlight w:val="none"/>
          <w:lang w:eastAsia="zh-CN"/>
        </w:rPr>
        <w:t xml:space="preserve">  </w:t>
      </w:r>
      <w:r>
        <w:rPr>
          <w:color w:val="auto"/>
          <w:sz w:val="21"/>
          <w:highlight w:val="none"/>
        </w:rPr>
        <w:t>月</w:t>
      </w:r>
      <w:r>
        <w:rPr>
          <w:rFonts w:hint="eastAsia"/>
          <w:color w:val="auto"/>
          <w:sz w:val="21"/>
          <w:highlight w:val="none"/>
          <w:lang w:eastAsia="zh-CN"/>
        </w:rPr>
        <w:t xml:space="preserve"> </w:t>
      </w:r>
      <w:r>
        <w:rPr>
          <w:color w:val="auto"/>
          <w:sz w:val="21"/>
          <w:highlight w:val="none"/>
          <w:lang w:eastAsia="zh-CN"/>
        </w:rPr>
        <w:t xml:space="preserve">  </w:t>
      </w:r>
      <w:r>
        <w:rPr>
          <w:color w:val="auto"/>
          <w:sz w:val="21"/>
          <w:highlight w:val="none"/>
        </w:rPr>
        <w:t>日</w:t>
      </w:r>
      <w:bookmarkStart w:id="119" w:name="_Toc2026"/>
      <w:bookmarkStart w:id="120" w:name="_Toc28794"/>
    </w:p>
    <w:p w14:paraId="57717EAA">
      <w:pPr>
        <w:pStyle w:val="5"/>
        <w:rPr>
          <w:color w:val="auto"/>
          <w:highlight w:val="none"/>
          <w:lang w:eastAsia="zh-CN"/>
        </w:rPr>
      </w:pPr>
    </w:p>
    <w:p w14:paraId="17501C66">
      <w:pPr>
        <w:pStyle w:val="5"/>
        <w:rPr>
          <w:color w:val="auto"/>
          <w:highlight w:val="none"/>
          <w:lang w:eastAsia="zh-CN"/>
        </w:rPr>
      </w:pPr>
    </w:p>
    <w:p w14:paraId="4DBC69FA">
      <w:pPr>
        <w:pStyle w:val="5"/>
        <w:rPr>
          <w:color w:val="auto"/>
          <w:highlight w:val="none"/>
          <w:lang w:eastAsia="zh-CN"/>
        </w:rPr>
      </w:pPr>
    </w:p>
    <w:p w14:paraId="5D340A5B">
      <w:pPr>
        <w:pStyle w:val="5"/>
        <w:rPr>
          <w:color w:val="auto"/>
          <w:highlight w:val="none"/>
          <w:lang w:eastAsia="zh-CN"/>
        </w:rPr>
      </w:pPr>
    </w:p>
    <w:p w14:paraId="6C47C614">
      <w:pPr>
        <w:pStyle w:val="5"/>
        <w:rPr>
          <w:color w:val="auto"/>
          <w:highlight w:val="none"/>
          <w:lang w:eastAsia="zh-CN"/>
        </w:rPr>
      </w:pPr>
    </w:p>
    <w:p w14:paraId="40B16185">
      <w:pPr>
        <w:pStyle w:val="5"/>
        <w:rPr>
          <w:color w:val="auto"/>
          <w:highlight w:val="none"/>
          <w:lang w:eastAsia="zh-CN"/>
        </w:rPr>
      </w:pPr>
    </w:p>
    <w:bookmarkEnd w:id="119"/>
    <w:bookmarkEnd w:id="120"/>
    <w:p w14:paraId="77ACF56C">
      <w:pPr>
        <w:pStyle w:val="3"/>
        <w:bidi w:val="0"/>
        <w:rPr>
          <w:color w:val="auto"/>
          <w:highlight w:val="none"/>
          <w:lang w:eastAsia="zh-CN"/>
        </w:rPr>
      </w:pPr>
      <w:bookmarkStart w:id="121" w:name="_Toc493082544"/>
      <w:bookmarkStart w:id="122" w:name="_Toc8859"/>
      <w:r>
        <w:rPr>
          <w:color w:val="auto"/>
          <w:highlight w:val="none"/>
          <w:lang w:eastAsia="zh-CN"/>
        </w:rPr>
        <w:t>第三章</w:t>
      </w:r>
      <w:r>
        <w:rPr>
          <w:rFonts w:hint="eastAsia"/>
          <w:color w:val="auto"/>
          <w:highlight w:val="none"/>
          <w:lang w:val="en-US" w:eastAsia="zh-CN"/>
        </w:rPr>
        <w:t xml:space="preserve"> </w:t>
      </w:r>
      <w:r>
        <w:rPr>
          <w:color w:val="auto"/>
          <w:highlight w:val="none"/>
          <w:lang w:eastAsia="zh-CN"/>
        </w:rPr>
        <w:t>评标办法（综合评估法）</w:t>
      </w:r>
      <w:bookmarkEnd w:id="121"/>
      <w:bookmarkEnd w:id="122"/>
    </w:p>
    <w:p w14:paraId="07196E43">
      <w:pPr>
        <w:pStyle w:val="4"/>
        <w:spacing w:before="120" w:beforeLines="50" w:after="120" w:afterLines="50" w:line="300" w:lineRule="auto"/>
        <w:jc w:val="center"/>
        <w:rPr>
          <w:color w:val="auto"/>
          <w:highlight w:val="none"/>
        </w:rPr>
      </w:pPr>
      <w:bookmarkStart w:id="123" w:name="_Toc15415"/>
      <w:bookmarkStart w:id="124" w:name="_Toc493082545"/>
      <w:r>
        <w:rPr>
          <w:color w:val="auto"/>
          <w:highlight w:val="none"/>
        </w:rPr>
        <w:t>评标办法前附表</w:t>
      </w:r>
      <w:bookmarkEnd w:id="123"/>
      <w:bookmarkEnd w:id="124"/>
    </w:p>
    <w:tbl>
      <w:tblPr>
        <w:tblStyle w:val="19"/>
        <w:tblW w:w="9818"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46" w:type="dxa"/>
          <w:right w:w="89" w:type="dxa"/>
        </w:tblCellMar>
      </w:tblPr>
      <w:tblGrid>
        <w:gridCol w:w="977"/>
        <w:gridCol w:w="53"/>
        <w:gridCol w:w="1047"/>
        <w:gridCol w:w="2041"/>
        <w:gridCol w:w="5700"/>
      </w:tblGrid>
      <w:tr w14:paraId="2934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424" w:hRule="atLeast"/>
          <w:tblHeader/>
        </w:trPr>
        <w:tc>
          <w:tcPr>
            <w:tcW w:w="2077" w:type="dxa"/>
            <w:gridSpan w:val="3"/>
            <w:vAlign w:val="center"/>
          </w:tcPr>
          <w:p w14:paraId="022A8F3B">
            <w:pPr>
              <w:pStyle w:val="1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2041" w:type="dxa"/>
            <w:vAlign w:val="center"/>
          </w:tcPr>
          <w:p w14:paraId="1BD3AFC7">
            <w:pPr>
              <w:pStyle w:val="1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5700" w:type="dxa"/>
            <w:vAlign w:val="center"/>
          </w:tcPr>
          <w:p w14:paraId="72E61908">
            <w:pPr>
              <w:pStyle w:val="1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4263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1456" w:hRule="atLeast"/>
        </w:trPr>
        <w:tc>
          <w:tcPr>
            <w:tcW w:w="977" w:type="dxa"/>
            <w:vAlign w:val="center"/>
          </w:tcPr>
          <w:p w14:paraId="54093ADD">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00" w:type="dxa"/>
            <w:gridSpan w:val="2"/>
            <w:vAlign w:val="center"/>
          </w:tcPr>
          <w:p w14:paraId="41039FDC">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w:t>
            </w:r>
          </w:p>
          <w:p w14:paraId="3027F33D">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方法</w:t>
            </w:r>
          </w:p>
        </w:tc>
        <w:tc>
          <w:tcPr>
            <w:tcW w:w="2041" w:type="dxa"/>
            <w:vAlign w:val="center"/>
          </w:tcPr>
          <w:p w14:paraId="2087045A">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中标候选人排序方法</w:t>
            </w:r>
          </w:p>
        </w:tc>
        <w:tc>
          <w:tcPr>
            <w:tcW w:w="5700" w:type="dxa"/>
            <w:vAlign w:val="center"/>
          </w:tcPr>
          <w:p w14:paraId="500ACE3D">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以（1）资信业绩、（2）其他评分因素的顺序，得分高者优先。</w:t>
            </w:r>
          </w:p>
        </w:tc>
      </w:tr>
      <w:tr w14:paraId="4D77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395" w:hRule="atLeast"/>
        </w:trPr>
        <w:tc>
          <w:tcPr>
            <w:tcW w:w="977" w:type="dxa"/>
            <w:vMerge w:val="restart"/>
            <w:vAlign w:val="center"/>
          </w:tcPr>
          <w:p w14:paraId="595D705F">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100" w:type="dxa"/>
            <w:gridSpan w:val="2"/>
            <w:vMerge w:val="restart"/>
            <w:vAlign w:val="center"/>
          </w:tcPr>
          <w:p w14:paraId="4B30D08C">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041" w:type="dxa"/>
            <w:vAlign w:val="center"/>
          </w:tcPr>
          <w:p w14:paraId="7326FE59">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700" w:type="dxa"/>
            <w:vAlign w:val="center"/>
          </w:tcPr>
          <w:p w14:paraId="7F26C7C4">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与营业执照、资质证书一致</w:t>
            </w:r>
          </w:p>
        </w:tc>
      </w:tr>
      <w:tr w14:paraId="55C2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90" w:hRule="atLeast"/>
        </w:trPr>
        <w:tc>
          <w:tcPr>
            <w:tcW w:w="977" w:type="dxa"/>
            <w:vMerge w:val="continue"/>
            <w:vAlign w:val="center"/>
          </w:tcPr>
          <w:p w14:paraId="0E66CEA4">
            <w:pPr>
              <w:pStyle w:val="10"/>
              <w:jc w:val="center"/>
              <w:rPr>
                <w:rFonts w:hint="eastAsia" w:ascii="宋体" w:hAnsi="宋体" w:eastAsia="宋体" w:cs="宋体"/>
                <w:color w:val="auto"/>
                <w:sz w:val="21"/>
                <w:szCs w:val="21"/>
                <w:highlight w:val="none"/>
                <w:lang w:eastAsia="zh-CN"/>
              </w:rPr>
            </w:pPr>
          </w:p>
        </w:tc>
        <w:tc>
          <w:tcPr>
            <w:tcW w:w="1100" w:type="dxa"/>
            <w:gridSpan w:val="2"/>
            <w:vMerge w:val="continue"/>
            <w:vAlign w:val="center"/>
          </w:tcPr>
          <w:p w14:paraId="7117B9A3">
            <w:pPr>
              <w:pStyle w:val="10"/>
              <w:jc w:val="center"/>
              <w:rPr>
                <w:rFonts w:hint="eastAsia" w:ascii="宋体" w:hAnsi="宋体" w:eastAsia="宋体" w:cs="宋体"/>
                <w:color w:val="auto"/>
                <w:sz w:val="21"/>
                <w:szCs w:val="21"/>
                <w:highlight w:val="none"/>
                <w:lang w:eastAsia="zh-CN"/>
              </w:rPr>
            </w:pPr>
          </w:p>
        </w:tc>
        <w:tc>
          <w:tcPr>
            <w:tcW w:w="2041" w:type="dxa"/>
            <w:vAlign w:val="center"/>
          </w:tcPr>
          <w:p w14:paraId="3341584D">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投标函及投标函附录签字盖章</w:t>
            </w:r>
          </w:p>
        </w:tc>
        <w:tc>
          <w:tcPr>
            <w:tcW w:w="5700" w:type="dxa"/>
            <w:vAlign w:val="center"/>
          </w:tcPr>
          <w:p w14:paraId="6ADA27D6">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有法定代表人或其委托代理人签字或加盖单位章。由法定代表人签字的，应附法定代表人身份证明，由代理人签字的，应附授权委托书，身份证明或授权委托书应符合第六章“投标文件格式”的规定。</w:t>
            </w:r>
          </w:p>
        </w:tc>
      </w:tr>
      <w:tr w14:paraId="5CA6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392" w:hRule="atLeast"/>
        </w:trPr>
        <w:tc>
          <w:tcPr>
            <w:tcW w:w="977" w:type="dxa"/>
            <w:vMerge w:val="continue"/>
            <w:vAlign w:val="center"/>
          </w:tcPr>
          <w:p w14:paraId="339C428A">
            <w:pPr>
              <w:pStyle w:val="10"/>
              <w:jc w:val="center"/>
              <w:rPr>
                <w:rFonts w:hint="eastAsia" w:ascii="宋体" w:hAnsi="宋体" w:eastAsia="宋体" w:cs="宋体"/>
                <w:color w:val="auto"/>
                <w:sz w:val="21"/>
                <w:szCs w:val="21"/>
                <w:highlight w:val="none"/>
                <w:lang w:eastAsia="zh-CN"/>
              </w:rPr>
            </w:pPr>
          </w:p>
        </w:tc>
        <w:tc>
          <w:tcPr>
            <w:tcW w:w="1100" w:type="dxa"/>
            <w:gridSpan w:val="2"/>
            <w:vMerge w:val="continue"/>
            <w:vAlign w:val="center"/>
          </w:tcPr>
          <w:p w14:paraId="00113CD9">
            <w:pPr>
              <w:pStyle w:val="10"/>
              <w:jc w:val="center"/>
              <w:rPr>
                <w:rFonts w:hint="eastAsia" w:ascii="宋体" w:hAnsi="宋体" w:eastAsia="宋体" w:cs="宋体"/>
                <w:color w:val="auto"/>
                <w:sz w:val="21"/>
                <w:szCs w:val="21"/>
                <w:highlight w:val="none"/>
                <w:lang w:eastAsia="zh-CN"/>
              </w:rPr>
            </w:pPr>
          </w:p>
        </w:tc>
        <w:tc>
          <w:tcPr>
            <w:tcW w:w="2041" w:type="dxa"/>
            <w:vAlign w:val="center"/>
          </w:tcPr>
          <w:p w14:paraId="412210DA">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700" w:type="dxa"/>
            <w:vAlign w:val="center"/>
          </w:tcPr>
          <w:p w14:paraId="094FD957">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符合第六章“投标文件格式”的规定</w:t>
            </w:r>
          </w:p>
        </w:tc>
      </w:tr>
      <w:tr w14:paraId="3827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525" w:hRule="atLeast"/>
        </w:trPr>
        <w:tc>
          <w:tcPr>
            <w:tcW w:w="977" w:type="dxa"/>
            <w:vMerge w:val="continue"/>
            <w:vAlign w:val="center"/>
          </w:tcPr>
          <w:p w14:paraId="009CB8A4">
            <w:pPr>
              <w:pStyle w:val="10"/>
              <w:jc w:val="center"/>
              <w:rPr>
                <w:rFonts w:hint="eastAsia" w:ascii="宋体" w:hAnsi="宋体" w:eastAsia="宋体" w:cs="宋体"/>
                <w:color w:val="auto"/>
                <w:sz w:val="21"/>
                <w:szCs w:val="21"/>
                <w:highlight w:val="none"/>
                <w:lang w:eastAsia="zh-CN"/>
              </w:rPr>
            </w:pPr>
          </w:p>
        </w:tc>
        <w:tc>
          <w:tcPr>
            <w:tcW w:w="1100" w:type="dxa"/>
            <w:gridSpan w:val="2"/>
            <w:vMerge w:val="continue"/>
            <w:vAlign w:val="center"/>
          </w:tcPr>
          <w:p w14:paraId="79F2DBC2">
            <w:pPr>
              <w:pStyle w:val="10"/>
              <w:jc w:val="center"/>
              <w:rPr>
                <w:rFonts w:hint="eastAsia" w:ascii="宋体" w:hAnsi="宋体" w:eastAsia="宋体" w:cs="宋体"/>
                <w:color w:val="auto"/>
                <w:sz w:val="21"/>
                <w:szCs w:val="21"/>
                <w:highlight w:val="none"/>
                <w:lang w:eastAsia="zh-CN"/>
              </w:rPr>
            </w:pPr>
          </w:p>
        </w:tc>
        <w:tc>
          <w:tcPr>
            <w:tcW w:w="2041" w:type="dxa"/>
            <w:vAlign w:val="center"/>
          </w:tcPr>
          <w:p w14:paraId="1B9969DE">
            <w:pPr>
              <w:pStyle w:val="37"/>
              <w:ind w:left="8" w:leftChars="0" w:right="8"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备选投标方案</w:t>
            </w:r>
          </w:p>
        </w:tc>
        <w:tc>
          <w:tcPr>
            <w:tcW w:w="5700" w:type="dxa"/>
            <w:vAlign w:val="top"/>
          </w:tcPr>
          <w:p w14:paraId="485052CF">
            <w:pPr>
              <w:pStyle w:val="37"/>
              <w:spacing w:before="107"/>
              <w:ind w:right="4"/>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除招标文件明确允许提交备选投标方案外，投标人不得提交备选投标方案</w:t>
            </w:r>
          </w:p>
        </w:tc>
      </w:tr>
      <w:tr w14:paraId="7421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90" w:hRule="atLeast"/>
        </w:trPr>
        <w:tc>
          <w:tcPr>
            <w:tcW w:w="977" w:type="dxa"/>
            <w:vMerge w:val="restart"/>
            <w:vAlign w:val="center"/>
          </w:tcPr>
          <w:p w14:paraId="2104D96C">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1100" w:type="dxa"/>
            <w:gridSpan w:val="2"/>
            <w:vMerge w:val="restart"/>
            <w:vAlign w:val="center"/>
          </w:tcPr>
          <w:p w14:paraId="67633443">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2041" w:type="dxa"/>
            <w:vAlign w:val="center"/>
          </w:tcPr>
          <w:p w14:paraId="40393DA1">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700" w:type="dxa"/>
            <w:vAlign w:val="center"/>
          </w:tcPr>
          <w:p w14:paraId="1D4039E4">
            <w:pPr>
              <w:pStyle w:val="1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符合第二章“投标人须知”第 3.5.1 项规定</w:t>
            </w:r>
          </w:p>
          <w:p w14:paraId="0721AD14">
            <w:pPr>
              <w:pStyle w:val="1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具备有效的营业执照</w:t>
            </w:r>
          </w:p>
          <w:p w14:paraId="34B09E02">
            <w:pPr>
              <w:pStyle w:val="1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投标文件内附营业执照 (副本) 复印件加盖投标单位公章</w:t>
            </w:r>
          </w:p>
        </w:tc>
      </w:tr>
      <w:tr w14:paraId="13C4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90" w:hRule="atLeast"/>
        </w:trPr>
        <w:tc>
          <w:tcPr>
            <w:tcW w:w="977" w:type="dxa"/>
            <w:vMerge w:val="continue"/>
            <w:vAlign w:val="center"/>
          </w:tcPr>
          <w:p w14:paraId="2FE537E3">
            <w:pPr>
              <w:pStyle w:val="10"/>
              <w:jc w:val="center"/>
              <w:rPr>
                <w:rFonts w:hint="eastAsia" w:ascii="宋体" w:hAnsi="宋体" w:eastAsia="宋体" w:cs="宋体"/>
                <w:color w:val="auto"/>
                <w:sz w:val="21"/>
                <w:szCs w:val="21"/>
                <w:highlight w:val="none"/>
              </w:rPr>
            </w:pPr>
          </w:p>
        </w:tc>
        <w:tc>
          <w:tcPr>
            <w:tcW w:w="1100" w:type="dxa"/>
            <w:gridSpan w:val="2"/>
            <w:vMerge w:val="continue"/>
            <w:vAlign w:val="center"/>
          </w:tcPr>
          <w:p w14:paraId="6161EDEB">
            <w:pPr>
              <w:pStyle w:val="10"/>
              <w:jc w:val="center"/>
              <w:rPr>
                <w:rFonts w:hint="eastAsia" w:ascii="宋体" w:hAnsi="宋体" w:eastAsia="宋体" w:cs="宋体"/>
                <w:color w:val="auto"/>
                <w:sz w:val="21"/>
                <w:szCs w:val="21"/>
                <w:highlight w:val="none"/>
              </w:rPr>
            </w:pPr>
          </w:p>
        </w:tc>
        <w:tc>
          <w:tcPr>
            <w:tcW w:w="2041" w:type="dxa"/>
            <w:vAlign w:val="center"/>
          </w:tcPr>
          <w:p w14:paraId="098B9A8B">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5700" w:type="dxa"/>
            <w:vAlign w:val="center"/>
          </w:tcPr>
          <w:p w14:paraId="3C85A7FF">
            <w:pPr>
              <w:pStyle w:val="1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符合第二章“投标人须知”第1.4.1项规定</w:t>
            </w:r>
          </w:p>
          <w:p w14:paraId="6F9A496E">
            <w:pPr>
              <w:pStyle w:val="1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在中华人民共和国境内注册，能够独立承担民事责任的法人或其他组织形式；投标人应具有工程监理综合资质，并在人员、试验检测仪器设备方面具有相应的监理能力</w:t>
            </w:r>
            <w:r>
              <w:rPr>
                <w:rFonts w:hint="eastAsia" w:cs="宋体"/>
                <w:color w:val="auto"/>
                <w:sz w:val="21"/>
                <w:szCs w:val="21"/>
                <w:highlight w:val="none"/>
                <w:lang w:val="en-US" w:eastAsia="zh-CN" w:bidi="ar-SA"/>
              </w:rPr>
              <w:t>。</w:t>
            </w:r>
          </w:p>
          <w:p w14:paraId="0726B4AE">
            <w:pPr>
              <w:pStyle w:val="1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投标文件内附资质证书（副本）复印件加盖投标单位公章</w:t>
            </w:r>
          </w:p>
        </w:tc>
      </w:tr>
      <w:tr w14:paraId="4AE1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356" w:hRule="atLeast"/>
        </w:trPr>
        <w:tc>
          <w:tcPr>
            <w:tcW w:w="977" w:type="dxa"/>
            <w:vMerge w:val="continue"/>
            <w:vAlign w:val="center"/>
          </w:tcPr>
          <w:p w14:paraId="1EEE9E52">
            <w:pPr>
              <w:pStyle w:val="10"/>
              <w:jc w:val="center"/>
              <w:rPr>
                <w:rFonts w:hint="eastAsia" w:ascii="宋体" w:hAnsi="宋体" w:eastAsia="宋体" w:cs="宋体"/>
                <w:color w:val="auto"/>
                <w:sz w:val="21"/>
                <w:szCs w:val="21"/>
                <w:highlight w:val="none"/>
              </w:rPr>
            </w:pPr>
          </w:p>
        </w:tc>
        <w:tc>
          <w:tcPr>
            <w:tcW w:w="1100" w:type="dxa"/>
            <w:gridSpan w:val="2"/>
            <w:vMerge w:val="continue"/>
            <w:vAlign w:val="center"/>
          </w:tcPr>
          <w:p w14:paraId="10E397B5">
            <w:pPr>
              <w:pStyle w:val="10"/>
              <w:jc w:val="center"/>
              <w:rPr>
                <w:rFonts w:hint="eastAsia" w:ascii="宋体" w:hAnsi="宋体" w:eastAsia="宋体" w:cs="宋体"/>
                <w:color w:val="auto"/>
                <w:sz w:val="21"/>
                <w:szCs w:val="21"/>
                <w:highlight w:val="none"/>
              </w:rPr>
            </w:pPr>
          </w:p>
        </w:tc>
        <w:tc>
          <w:tcPr>
            <w:tcW w:w="2041" w:type="dxa"/>
            <w:vAlign w:val="center"/>
          </w:tcPr>
          <w:p w14:paraId="36E1F2F6">
            <w:pPr>
              <w:pStyle w:val="1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中小企业声明函</w:t>
            </w:r>
          </w:p>
        </w:tc>
        <w:tc>
          <w:tcPr>
            <w:tcW w:w="5700" w:type="dxa"/>
            <w:vAlign w:val="center"/>
          </w:tcPr>
          <w:p w14:paraId="10D0268E">
            <w:pPr>
              <w:pStyle w:val="10"/>
              <w:rPr>
                <w:rFonts w:hint="default"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本项目全部面向中小企业，需提供声明函。</w:t>
            </w:r>
          </w:p>
        </w:tc>
      </w:tr>
      <w:tr w14:paraId="1C46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1052" w:hRule="atLeast"/>
        </w:trPr>
        <w:tc>
          <w:tcPr>
            <w:tcW w:w="977" w:type="dxa"/>
            <w:vMerge w:val="continue"/>
            <w:vAlign w:val="center"/>
          </w:tcPr>
          <w:p w14:paraId="6E93626A">
            <w:pPr>
              <w:pStyle w:val="10"/>
              <w:jc w:val="center"/>
              <w:rPr>
                <w:rFonts w:hint="eastAsia" w:ascii="宋体" w:hAnsi="宋体" w:eastAsia="宋体" w:cs="宋体"/>
                <w:color w:val="auto"/>
                <w:sz w:val="21"/>
                <w:szCs w:val="21"/>
                <w:highlight w:val="none"/>
                <w:lang w:eastAsia="zh-CN"/>
              </w:rPr>
            </w:pPr>
          </w:p>
        </w:tc>
        <w:tc>
          <w:tcPr>
            <w:tcW w:w="1100" w:type="dxa"/>
            <w:gridSpan w:val="2"/>
            <w:vMerge w:val="continue"/>
            <w:vAlign w:val="center"/>
          </w:tcPr>
          <w:p w14:paraId="1B5C0E6D">
            <w:pPr>
              <w:pStyle w:val="10"/>
              <w:jc w:val="center"/>
              <w:rPr>
                <w:rFonts w:hint="eastAsia" w:ascii="宋体" w:hAnsi="宋体" w:eastAsia="宋体" w:cs="宋体"/>
                <w:color w:val="auto"/>
                <w:sz w:val="21"/>
                <w:szCs w:val="21"/>
                <w:highlight w:val="none"/>
                <w:lang w:eastAsia="zh-CN"/>
              </w:rPr>
            </w:pPr>
          </w:p>
        </w:tc>
        <w:tc>
          <w:tcPr>
            <w:tcW w:w="2041" w:type="dxa"/>
            <w:vAlign w:val="center"/>
          </w:tcPr>
          <w:p w14:paraId="644AE478">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c>
          <w:tcPr>
            <w:tcW w:w="5700" w:type="dxa"/>
            <w:vAlign w:val="center"/>
          </w:tcPr>
          <w:p w14:paraId="46E4EC74">
            <w:pPr>
              <w:pStyle w:val="1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符合第二章“投标人须知”第1.4.1项规定</w:t>
            </w:r>
          </w:p>
          <w:p w14:paraId="768FEA7D">
            <w:pPr>
              <w:pStyle w:val="10"/>
              <w:rPr>
                <w:rFonts w:hint="eastAsia"/>
                <w:color w:val="auto"/>
                <w:sz w:val="21"/>
                <w:highlight w:val="none"/>
                <w:lang w:val="en-US" w:eastAsia="zh-CN"/>
              </w:rPr>
            </w:pPr>
            <w:r>
              <w:rPr>
                <w:rFonts w:hint="eastAsia"/>
                <w:color w:val="auto"/>
                <w:sz w:val="21"/>
                <w:highlight w:val="none"/>
                <w:lang w:val="zh-CN" w:eastAsia="zh-CN"/>
              </w:rPr>
              <w:t>投标人提供近三年(202</w:t>
            </w:r>
            <w:r>
              <w:rPr>
                <w:rFonts w:hint="eastAsia"/>
                <w:color w:val="auto"/>
                <w:sz w:val="21"/>
                <w:highlight w:val="none"/>
                <w:lang w:val="en-US" w:eastAsia="zh-CN"/>
              </w:rPr>
              <w:t>1</w:t>
            </w:r>
            <w:r>
              <w:rPr>
                <w:rFonts w:hint="eastAsia"/>
                <w:color w:val="auto"/>
                <w:sz w:val="21"/>
                <w:highlight w:val="none"/>
                <w:lang w:val="zh-CN" w:eastAsia="zh-CN"/>
              </w:rPr>
              <w:t>年1月1日-202</w:t>
            </w:r>
            <w:r>
              <w:rPr>
                <w:rFonts w:hint="eastAsia"/>
                <w:color w:val="auto"/>
                <w:sz w:val="21"/>
                <w:highlight w:val="none"/>
                <w:lang w:val="en-US" w:eastAsia="zh-CN"/>
              </w:rPr>
              <w:t>3</w:t>
            </w:r>
            <w:r>
              <w:rPr>
                <w:rFonts w:hint="eastAsia"/>
                <w:color w:val="auto"/>
                <w:sz w:val="21"/>
                <w:highlight w:val="none"/>
                <w:lang w:val="zh-CN" w:eastAsia="zh-CN"/>
              </w:rPr>
              <w:t>年12月31日)财务审计报告，新成立不足三年的企业需提供自成立之日起至202</w:t>
            </w:r>
            <w:r>
              <w:rPr>
                <w:rFonts w:hint="eastAsia"/>
                <w:color w:val="auto"/>
                <w:sz w:val="21"/>
                <w:highlight w:val="none"/>
                <w:lang w:val="en-US" w:eastAsia="zh-CN"/>
              </w:rPr>
              <w:t>3</w:t>
            </w:r>
            <w:r>
              <w:rPr>
                <w:rFonts w:hint="eastAsia"/>
                <w:color w:val="auto"/>
                <w:sz w:val="21"/>
                <w:highlight w:val="none"/>
                <w:lang w:val="zh-CN" w:eastAsia="zh-CN"/>
              </w:rPr>
              <w:t>年的财务审计报告，投标人成立时间少于规定年份的，应提供成立以来的财务报表</w:t>
            </w:r>
          </w:p>
          <w:p w14:paraId="2E0A0E6E">
            <w:pPr>
              <w:pStyle w:val="1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投标文件内附财务审计报告复印件加盖投标单位公章</w:t>
            </w:r>
          </w:p>
        </w:tc>
      </w:tr>
      <w:tr w14:paraId="5D82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314" w:hRule="atLeast"/>
        </w:trPr>
        <w:tc>
          <w:tcPr>
            <w:tcW w:w="977" w:type="dxa"/>
            <w:vMerge w:val="continue"/>
            <w:vAlign w:val="center"/>
          </w:tcPr>
          <w:p w14:paraId="52E71744">
            <w:pPr>
              <w:pStyle w:val="10"/>
              <w:jc w:val="center"/>
              <w:rPr>
                <w:rFonts w:hint="eastAsia" w:ascii="宋体" w:hAnsi="宋体" w:eastAsia="宋体" w:cs="宋体"/>
                <w:color w:val="auto"/>
                <w:sz w:val="21"/>
                <w:szCs w:val="21"/>
                <w:highlight w:val="none"/>
                <w:lang w:eastAsia="zh-CN"/>
              </w:rPr>
            </w:pPr>
          </w:p>
        </w:tc>
        <w:tc>
          <w:tcPr>
            <w:tcW w:w="1100" w:type="dxa"/>
            <w:gridSpan w:val="2"/>
            <w:vMerge w:val="continue"/>
            <w:vAlign w:val="center"/>
          </w:tcPr>
          <w:p w14:paraId="4D4C9E3B">
            <w:pPr>
              <w:pStyle w:val="10"/>
              <w:jc w:val="center"/>
              <w:rPr>
                <w:rFonts w:hint="eastAsia" w:ascii="宋体" w:hAnsi="宋体" w:eastAsia="宋体" w:cs="宋体"/>
                <w:color w:val="auto"/>
                <w:sz w:val="21"/>
                <w:szCs w:val="21"/>
                <w:highlight w:val="none"/>
                <w:lang w:eastAsia="zh-CN"/>
              </w:rPr>
            </w:pPr>
          </w:p>
        </w:tc>
        <w:tc>
          <w:tcPr>
            <w:tcW w:w="2041" w:type="dxa"/>
            <w:vAlign w:val="center"/>
          </w:tcPr>
          <w:p w14:paraId="732AA996">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5700" w:type="dxa"/>
            <w:vAlign w:val="center"/>
          </w:tcPr>
          <w:p w14:paraId="1A28C04F">
            <w:pPr>
              <w:pStyle w:val="1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符合第二章“投标人须知”第1.4.1项规定</w:t>
            </w:r>
          </w:p>
          <w:p w14:paraId="05622EE9">
            <w:pPr>
              <w:pStyle w:val="10"/>
              <w:numPr>
                <w:ilvl w:val="0"/>
                <w:numId w:val="1"/>
              </w:num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拒绝列入政府取消投标资格记录期间的企业或个人投标；（2）未被工商行政管理机关在全国企业信用信息公示系统（www.gxt.gov.cn）中列入严重违法失信企业名单；（3）未被最高人民法院在“信用中国”网站（www.creditchina.gov.cn）或各级信用信息共享平台中列入失信被执行人名单；（4）在近三年内投标人或其法定代表人、拟委任的</w:t>
            </w:r>
            <w:r>
              <w:rPr>
                <w:rFonts w:hint="eastAsia" w:cs="宋体"/>
                <w:color w:val="auto"/>
                <w:sz w:val="21"/>
                <w:szCs w:val="21"/>
                <w:highlight w:val="none"/>
                <w:lang w:val="en-US" w:eastAsia="zh-CN" w:bidi="ar-SA"/>
              </w:rPr>
              <w:t>总监理工程师</w:t>
            </w:r>
            <w:r>
              <w:rPr>
                <w:rFonts w:hint="eastAsia" w:ascii="宋体" w:hAnsi="宋体" w:eastAsia="宋体" w:cs="宋体"/>
                <w:color w:val="auto"/>
                <w:sz w:val="21"/>
                <w:szCs w:val="21"/>
                <w:highlight w:val="none"/>
                <w:lang w:val="en-US" w:eastAsia="zh-CN" w:bidi="ar-SA"/>
              </w:rPr>
              <w:t>未在“中国裁判文书网”（wenshu.court.gov.cn）上有行贿犯罪行为</w:t>
            </w:r>
          </w:p>
          <w:p w14:paraId="2923E5B4">
            <w:pPr>
              <w:pStyle w:val="10"/>
              <w:numPr>
                <w:ilvl w:val="0"/>
                <w:numId w:val="0"/>
              </w:numPr>
              <w:rPr>
                <w:rFonts w:hint="eastAsia" w:ascii="宋体" w:hAnsi="宋体"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提供承诺书及相关网站查询截图</w:t>
            </w:r>
          </w:p>
        </w:tc>
      </w:tr>
      <w:tr w14:paraId="230E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1255" w:hRule="atLeast"/>
        </w:trPr>
        <w:tc>
          <w:tcPr>
            <w:tcW w:w="977" w:type="dxa"/>
            <w:vMerge w:val="continue"/>
            <w:vAlign w:val="center"/>
          </w:tcPr>
          <w:p w14:paraId="49CD38B3">
            <w:pPr>
              <w:pStyle w:val="10"/>
              <w:jc w:val="center"/>
              <w:rPr>
                <w:rFonts w:hint="eastAsia" w:ascii="宋体" w:hAnsi="宋体" w:eastAsia="宋体" w:cs="宋体"/>
                <w:color w:val="auto"/>
                <w:sz w:val="21"/>
                <w:szCs w:val="21"/>
                <w:highlight w:val="none"/>
                <w:lang w:eastAsia="zh-CN"/>
              </w:rPr>
            </w:pPr>
          </w:p>
        </w:tc>
        <w:tc>
          <w:tcPr>
            <w:tcW w:w="1100" w:type="dxa"/>
            <w:gridSpan w:val="2"/>
            <w:vMerge w:val="continue"/>
            <w:vAlign w:val="center"/>
          </w:tcPr>
          <w:p w14:paraId="7EE0748D">
            <w:pPr>
              <w:pStyle w:val="10"/>
              <w:jc w:val="center"/>
              <w:rPr>
                <w:rFonts w:hint="eastAsia" w:ascii="宋体" w:hAnsi="宋体" w:eastAsia="宋体" w:cs="宋体"/>
                <w:color w:val="auto"/>
                <w:sz w:val="21"/>
                <w:szCs w:val="21"/>
                <w:highlight w:val="none"/>
                <w:lang w:eastAsia="zh-CN"/>
              </w:rPr>
            </w:pPr>
          </w:p>
        </w:tc>
        <w:tc>
          <w:tcPr>
            <w:tcW w:w="2041" w:type="dxa"/>
            <w:vAlign w:val="center"/>
          </w:tcPr>
          <w:p w14:paraId="65ABA3C0">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5700" w:type="dxa"/>
            <w:vAlign w:val="center"/>
          </w:tcPr>
          <w:p w14:paraId="212E8D84">
            <w:pPr>
              <w:pStyle w:val="1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符合第二章“投标人须知”第1.4.1项规定</w:t>
            </w:r>
          </w:p>
          <w:p w14:paraId="23420E79">
            <w:pPr>
              <w:pStyle w:val="1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投标人拟派出的总监理工程师应具有相关专业国家注册监理工程师证书</w:t>
            </w:r>
          </w:p>
          <w:p w14:paraId="2FDC40B4">
            <w:pPr>
              <w:pStyle w:val="1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投标文件内附注册监理工程师执业证书复印件加盖投标单位公章</w:t>
            </w:r>
          </w:p>
        </w:tc>
      </w:tr>
      <w:tr w14:paraId="79D9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995" w:hRule="atLeast"/>
        </w:trPr>
        <w:tc>
          <w:tcPr>
            <w:tcW w:w="977" w:type="dxa"/>
            <w:vMerge w:val="continue"/>
            <w:vAlign w:val="center"/>
          </w:tcPr>
          <w:p w14:paraId="5A1C336D">
            <w:pPr>
              <w:pStyle w:val="10"/>
              <w:jc w:val="center"/>
              <w:rPr>
                <w:rFonts w:hint="eastAsia" w:ascii="宋体" w:hAnsi="宋体" w:eastAsia="宋体" w:cs="宋体"/>
                <w:color w:val="auto"/>
                <w:sz w:val="21"/>
                <w:szCs w:val="21"/>
                <w:highlight w:val="none"/>
                <w:lang w:eastAsia="zh-CN"/>
              </w:rPr>
            </w:pPr>
          </w:p>
        </w:tc>
        <w:tc>
          <w:tcPr>
            <w:tcW w:w="1100" w:type="dxa"/>
            <w:gridSpan w:val="2"/>
            <w:vMerge w:val="continue"/>
            <w:vAlign w:val="center"/>
          </w:tcPr>
          <w:p w14:paraId="4F137EC3">
            <w:pPr>
              <w:pStyle w:val="10"/>
              <w:jc w:val="center"/>
              <w:rPr>
                <w:rFonts w:hint="eastAsia" w:ascii="宋体" w:hAnsi="宋体" w:eastAsia="宋体" w:cs="宋体"/>
                <w:color w:val="auto"/>
                <w:sz w:val="21"/>
                <w:szCs w:val="21"/>
                <w:highlight w:val="none"/>
                <w:lang w:eastAsia="zh-CN"/>
              </w:rPr>
            </w:pPr>
          </w:p>
        </w:tc>
        <w:tc>
          <w:tcPr>
            <w:tcW w:w="2041" w:type="dxa"/>
            <w:vAlign w:val="center"/>
          </w:tcPr>
          <w:p w14:paraId="565B9B56">
            <w:pPr>
              <w:pStyle w:val="37"/>
              <w:spacing w:before="107"/>
              <w:ind w:left="8" w:leftChars="0" w:right="8" w:righ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其他主要人员</w:t>
            </w:r>
            <w:r>
              <w:rPr>
                <w:rFonts w:hint="eastAsia" w:ascii="宋体" w:hAnsi="宋体" w:eastAsia="宋体" w:cs="宋体"/>
                <w:color w:val="auto"/>
                <w:sz w:val="21"/>
                <w:szCs w:val="21"/>
                <w:highlight w:val="none"/>
                <w:lang w:eastAsia="zh-CN"/>
              </w:rPr>
              <w:t>要求</w:t>
            </w:r>
          </w:p>
        </w:tc>
        <w:tc>
          <w:tcPr>
            <w:tcW w:w="5700" w:type="dxa"/>
            <w:vAlign w:val="top"/>
          </w:tcPr>
          <w:p w14:paraId="17D53E54">
            <w:pPr>
              <w:pStyle w:val="37"/>
              <w:spacing w:before="107"/>
              <w:ind w:right="4" w:right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符合第二章“投标人须知”第 1.4.1 项规定</w:t>
            </w:r>
          </w:p>
          <w:p w14:paraId="3EC123C9">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投标文件内附人员相对应的工程类注册证书或职称证书或 </w:t>
            </w:r>
          </w:p>
          <w:p w14:paraId="0108D204">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学历证书复印件加盖投标单位公章</w:t>
            </w:r>
          </w:p>
        </w:tc>
      </w:tr>
      <w:tr w14:paraId="6338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728" w:hRule="atLeast"/>
        </w:trPr>
        <w:tc>
          <w:tcPr>
            <w:tcW w:w="977" w:type="dxa"/>
            <w:vMerge w:val="continue"/>
            <w:vAlign w:val="center"/>
          </w:tcPr>
          <w:p w14:paraId="65158BE4">
            <w:pPr>
              <w:pStyle w:val="10"/>
              <w:jc w:val="center"/>
              <w:rPr>
                <w:rFonts w:hint="eastAsia" w:ascii="宋体" w:hAnsi="宋体" w:eastAsia="宋体" w:cs="宋体"/>
                <w:color w:val="auto"/>
                <w:sz w:val="21"/>
                <w:szCs w:val="21"/>
                <w:highlight w:val="none"/>
                <w:lang w:eastAsia="zh-CN"/>
              </w:rPr>
            </w:pPr>
          </w:p>
        </w:tc>
        <w:tc>
          <w:tcPr>
            <w:tcW w:w="1100" w:type="dxa"/>
            <w:gridSpan w:val="2"/>
            <w:vMerge w:val="continue"/>
            <w:vAlign w:val="center"/>
          </w:tcPr>
          <w:p w14:paraId="2D17F4C4">
            <w:pPr>
              <w:pStyle w:val="10"/>
              <w:jc w:val="center"/>
              <w:rPr>
                <w:rFonts w:hint="eastAsia" w:ascii="宋体" w:hAnsi="宋体" w:eastAsia="宋体" w:cs="宋体"/>
                <w:color w:val="auto"/>
                <w:sz w:val="21"/>
                <w:szCs w:val="21"/>
                <w:highlight w:val="none"/>
                <w:lang w:eastAsia="zh-CN"/>
              </w:rPr>
            </w:pPr>
          </w:p>
        </w:tc>
        <w:tc>
          <w:tcPr>
            <w:tcW w:w="2041" w:type="dxa"/>
            <w:vAlign w:val="center"/>
          </w:tcPr>
          <w:p w14:paraId="36507F2E">
            <w:pPr>
              <w:pStyle w:val="37"/>
              <w:spacing w:before="107"/>
              <w:ind w:left="8" w:leftChars="0" w:right="8" w:rightChars="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试验检测仪器设备</w:t>
            </w:r>
          </w:p>
        </w:tc>
        <w:tc>
          <w:tcPr>
            <w:tcW w:w="5700" w:type="dxa"/>
            <w:vAlign w:val="top"/>
          </w:tcPr>
          <w:p w14:paraId="7CF29BBD">
            <w:pPr>
              <w:pStyle w:val="37"/>
              <w:spacing w:before="107"/>
              <w:ind w:right="4" w:right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符合第二章“投标人须知”第 1.4.1 项规定</w:t>
            </w:r>
          </w:p>
          <w:p w14:paraId="050F9020">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投标文件内附试验检测仪器设备相关证明材料复印件加盖 </w:t>
            </w:r>
          </w:p>
          <w:p w14:paraId="2CE5C15D">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投标单位公章</w:t>
            </w:r>
          </w:p>
        </w:tc>
      </w:tr>
      <w:tr w14:paraId="3D39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796" w:hRule="atLeast"/>
        </w:trPr>
        <w:tc>
          <w:tcPr>
            <w:tcW w:w="977" w:type="dxa"/>
            <w:vMerge w:val="continue"/>
            <w:vAlign w:val="center"/>
          </w:tcPr>
          <w:p w14:paraId="5E0986FB">
            <w:pPr>
              <w:pStyle w:val="10"/>
              <w:jc w:val="center"/>
              <w:rPr>
                <w:rFonts w:hint="eastAsia" w:ascii="宋体" w:hAnsi="宋体" w:eastAsia="宋体" w:cs="宋体"/>
                <w:color w:val="auto"/>
                <w:sz w:val="21"/>
                <w:szCs w:val="21"/>
                <w:highlight w:val="none"/>
                <w:lang w:eastAsia="zh-CN"/>
              </w:rPr>
            </w:pPr>
          </w:p>
        </w:tc>
        <w:tc>
          <w:tcPr>
            <w:tcW w:w="1100" w:type="dxa"/>
            <w:gridSpan w:val="2"/>
            <w:vMerge w:val="continue"/>
            <w:vAlign w:val="center"/>
          </w:tcPr>
          <w:p w14:paraId="286E993B">
            <w:pPr>
              <w:pStyle w:val="10"/>
              <w:jc w:val="center"/>
              <w:rPr>
                <w:rFonts w:hint="eastAsia" w:ascii="宋体" w:hAnsi="宋体" w:eastAsia="宋体" w:cs="宋体"/>
                <w:color w:val="auto"/>
                <w:sz w:val="21"/>
                <w:szCs w:val="21"/>
                <w:highlight w:val="none"/>
                <w:lang w:eastAsia="zh-CN"/>
              </w:rPr>
            </w:pPr>
          </w:p>
        </w:tc>
        <w:tc>
          <w:tcPr>
            <w:tcW w:w="2041" w:type="dxa"/>
            <w:vAlign w:val="center"/>
          </w:tcPr>
          <w:p w14:paraId="3A276A01">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5700" w:type="dxa"/>
            <w:vAlign w:val="center"/>
          </w:tcPr>
          <w:p w14:paraId="58660072">
            <w:pPr>
              <w:pStyle w:val="10"/>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符合第二章“投标人须知”第1.4.1项规定</w:t>
            </w:r>
          </w:p>
        </w:tc>
      </w:tr>
      <w:tr w14:paraId="5D76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463" w:hRule="atLeast"/>
        </w:trPr>
        <w:tc>
          <w:tcPr>
            <w:tcW w:w="977" w:type="dxa"/>
            <w:vMerge w:val="continue"/>
            <w:vAlign w:val="center"/>
          </w:tcPr>
          <w:p w14:paraId="05EC3EC1">
            <w:pPr>
              <w:pStyle w:val="10"/>
              <w:jc w:val="center"/>
              <w:rPr>
                <w:rFonts w:hint="eastAsia" w:ascii="宋体" w:hAnsi="宋体" w:eastAsia="宋体" w:cs="宋体"/>
                <w:color w:val="auto"/>
                <w:sz w:val="21"/>
                <w:szCs w:val="21"/>
                <w:highlight w:val="none"/>
                <w:lang w:eastAsia="zh-CN"/>
              </w:rPr>
            </w:pPr>
          </w:p>
        </w:tc>
        <w:tc>
          <w:tcPr>
            <w:tcW w:w="1100" w:type="dxa"/>
            <w:gridSpan w:val="2"/>
            <w:vMerge w:val="continue"/>
            <w:vAlign w:val="center"/>
          </w:tcPr>
          <w:p w14:paraId="3AA73879">
            <w:pPr>
              <w:pStyle w:val="10"/>
              <w:jc w:val="center"/>
              <w:rPr>
                <w:rFonts w:hint="eastAsia" w:ascii="宋体" w:hAnsi="宋体" w:eastAsia="宋体" w:cs="宋体"/>
                <w:color w:val="auto"/>
                <w:sz w:val="21"/>
                <w:szCs w:val="21"/>
                <w:highlight w:val="none"/>
                <w:lang w:eastAsia="zh-CN"/>
              </w:rPr>
            </w:pPr>
          </w:p>
        </w:tc>
        <w:tc>
          <w:tcPr>
            <w:tcW w:w="2041" w:type="dxa"/>
            <w:vAlign w:val="center"/>
          </w:tcPr>
          <w:p w14:paraId="5A3E7A7A">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不存在禁止投标的情形</w:t>
            </w:r>
          </w:p>
        </w:tc>
        <w:tc>
          <w:tcPr>
            <w:tcW w:w="5700" w:type="dxa"/>
            <w:vAlign w:val="center"/>
          </w:tcPr>
          <w:p w14:paraId="2AE506D3">
            <w:pPr>
              <w:pStyle w:val="1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不存在第二章“投标人须知”第 1.4.3项规定的任何一种情形</w:t>
            </w:r>
          </w:p>
        </w:tc>
      </w:tr>
      <w:tr w14:paraId="0EEA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648" w:hRule="atLeast"/>
        </w:trPr>
        <w:tc>
          <w:tcPr>
            <w:tcW w:w="977" w:type="dxa"/>
            <w:vMerge w:val="restart"/>
            <w:vAlign w:val="center"/>
          </w:tcPr>
          <w:p w14:paraId="66DD9DCC">
            <w:pPr>
              <w:pStyle w:val="10"/>
              <w:jc w:val="center"/>
              <w:rPr>
                <w:rFonts w:hint="eastAsia" w:ascii="宋体" w:hAnsi="宋体" w:eastAsia="宋体" w:cs="宋体"/>
                <w:color w:val="auto"/>
                <w:sz w:val="21"/>
                <w:szCs w:val="21"/>
                <w:highlight w:val="none"/>
              </w:rPr>
            </w:pPr>
          </w:p>
          <w:p w14:paraId="1A4FE328">
            <w:pPr>
              <w:pStyle w:val="10"/>
              <w:jc w:val="center"/>
              <w:rPr>
                <w:rFonts w:hint="eastAsia" w:ascii="宋体" w:hAnsi="宋体" w:eastAsia="宋体" w:cs="宋体"/>
                <w:color w:val="auto"/>
                <w:sz w:val="21"/>
                <w:szCs w:val="21"/>
                <w:highlight w:val="none"/>
              </w:rPr>
            </w:pPr>
          </w:p>
          <w:p w14:paraId="7DDC6975">
            <w:pPr>
              <w:pStyle w:val="10"/>
              <w:jc w:val="center"/>
              <w:rPr>
                <w:rFonts w:hint="eastAsia" w:ascii="宋体" w:hAnsi="宋体" w:eastAsia="宋体" w:cs="宋体"/>
                <w:color w:val="auto"/>
                <w:sz w:val="21"/>
                <w:szCs w:val="21"/>
                <w:highlight w:val="none"/>
              </w:rPr>
            </w:pPr>
          </w:p>
          <w:p w14:paraId="55756191">
            <w:pPr>
              <w:pStyle w:val="10"/>
              <w:jc w:val="center"/>
              <w:rPr>
                <w:rFonts w:hint="eastAsia" w:ascii="宋体" w:hAnsi="宋体" w:eastAsia="宋体" w:cs="宋体"/>
                <w:color w:val="auto"/>
                <w:sz w:val="21"/>
                <w:szCs w:val="21"/>
                <w:highlight w:val="none"/>
              </w:rPr>
            </w:pPr>
          </w:p>
          <w:p w14:paraId="409BF078">
            <w:pPr>
              <w:pStyle w:val="10"/>
              <w:jc w:val="center"/>
              <w:rPr>
                <w:rFonts w:hint="eastAsia" w:ascii="宋体" w:hAnsi="宋体" w:eastAsia="宋体" w:cs="宋体"/>
                <w:color w:val="auto"/>
                <w:sz w:val="21"/>
                <w:szCs w:val="21"/>
                <w:highlight w:val="none"/>
              </w:rPr>
            </w:pPr>
          </w:p>
          <w:p w14:paraId="5701ECE9">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100" w:type="dxa"/>
            <w:gridSpan w:val="2"/>
            <w:vMerge w:val="restart"/>
            <w:vAlign w:val="center"/>
          </w:tcPr>
          <w:p w14:paraId="094B3D37">
            <w:pPr>
              <w:pStyle w:val="10"/>
              <w:jc w:val="center"/>
              <w:rPr>
                <w:rFonts w:hint="eastAsia" w:ascii="宋体" w:hAnsi="宋体" w:eastAsia="宋体" w:cs="宋体"/>
                <w:color w:val="auto"/>
                <w:sz w:val="21"/>
                <w:szCs w:val="21"/>
                <w:highlight w:val="none"/>
              </w:rPr>
            </w:pPr>
          </w:p>
          <w:p w14:paraId="5CA6B83A">
            <w:pPr>
              <w:pStyle w:val="10"/>
              <w:jc w:val="center"/>
              <w:rPr>
                <w:rFonts w:hint="eastAsia" w:ascii="宋体" w:hAnsi="宋体" w:eastAsia="宋体" w:cs="宋体"/>
                <w:color w:val="auto"/>
                <w:sz w:val="21"/>
                <w:szCs w:val="21"/>
                <w:highlight w:val="none"/>
              </w:rPr>
            </w:pPr>
          </w:p>
          <w:p w14:paraId="4C15CCB9">
            <w:pPr>
              <w:pStyle w:val="10"/>
              <w:jc w:val="center"/>
              <w:rPr>
                <w:rFonts w:hint="eastAsia" w:ascii="宋体" w:hAnsi="宋体" w:eastAsia="宋体" w:cs="宋体"/>
                <w:color w:val="auto"/>
                <w:sz w:val="21"/>
                <w:szCs w:val="21"/>
                <w:highlight w:val="none"/>
              </w:rPr>
            </w:pPr>
          </w:p>
          <w:p w14:paraId="480CB19F">
            <w:pPr>
              <w:pStyle w:val="10"/>
              <w:jc w:val="center"/>
              <w:rPr>
                <w:rFonts w:hint="eastAsia" w:ascii="宋体" w:hAnsi="宋体" w:eastAsia="宋体" w:cs="宋体"/>
                <w:color w:val="auto"/>
                <w:sz w:val="21"/>
                <w:szCs w:val="21"/>
                <w:highlight w:val="none"/>
              </w:rPr>
            </w:pPr>
          </w:p>
          <w:p w14:paraId="5C891AAB">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2041" w:type="dxa"/>
            <w:vAlign w:val="center"/>
          </w:tcPr>
          <w:p w14:paraId="76B0447C">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700" w:type="dxa"/>
            <w:vAlign w:val="center"/>
          </w:tcPr>
          <w:p w14:paraId="09FC486F">
            <w:pPr>
              <w:pStyle w:val="1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符合第二章“投标人须知”第 3.2 款规定</w:t>
            </w:r>
          </w:p>
          <w:p w14:paraId="02F1F255">
            <w:pPr>
              <w:pStyle w:val="1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招标人设有最高投标限价的，投标人的投标报价不得超过最高投标限价</w:t>
            </w:r>
          </w:p>
        </w:tc>
      </w:tr>
      <w:tr w14:paraId="4971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377" w:hRule="atLeast"/>
        </w:trPr>
        <w:tc>
          <w:tcPr>
            <w:tcW w:w="977" w:type="dxa"/>
            <w:vMerge w:val="continue"/>
          </w:tcPr>
          <w:p w14:paraId="73E297E5">
            <w:pPr>
              <w:pStyle w:val="10"/>
              <w:jc w:val="center"/>
              <w:rPr>
                <w:rFonts w:hint="eastAsia" w:ascii="宋体" w:hAnsi="宋体" w:eastAsia="宋体" w:cs="宋体"/>
                <w:color w:val="auto"/>
                <w:sz w:val="21"/>
                <w:szCs w:val="21"/>
                <w:highlight w:val="none"/>
                <w:lang w:eastAsia="zh-CN"/>
              </w:rPr>
            </w:pPr>
          </w:p>
        </w:tc>
        <w:tc>
          <w:tcPr>
            <w:tcW w:w="1100" w:type="dxa"/>
            <w:gridSpan w:val="2"/>
            <w:vMerge w:val="continue"/>
          </w:tcPr>
          <w:p w14:paraId="5367C563">
            <w:pPr>
              <w:pStyle w:val="10"/>
              <w:jc w:val="center"/>
              <w:rPr>
                <w:rFonts w:hint="eastAsia" w:ascii="宋体" w:hAnsi="宋体" w:eastAsia="宋体" w:cs="宋体"/>
                <w:color w:val="auto"/>
                <w:sz w:val="21"/>
                <w:szCs w:val="21"/>
                <w:highlight w:val="none"/>
                <w:lang w:eastAsia="zh-CN"/>
              </w:rPr>
            </w:pPr>
          </w:p>
        </w:tc>
        <w:tc>
          <w:tcPr>
            <w:tcW w:w="2041" w:type="dxa"/>
            <w:vAlign w:val="center"/>
          </w:tcPr>
          <w:p w14:paraId="051AB5FF">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700" w:type="dxa"/>
            <w:vAlign w:val="center"/>
          </w:tcPr>
          <w:p w14:paraId="20453E5F">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符合第二章“投标人须知”第1.3.1项规定</w:t>
            </w:r>
          </w:p>
        </w:tc>
      </w:tr>
      <w:tr w14:paraId="4C83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375" w:hRule="atLeast"/>
        </w:trPr>
        <w:tc>
          <w:tcPr>
            <w:tcW w:w="977" w:type="dxa"/>
            <w:vMerge w:val="continue"/>
          </w:tcPr>
          <w:p w14:paraId="604B6C4A">
            <w:pPr>
              <w:pStyle w:val="10"/>
              <w:jc w:val="center"/>
              <w:rPr>
                <w:rFonts w:hint="eastAsia" w:ascii="宋体" w:hAnsi="宋体" w:eastAsia="宋体" w:cs="宋体"/>
                <w:color w:val="auto"/>
                <w:sz w:val="21"/>
                <w:szCs w:val="21"/>
                <w:highlight w:val="none"/>
                <w:lang w:eastAsia="zh-CN"/>
              </w:rPr>
            </w:pPr>
          </w:p>
        </w:tc>
        <w:tc>
          <w:tcPr>
            <w:tcW w:w="1100" w:type="dxa"/>
            <w:gridSpan w:val="2"/>
            <w:vMerge w:val="continue"/>
          </w:tcPr>
          <w:p w14:paraId="7E101AD4">
            <w:pPr>
              <w:pStyle w:val="10"/>
              <w:jc w:val="center"/>
              <w:rPr>
                <w:rFonts w:hint="eastAsia" w:ascii="宋体" w:hAnsi="宋体" w:eastAsia="宋体" w:cs="宋体"/>
                <w:color w:val="auto"/>
                <w:sz w:val="21"/>
                <w:szCs w:val="21"/>
                <w:highlight w:val="none"/>
                <w:lang w:eastAsia="zh-CN"/>
              </w:rPr>
            </w:pPr>
          </w:p>
        </w:tc>
        <w:tc>
          <w:tcPr>
            <w:tcW w:w="2041" w:type="dxa"/>
            <w:vAlign w:val="center"/>
          </w:tcPr>
          <w:p w14:paraId="7C15BCB1">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5700" w:type="dxa"/>
            <w:vAlign w:val="center"/>
          </w:tcPr>
          <w:p w14:paraId="50FF98FF">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 1.3.2 项规定</w:t>
            </w:r>
          </w:p>
        </w:tc>
      </w:tr>
      <w:tr w14:paraId="2B66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377" w:hRule="atLeast"/>
        </w:trPr>
        <w:tc>
          <w:tcPr>
            <w:tcW w:w="977" w:type="dxa"/>
            <w:vMerge w:val="continue"/>
          </w:tcPr>
          <w:p w14:paraId="07DD2AEF">
            <w:pPr>
              <w:pStyle w:val="10"/>
              <w:jc w:val="center"/>
              <w:rPr>
                <w:rFonts w:hint="eastAsia" w:ascii="宋体" w:hAnsi="宋体" w:eastAsia="宋体" w:cs="宋体"/>
                <w:color w:val="auto"/>
                <w:sz w:val="21"/>
                <w:szCs w:val="21"/>
                <w:highlight w:val="none"/>
                <w:lang w:eastAsia="zh-CN"/>
              </w:rPr>
            </w:pPr>
          </w:p>
        </w:tc>
        <w:tc>
          <w:tcPr>
            <w:tcW w:w="1100" w:type="dxa"/>
            <w:gridSpan w:val="2"/>
            <w:vMerge w:val="continue"/>
          </w:tcPr>
          <w:p w14:paraId="5D8EBADB">
            <w:pPr>
              <w:pStyle w:val="10"/>
              <w:jc w:val="center"/>
              <w:rPr>
                <w:rFonts w:hint="eastAsia" w:ascii="宋体" w:hAnsi="宋体" w:eastAsia="宋体" w:cs="宋体"/>
                <w:color w:val="auto"/>
                <w:sz w:val="21"/>
                <w:szCs w:val="21"/>
                <w:highlight w:val="none"/>
                <w:lang w:eastAsia="zh-CN"/>
              </w:rPr>
            </w:pPr>
          </w:p>
        </w:tc>
        <w:tc>
          <w:tcPr>
            <w:tcW w:w="2041" w:type="dxa"/>
            <w:vAlign w:val="center"/>
          </w:tcPr>
          <w:p w14:paraId="53E55290">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5700" w:type="dxa"/>
            <w:vAlign w:val="center"/>
          </w:tcPr>
          <w:p w14:paraId="454F0064">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 1.3.3 项规定</w:t>
            </w:r>
          </w:p>
        </w:tc>
      </w:tr>
      <w:tr w14:paraId="64D9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314" w:hRule="atLeast"/>
        </w:trPr>
        <w:tc>
          <w:tcPr>
            <w:tcW w:w="977" w:type="dxa"/>
            <w:vMerge w:val="continue"/>
          </w:tcPr>
          <w:p w14:paraId="69A2BD33">
            <w:pPr>
              <w:pStyle w:val="10"/>
              <w:jc w:val="center"/>
              <w:rPr>
                <w:rFonts w:hint="eastAsia" w:ascii="宋体" w:hAnsi="宋体" w:eastAsia="宋体" w:cs="宋体"/>
                <w:color w:val="auto"/>
                <w:sz w:val="21"/>
                <w:szCs w:val="21"/>
                <w:highlight w:val="none"/>
                <w:lang w:eastAsia="zh-CN"/>
              </w:rPr>
            </w:pPr>
          </w:p>
        </w:tc>
        <w:tc>
          <w:tcPr>
            <w:tcW w:w="1100" w:type="dxa"/>
            <w:gridSpan w:val="2"/>
            <w:vMerge w:val="continue"/>
          </w:tcPr>
          <w:p w14:paraId="21192F03">
            <w:pPr>
              <w:pStyle w:val="10"/>
              <w:jc w:val="center"/>
              <w:rPr>
                <w:rFonts w:hint="eastAsia" w:ascii="宋体" w:hAnsi="宋体" w:eastAsia="宋体" w:cs="宋体"/>
                <w:color w:val="auto"/>
                <w:sz w:val="21"/>
                <w:szCs w:val="21"/>
                <w:highlight w:val="none"/>
                <w:lang w:eastAsia="zh-CN"/>
              </w:rPr>
            </w:pPr>
          </w:p>
        </w:tc>
        <w:tc>
          <w:tcPr>
            <w:tcW w:w="2041" w:type="dxa"/>
            <w:vAlign w:val="center"/>
          </w:tcPr>
          <w:p w14:paraId="2D226147">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700" w:type="dxa"/>
            <w:vAlign w:val="center"/>
          </w:tcPr>
          <w:p w14:paraId="23086DBA">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 3.3.1 项规定</w:t>
            </w:r>
          </w:p>
        </w:tc>
      </w:tr>
      <w:tr w14:paraId="661B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361" w:hRule="atLeast"/>
        </w:trPr>
        <w:tc>
          <w:tcPr>
            <w:tcW w:w="977" w:type="dxa"/>
            <w:vMerge w:val="continue"/>
          </w:tcPr>
          <w:p w14:paraId="64519AA0">
            <w:pPr>
              <w:pStyle w:val="10"/>
              <w:rPr>
                <w:rFonts w:hint="eastAsia" w:ascii="宋体" w:hAnsi="宋体" w:eastAsia="宋体" w:cs="宋体"/>
                <w:color w:val="auto"/>
                <w:sz w:val="21"/>
                <w:szCs w:val="21"/>
                <w:highlight w:val="none"/>
                <w:lang w:eastAsia="zh-CN"/>
              </w:rPr>
            </w:pPr>
          </w:p>
        </w:tc>
        <w:tc>
          <w:tcPr>
            <w:tcW w:w="1100" w:type="dxa"/>
            <w:gridSpan w:val="2"/>
            <w:vMerge w:val="continue"/>
          </w:tcPr>
          <w:p w14:paraId="0F337CE0">
            <w:pPr>
              <w:pStyle w:val="10"/>
              <w:rPr>
                <w:rFonts w:hint="eastAsia" w:ascii="宋体" w:hAnsi="宋体" w:eastAsia="宋体" w:cs="宋体"/>
                <w:color w:val="auto"/>
                <w:sz w:val="21"/>
                <w:szCs w:val="21"/>
                <w:highlight w:val="none"/>
                <w:lang w:eastAsia="zh-CN"/>
              </w:rPr>
            </w:pPr>
          </w:p>
        </w:tc>
        <w:tc>
          <w:tcPr>
            <w:tcW w:w="2041" w:type="dxa"/>
            <w:vAlign w:val="center"/>
          </w:tcPr>
          <w:p w14:paraId="1AA2373C">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700" w:type="dxa"/>
            <w:vAlign w:val="center"/>
          </w:tcPr>
          <w:p w14:paraId="4EABDA94">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 3.4.1 项规定</w:t>
            </w:r>
          </w:p>
        </w:tc>
      </w:tr>
      <w:tr w14:paraId="366F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446" w:hRule="atLeast"/>
        </w:trPr>
        <w:tc>
          <w:tcPr>
            <w:tcW w:w="977" w:type="dxa"/>
            <w:vMerge w:val="continue"/>
          </w:tcPr>
          <w:p w14:paraId="69914536">
            <w:pPr>
              <w:pStyle w:val="10"/>
              <w:rPr>
                <w:rFonts w:hint="eastAsia" w:ascii="宋体" w:hAnsi="宋体" w:eastAsia="宋体" w:cs="宋体"/>
                <w:color w:val="auto"/>
                <w:sz w:val="21"/>
                <w:szCs w:val="21"/>
                <w:highlight w:val="none"/>
                <w:lang w:eastAsia="zh-CN"/>
              </w:rPr>
            </w:pPr>
          </w:p>
        </w:tc>
        <w:tc>
          <w:tcPr>
            <w:tcW w:w="1100" w:type="dxa"/>
            <w:gridSpan w:val="2"/>
            <w:vMerge w:val="continue"/>
          </w:tcPr>
          <w:p w14:paraId="1D4A9B4E">
            <w:pPr>
              <w:pStyle w:val="10"/>
              <w:rPr>
                <w:rFonts w:hint="eastAsia" w:ascii="宋体" w:hAnsi="宋体" w:eastAsia="宋体" w:cs="宋体"/>
                <w:color w:val="auto"/>
                <w:sz w:val="21"/>
                <w:szCs w:val="21"/>
                <w:highlight w:val="none"/>
                <w:lang w:eastAsia="zh-CN"/>
              </w:rPr>
            </w:pPr>
          </w:p>
        </w:tc>
        <w:tc>
          <w:tcPr>
            <w:tcW w:w="2041" w:type="dxa"/>
            <w:vAlign w:val="center"/>
          </w:tcPr>
          <w:p w14:paraId="5031B13A">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5700" w:type="dxa"/>
            <w:vAlign w:val="center"/>
          </w:tcPr>
          <w:p w14:paraId="3B982080">
            <w:pPr>
              <w:pStyle w:val="10"/>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符合第二章“投标人须知”第 1.12.1 项规定和第四章“合同条款及格式”中的实质性要求和条件</w:t>
            </w:r>
          </w:p>
        </w:tc>
      </w:tr>
      <w:tr w14:paraId="35B0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375" w:hRule="atLeast"/>
        </w:trPr>
        <w:tc>
          <w:tcPr>
            <w:tcW w:w="977" w:type="dxa"/>
            <w:vMerge w:val="continue"/>
          </w:tcPr>
          <w:p w14:paraId="44904775">
            <w:pPr>
              <w:pStyle w:val="10"/>
              <w:rPr>
                <w:rFonts w:hint="eastAsia" w:ascii="宋体" w:hAnsi="宋体" w:eastAsia="宋体" w:cs="宋体"/>
                <w:color w:val="auto"/>
                <w:sz w:val="21"/>
                <w:szCs w:val="21"/>
                <w:highlight w:val="none"/>
                <w:lang w:eastAsia="zh-CN"/>
              </w:rPr>
            </w:pPr>
          </w:p>
        </w:tc>
        <w:tc>
          <w:tcPr>
            <w:tcW w:w="1100" w:type="dxa"/>
            <w:gridSpan w:val="2"/>
            <w:vMerge w:val="continue"/>
          </w:tcPr>
          <w:p w14:paraId="3C3A7BDD">
            <w:pPr>
              <w:pStyle w:val="10"/>
              <w:rPr>
                <w:rFonts w:hint="eastAsia" w:ascii="宋体" w:hAnsi="宋体" w:eastAsia="宋体" w:cs="宋体"/>
                <w:color w:val="auto"/>
                <w:sz w:val="21"/>
                <w:szCs w:val="21"/>
                <w:highlight w:val="none"/>
                <w:lang w:eastAsia="zh-CN"/>
              </w:rPr>
            </w:pPr>
          </w:p>
        </w:tc>
        <w:tc>
          <w:tcPr>
            <w:tcW w:w="2041" w:type="dxa"/>
            <w:vAlign w:val="center"/>
          </w:tcPr>
          <w:p w14:paraId="110A1BD8">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w:t>
            </w:r>
          </w:p>
        </w:tc>
        <w:tc>
          <w:tcPr>
            <w:tcW w:w="5700" w:type="dxa"/>
            <w:vAlign w:val="center"/>
          </w:tcPr>
          <w:p w14:paraId="5633CA54">
            <w:pPr>
              <w:pStyle w:val="10"/>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符合第五章“委托人要求”中的实质性要求和条件</w:t>
            </w:r>
          </w:p>
        </w:tc>
      </w:tr>
      <w:tr w14:paraId="7394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929" w:hRule="atLeast"/>
        </w:trPr>
        <w:tc>
          <w:tcPr>
            <w:tcW w:w="2077" w:type="dxa"/>
            <w:gridSpan w:val="3"/>
            <w:vAlign w:val="center"/>
          </w:tcPr>
          <w:p w14:paraId="455EFA7D">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041" w:type="dxa"/>
            <w:vAlign w:val="center"/>
          </w:tcPr>
          <w:p w14:paraId="7716D2BF">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626CF86A">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 100 分)</w:t>
            </w:r>
          </w:p>
        </w:tc>
        <w:tc>
          <w:tcPr>
            <w:tcW w:w="5700" w:type="dxa"/>
            <w:vAlign w:val="center"/>
          </w:tcPr>
          <w:p w14:paraId="60435BF2">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资信业绩部分：</w:t>
            </w:r>
            <w:r>
              <w:rPr>
                <w:rFonts w:hint="eastAsia" w:cs="宋体"/>
                <w:color w:val="auto"/>
                <w:sz w:val="21"/>
                <w:szCs w:val="21"/>
                <w:highlight w:val="none"/>
                <w:u w:val="single" w:color="000000"/>
                <w:lang w:val="en-US" w:eastAsia="zh-CN"/>
              </w:rPr>
              <w:t>19</w:t>
            </w:r>
            <w:r>
              <w:rPr>
                <w:rFonts w:hint="eastAsia" w:ascii="宋体" w:hAnsi="宋体" w:eastAsia="宋体" w:cs="宋体"/>
                <w:color w:val="auto"/>
                <w:sz w:val="21"/>
                <w:szCs w:val="21"/>
                <w:highlight w:val="none"/>
                <w:lang w:eastAsia="zh-CN"/>
              </w:rPr>
              <w:t>分</w:t>
            </w:r>
          </w:p>
          <w:p w14:paraId="7D1FC0C5">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监理大纲部分：</w:t>
            </w:r>
            <w:r>
              <w:rPr>
                <w:rFonts w:hint="eastAsia" w:ascii="宋体" w:hAnsi="宋体" w:eastAsia="宋体" w:cs="宋体"/>
                <w:color w:val="auto"/>
                <w:sz w:val="21"/>
                <w:szCs w:val="21"/>
                <w:highlight w:val="none"/>
                <w:u w:val="single" w:color="000000"/>
                <w:lang w:eastAsia="zh-CN"/>
              </w:rPr>
              <w:t>5</w:t>
            </w:r>
            <w:r>
              <w:rPr>
                <w:rFonts w:hint="eastAsia" w:cs="宋体"/>
                <w:color w:val="auto"/>
                <w:sz w:val="21"/>
                <w:szCs w:val="21"/>
                <w:highlight w:val="none"/>
                <w:u w:val="single" w:color="000000"/>
                <w:lang w:val="en-US" w:eastAsia="zh-CN"/>
              </w:rPr>
              <w:t>5</w:t>
            </w:r>
            <w:r>
              <w:rPr>
                <w:rFonts w:hint="eastAsia" w:ascii="宋体" w:hAnsi="宋体" w:eastAsia="宋体" w:cs="宋体"/>
                <w:color w:val="auto"/>
                <w:sz w:val="21"/>
                <w:szCs w:val="21"/>
                <w:highlight w:val="none"/>
                <w:lang w:eastAsia="zh-CN"/>
              </w:rPr>
              <w:t>分</w:t>
            </w:r>
          </w:p>
          <w:p w14:paraId="690B5954">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w:t>
            </w:r>
            <w:r>
              <w:rPr>
                <w:rFonts w:hint="eastAsia" w:ascii="宋体" w:hAnsi="宋体" w:eastAsia="宋体" w:cs="宋体"/>
                <w:color w:val="auto"/>
                <w:sz w:val="21"/>
                <w:szCs w:val="21"/>
                <w:highlight w:val="none"/>
                <w:u w:val="single" w:color="000000"/>
                <w:lang w:eastAsia="zh-CN"/>
              </w:rPr>
              <w:t>20</w:t>
            </w:r>
            <w:r>
              <w:rPr>
                <w:rFonts w:hint="eastAsia" w:ascii="宋体" w:hAnsi="宋体" w:eastAsia="宋体" w:cs="宋体"/>
                <w:color w:val="auto"/>
                <w:sz w:val="21"/>
                <w:szCs w:val="21"/>
                <w:highlight w:val="none"/>
                <w:lang w:eastAsia="zh-CN"/>
              </w:rPr>
              <w:t>分</w:t>
            </w:r>
          </w:p>
          <w:p w14:paraId="497E991D">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其他评分因素：</w:t>
            </w:r>
            <w:r>
              <w:rPr>
                <w:rFonts w:hint="eastAsia" w:ascii="宋体" w:hAnsi="宋体" w:eastAsia="宋体" w:cs="宋体"/>
                <w:color w:val="auto"/>
                <w:sz w:val="21"/>
                <w:szCs w:val="21"/>
                <w:highlight w:val="none"/>
                <w:u w:val="single" w:color="000000"/>
                <w:lang w:eastAsia="zh-CN"/>
              </w:rPr>
              <w:t>6</w:t>
            </w:r>
            <w:r>
              <w:rPr>
                <w:rFonts w:hint="eastAsia" w:ascii="宋体" w:hAnsi="宋体" w:eastAsia="宋体" w:cs="宋体"/>
                <w:color w:val="auto"/>
                <w:sz w:val="21"/>
                <w:szCs w:val="21"/>
                <w:highlight w:val="none"/>
                <w:lang w:eastAsia="zh-CN"/>
              </w:rPr>
              <w:t>分</w:t>
            </w:r>
          </w:p>
        </w:tc>
      </w:tr>
      <w:tr w14:paraId="676D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90" w:hRule="atLeast"/>
        </w:trPr>
        <w:tc>
          <w:tcPr>
            <w:tcW w:w="2077" w:type="dxa"/>
            <w:gridSpan w:val="3"/>
            <w:vAlign w:val="center"/>
          </w:tcPr>
          <w:p w14:paraId="2F23E649">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041" w:type="dxa"/>
            <w:vAlign w:val="center"/>
          </w:tcPr>
          <w:p w14:paraId="2ADB9F71">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5700" w:type="dxa"/>
            <w:vAlign w:val="center"/>
          </w:tcPr>
          <w:p w14:paraId="6FC79CDD">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通过初步评审合格后的有效投标报价大于</w:t>
            </w:r>
            <w:r>
              <w:rPr>
                <w:rFonts w:hint="eastAsia" w:cs="宋体"/>
                <w:color w:val="auto"/>
                <w:sz w:val="21"/>
                <w:szCs w:val="21"/>
                <w:highlight w:val="none"/>
                <w:lang w:val="en-US" w:eastAsia="zh-CN"/>
              </w:rPr>
              <w:t>等于</w:t>
            </w:r>
            <w:r>
              <w:rPr>
                <w:rFonts w:hint="eastAsia" w:ascii="宋体" w:hAnsi="宋体" w:eastAsia="宋体" w:cs="宋体"/>
                <w:color w:val="auto"/>
                <w:sz w:val="21"/>
                <w:szCs w:val="21"/>
                <w:highlight w:val="none"/>
                <w:lang w:eastAsia="zh-CN"/>
              </w:rPr>
              <w:t>5家时，去掉一个最高和一个最低报价，其余有效投标报价的算术平均值作为评标基准价；</w:t>
            </w:r>
          </w:p>
          <w:p w14:paraId="49D16CD6">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通过初步评审合格后的有效投标报价小于5家时，投标报价的算术平均值作为评标基准价</w:t>
            </w:r>
          </w:p>
        </w:tc>
      </w:tr>
      <w:tr w14:paraId="0632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89" w:type="dxa"/>
          </w:tblCellMar>
        </w:tblPrEx>
        <w:trPr>
          <w:trHeight w:val="526" w:hRule="atLeast"/>
        </w:trPr>
        <w:tc>
          <w:tcPr>
            <w:tcW w:w="2077" w:type="dxa"/>
            <w:gridSpan w:val="3"/>
            <w:tcBorders>
              <w:bottom w:val="single" w:color="000000" w:sz="4" w:space="0"/>
            </w:tcBorders>
            <w:vAlign w:val="center"/>
          </w:tcPr>
          <w:p w14:paraId="37E99AA8">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041" w:type="dxa"/>
            <w:tcBorders>
              <w:bottom w:val="single" w:color="000000" w:sz="4" w:space="0"/>
            </w:tcBorders>
            <w:vAlign w:val="center"/>
          </w:tcPr>
          <w:p w14:paraId="7CAB434B">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投标报价的偏差率计算公式</w:t>
            </w:r>
          </w:p>
        </w:tc>
        <w:tc>
          <w:tcPr>
            <w:tcW w:w="5700" w:type="dxa"/>
            <w:vAlign w:val="center"/>
          </w:tcPr>
          <w:p w14:paraId="4E2D1C47">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偏差率=100% ×（投标人报价－评标基准价）/评标基准价</w:t>
            </w:r>
          </w:p>
        </w:tc>
      </w:tr>
      <w:tr w14:paraId="3374F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58" w:type="dxa"/>
            <w:bottom w:w="32" w:type="dxa"/>
            <w:right w:w="0" w:type="dxa"/>
          </w:tblCellMar>
        </w:tblPrEx>
        <w:trPr>
          <w:trHeight w:val="866" w:hRule="atLeast"/>
        </w:trPr>
        <w:tc>
          <w:tcPr>
            <w:tcW w:w="103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46DB6EA">
            <w:pPr>
              <w:pStyle w:val="10"/>
              <w:jc w:val="both"/>
              <w:rPr>
                <w:rFonts w:hint="eastAsia" w:ascii="宋体" w:hAnsi="宋体" w:eastAsia="宋体" w:cs="宋体"/>
                <w:color w:val="auto"/>
                <w:sz w:val="21"/>
                <w:szCs w:val="21"/>
                <w:highlight w:val="none"/>
              </w:rPr>
            </w:pPr>
          </w:p>
          <w:p w14:paraId="021BF951">
            <w:pPr>
              <w:pStyle w:val="10"/>
              <w:jc w:val="center"/>
              <w:rPr>
                <w:rFonts w:hint="eastAsia" w:ascii="宋体" w:hAnsi="宋体" w:eastAsia="宋体" w:cs="宋体"/>
                <w:color w:val="auto"/>
                <w:sz w:val="21"/>
                <w:szCs w:val="21"/>
                <w:highlight w:val="none"/>
              </w:rPr>
            </w:pPr>
          </w:p>
          <w:p w14:paraId="6D6C7E71">
            <w:pPr>
              <w:pStyle w:val="10"/>
              <w:jc w:val="center"/>
              <w:rPr>
                <w:rFonts w:hint="eastAsia" w:ascii="宋体" w:hAnsi="宋体" w:eastAsia="宋体" w:cs="宋体"/>
                <w:color w:val="auto"/>
                <w:sz w:val="21"/>
                <w:szCs w:val="21"/>
                <w:highlight w:val="none"/>
              </w:rPr>
            </w:pPr>
          </w:p>
          <w:p w14:paraId="731D48E1">
            <w:pPr>
              <w:pStyle w:val="10"/>
              <w:jc w:val="center"/>
              <w:rPr>
                <w:rFonts w:hint="eastAsia" w:ascii="宋体" w:hAnsi="宋体" w:eastAsia="宋体" w:cs="宋体"/>
                <w:color w:val="auto"/>
                <w:sz w:val="21"/>
                <w:szCs w:val="21"/>
                <w:highlight w:val="none"/>
              </w:rPr>
            </w:pPr>
          </w:p>
          <w:p w14:paraId="4A4969D2">
            <w:pPr>
              <w:pStyle w:val="10"/>
              <w:jc w:val="center"/>
              <w:rPr>
                <w:rFonts w:hint="eastAsia" w:ascii="宋体" w:hAnsi="宋体" w:eastAsia="宋体" w:cs="宋体"/>
                <w:color w:val="auto"/>
                <w:sz w:val="21"/>
                <w:szCs w:val="21"/>
                <w:highlight w:val="none"/>
              </w:rPr>
            </w:pPr>
          </w:p>
          <w:p w14:paraId="695D345E">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71DBEFA6">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7" w:type="dxa"/>
            <w:vMerge w:val="restart"/>
            <w:tcBorders>
              <w:top w:val="single" w:color="000000" w:sz="4" w:space="0"/>
              <w:left w:val="single" w:color="000000" w:sz="4" w:space="0"/>
              <w:bottom w:val="single" w:color="000000" w:sz="4" w:space="0"/>
              <w:right w:val="single" w:color="000000" w:sz="4" w:space="0"/>
            </w:tcBorders>
            <w:vAlign w:val="center"/>
          </w:tcPr>
          <w:p w14:paraId="42CECA5E">
            <w:pPr>
              <w:pStyle w:val="10"/>
              <w:jc w:val="center"/>
              <w:rPr>
                <w:rFonts w:hint="eastAsia" w:ascii="宋体" w:hAnsi="宋体" w:eastAsia="宋体" w:cs="宋体"/>
                <w:color w:val="auto"/>
                <w:sz w:val="21"/>
                <w:szCs w:val="21"/>
                <w:highlight w:val="none"/>
              </w:rPr>
            </w:pPr>
          </w:p>
          <w:p w14:paraId="61292099">
            <w:pPr>
              <w:pStyle w:val="10"/>
              <w:jc w:val="center"/>
              <w:rPr>
                <w:rFonts w:hint="eastAsia" w:ascii="宋体" w:hAnsi="宋体" w:eastAsia="宋体" w:cs="宋体"/>
                <w:color w:val="auto"/>
                <w:sz w:val="21"/>
                <w:szCs w:val="21"/>
                <w:highlight w:val="none"/>
              </w:rPr>
            </w:pPr>
          </w:p>
          <w:p w14:paraId="1480EE36">
            <w:pPr>
              <w:pStyle w:val="10"/>
              <w:jc w:val="both"/>
              <w:rPr>
                <w:rFonts w:hint="eastAsia" w:ascii="宋体" w:hAnsi="宋体" w:eastAsia="宋体" w:cs="宋体"/>
                <w:color w:val="auto"/>
                <w:sz w:val="21"/>
                <w:szCs w:val="21"/>
                <w:highlight w:val="none"/>
              </w:rPr>
            </w:pPr>
          </w:p>
          <w:p w14:paraId="22329EBA">
            <w:pPr>
              <w:pStyle w:val="10"/>
              <w:jc w:val="center"/>
              <w:rPr>
                <w:rFonts w:hint="eastAsia" w:ascii="宋体" w:hAnsi="宋体" w:eastAsia="宋体" w:cs="宋体"/>
                <w:color w:val="auto"/>
                <w:sz w:val="21"/>
                <w:szCs w:val="21"/>
                <w:highlight w:val="none"/>
              </w:rPr>
            </w:pPr>
          </w:p>
          <w:p w14:paraId="271DF831">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资信业绩评分标准</w:t>
            </w:r>
          </w:p>
          <w:p w14:paraId="54723961">
            <w:pPr>
              <w:pStyle w:val="1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19</w:t>
            </w:r>
            <w:r>
              <w:rPr>
                <w:rFonts w:hint="eastAsia" w:ascii="宋体" w:hAnsi="宋体" w:eastAsia="宋体" w:cs="宋体"/>
                <w:color w:val="auto"/>
                <w:sz w:val="21"/>
                <w:szCs w:val="21"/>
                <w:highlight w:val="none"/>
              </w:rPr>
              <w:t>分</w:t>
            </w:r>
          </w:p>
        </w:tc>
        <w:tc>
          <w:tcPr>
            <w:tcW w:w="2041" w:type="dxa"/>
            <w:tcBorders>
              <w:top w:val="single" w:color="000000" w:sz="4" w:space="0"/>
              <w:left w:val="single" w:color="000000" w:sz="4" w:space="0"/>
              <w:right w:val="single" w:color="000000" w:sz="4" w:space="0"/>
            </w:tcBorders>
            <w:vAlign w:val="center"/>
          </w:tcPr>
          <w:p w14:paraId="1923D86D">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类似项目业绩</w:t>
            </w:r>
          </w:p>
          <w:p w14:paraId="4D2AFA85">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（6分）</w:t>
            </w:r>
          </w:p>
        </w:tc>
        <w:tc>
          <w:tcPr>
            <w:tcW w:w="5700" w:type="dxa"/>
            <w:tcBorders>
              <w:top w:val="single" w:color="000000" w:sz="4" w:space="0"/>
              <w:left w:val="single" w:color="000000" w:sz="4" w:space="0"/>
              <w:bottom w:val="single" w:color="auto" w:sz="4" w:space="0"/>
              <w:right w:val="single" w:color="000000" w:sz="4" w:space="0"/>
            </w:tcBorders>
            <w:vAlign w:val="center"/>
          </w:tcPr>
          <w:p w14:paraId="58F8AB7F">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投标人近三年（20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年至现在）具有与本项目类似的业绩，每有一项得2分，满分6分</w:t>
            </w:r>
          </w:p>
          <w:p w14:paraId="59BA053C">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投标文件内附中标通知书或合同协议书或竣工验收报告复印件</w:t>
            </w:r>
            <w:r>
              <w:rPr>
                <w:rFonts w:hint="eastAsia" w:cs="宋体"/>
                <w:color w:val="auto"/>
                <w:sz w:val="21"/>
                <w:szCs w:val="21"/>
                <w:highlight w:val="none"/>
                <w:lang w:eastAsia="zh-CN"/>
              </w:rPr>
              <w:t>。</w:t>
            </w:r>
          </w:p>
        </w:tc>
      </w:tr>
      <w:tr w14:paraId="4EC18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58" w:type="dxa"/>
            <w:bottom w:w="32" w:type="dxa"/>
            <w:right w:w="0" w:type="dxa"/>
          </w:tblCellMar>
        </w:tblPrEx>
        <w:trPr>
          <w:trHeight w:val="1229" w:hRule="atLeast"/>
        </w:trPr>
        <w:tc>
          <w:tcPr>
            <w:tcW w:w="1030" w:type="dxa"/>
            <w:gridSpan w:val="2"/>
            <w:vMerge w:val="continue"/>
            <w:tcBorders>
              <w:top w:val="single" w:color="000000" w:sz="4" w:space="0"/>
              <w:left w:val="single" w:color="000000" w:sz="4" w:space="0"/>
              <w:bottom w:val="nil"/>
              <w:right w:val="single" w:color="000000" w:sz="4" w:space="0"/>
            </w:tcBorders>
            <w:vAlign w:val="center"/>
          </w:tcPr>
          <w:p w14:paraId="59ADD90F">
            <w:pPr>
              <w:pStyle w:val="10"/>
              <w:rPr>
                <w:rFonts w:hint="eastAsia" w:ascii="宋体" w:hAnsi="宋体" w:eastAsia="宋体" w:cs="宋体"/>
                <w:color w:val="auto"/>
                <w:sz w:val="21"/>
                <w:szCs w:val="21"/>
                <w:highlight w:val="none"/>
                <w:lang w:eastAsia="zh-CN"/>
              </w:rPr>
            </w:pPr>
          </w:p>
        </w:tc>
        <w:tc>
          <w:tcPr>
            <w:tcW w:w="1047" w:type="dxa"/>
            <w:vMerge w:val="continue"/>
            <w:tcBorders>
              <w:top w:val="single" w:color="000000" w:sz="4" w:space="0"/>
              <w:left w:val="single" w:color="000000" w:sz="4" w:space="0"/>
              <w:bottom w:val="nil"/>
              <w:right w:val="single" w:color="000000" w:sz="4" w:space="0"/>
            </w:tcBorders>
            <w:vAlign w:val="center"/>
          </w:tcPr>
          <w:p w14:paraId="3370F9EE">
            <w:pPr>
              <w:pStyle w:val="10"/>
              <w:rPr>
                <w:rFonts w:hint="eastAsia" w:ascii="宋体" w:hAnsi="宋体" w:eastAsia="宋体" w:cs="宋体"/>
                <w:color w:val="auto"/>
                <w:sz w:val="21"/>
                <w:szCs w:val="21"/>
                <w:highlight w:val="none"/>
                <w:lang w:eastAsia="zh-CN"/>
              </w:rPr>
            </w:pPr>
          </w:p>
        </w:tc>
        <w:tc>
          <w:tcPr>
            <w:tcW w:w="2041" w:type="dxa"/>
            <w:tcBorders>
              <w:top w:val="single" w:color="auto" w:sz="4" w:space="0"/>
              <w:left w:val="single" w:color="000000" w:sz="4" w:space="0"/>
              <w:bottom w:val="single" w:color="000000" w:sz="4" w:space="0"/>
              <w:right w:val="single" w:color="000000" w:sz="4" w:space="0"/>
            </w:tcBorders>
            <w:vAlign w:val="center"/>
          </w:tcPr>
          <w:p w14:paraId="5674FA51">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总监理工程师业绩</w:t>
            </w:r>
          </w:p>
          <w:p w14:paraId="5FA164F5">
            <w:pPr>
              <w:pStyle w:val="1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5700" w:type="dxa"/>
            <w:tcBorders>
              <w:top w:val="single" w:color="auto" w:sz="4" w:space="0"/>
              <w:left w:val="single" w:color="000000" w:sz="4" w:space="0"/>
              <w:bottom w:val="single" w:color="000000" w:sz="4" w:space="0"/>
              <w:right w:val="single" w:color="000000" w:sz="4" w:space="0"/>
            </w:tcBorders>
          </w:tcPr>
          <w:p w14:paraId="27140FFB">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总监理工程师近三年（20</w:t>
            </w:r>
            <w:r>
              <w:rPr>
                <w:rFonts w:hint="eastAsia" w:ascii="宋体" w:hAnsi="宋体" w:eastAsia="宋体" w:cs="宋体"/>
                <w:color w:val="auto"/>
                <w:sz w:val="21"/>
                <w:szCs w:val="21"/>
                <w:highlight w:val="none"/>
                <w:lang w:val="en-US" w:eastAsia="zh-CN"/>
              </w:rPr>
              <w:t>21年</w:t>
            </w:r>
            <w:r>
              <w:rPr>
                <w:rFonts w:hint="eastAsia" w:ascii="宋体" w:hAnsi="宋体" w:eastAsia="宋体" w:cs="宋体"/>
                <w:color w:val="auto"/>
                <w:sz w:val="21"/>
                <w:szCs w:val="21"/>
                <w:highlight w:val="none"/>
                <w:lang w:eastAsia="zh-CN"/>
              </w:rPr>
              <w:t>至现在）具有以总监理工程师身份主持的与本项目相类似的项目业绩，每有一项得 1 分，满分 3 分</w:t>
            </w:r>
          </w:p>
          <w:p w14:paraId="6343E751">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投标文件内附中标通知书或合同协议书或竣工验收报告复印件</w:t>
            </w:r>
          </w:p>
        </w:tc>
      </w:tr>
      <w:tr w14:paraId="77EDD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58" w:type="dxa"/>
            <w:bottom w:w="32" w:type="dxa"/>
            <w:right w:w="0" w:type="dxa"/>
          </w:tblCellMar>
        </w:tblPrEx>
        <w:trPr>
          <w:trHeight w:val="865" w:hRule="atLeast"/>
        </w:trPr>
        <w:tc>
          <w:tcPr>
            <w:tcW w:w="1030" w:type="dxa"/>
            <w:gridSpan w:val="2"/>
            <w:vMerge w:val="continue"/>
            <w:tcBorders>
              <w:top w:val="nil"/>
              <w:left w:val="single" w:color="000000" w:sz="4" w:space="0"/>
              <w:bottom w:val="nil"/>
              <w:right w:val="single" w:color="000000" w:sz="4" w:space="0"/>
            </w:tcBorders>
            <w:vAlign w:val="center"/>
          </w:tcPr>
          <w:p w14:paraId="69E8DB9F">
            <w:pPr>
              <w:pStyle w:val="10"/>
              <w:rPr>
                <w:rFonts w:hint="eastAsia" w:ascii="宋体" w:hAnsi="宋体" w:eastAsia="宋体" w:cs="宋体"/>
                <w:color w:val="auto"/>
                <w:sz w:val="21"/>
                <w:szCs w:val="21"/>
                <w:highlight w:val="none"/>
                <w:lang w:eastAsia="zh-CN"/>
              </w:rPr>
            </w:pPr>
          </w:p>
        </w:tc>
        <w:tc>
          <w:tcPr>
            <w:tcW w:w="1047" w:type="dxa"/>
            <w:vMerge w:val="continue"/>
            <w:tcBorders>
              <w:top w:val="nil"/>
              <w:left w:val="single" w:color="000000" w:sz="4" w:space="0"/>
              <w:bottom w:val="nil"/>
              <w:right w:val="single" w:color="000000" w:sz="4" w:space="0"/>
            </w:tcBorders>
            <w:vAlign w:val="center"/>
          </w:tcPr>
          <w:p w14:paraId="092D4C2F">
            <w:pPr>
              <w:pStyle w:val="10"/>
              <w:rPr>
                <w:rFonts w:hint="eastAsia" w:ascii="宋体" w:hAnsi="宋体" w:eastAsia="宋体" w:cs="宋体"/>
                <w:color w:val="auto"/>
                <w:sz w:val="21"/>
                <w:szCs w:val="21"/>
                <w:highlight w:val="none"/>
                <w:lang w:eastAsia="zh-CN"/>
              </w:rPr>
            </w:pPr>
          </w:p>
        </w:tc>
        <w:tc>
          <w:tcPr>
            <w:tcW w:w="2041" w:type="dxa"/>
            <w:tcBorders>
              <w:top w:val="single" w:color="000000" w:sz="4" w:space="0"/>
              <w:left w:val="single" w:color="000000" w:sz="4" w:space="0"/>
              <w:bottom w:val="single" w:color="000000" w:sz="4" w:space="0"/>
              <w:right w:val="single" w:color="000000" w:sz="4" w:space="0"/>
            </w:tcBorders>
            <w:vAlign w:val="center"/>
          </w:tcPr>
          <w:p w14:paraId="12134EBD">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其他主要人员</w:t>
            </w:r>
            <w:r>
              <w:rPr>
                <w:rFonts w:hint="eastAsia" w:ascii="宋体" w:hAnsi="宋体" w:eastAsia="宋体" w:cs="宋体"/>
                <w:color w:val="auto"/>
                <w:sz w:val="21"/>
                <w:szCs w:val="21"/>
                <w:highlight w:val="none"/>
                <w:lang w:val="en-US" w:eastAsia="zh-CN"/>
              </w:rPr>
              <w:t>情况</w:t>
            </w:r>
          </w:p>
          <w:p w14:paraId="70ABAEC6">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（满分5分）</w:t>
            </w:r>
          </w:p>
        </w:tc>
        <w:tc>
          <w:tcPr>
            <w:tcW w:w="5700" w:type="dxa"/>
            <w:tcBorders>
              <w:top w:val="single" w:color="000000" w:sz="4" w:space="0"/>
              <w:left w:val="single" w:color="000000" w:sz="4" w:space="0"/>
              <w:bottom w:val="single" w:color="000000" w:sz="4" w:space="0"/>
              <w:right w:val="single" w:color="000000" w:sz="4" w:space="0"/>
            </w:tcBorders>
            <w:vAlign w:val="center"/>
          </w:tcPr>
          <w:p w14:paraId="34FB9E1C">
            <w:pPr>
              <w:pStyle w:val="1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其他主要人员配备齐全，满足监理要求，监理人员具有与其相对应的工程类注册证书或职称证书或学历证书，对监理人员配备情况进行比较，优得5分，良得3分，一般得1分，无不得分。</w:t>
            </w:r>
          </w:p>
          <w:p w14:paraId="1308C4C2">
            <w:pPr>
              <w:pStyle w:val="1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投标文件内附人员相对应的工程类注册证书或职称证书或学历证书扫描件加盖投标单位公章</w:t>
            </w:r>
          </w:p>
        </w:tc>
      </w:tr>
      <w:tr w14:paraId="1A26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58" w:type="dxa"/>
            <w:bottom w:w="32" w:type="dxa"/>
            <w:right w:w="0" w:type="dxa"/>
          </w:tblCellMar>
        </w:tblPrEx>
        <w:trPr>
          <w:trHeight w:val="740" w:hRule="atLeast"/>
        </w:trPr>
        <w:tc>
          <w:tcPr>
            <w:tcW w:w="1030" w:type="dxa"/>
            <w:gridSpan w:val="2"/>
            <w:vMerge w:val="continue"/>
            <w:tcBorders>
              <w:top w:val="nil"/>
              <w:left w:val="single" w:color="000000" w:sz="4" w:space="0"/>
              <w:bottom w:val="single" w:color="000000" w:sz="4" w:space="0"/>
              <w:right w:val="single" w:color="000000" w:sz="4" w:space="0"/>
            </w:tcBorders>
            <w:vAlign w:val="center"/>
          </w:tcPr>
          <w:p w14:paraId="2F88FBCD">
            <w:pPr>
              <w:pStyle w:val="10"/>
              <w:rPr>
                <w:rFonts w:hint="eastAsia" w:ascii="宋体" w:hAnsi="宋体" w:eastAsia="宋体" w:cs="宋体"/>
                <w:color w:val="auto"/>
                <w:sz w:val="21"/>
                <w:szCs w:val="21"/>
                <w:highlight w:val="none"/>
                <w:lang w:eastAsia="zh-CN"/>
              </w:rPr>
            </w:pPr>
          </w:p>
        </w:tc>
        <w:tc>
          <w:tcPr>
            <w:tcW w:w="1047" w:type="dxa"/>
            <w:vMerge w:val="continue"/>
            <w:tcBorders>
              <w:top w:val="nil"/>
              <w:left w:val="single" w:color="000000" w:sz="4" w:space="0"/>
              <w:bottom w:val="single" w:color="000000" w:sz="4" w:space="0"/>
              <w:right w:val="single" w:color="000000" w:sz="4" w:space="0"/>
            </w:tcBorders>
            <w:vAlign w:val="center"/>
          </w:tcPr>
          <w:p w14:paraId="5E3C9F08">
            <w:pPr>
              <w:pStyle w:val="10"/>
              <w:rPr>
                <w:rFonts w:hint="eastAsia" w:ascii="宋体" w:hAnsi="宋体" w:eastAsia="宋体" w:cs="宋体"/>
                <w:color w:val="auto"/>
                <w:sz w:val="21"/>
                <w:szCs w:val="21"/>
                <w:highlight w:val="none"/>
                <w:lang w:eastAsia="zh-CN"/>
              </w:rPr>
            </w:pPr>
          </w:p>
        </w:tc>
        <w:tc>
          <w:tcPr>
            <w:tcW w:w="2041" w:type="dxa"/>
            <w:tcBorders>
              <w:top w:val="single" w:color="000000" w:sz="4" w:space="0"/>
              <w:left w:val="single" w:color="000000" w:sz="4" w:space="0"/>
              <w:bottom w:val="single" w:color="000000" w:sz="4" w:space="0"/>
              <w:right w:val="single" w:color="000000" w:sz="4" w:space="0"/>
            </w:tcBorders>
            <w:vAlign w:val="center"/>
          </w:tcPr>
          <w:p w14:paraId="055BB52D">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拟投入的试验检测仪器设备（5分）</w:t>
            </w:r>
          </w:p>
        </w:tc>
        <w:tc>
          <w:tcPr>
            <w:tcW w:w="5700" w:type="dxa"/>
            <w:tcBorders>
              <w:top w:val="single" w:color="000000" w:sz="4" w:space="0"/>
              <w:left w:val="single" w:color="000000" w:sz="4" w:space="0"/>
              <w:bottom w:val="single" w:color="000000" w:sz="4" w:space="0"/>
              <w:right w:val="single" w:color="000000" w:sz="4" w:space="0"/>
            </w:tcBorders>
            <w:vAlign w:val="center"/>
          </w:tcPr>
          <w:p w14:paraId="5CA0B061">
            <w:pPr>
              <w:pStyle w:val="10"/>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拟投入的试验检测仪器设备齐全</w:t>
            </w:r>
            <w:r>
              <w:rPr>
                <w:rFonts w:hint="eastAsia" w:ascii="宋体" w:hAnsi="宋体" w:eastAsia="宋体" w:cs="宋体"/>
                <w:bCs/>
                <w:color w:val="auto"/>
                <w:sz w:val="21"/>
                <w:szCs w:val="21"/>
                <w:highlight w:val="none"/>
                <w:lang w:eastAsia="zh-CN"/>
              </w:rPr>
              <w:t>，满足监理要求</w:t>
            </w:r>
            <w:r>
              <w:rPr>
                <w:rFonts w:hint="eastAsia" w:ascii="宋体" w:hAnsi="宋体" w:eastAsia="宋体" w:cs="宋体"/>
                <w:color w:val="auto"/>
                <w:sz w:val="21"/>
                <w:szCs w:val="21"/>
                <w:highlight w:val="none"/>
                <w:lang w:eastAsia="zh-CN"/>
              </w:rPr>
              <w:t>，拟投入的试验检测仪器设备进行比较，</w:t>
            </w:r>
            <w:r>
              <w:rPr>
                <w:rFonts w:hint="eastAsia" w:ascii="宋体" w:hAnsi="宋体" w:eastAsia="宋体" w:cs="宋体"/>
                <w:bCs/>
                <w:color w:val="auto"/>
                <w:sz w:val="21"/>
                <w:szCs w:val="21"/>
                <w:highlight w:val="none"/>
                <w:lang w:eastAsia="zh-CN"/>
              </w:rPr>
              <w:t>优得5分，良得3分，一般得1分，无不得分。</w:t>
            </w:r>
          </w:p>
          <w:p w14:paraId="52283855">
            <w:pPr>
              <w:pStyle w:val="1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标书内附</w:t>
            </w:r>
            <w:r>
              <w:rPr>
                <w:rFonts w:hint="eastAsia" w:ascii="宋体" w:hAnsi="宋体" w:eastAsia="宋体" w:cs="宋体"/>
                <w:color w:val="auto"/>
                <w:sz w:val="21"/>
                <w:szCs w:val="21"/>
                <w:highlight w:val="none"/>
                <w:lang w:eastAsia="zh-CN"/>
              </w:rPr>
              <w:t>试验检测仪器设备证明材料复印件</w:t>
            </w:r>
          </w:p>
        </w:tc>
      </w:tr>
      <w:tr w14:paraId="7A95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58" w:type="dxa"/>
            <w:bottom w:w="32" w:type="dxa"/>
            <w:right w:w="0" w:type="dxa"/>
          </w:tblCellMar>
        </w:tblPrEx>
        <w:trPr>
          <w:trHeight w:val="461" w:hRule="atLeast"/>
        </w:trPr>
        <w:tc>
          <w:tcPr>
            <w:tcW w:w="103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B91F508">
            <w:pPr>
              <w:pStyle w:val="10"/>
              <w:jc w:val="center"/>
              <w:rPr>
                <w:rFonts w:hint="eastAsia" w:ascii="宋体" w:hAnsi="宋体" w:eastAsia="宋体" w:cs="宋体"/>
                <w:color w:val="auto"/>
                <w:sz w:val="21"/>
                <w:szCs w:val="21"/>
                <w:highlight w:val="none"/>
              </w:rPr>
            </w:pPr>
          </w:p>
          <w:p w14:paraId="7C7BADA1">
            <w:pPr>
              <w:pStyle w:val="10"/>
              <w:jc w:val="center"/>
              <w:rPr>
                <w:rFonts w:hint="eastAsia" w:ascii="宋体" w:hAnsi="宋体" w:eastAsia="宋体" w:cs="宋体"/>
                <w:color w:val="auto"/>
                <w:sz w:val="21"/>
                <w:szCs w:val="21"/>
                <w:highlight w:val="none"/>
              </w:rPr>
            </w:pPr>
          </w:p>
          <w:p w14:paraId="7498A241">
            <w:pPr>
              <w:pStyle w:val="10"/>
              <w:jc w:val="center"/>
              <w:rPr>
                <w:rFonts w:hint="eastAsia" w:ascii="宋体" w:hAnsi="宋体" w:eastAsia="宋体" w:cs="宋体"/>
                <w:color w:val="auto"/>
                <w:sz w:val="21"/>
                <w:szCs w:val="21"/>
                <w:highlight w:val="none"/>
              </w:rPr>
            </w:pPr>
          </w:p>
          <w:p w14:paraId="27E12919">
            <w:pPr>
              <w:pStyle w:val="10"/>
              <w:jc w:val="center"/>
              <w:rPr>
                <w:rFonts w:hint="eastAsia" w:ascii="宋体" w:hAnsi="宋体" w:eastAsia="宋体" w:cs="宋体"/>
                <w:color w:val="auto"/>
                <w:sz w:val="21"/>
                <w:szCs w:val="21"/>
                <w:highlight w:val="none"/>
              </w:rPr>
            </w:pPr>
          </w:p>
          <w:p w14:paraId="17BEEC6A">
            <w:pPr>
              <w:pStyle w:val="10"/>
              <w:jc w:val="center"/>
              <w:rPr>
                <w:rFonts w:hint="eastAsia" w:ascii="宋体" w:hAnsi="宋体" w:eastAsia="宋体" w:cs="宋体"/>
                <w:color w:val="auto"/>
                <w:sz w:val="21"/>
                <w:szCs w:val="21"/>
                <w:highlight w:val="none"/>
              </w:rPr>
            </w:pPr>
          </w:p>
          <w:p w14:paraId="0C410743">
            <w:pPr>
              <w:pStyle w:val="10"/>
              <w:jc w:val="center"/>
              <w:rPr>
                <w:rFonts w:hint="eastAsia" w:ascii="宋体" w:hAnsi="宋体" w:eastAsia="宋体" w:cs="宋体"/>
                <w:color w:val="auto"/>
                <w:sz w:val="21"/>
                <w:szCs w:val="21"/>
                <w:highlight w:val="none"/>
              </w:rPr>
            </w:pPr>
          </w:p>
          <w:p w14:paraId="2A5DE693">
            <w:pPr>
              <w:pStyle w:val="10"/>
              <w:jc w:val="center"/>
              <w:rPr>
                <w:rFonts w:hint="eastAsia" w:ascii="宋体" w:hAnsi="宋体" w:eastAsia="宋体" w:cs="宋体"/>
                <w:color w:val="auto"/>
                <w:sz w:val="21"/>
                <w:szCs w:val="21"/>
                <w:highlight w:val="none"/>
              </w:rPr>
            </w:pPr>
          </w:p>
          <w:p w14:paraId="65BDF702">
            <w:pPr>
              <w:pStyle w:val="10"/>
              <w:jc w:val="center"/>
              <w:rPr>
                <w:rFonts w:hint="eastAsia" w:ascii="宋体" w:hAnsi="宋体" w:eastAsia="宋体" w:cs="宋体"/>
                <w:color w:val="auto"/>
                <w:sz w:val="21"/>
                <w:szCs w:val="21"/>
                <w:highlight w:val="none"/>
              </w:rPr>
            </w:pPr>
          </w:p>
          <w:p w14:paraId="18E80DE8">
            <w:pPr>
              <w:pStyle w:val="10"/>
              <w:jc w:val="center"/>
              <w:rPr>
                <w:rFonts w:hint="eastAsia" w:ascii="宋体" w:hAnsi="宋体" w:eastAsia="宋体" w:cs="宋体"/>
                <w:color w:val="auto"/>
                <w:sz w:val="21"/>
                <w:szCs w:val="21"/>
                <w:highlight w:val="none"/>
              </w:rPr>
            </w:pPr>
          </w:p>
          <w:p w14:paraId="67080EC5">
            <w:pPr>
              <w:pStyle w:val="10"/>
              <w:jc w:val="center"/>
              <w:rPr>
                <w:rFonts w:hint="eastAsia" w:ascii="宋体" w:hAnsi="宋体" w:eastAsia="宋体" w:cs="宋体"/>
                <w:color w:val="auto"/>
                <w:sz w:val="21"/>
                <w:szCs w:val="21"/>
                <w:highlight w:val="none"/>
              </w:rPr>
            </w:pPr>
          </w:p>
          <w:p w14:paraId="4146EE11">
            <w:pPr>
              <w:pStyle w:val="10"/>
              <w:jc w:val="center"/>
              <w:rPr>
                <w:rFonts w:hint="eastAsia" w:ascii="宋体" w:hAnsi="宋体" w:eastAsia="宋体" w:cs="宋体"/>
                <w:color w:val="auto"/>
                <w:sz w:val="21"/>
                <w:szCs w:val="21"/>
                <w:highlight w:val="none"/>
              </w:rPr>
            </w:pPr>
          </w:p>
          <w:p w14:paraId="0ABC8B51">
            <w:pPr>
              <w:pStyle w:val="10"/>
              <w:jc w:val="center"/>
              <w:rPr>
                <w:rFonts w:hint="eastAsia" w:ascii="宋体" w:hAnsi="宋体" w:eastAsia="宋体" w:cs="宋体"/>
                <w:color w:val="auto"/>
                <w:sz w:val="21"/>
                <w:szCs w:val="21"/>
                <w:highlight w:val="none"/>
              </w:rPr>
            </w:pPr>
          </w:p>
          <w:p w14:paraId="749139E5">
            <w:pPr>
              <w:pStyle w:val="10"/>
              <w:jc w:val="center"/>
              <w:rPr>
                <w:rFonts w:hint="eastAsia" w:ascii="宋体" w:hAnsi="宋体" w:eastAsia="宋体" w:cs="宋体"/>
                <w:color w:val="auto"/>
                <w:sz w:val="21"/>
                <w:szCs w:val="21"/>
                <w:highlight w:val="none"/>
              </w:rPr>
            </w:pPr>
          </w:p>
          <w:p w14:paraId="3CFC4209">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765A3464">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47" w:type="dxa"/>
            <w:vMerge w:val="restart"/>
            <w:tcBorders>
              <w:top w:val="single" w:color="000000" w:sz="4" w:space="0"/>
              <w:left w:val="single" w:color="000000" w:sz="4" w:space="0"/>
              <w:bottom w:val="single" w:color="000000" w:sz="4" w:space="0"/>
              <w:right w:val="single" w:color="000000" w:sz="4" w:space="0"/>
            </w:tcBorders>
            <w:vAlign w:val="center"/>
          </w:tcPr>
          <w:p w14:paraId="5678E9B6">
            <w:pPr>
              <w:pStyle w:val="10"/>
              <w:jc w:val="both"/>
              <w:rPr>
                <w:rFonts w:hint="eastAsia" w:ascii="宋体" w:hAnsi="宋体" w:eastAsia="宋体" w:cs="宋体"/>
                <w:color w:val="auto"/>
                <w:sz w:val="21"/>
                <w:szCs w:val="21"/>
                <w:highlight w:val="none"/>
              </w:rPr>
            </w:pPr>
          </w:p>
          <w:p w14:paraId="79D36F8F">
            <w:pPr>
              <w:pStyle w:val="10"/>
              <w:jc w:val="center"/>
              <w:rPr>
                <w:rFonts w:hint="eastAsia" w:ascii="宋体" w:hAnsi="宋体" w:eastAsia="宋体" w:cs="宋体"/>
                <w:color w:val="auto"/>
                <w:sz w:val="21"/>
                <w:szCs w:val="21"/>
                <w:highlight w:val="none"/>
              </w:rPr>
            </w:pPr>
          </w:p>
          <w:p w14:paraId="751917E2">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w:t>
            </w:r>
          </w:p>
          <w:p w14:paraId="184C257B">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p w14:paraId="4D447386">
            <w:pPr>
              <w:pStyle w:val="1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55</w:t>
            </w:r>
            <w:r>
              <w:rPr>
                <w:rFonts w:hint="eastAsia" w:ascii="宋体" w:hAnsi="宋体" w:eastAsia="宋体" w:cs="宋体"/>
                <w:color w:val="auto"/>
                <w:sz w:val="21"/>
                <w:szCs w:val="21"/>
                <w:highlight w:val="none"/>
              </w:rPr>
              <w:t>分</w:t>
            </w:r>
          </w:p>
        </w:tc>
        <w:tc>
          <w:tcPr>
            <w:tcW w:w="2041" w:type="dxa"/>
            <w:tcBorders>
              <w:top w:val="single" w:color="000000" w:sz="4" w:space="0"/>
              <w:left w:val="single" w:color="000000" w:sz="4" w:space="0"/>
              <w:bottom w:val="single" w:color="000000" w:sz="4" w:space="0"/>
              <w:right w:val="single" w:color="000000" w:sz="4" w:space="0"/>
            </w:tcBorders>
            <w:vAlign w:val="center"/>
          </w:tcPr>
          <w:p w14:paraId="53102E6D">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监理范围、监理内容</w:t>
            </w:r>
          </w:p>
          <w:p w14:paraId="182A1940">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tc>
        <w:tc>
          <w:tcPr>
            <w:tcW w:w="5700" w:type="dxa"/>
            <w:tcBorders>
              <w:top w:val="single" w:color="000000" w:sz="4" w:space="0"/>
              <w:left w:val="single" w:color="000000" w:sz="4" w:space="0"/>
              <w:bottom w:val="single" w:color="000000" w:sz="4" w:space="0"/>
              <w:right w:val="single" w:color="000000" w:sz="4" w:space="0"/>
            </w:tcBorders>
            <w:vAlign w:val="center"/>
          </w:tcPr>
          <w:p w14:paraId="74CD98CD">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对监理范围、监理内容进行比较，内容完整、合理、可行，</w:t>
            </w:r>
            <w:r>
              <w:rPr>
                <w:rFonts w:hint="eastAsia" w:ascii="宋体" w:hAnsi="宋体" w:eastAsia="宋体" w:cs="宋体"/>
                <w:bCs/>
                <w:color w:val="auto"/>
                <w:sz w:val="21"/>
                <w:szCs w:val="21"/>
                <w:highlight w:val="none"/>
                <w:lang w:eastAsia="zh-CN"/>
              </w:rPr>
              <w:t>优得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eastAsia="zh-CN"/>
              </w:rPr>
              <w:t>分，良得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分，一般得2分，无不得分</w:t>
            </w:r>
          </w:p>
        </w:tc>
      </w:tr>
      <w:tr w14:paraId="07EC0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58" w:type="dxa"/>
            <w:bottom w:w="32" w:type="dxa"/>
            <w:right w:w="0" w:type="dxa"/>
          </w:tblCellMar>
        </w:tblPrEx>
        <w:trPr>
          <w:trHeight w:val="663" w:hRule="atLeast"/>
        </w:trPr>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FF81437">
            <w:pPr>
              <w:pStyle w:val="10"/>
              <w:rPr>
                <w:rFonts w:hint="eastAsia" w:ascii="宋体" w:hAnsi="宋体" w:eastAsia="宋体" w:cs="宋体"/>
                <w:color w:val="auto"/>
                <w:sz w:val="21"/>
                <w:szCs w:val="21"/>
                <w:highlight w:val="none"/>
                <w:lang w:eastAsia="zh-CN"/>
              </w:rPr>
            </w:pPr>
          </w:p>
        </w:tc>
        <w:tc>
          <w:tcPr>
            <w:tcW w:w="1047" w:type="dxa"/>
            <w:vMerge w:val="continue"/>
            <w:tcBorders>
              <w:top w:val="single" w:color="000000" w:sz="4" w:space="0"/>
              <w:left w:val="single" w:color="000000" w:sz="4" w:space="0"/>
              <w:bottom w:val="single" w:color="000000" w:sz="4" w:space="0"/>
              <w:right w:val="single" w:color="000000" w:sz="4" w:space="0"/>
            </w:tcBorders>
            <w:vAlign w:val="center"/>
          </w:tcPr>
          <w:p w14:paraId="3962BDBD">
            <w:pPr>
              <w:pStyle w:val="10"/>
              <w:rPr>
                <w:rFonts w:hint="eastAsia" w:ascii="宋体" w:hAnsi="宋体" w:eastAsia="宋体" w:cs="宋体"/>
                <w:color w:val="auto"/>
                <w:sz w:val="21"/>
                <w:szCs w:val="21"/>
                <w:highlight w:val="none"/>
                <w:lang w:eastAsia="zh-CN"/>
              </w:rPr>
            </w:pPr>
          </w:p>
        </w:tc>
        <w:tc>
          <w:tcPr>
            <w:tcW w:w="2041" w:type="dxa"/>
            <w:tcBorders>
              <w:top w:val="single" w:color="000000" w:sz="4" w:space="0"/>
              <w:left w:val="single" w:color="000000" w:sz="4" w:space="0"/>
              <w:bottom w:val="single" w:color="000000" w:sz="4" w:space="0"/>
              <w:right w:val="single" w:color="000000" w:sz="4" w:space="0"/>
            </w:tcBorders>
            <w:vAlign w:val="center"/>
          </w:tcPr>
          <w:p w14:paraId="64F9307D">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监理依据、监理工作目标</w:t>
            </w:r>
          </w:p>
          <w:p w14:paraId="1D4E5131">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700" w:type="dxa"/>
            <w:tcBorders>
              <w:top w:val="single" w:color="000000" w:sz="4" w:space="0"/>
              <w:left w:val="single" w:color="000000" w:sz="4" w:space="0"/>
              <w:bottom w:val="single" w:color="auto" w:sz="4" w:space="0"/>
              <w:right w:val="single" w:color="000000" w:sz="4" w:space="0"/>
            </w:tcBorders>
            <w:vAlign w:val="center"/>
          </w:tcPr>
          <w:p w14:paraId="3D94D042">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对监理依据、监理工作目标进行比较，内容完整、合理、可行，</w:t>
            </w:r>
            <w:r>
              <w:rPr>
                <w:rFonts w:hint="eastAsia" w:ascii="宋体" w:hAnsi="宋体" w:eastAsia="宋体" w:cs="宋体"/>
                <w:bCs/>
                <w:color w:val="auto"/>
                <w:sz w:val="21"/>
                <w:szCs w:val="21"/>
                <w:highlight w:val="none"/>
                <w:lang w:eastAsia="zh-CN"/>
              </w:rPr>
              <w:t>优得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eastAsia="zh-CN"/>
              </w:rPr>
              <w:t>分，良得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分，一般得2分，无不得分</w:t>
            </w:r>
          </w:p>
        </w:tc>
      </w:tr>
      <w:tr w14:paraId="7072B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58" w:type="dxa"/>
            <w:bottom w:w="32" w:type="dxa"/>
            <w:right w:w="0" w:type="dxa"/>
          </w:tblCellMar>
        </w:tblPrEx>
        <w:trPr>
          <w:trHeight w:val="663" w:hRule="atLeast"/>
        </w:trPr>
        <w:tc>
          <w:tcPr>
            <w:tcW w:w="1030" w:type="dxa"/>
            <w:gridSpan w:val="2"/>
            <w:vMerge w:val="continue"/>
            <w:tcBorders>
              <w:top w:val="single" w:color="000000" w:sz="4" w:space="0"/>
              <w:left w:val="single" w:color="000000" w:sz="4" w:space="0"/>
              <w:bottom w:val="nil"/>
              <w:right w:val="single" w:color="000000" w:sz="4" w:space="0"/>
            </w:tcBorders>
            <w:vAlign w:val="center"/>
          </w:tcPr>
          <w:p w14:paraId="463B2E92">
            <w:pPr>
              <w:pStyle w:val="10"/>
              <w:rPr>
                <w:rFonts w:hint="eastAsia" w:ascii="宋体" w:hAnsi="宋体" w:eastAsia="宋体" w:cs="宋体"/>
                <w:color w:val="auto"/>
                <w:sz w:val="21"/>
                <w:szCs w:val="21"/>
                <w:highlight w:val="none"/>
                <w:lang w:eastAsia="zh-CN"/>
              </w:rPr>
            </w:pPr>
          </w:p>
        </w:tc>
        <w:tc>
          <w:tcPr>
            <w:tcW w:w="1047" w:type="dxa"/>
            <w:vMerge w:val="continue"/>
            <w:tcBorders>
              <w:top w:val="single" w:color="000000" w:sz="4" w:space="0"/>
              <w:left w:val="single" w:color="000000" w:sz="4" w:space="0"/>
              <w:bottom w:val="nil"/>
              <w:right w:val="single" w:color="000000" w:sz="4" w:space="0"/>
            </w:tcBorders>
            <w:vAlign w:val="center"/>
          </w:tcPr>
          <w:p w14:paraId="7EA12D90">
            <w:pPr>
              <w:pStyle w:val="10"/>
              <w:rPr>
                <w:rFonts w:hint="eastAsia" w:ascii="宋体" w:hAnsi="宋体" w:eastAsia="宋体" w:cs="宋体"/>
                <w:color w:val="auto"/>
                <w:sz w:val="21"/>
                <w:szCs w:val="21"/>
                <w:highlight w:val="none"/>
                <w:lang w:eastAsia="zh-CN"/>
              </w:rPr>
            </w:pPr>
          </w:p>
        </w:tc>
        <w:tc>
          <w:tcPr>
            <w:tcW w:w="2041" w:type="dxa"/>
            <w:tcBorders>
              <w:top w:val="single" w:color="000000" w:sz="4" w:space="0"/>
              <w:left w:val="single" w:color="000000" w:sz="4" w:space="0"/>
              <w:bottom w:val="single" w:color="000000" w:sz="4" w:space="0"/>
              <w:right w:val="single" w:color="000000" w:sz="4" w:space="0"/>
            </w:tcBorders>
            <w:vAlign w:val="center"/>
          </w:tcPr>
          <w:p w14:paraId="00100334">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监理机构设置和岗位职责</w:t>
            </w:r>
          </w:p>
          <w:p w14:paraId="470A5021">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700" w:type="dxa"/>
            <w:tcBorders>
              <w:top w:val="single" w:color="000000" w:sz="4" w:space="0"/>
              <w:left w:val="single" w:color="000000" w:sz="4" w:space="0"/>
              <w:bottom w:val="single" w:color="000000" w:sz="4" w:space="0"/>
              <w:right w:val="single" w:color="000000" w:sz="4" w:space="0"/>
            </w:tcBorders>
            <w:vAlign w:val="center"/>
          </w:tcPr>
          <w:p w14:paraId="31C4FD44">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对监理机构设置和岗位职责进行比较，内容完整、合理、可行，优得</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分，良得</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分，一般得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分，无不得分</w:t>
            </w:r>
          </w:p>
        </w:tc>
      </w:tr>
      <w:tr w14:paraId="007FD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58" w:type="dxa"/>
            <w:bottom w:w="32" w:type="dxa"/>
            <w:right w:w="0" w:type="dxa"/>
          </w:tblCellMar>
        </w:tblPrEx>
        <w:trPr>
          <w:trHeight w:val="461" w:hRule="atLeast"/>
        </w:trPr>
        <w:tc>
          <w:tcPr>
            <w:tcW w:w="1030" w:type="dxa"/>
            <w:gridSpan w:val="2"/>
            <w:vMerge w:val="continue"/>
            <w:tcBorders>
              <w:top w:val="nil"/>
              <w:left w:val="single" w:color="000000" w:sz="4" w:space="0"/>
              <w:bottom w:val="nil"/>
              <w:right w:val="single" w:color="000000" w:sz="4" w:space="0"/>
            </w:tcBorders>
            <w:vAlign w:val="center"/>
          </w:tcPr>
          <w:p w14:paraId="45290481">
            <w:pPr>
              <w:pStyle w:val="10"/>
              <w:rPr>
                <w:rFonts w:hint="eastAsia" w:ascii="宋体" w:hAnsi="宋体" w:eastAsia="宋体" w:cs="宋体"/>
                <w:color w:val="auto"/>
                <w:sz w:val="21"/>
                <w:szCs w:val="21"/>
                <w:highlight w:val="none"/>
                <w:lang w:eastAsia="zh-CN"/>
              </w:rPr>
            </w:pPr>
          </w:p>
        </w:tc>
        <w:tc>
          <w:tcPr>
            <w:tcW w:w="1047" w:type="dxa"/>
            <w:vMerge w:val="continue"/>
            <w:tcBorders>
              <w:top w:val="nil"/>
              <w:left w:val="single" w:color="000000" w:sz="4" w:space="0"/>
              <w:bottom w:val="nil"/>
              <w:right w:val="single" w:color="000000" w:sz="4" w:space="0"/>
            </w:tcBorders>
            <w:vAlign w:val="center"/>
          </w:tcPr>
          <w:p w14:paraId="4EE7B748">
            <w:pPr>
              <w:pStyle w:val="10"/>
              <w:rPr>
                <w:rFonts w:hint="eastAsia" w:ascii="宋体" w:hAnsi="宋体" w:eastAsia="宋体" w:cs="宋体"/>
                <w:color w:val="auto"/>
                <w:sz w:val="21"/>
                <w:szCs w:val="21"/>
                <w:highlight w:val="none"/>
                <w:lang w:eastAsia="zh-CN"/>
              </w:rPr>
            </w:pPr>
          </w:p>
        </w:tc>
        <w:tc>
          <w:tcPr>
            <w:tcW w:w="2041" w:type="dxa"/>
            <w:tcBorders>
              <w:top w:val="single" w:color="000000" w:sz="4" w:space="0"/>
              <w:left w:val="single" w:color="000000" w:sz="4" w:space="0"/>
              <w:bottom w:val="single" w:color="000000" w:sz="4" w:space="0"/>
              <w:right w:val="single" w:color="000000" w:sz="4" w:space="0"/>
            </w:tcBorders>
            <w:vAlign w:val="center"/>
          </w:tcPr>
          <w:p w14:paraId="4B18E7E4">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监理工作程序、方法和制度（3分）</w:t>
            </w:r>
          </w:p>
        </w:tc>
        <w:tc>
          <w:tcPr>
            <w:tcW w:w="5700" w:type="dxa"/>
            <w:tcBorders>
              <w:top w:val="single" w:color="000000" w:sz="4" w:space="0"/>
              <w:left w:val="single" w:color="000000" w:sz="4" w:space="0"/>
              <w:bottom w:val="single" w:color="000000" w:sz="4" w:space="0"/>
              <w:right w:val="single" w:color="000000" w:sz="4" w:space="0"/>
            </w:tcBorders>
            <w:vAlign w:val="center"/>
          </w:tcPr>
          <w:p w14:paraId="2D62F497">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对监理工作程序、方法和制度进行比较，内容完整、合理、可行，优得3分，良得2分，一般得1分，无不得分</w:t>
            </w:r>
          </w:p>
        </w:tc>
      </w:tr>
      <w:tr w14:paraId="4F422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58" w:type="dxa"/>
            <w:bottom w:w="32" w:type="dxa"/>
            <w:right w:w="0" w:type="dxa"/>
          </w:tblCellMar>
        </w:tblPrEx>
        <w:trPr>
          <w:trHeight w:val="663" w:hRule="atLeast"/>
        </w:trPr>
        <w:tc>
          <w:tcPr>
            <w:tcW w:w="1030" w:type="dxa"/>
            <w:gridSpan w:val="2"/>
            <w:vMerge w:val="continue"/>
            <w:tcBorders>
              <w:top w:val="nil"/>
              <w:left w:val="single" w:color="000000" w:sz="4" w:space="0"/>
              <w:bottom w:val="nil"/>
              <w:right w:val="single" w:color="000000" w:sz="4" w:space="0"/>
            </w:tcBorders>
            <w:vAlign w:val="center"/>
          </w:tcPr>
          <w:p w14:paraId="7D8F844F">
            <w:pPr>
              <w:pStyle w:val="10"/>
              <w:rPr>
                <w:rFonts w:hint="eastAsia" w:ascii="宋体" w:hAnsi="宋体" w:eastAsia="宋体" w:cs="宋体"/>
                <w:color w:val="auto"/>
                <w:sz w:val="21"/>
                <w:szCs w:val="21"/>
                <w:highlight w:val="none"/>
                <w:lang w:eastAsia="zh-CN"/>
              </w:rPr>
            </w:pPr>
          </w:p>
        </w:tc>
        <w:tc>
          <w:tcPr>
            <w:tcW w:w="1047" w:type="dxa"/>
            <w:vMerge w:val="continue"/>
            <w:tcBorders>
              <w:top w:val="nil"/>
              <w:left w:val="single" w:color="000000" w:sz="4" w:space="0"/>
              <w:bottom w:val="nil"/>
              <w:right w:val="single" w:color="000000" w:sz="4" w:space="0"/>
            </w:tcBorders>
            <w:vAlign w:val="center"/>
          </w:tcPr>
          <w:p w14:paraId="47CE7AF6">
            <w:pPr>
              <w:pStyle w:val="10"/>
              <w:rPr>
                <w:rFonts w:hint="eastAsia" w:ascii="宋体" w:hAnsi="宋体" w:eastAsia="宋体" w:cs="宋体"/>
                <w:color w:val="auto"/>
                <w:sz w:val="21"/>
                <w:szCs w:val="21"/>
                <w:highlight w:val="none"/>
                <w:lang w:eastAsia="zh-CN"/>
              </w:rPr>
            </w:pPr>
          </w:p>
        </w:tc>
        <w:tc>
          <w:tcPr>
            <w:tcW w:w="2041" w:type="dxa"/>
            <w:tcBorders>
              <w:top w:val="single" w:color="000000" w:sz="4" w:space="0"/>
              <w:left w:val="single" w:color="000000" w:sz="4" w:space="0"/>
              <w:bottom w:val="single" w:color="000000" w:sz="4" w:space="0"/>
              <w:right w:val="single" w:color="000000" w:sz="4" w:space="0"/>
            </w:tcBorders>
            <w:vAlign w:val="center"/>
          </w:tcPr>
          <w:p w14:paraId="1AA214CC">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质量、进度、造价、安全、环保监理措施（10分）</w:t>
            </w:r>
          </w:p>
        </w:tc>
        <w:tc>
          <w:tcPr>
            <w:tcW w:w="5700" w:type="dxa"/>
            <w:tcBorders>
              <w:top w:val="single" w:color="000000" w:sz="4" w:space="0"/>
              <w:left w:val="single" w:color="000000" w:sz="4" w:space="0"/>
              <w:bottom w:val="single" w:color="000000" w:sz="4" w:space="0"/>
              <w:right w:val="single" w:color="000000" w:sz="4" w:space="0"/>
            </w:tcBorders>
            <w:vAlign w:val="center"/>
          </w:tcPr>
          <w:p w14:paraId="6B7B75BC">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质量、进度、造价、安全、环保监理措施进行比较，内容完整、合理、可行；优得 10 分，良得 6 分，一般得 2 分，无不得分</w:t>
            </w:r>
          </w:p>
        </w:tc>
      </w:tr>
      <w:tr w14:paraId="520B5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58" w:type="dxa"/>
            <w:bottom w:w="32" w:type="dxa"/>
            <w:right w:w="0" w:type="dxa"/>
          </w:tblCellMar>
        </w:tblPrEx>
        <w:trPr>
          <w:trHeight w:val="668" w:hRule="atLeast"/>
        </w:trPr>
        <w:tc>
          <w:tcPr>
            <w:tcW w:w="1030" w:type="dxa"/>
            <w:gridSpan w:val="2"/>
            <w:vMerge w:val="continue"/>
            <w:tcBorders>
              <w:top w:val="nil"/>
              <w:left w:val="single" w:color="000000" w:sz="4" w:space="0"/>
              <w:bottom w:val="nil"/>
              <w:right w:val="single" w:color="000000" w:sz="4" w:space="0"/>
            </w:tcBorders>
            <w:vAlign w:val="center"/>
          </w:tcPr>
          <w:p w14:paraId="4A58EB6B">
            <w:pPr>
              <w:pStyle w:val="10"/>
              <w:rPr>
                <w:rFonts w:hint="eastAsia" w:ascii="宋体" w:hAnsi="宋体" w:eastAsia="宋体" w:cs="宋体"/>
                <w:color w:val="auto"/>
                <w:sz w:val="21"/>
                <w:szCs w:val="21"/>
                <w:highlight w:val="none"/>
                <w:lang w:eastAsia="zh-CN"/>
              </w:rPr>
            </w:pPr>
          </w:p>
        </w:tc>
        <w:tc>
          <w:tcPr>
            <w:tcW w:w="1047" w:type="dxa"/>
            <w:vMerge w:val="continue"/>
            <w:tcBorders>
              <w:top w:val="nil"/>
              <w:left w:val="single" w:color="000000" w:sz="4" w:space="0"/>
              <w:bottom w:val="nil"/>
              <w:right w:val="single" w:color="000000" w:sz="4" w:space="0"/>
            </w:tcBorders>
            <w:vAlign w:val="center"/>
          </w:tcPr>
          <w:p w14:paraId="507D544B">
            <w:pPr>
              <w:pStyle w:val="10"/>
              <w:rPr>
                <w:rFonts w:hint="eastAsia" w:ascii="宋体" w:hAnsi="宋体" w:eastAsia="宋体" w:cs="宋体"/>
                <w:color w:val="auto"/>
                <w:sz w:val="21"/>
                <w:szCs w:val="21"/>
                <w:highlight w:val="none"/>
                <w:lang w:eastAsia="zh-CN"/>
              </w:rPr>
            </w:pPr>
          </w:p>
        </w:tc>
        <w:tc>
          <w:tcPr>
            <w:tcW w:w="2041" w:type="dxa"/>
            <w:tcBorders>
              <w:top w:val="single" w:color="000000" w:sz="4" w:space="0"/>
              <w:left w:val="single" w:color="000000" w:sz="4" w:space="0"/>
              <w:bottom w:val="single" w:color="000000" w:sz="4" w:space="0"/>
              <w:right w:val="single" w:color="000000" w:sz="4" w:space="0"/>
            </w:tcBorders>
            <w:vAlign w:val="center"/>
          </w:tcPr>
          <w:p w14:paraId="65075156">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合同、信息管理方案</w:t>
            </w:r>
          </w:p>
          <w:p w14:paraId="7A3215F0">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（3分）</w:t>
            </w:r>
          </w:p>
        </w:tc>
        <w:tc>
          <w:tcPr>
            <w:tcW w:w="5700" w:type="dxa"/>
            <w:tcBorders>
              <w:top w:val="single" w:color="000000" w:sz="4" w:space="0"/>
              <w:left w:val="single" w:color="000000" w:sz="4" w:space="0"/>
              <w:bottom w:val="single" w:color="000000" w:sz="4" w:space="0"/>
              <w:right w:val="single" w:color="000000" w:sz="4" w:space="0"/>
            </w:tcBorders>
            <w:vAlign w:val="center"/>
          </w:tcPr>
          <w:p w14:paraId="46832B98">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对合同、信息管理方案进行比较，内容完整、合理、可行，优得3分，良得2分，一般得1分，无不得分</w:t>
            </w:r>
          </w:p>
        </w:tc>
      </w:tr>
      <w:tr w14:paraId="240F0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58" w:type="dxa"/>
            <w:bottom w:w="32" w:type="dxa"/>
            <w:right w:w="0" w:type="dxa"/>
          </w:tblCellMar>
        </w:tblPrEx>
        <w:trPr>
          <w:trHeight w:val="663" w:hRule="atLeast"/>
        </w:trPr>
        <w:tc>
          <w:tcPr>
            <w:tcW w:w="1030" w:type="dxa"/>
            <w:gridSpan w:val="2"/>
            <w:vMerge w:val="continue"/>
            <w:tcBorders>
              <w:top w:val="nil"/>
              <w:left w:val="single" w:color="000000" w:sz="4" w:space="0"/>
              <w:bottom w:val="nil"/>
              <w:right w:val="single" w:color="000000" w:sz="4" w:space="0"/>
            </w:tcBorders>
            <w:vAlign w:val="center"/>
          </w:tcPr>
          <w:p w14:paraId="6911DF30">
            <w:pPr>
              <w:pStyle w:val="10"/>
              <w:rPr>
                <w:rFonts w:hint="eastAsia" w:ascii="宋体" w:hAnsi="宋体" w:eastAsia="宋体" w:cs="宋体"/>
                <w:color w:val="auto"/>
                <w:sz w:val="21"/>
                <w:szCs w:val="21"/>
                <w:highlight w:val="none"/>
                <w:lang w:eastAsia="zh-CN"/>
              </w:rPr>
            </w:pPr>
          </w:p>
        </w:tc>
        <w:tc>
          <w:tcPr>
            <w:tcW w:w="1047" w:type="dxa"/>
            <w:vMerge w:val="continue"/>
            <w:tcBorders>
              <w:top w:val="nil"/>
              <w:left w:val="single" w:color="000000" w:sz="4" w:space="0"/>
              <w:bottom w:val="nil"/>
              <w:right w:val="single" w:color="000000" w:sz="4" w:space="0"/>
            </w:tcBorders>
            <w:vAlign w:val="center"/>
          </w:tcPr>
          <w:p w14:paraId="14FC33A4">
            <w:pPr>
              <w:pStyle w:val="10"/>
              <w:rPr>
                <w:rFonts w:hint="eastAsia" w:ascii="宋体" w:hAnsi="宋体" w:eastAsia="宋体" w:cs="宋体"/>
                <w:color w:val="auto"/>
                <w:sz w:val="21"/>
                <w:szCs w:val="21"/>
                <w:highlight w:val="none"/>
                <w:lang w:eastAsia="zh-CN"/>
              </w:rPr>
            </w:pPr>
          </w:p>
        </w:tc>
        <w:tc>
          <w:tcPr>
            <w:tcW w:w="2041" w:type="dxa"/>
            <w:tcBorders>
              <w:top w:val="single" w:color="000000" w:sz="4" w:space="0"/>
              <w:left w:val="single" w:color="000000" w:sz="4" w:space="0"/>
              <w:bottom w:val="single" w:color="000000" w:sz="4" w:space="0"/>
              <w:right w:val="single" w:color="000000" w:sz="4" w:space="0"/>
            </w:tcBorders>
            <w:vAlign w:val="center"/>
          </w:tcPr>
          <w:p w14:paraId="5F98FF86">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监理组织协调内容及措施</w:t>
            </w:r>
          </w:p>
          <w:p w14:paraId="0F7A685F">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5700" w:type="dxa"/>
            <w:tcBorders>
              <w:top w:val="single" w:color="000000" w:sz="4" w:space="0"/>
              <w:left w:val="single" w:color="000000" w:sz="4" w:space="0"/>
              <w:bottom w:val="single" w:color="000000" w:sz="4" w:space="0"/>
              <w:right w:val="single" w:color="000000" w:sz="4" w:space="0"/>
            </w:tcBorders>
            <w:vAlign w:val="center"/>
          </w:tcPr>
          <w:p w14:paraId="784EB8D4">
            <w:pPr>
              <w:pStyle w:val="10"/>
              <w:rPr>
                <w:rFonts w:hint="eastAsia" w:ascii="宋体" w:hAnsi="宋体" w:eastAsia="宋体" w:cs="宋体"/>
                <w:color w:val="auto"/>
                <w:sz w:val="21"/>
                <w:szCs w:val="21"/>
                <w:highlight w:val="none"/>
                <w:lang w:eastAsia="zh-CN"/>
              </w:rPr>
            </w:pPr>
            <w:r>
              <w:rPr>
                <w:rFonts w:hint="eastAsia"/>
                <w:color w:val="auto"/>
                <w:highlight w:val="none"/>
                <w:lang w:eastAsia="zh-CN"/>
              </w:rPr>
              <w:t>对监理组织协调内容及措施进行比较，内容完整、合理、可行，优得3分，良得2分，一般得1分，无不得分</w:t>
            </w:r>
          </w:p>
        </w:tc>
      </w:tr>
      <w:tr w14:paraId="43E71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58" w:type="dxa"/>
            <w:bottom w:w="32" w:type="dxa"/>
            <w:right w:w="0" w:type="dxa"/>
          </w:tblCellMar>
        </w:tblPrEx>
        <w:trPr>
          <w:trHeight w:val="663" w:hRule="atLeast"/>
        </w:trPr>
        <w:tc>
          <w:tcPr>
            <w:tcW w:w="1030" w:type="dxa"/>
            <w:gridSpan w:val="2"/>
            <w:vMerge w:val="continue"/>
            <w:tcBorders>
              <w:top w:val="nil"/>
              <w:left w:val="single" w:color="000000" w:sz="4" w:space="0"/>
              <w:bottom w:val="nil"/>
              <w:right w:val="single" w:color="000000" w:sz="4" w:space="0"/>
            </w:tcBorders>
            <w:vAlign w:val="center"/>
          </w:tcPr>
          <w:p w14:paraId="701A81EF">
            <w:pPr>
              <w:pStyle w:val="10"/>
              <w:rPr>
                <w:rFonts w:hint="eastAsia" w:ascii="宋体" w:hAnsi="宋体" w:eastAsia="宋体" w:cs="宋体"/>
                <w:color w:val="auto"/>
                <w:sz w:val="21"/>
                <w:szCs w:val="21"/>
                <w:highlight w:val="none"/>
                <w:lang w:eastAsia="zh-CN"/>
              </w:rPr>
            </w:pPr>
          </w:p>
        </w:tc>
        <w:tc>
          <w:tcPr>
            <w:tcW w:w="1047" w:type="dxa"/>
            <w:vMerge w:val="continue"/>
            <w:tcBorders>
              <w:top w:val="nil"/>
              <w:left w:val="single" w:color="000000" w:sz="4" w:space="0"/>
              <w:bottom w:val="nil"/>
              <w:right w:val="single" w:color="000000" w:sz="4" w:space="0"/>
            </w:tcBorders>
            <w:vAlign w:val="center"/>
          </w:tcPr>
          <w:p w14:paraId="1FB0FE6F">
            <w:pPr>
              <w:pStyle w:val="10"/>
              <w:rPr>
                <w:rFonts w:hint="eastAsia" w:ascii="宋体" w:hAnsi="宋体" w:eastAsia="宋体" w:cs="宋体"/>
                <w:color w:val="auto"/>
                <w:sz w:val="21"/>
                <w:szCs w:val="21"/>
                <w:highlight w:val="none"/>
                <w:lang w:eastAsia="zh-CN"/>
              </w:rPr>
            </w:pPr>
          </w:p>
        </w:tc>
        <w:tc>
          <w:tcPr>
            <w:tcW w:w="2041" w:type="dxa"/>
            <w:tcBorders>
              <w:top w:val="single" w:color="000000" w:sz="4" w:space="0"/>
              <w:left w:val="single" w:color="000000" w:sz="4" w:space="0"/>
              <w:bottom w:val="single" w:color="000000" w:sz="4" w:space="0"/>
              <w:right w:val="single" w:color="000000" w:sz="4" w:space="0"/>
            </w:tcBorders>
            <w:vAlign w:val="center"/>
          </w:tcPr>
          <w:p w14:paraId="2EBA6BB4">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监理工作重点、难点分析</w:t>
            </w:r>
          </w:p>
          <w:p w14:paraId="15445F2C">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5700" w:type="dxa"/>
            <w:tcBorders>
              <w:top w:val="single" w:color="000000" w:sz="4" w:space="0"/>
              <w:left w:val="single" w:color="000000" w:sz="4" w:space="0"/>
              <w:bottom w:val="single" w:color="000000" w:sz="4" w:space="0"/>
              <w:right w:val="single" w:color="000000" w:sz="4" w:space="0"/>
            </w:tcBorders>
            <w:vAlign w:val="center"/>
          </w:tcPr>
          <w:p w14:paraId="209C289E">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对监理工作重点、难点分析进行比较，内容完整、合理、可行，优得3分，良得2分，一般得1分，无不得分</w:t>
            </w:r>
          </w:p>
        </w:tc>
      </w:tr>
      <w:tr w14:paraId="2F92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58" w:type="dxa"/>
            <w:bottom w:w="32" w:type="dxa"/>
            <w:right w:w="0" w:type="dxa"/>
          </w:tblCellMar>
        </w:tblPrEx>
        <w:trPr>
          <w:trHeight w:val="628" w:hRule="atLeast"/>
        </w:trPr>
        <w:tc>
          <w:tcPr>
            <w:tcW w:w="1030" w:type="dxa"/>
            <w:gridSpan w:val="2"/>
            <w:vMerge w:val="continue"/>
            <w:tcBorders>
              <w:top w:val="nil"/>
              <w:left w:val="single" w:color="000000" w:sz="4" w:space="0"/>
              <w:bottom w:val="nil"/>
              <w:right w:val="single" w:color="000000" w:sz="4" w:space="0"/>
            </w:tcBorders>
            <w:vAlign w:val="center"/>
          </w:tcPr>
          <w:p w14:paraId="61045493">
            <w:pPr>
              <w:pStyle w:val="10"/>
              <w:rPr>
                <w:rFonts w:hint="eastAsia" w:ascii="宋体" w:hAnsi="宋体" w:eastAsia="宋体" w:cs="宋体"/>
                <w:color w:val="auto"/>
                <w:sz w:val="21"/>
                <w:szCs w:val="21"/>
                <w:highlight w:val="none"/>
                <w:lang w:eastAsia="zh-CN"/>
              </w:rPr>
            </w:pPr>
          </w:p>
        </w:tc>
        <w:tc>
          <w:tcPr>
            <w:tcW w:w="1047" w:type="dxa"/>
            <w:vMerge w:val="continue"/>
            <w:tcBorders>
              <w:top w:val="nil"/>
              <w:left w:val="single" w:color="000000" w:sz="4" w:space="0"/>
              <w:bottom w:val="nil"/>
              <w:right w:val="single" w:color="000000" w:sz="4" w:space="0"/>
            </w:tcBorders>
            <w:vAlign w:val="center"/>
          </w:tcPr>
          <w:p w14:paraId="23B00035">
            <w:pPr>
              <w:pStyle w:val="10"/>
              <w:rPr>
                <w:rFonts w:hint="eastAsia" w:ascii="宋体" w:hAnsi="宋体" w:eastAsia="宋体" w:cs="宋体"/>
                <w:color w:val="auto"/>
                <w:sz w:val="21"/>
                <w:szCs w:val="21"/>
                <w:highlight w:val="none"/>
                <w:lang w:eastAsia="zh-CN"/>
              </w:rPr>
            </w:pPr>
          </w:p>
        </w:tc>
        <w:tc>
          <w:tcPr>
            <w:tcW w:w="2041" w:type="dxa"/>
            <w:tcBorders>
              <w:top w:val="single" w:color="000000" w:sz="4" w:space="0"/>
              <w:left w:val="single" w:color="000000" w:sz="4" w:space="0"/>
              <w:bottom w:val="single" w:color="000000" w:sz="4" w:space="0"/>
              <w:right w:val="single" w:color="000000" w:sz="4" w:space="0"/>
            </w:tcBorders>
            <w:vAlign w:val="center"/>
          </w:tcPr>
          <w:p w14:paraId="20BEAA42">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合理化建议</w:t>
            </w:r>
          </w:p>
          <w:p w14:paraId="6F444B97">
            <w:pPr>
              <w:pStyle w:val="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tc>
        <w:tc>
          <w:tcPr>
            <w:tcW w:w="5700" w:type="dxa"/>
            <w:tcBorders>
              <w:top w:val="single" w:color="000000" w:sz="4" w:space="0"/>
              <w:left w:val="single" w:color="000000" w:sz="4" w:space="0"/>
              <w:bottom w:val="single" w:color="000000" w:sz="4" w:space="0"/>
              <w:right w:val="single" w:color="000000" w:sz="4" w:space="0"/>
            </w:tcBorders>
            <w:vAlign w:val="center"/>
          </w:tcPr>
          <w:p w14:paraId="0B487239">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对合理化建议进行比较，内容完整、合理、可行，优得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分，良得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分，一般得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分，无不得分</w:t>
            </w:r>
          </w:p>
        </w:tc>
      </w:tr>
      <w:tr w14:paraId="24EAE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58" w:type="dxa"/>
            <w:bottom w:w="32" w:type="dxa"/>
            <w:right w:w="0" w:type="dxa"/>
          </w:tblCellMar>
        </w:tblPrEx>
        <w:trPr>
          <w:trHeight w:val="1242" w:hRule="atLeast"/>
        </w:trPr>
        <w:tc>
          <w:tcPr>
            <w:tcW w:w="1030" w:type="dxa"/>
            <w:gridSpan w:val="2"/>
            <w:tcBorders>
              <w:top w:val="single" w:color="000000" w:sz="4" w:space="0"/>
              <w:left w:val="single" w:color="000000" w:sz="4" w:space="0"/>
              <w:bottom w:val="single" w:color="000000" w:sz="4" w:space="0"/>
              <w:right w:val="single" w:color="000000" w:sz="4" w:space="0"/>
            </w:tcBorders>
            <w:vAlign w:val="center"/>
          </w:tcPr>
          <w:p w14:paraId="1317F69C">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6B446372">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47" w:type="dxa"/>
            <w:tcBorders>
              <w:top w:val="single" w:color="000000" w:sz="4" w:space="0"/>
              <w:left w:val="single" w:color="000000" w:sz="4" w:space="0"/>
              <w:bottom w:val="single" w:color="000000" w:sz="4" w:space="0"/>
              <w:right w:val="single" w:color="000000" w:sz="4" w:space="0"/>
            </w:tcBorders>
            <w:vAlign w:val="center"/>
          </w:tcPr>
          <w:p w14:paraId="4D75A342">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投标报价评分标准</w:t>
            </w:r>
          </w:p>
          <w:p w14:paraId="1D3E23A3">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2041" w:type="dxa"/>
            <w:tcBorders>
              <w:top w:val="single" w:color="000000" w:sz="4" w:space="0"/>
              <w:left w:val="single" w:color="000000" w:sz="4" w:space="0"/>
              <w:bottom w:val="single" w:color="000000" w:sz="4" w:space="0"/>
              <w:right w:val="single" w:color="000000" w:sz="4" w:space="0"/>
            </w:tcBorders>
            <w:vAlign w:val="center"/>
          </w:tcPr>
          <w:p w14:paraId="7560DE8A">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14:paraId="081DCD8F">
            <w:pPr>
              <w:pStyle w:val="10"/>
              <w:jc w:val="center"/>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cs="宋体"/>
                <w:color w:val="auto"/>
                <w:sz w:val="21"/>
                <w:szCs w:val="21"/>
                <w:highlight w:val="none"/>
                <w:lang w:eastAsia="zh-CN"/>
              </w:rPr>
              <w:t>）</w:t>
            </w:r>
          </w:p>
        </w:tc>
        <w:tc>
          <w:tcPr>
            <w:tcW w:w="5700" w:type="dxa"/>
            <w:tcBorders>
              <w:top w:val="single" w:color="000000" w:sz="4" w:space="0"/>
              <w:left w:val="single" w:color="000000" w:sz="4" w:space="0"/>
              <w:bottom w:val="single" w:color="000000" w:sz="4" w:space="0"/>
              <w:right w:val="single" w:color="000000" w:sz="4" w:space="0"/>
            </w:tcBorders>
            <w:vAlign w:val="center"/>
          </w:tcPr>
          <w:p w14:paraId="172791E1">
            <w:pPr>
              <w:pStyle w:val="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投标人的投标报价</w:t>
            </w:r>
          </w:p>
          <w:p w14:paraId="126EC1F3">
            <w:pPr>
              <w:pStyle w:val="10"/>
              <w:rPr>
                <w:rFonts w:hint="eastAsia" w:cs="宋体"/>
                <w:color w:val="auto"/>
                <w:sz w:val="21"/>
                <w:szCs w:val="21"/>
                <w:highlight w:val="none"/>
                <w:lang w:val="en-US" w:eastAsia="zh-CN"/>
              </w:rPr>
            </w:pPr>
            <w:r>
              <w:rPr>
                <w:rFonts w:hint="eastAsia" w:cs="宋体"/>
                <w:color w:val="auto"/>
                <w:sz w:val="21"/>
                <w:szCs w:val="21"/>
                <w:highlight w:val="none"/>
                <w:lang w:val="en-US" w:eastAsia="zh-CN"/>
              </w:rPr>
              <w:t>等于</w:t>
            </w:r>
            <w:r>
              <w:rPr>
                <w:rFonts w:hint="eastAsia" w:ascii="宋体" w:hAnsi="宋体" w:eastAsia="宋体" w:cs="宋体"/>
                <w:color w:val="auto"/>
                <w:sz w:val="21"/>
                <w:szCs w:val="21"/>
                <w:highlight w:val="none"/>
              </w:rPr>
              <w:t>评标基准价则报价分</w:t>
            </w:r>
            <w:r>
              <w:rPr>
                <w:rFonts w:hint="eastAsia" w:cs="宋体"/>
                <w:color w:val="auto"/>
                <w:sz w:val="21"/>
                <w:szCs w:val="21"/>
                <w:highlight w:val="none"/>
                <w:lang w:val="en-US" w:eastAsia="zh-CN"/>
              </w:rPr>
              <w:t>为满分，</w:t>
            </w:r>
          </w:p>
          <w:p w14:paraId="2B31F401">
            <w:pPr>
              <w:pStyle w:val="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每高于评标基准价1%扣1分，</w:t>
            </w:r>
          </w:p>
          <w:p w14:paraId="6CDC69A8">
            <w:pPr>
              <w:pStyle w:val="1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每低于评标基准价1%扣0.5分，扣到0分为止</w:t>
            </w:r>
            <w:r>
              <w:rPr>
                <w:rFonts w:hint="eastAsia" w:cs="宋体"/>
                <w:color w:val="auto"/>
                <w:sz w:val="21"/>
                <w:szCs w:val="21"/>
                <w:highlight w:val="none"/>
                <w:lang w:eastAsia="zh-CN"/>
              </w:rPr>
              <w:t>。</w:t>
            </w:r>
          </w:p>
        </w:tc>
      </w:tr>
      <w:tr w14:paraId="2B524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58" w:type="dxa"/>
            <w:bottom w:w="32" w:type="dxa"/>
            <w:right w:w="0" w:type="dxa"/>
          </w:tblCellMar>
        </w:tblPrEx>
        <w:trPr>
          <w:trHeight w:val="587" w:hRule="atLeast"/>
        </w:trPr>
        <w:tc>
          <w:tcPr>
            <w:tcW w:w="1030" w:type="dxa"/>
            <w:gridSpan w:val="2"/>
            <w:vMerge w:val="restart"/>
            <w:tcBorders>
              <w:top w:val="single" w:color="000000" w:sz="4" w:space="0"/>
              <w:left w:val="single" w:color="000000" w:sz="4" w:space="0"/>
              <w:right w:val="single" w:color="000000" w:sz="4" w:space="0"/>
            </w:tcBorders>
            <w:vAlign w:val="center"/>
          </w:tcPr>
          <w:p w14:paraId="7866BD42">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2.2.4（4）</w:t>
            </w:r>
          </w:p>
        </w:tc>
        <w:tc>
          <w:tcPr>
            <w:tcW w:w="1047" w:type="dxa"/>
            <w:vMerge w:val="restart"/>
            <w:tcBorders>
              <w:top w:val="single" w:color="000000" w:sz="4" w:space="0"/>
              <w:left w:val="single" w:color="000000" w:sz="4" w:space="0"/>
              <w:right w:val="single" w:color="000000" w:sz="4" w:space="0"/>
            </w:tcBorders>
            <w:vAlign w:val="center"/>
          </w:tcPr>
          <w:p w14:paraId="0AE50E0B">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其他评分</w:t>
            </w:r>
          </w:p>
          <w:p w14:paraId="0557BB36">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因素</w:t>
            </w:r>
          </w:p>
          <w:p w14:paraId="7BCB0A46">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w:t>
            </w:r>
          </w:p>
        </w:tc>
        <w:tc>
          <w:tcPr>
            <w:tcW w:w="2041" w:type="dxa"/>
            <w:tcBorders>
              <w:top w:val="single" w:color="000000" w:sz="4" w:space="0"/>
              <w:left w:val="single" w:color="000000" w:sz="4" w:space="0"/>
              <w:bottom w:val="single" w:color="auto" w:sz="4" w:space="0"/>
              <w:right w:val="single" w:color="000000" w:sz="4" w:space="0"/>
            </w:tcBorders>
            <w:vAlign w:val="center"/>
          </w:tcPr>
          <w:p w14:paraId="2853C6AA">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优惠条件</w:t>
            </w:r>
          </w:p>
          <w:p w14:paraId="3D06A3CF">
            <w:pPr>
              <w:pStyle w:val="10"/>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3分</w:t>
            </w:r>
            <w:r>
              <w:rPr>
                <w:rFonts w:hint="eastAsia" w:cs="宋体"/>
                <w:color w:val="auto"/>
                <w:sz w:val="21"/>
                <w:szCs w:val="21"/>
                <w:highlight w:val="none"/>
                <w:lang w:eastAsia="zh-CN"/>
              </w:rPr>
              <w:t>）</w:t>
            </w:r>
          </w:p>
        </w:tc>
        <w:tc>
          <w:tcPr>
            <w:tcW w:w="5700" w:type="dxa"/>
            <w:tcBorders>
              <w:top w:val="single" w:color="000000" w:sz="4" w:space="0"/>
              <w:left w:val="single" w:color="000000" w:sz="4" w:space="0"/>
              <w:bottom w:val="single" w:color="auto" w:sz="4" w:space="0"/>
              <w:right w:val="single" w:color="000000" w:sz="4" w:space="0"/>
            </w:tcBorders>
            <w:vAlign w:val="center"/>
          </w:tcPr>
          <w:p w14:paraId="6D09F40B">
            <w:pPr>
              <w:pStyle w:val="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对投标人提出的招标人可以接受的合理优惠条件进行综合评价，优得3分，良得2分，一般得1分，无不得分</w:t>
            </w:r>
          </w:p>
        </w:tc>
      </w:tr>
      <w:tr w14:paraId="3C03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4" w:type="dxa"/>
            <w:left w:w="58" w:type="dxa"/>
            <w:bottom w:w="32" w:type="dxa"/>
            <w:right w:w="0" w:type="dxa"/>
          </w:tblCellMar>
        </w:tblPrEx>
        <w:trPr>
          <w:trHeight w:val="656" w:hRule="atLeast"/>
        </w:trPr>
        <w:tc>
          <w:tcPr>
            <w:tcW w:w="1030" w:type="dxa"/>
            <w:gridSpan w:val="2"/>
            <w:vMerge w:val="continue"/>
            <w:tcBorders>
              <w:left w:val="single" w:color="000000" w:sz="4" w:space="0"/>
              <w:bottom w:val="single" w:color="000000" w:sz="4" w:space="0"/>
              <w:right w:val="single" w:color="000000" w:sz="4" w:space="0"/>
            </w:tcBorders>
            <w:vAlign w:val="center"/>
          </w:tcPr>
          <w:p w14:paraId="11E89009">
            <w:pPr>
              <w:pStyle w:val="10"/>
              <w:rPr>
                <w:rFonts w:hint="eastAsia" w:ascii="宋体" w:hAnsi="宋体" w:eastAsia="宋体" w:cs="宋体"/>
                <w:color w:val="auto"/>
                <w:sz w:val="21"/>
                <w:szCs w:val="21"/>
                <w:highlight w:val="none"/>
                <w:lang w:eastAsia="zh-CN"/>
              </w:rPr>
            </w:pPr>
          </w:p>
        </w:tc>
        <w:tc>
          <w:tcPr>
            <w:tcW w:w="1047" w:type="dxa"/>
            <w:vMerge w:val="continue"/>
            <w:tcBorders>
              <w:left w:val="single" w:color="000000" w:sz="4" w:space="0"/>
              <w:bottom w:val="single" w:color="000000" w:sz="4" w:space="0"/>
              <w:right w:val="single" w:color="000000" w:sz="4" w:space="0"/>
            </w:tcBorders>
            <w:vAlign w:val="center"/>
          </w:tcPr>
          <w:p w14:paraId="6EDEEFCC">
            <w:pPr>
              <w:pStyle w:val="10"/>
              <w:rPr>
                <w:rFonts w:hint="eastAsia" w:ascii="宋体" w:hAnsi="宋体" w:eastAsia="宋体" w:cs="宋体"/>
                <w:color w:val="auto"/>
                <w:sz w:val="21"/>
                <w:szCs w:val="21"/>
                <w:highlight w:val="none"/>
                <w:lang w:eastAsia="zh-CN"/>
              </w:rPr>
            </w:pPr>
          </w:p>
        </w:tc>
        <w:tc>
          <w:tcPr>
            <w:tcW w:w="2041" w:type="dxa"/>
            <w:tcBorders>
              <w:top w:val="single" w:color="auto" w:sz="4" w:space="0"/>
              <w:left w:val="single" w:color="000000" w:sz="4" w:space="0"/>
              <w:bottom w:val="single" w:color="auto" w:sz="4" w:space="0"/>
              <w:right w:val="single" w:color="000000" w:sz="4" w:space="0"/>
            </w:tcBorders>
            <w:vAlign w:val="center"/>
          </w:tcPr>
          <w:p w14:paraId="6A8EB757">
            <w:pPr>
              <w:pStyle w:val="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w:t>
            </w:r>
          </w:p>
          <w:p w14:paraId="49CCEB16">
            <w:pPr>
              <w:pStyle w:val="10"/>
              <w:jc w:val="center"/>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3分</w:t>
            </w:r>
            <w:r>
              <w:rPr>
                <w:rFonts w:hint="eastAsia" w:cs="宋体"/>
                <w:color w:val="auto"/>
                <w:sz w:val="21"/>
                <w:szCs w:val="21"/>
                <w:highlight w:val="none"/>
                <w:lang w:eastAsia="zh-CN"/>
              </w:rPr>
              <w:t>）</w:t>
            </w:r>
          </w:p>
        </w:tc>
        <w:tc>
          <w:tcPr>
            <w:tcW w:w="5700" w:type="dxa"/>
            <w:tcBorders>
              <w:top w:val="single" w:color="auto" w:sz="4" w:space="0"/>
              <w:left w:val="single" w:color="000000" w:sz="4" w:space="0"/>
              <w:bottom w:val="single" w:color="auto" w:sz="4" w:space="0"/>
              <w:right w:val="single" w:color="000000" w:sz="4" w:space="0"/>
            </w:tcBorders>
            <w:vAlign w:val="center"/>
          </w:tcPr>
          <w:p w14:paraId="1935A48A">
            <w:pPr>
              <w:pStyle w:val="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对投标人提出的招标人可以接受的合理服务承诺进行综合评价，优得3分，良得2分，一般得1分，无不得分</w:t>
            </w:r>
          </w:p>
        </w:tc>
      </w:tr>
    </w:tbl>
    <w:p w14:paraId="3F47BEBA">
      <w:pPr>
        <w:jc w:val="both"/>
        <w:rPr>
          <w:rFonts w:cs="Times New Roman"/>
          <w:color w:val="auto"/>
          <w:sz w:val="21"/>
          <w:highlight w:val="none"/>
          <w:lang w:eastAsia="zh-CN"/>
        </w:rPr>
      </w:pPr>
      <w:r>
        <w:rPr>
          <w:rFonts w:cs="Times New Roman"/>
          <w:color w:val="auto"/>
          <w:sz w:val="21"/>
          <w:highlight w:val="none"/>
          <w:lang w:eastAsia="zh-CN"/>
        </w:rPr>
        <w:tab/>
      </w:r>
      <w:bookmarkStart w:id="125" w:name="_Toc493082546"/>
    </w:p>
    <w:p w14:paraId="06E87956">
      <w:pPr>
        <w:pStyle w:val="4"/>
        <w:bidi w:val="0"/>
        <w:rPr>
          <w:color w:val="auto"/>
          <w:highlight w:val="none"/>
          <w:lang w:eastAsia="zh-CN"/>
        </w:rPr>
      </w:pPr>
      <w:bookmarkStart w:id="126" w:name="_Toc17691"/>
    </w:p>
    <w:p w14:paraId="17F6DE8E">
      <w:pPr>
        <w:pStyle w:val="4"/>
        <w:bidi w:val="0"/>
        <w:rPr>
          <w:color w:val="auto"/>
          <w:highlight w:val="none"/>
          <w:lang w:eastAsia="zh-CN"/>
        </w:rPr>
      </w:pPr>
      <w:r>
        <w:rPr>
          <w:color w:val="auto"/>
          <w:highlight w:val="none"/>
          <w:lang w:eastAsia="zh-CN"/>
        </w:rPr>
        <w:t>1. 评标方法</w:t>
      </w:r>
      <w:bookmarkEnd w:id="125"/>
      <w:bookmarkEnd w:id="126"/>
    </w:p>
    <w:p w14:paraId="5D395BD1">
      <w:pPr>
        <w:spacing w:before="120" w:beforeLines="50" w:after="120" w:afterLines="50" w:line="300" w:lineRule="auto"/>
        <w:ind w:right="103" w:firstLine="407"/>
        <w:rPr>
          <w:color w:val="auto"/>
          <w:sz w:val="21"/>
          <w:highlight w:val="none"/>
          <w:lang w:eastAsia="zh-CN"/>
        </w:rPr>
      </w:pPr>
      <w:bookmarkStart w:id="127" w:name="_Toc493082547"/>
      <w:r>
        <w:rPr>
          <w:rFonts w:hint="eastAsia"/>
          <w:color w:val="auto"/>
          <w:sz w:val="21"/>
          <w:highlight w:val="none"/>
          <w:lang w:eastAsia="zh-CN"/>
        </w:rPr>
        <w:t xml:space="preserve">本次评标采用综合评估法。评标委员会对满足2.1初步评审标准的投标文件，按照本章第 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规定确定中标候选人排序。 </w:t>
      </w:r>
    </w:p>
    <w:p w14:paraId="7707E4D6">
      <w:pPr>
        <w:pStyle w:val="4"/>
        <w:bidi w:val="0"/>
        <w:rPr>
          <w:color w:val="auto"/>
          <w:highlight w:val="none"/>
          <w:lang w:eastAsia="zh-CN"/>
        </w:rPr>
      </w:pPr>
      <w:bookmarkStart w:id="128" w:name="_Toc14394"/>
      <w:r>
        <w:rPr>
          <w:color w:val="auto"/>
          <w:highlight w:val="none"/>
          <w:lang w:eastAsia="zh-CN"/>
        </w:rPr>
        <w:t>2. 评审标准</w:t>
      </w:r>
      <w:bookmarkEnd w:id="127"/>
      <w:bookmarkEnd w:id="128"/>
    </w:p>
    <w:p w14:paraId="32EA3990">
      <w:pPr>
        <w:pStyle w:val="5"/>
        <w:spacing w:before="120" w:beforeLines="50" w:after="120" w:afterLines="50" w:line="300" w:lineRule="auto"/>
        <w:rPr>
          <w:color w:val="auto"/>
          <w:highlight w:val="none"/>
          <w:lang w:eastAsia="zh-CN"/>
        </w:rPr>
      </w:pPr>
      <w:bookmarkStart w:id="129" w:name="_Toc17223"/>
      <w:bookmarkStart w:id="130" w:name="_Toc493082548"/>
      <w:bookmarkStart w:id="131" w:name="_Toc18604"/>
      <w:r>
        <w:rPr>
          <w:color w:val="auto"/>
          <w:highlight w:val="none"/>
          <w:lang w:eastAsia="zh-CN"/>
        </w:rPr>
        <w:t>2.1 初步评审标准</w:t>
      </w:r>
      <w:bookmarkEnd w:id="129"/>
      <w:bookmarkEnd w:id="130"/>
      <w:bookmarkEnd w:id="131"/>
    </w:p>
    <w:p w14:paraId="0C03E43A">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2.1.1 形式评审标准：见评标办法前附表。 </w:t>
      </w:r>
    </w:p>
    <w:p w14:paraId="46B2F334">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2.1.2 资格评审标准：见评标办法前附表。 </w:t>
      </w:r>
    </w:p>
    <w:p w14:paraId="6882C314">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2.1.3 响应性评审标准：见评标办法前附表。 </w:t>
      </w:r>
    </w:p>
    <w:p w14:paraId="163144FD">
      <w:pPr>
        <w:spacing w:before="120" w:beforeLines="50" w:after="120" w:afterLines="50" w:line="300" w:lineRule="auto"/>
        <w:ind w:right="103" w:firstLine="407"/>
        <w:rPr>
          <w:color w:val="auto"/>
          <w:sz w:val="21"/>
          <w:highlight w:val="none"/>
          <w:lang w:eastAsia="zh-CN"/>
        </w:rPr>
      </w:pPr>
      <w:r>
        <w:rPr>
          <w:rFonts w:hint="eastAsia"/>
          <w:color w:val="auto"/>
          <w:sz w:val="21"/>
          <w:highlight w:val="none"/>
          <w:lang w:eastAsia="zh-CN"/>
        </w:rPr>
        <w:t>（注：评标委员会各成员评审意见不一致时，以少数服从多数为原则）</w:t>
      </w:r>
    </w:p>
    <w:p w14:paraId="29665D76">
      <w:pPr>
        <w:pStyle w:val="5"/>
        <w:spacing w:before="120" w:beforeLines="50" w:after="120" w:afterLines="50" w:line="300" w:lineRule="auto"/>
        <w:rPr>
          <w:color w:val="auto"/>
          <w:highlight w:val="none"/>
          <w:lang w:eastAsia="zh-CN"/>
        </w:rPr>
      </w:pPr>
      <w:bookmarkStart w:id="132" w:name="_Toc24666"/>
      <w:bookmarkStart w:id="133" w:name="_Toc2750"/>
      <w:bookmarkStart w:id="134" w:name="_Toc493082549"/>
      <w:r>
        <w:rPr>
          <w:color w:val="auto"/>
          <w:highlight w:val="none"/>
          <w:lang w:eastAsia="zh-CN"/>
        </w:rPr>
        <w:t>2.2 分值构成与评分标准</w:t>
      </w:r>
      <w:bookmarkEnd w:id="132"/>
      <w:bookmarkEnd w:id="133"/>
      <w:bookmarkEnd w:id="134"/>
    </w:p>
    <w:p w14:paraId="476B9842">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2.2.1 分值构成 </w:t>
      </w:r>
    </w:p>
    <w:p w14:paraId="6C1D066C">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（1）资信业绩部分：见评标办法前附表；</w:t>
      </w:r>
    </w:p>
    <w:p w14:paraId="6C44AC32">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（2）监理大纲部分：见评标办法前附表； </w:t>
      </w:r>
    </w:p>
    <w:p w14:paraId="030D4CB9">
      <w:pPr>
        <w:spacing w:before="120" w:beforeLines="50" w:after="120" w:afterLines="50" w:line="300" w:lineRule="auto"/>
        <w:ind w:right="103" w:firstLine="407"/>
        <w:rPr>
          <w:rFonts w:hint="eastAsia"/>
          <w:color w:val="auto"/>
          <w:sz w:val="21"/>
          <w:highlight w:val="none"/>
          <w:lang w:eastAsia="zh-CN"/>
        </w:rPr>
      </w:pPr>
      <w:r>
        <w:rPr>
          <w:color w:val="auto"/>
          <w:sz w:val="21"/>
          <w:highlight w:val="none"/>
          <w:lang w:eastAsia="zh-CN"/>
        </w:rPr>
        <w:t>（</w:t>
      </w:r>
      <w:r>
        <w:rPr>
          <w:rFonts w:hint="eastAsia"/>
          <w:color w:val="auto"/>
          <w:sz w:val="21"/>
          <w:highlight w:val="none"/>
          <w:lang w:eastAsia="zh-CN"/>
        </w:rPr>
        <w:t>3</w:t>
      </w:r>
      <w:r>
        <w:rPr>
          <w:color w:val="auto"/>
          <w:sz w:val="21"/>
          <w:highlight w:val="none"/>
          <w:lang w:eastAsia="zh-CN"/>
        </w:rPr>
        <w:t xml:space="preserve">）投标报价：见评标办法前附表； </w:t>
      </w:r>
    </w:p>
    <w:p w14:paraId="71FB22B6">
      <w:pPr>
        <w:spacing w:before="120" w:beforeLines="50" w:after="120" w:afterLines="50" w:line="300" w:lineRule="auto"/>
        <w:ind w:right="103" w:firstLine="407"/>
        <w:rPr>
          <w:rFonts w:hint="eastAsia"/>
          <w:color w:val="auto"/>
          <w:sz w:val="21"/>
          <w:highlight w:val="none"/>
          <w:lang w:eastAsia="zh-CN"/>
        </w:rPr>
      </w:pPr>
      <w:r>
        <w:rPr>
          <w:color w:val="auto"/>
          <w:sz w:val="21"/>
          <w:highlight w:val="none"/>
          <w:lang w:eastAsia="zh-CN"/>
        </w:rPr>
        <w:t>（</w:t>
      </w:r>
      <w:r>
        <w:rPr>
          <w:rFonts w:hint="eastAsia"/>
          <w:color w:val="auto"/>
          <w:sz w:val="21"/>
          <w:highlight w:val="none"/>
          <w:lang w:eastAsia="zh-CN"/>
        </w:rPr>
        <w:t>4</w:t>
      </w:r>
      <w:r>
        <w:rPr>
          <w:color w:val="auto"/>
          <w:sz w:val="21"/>
          <w:highlight w:val="none"/>
          <w:lang w:eastAsia="zh-CN"/>
        </w:rPr>
        <w:t>）</w:t>
      </w:r>
      <w:r>
        <w:rPr>
          <w:rFonts w:hint="eastAsia"/>
          <w:color w:val="auto"/>
          <w:sz w:val="21"/>
          <w:highlight w:val="none"/>
          <w:lang w:eastAsia="zh-CN"/>
        </w:rPr>
        <w:t>其他评分因素</w:t>
      </w:r>
      <w:r>
        <w:rPr>
          <w:color w:val="auto"/>
          <w:sz w:val="21"/>
          <w:highlight w:val="none"/>
          <w:lang w:eastAsia="zh-CN"/>
        </w:rPr>
        <w:t>：见评标办法前附表；</w:t>
      </w:r>
    </w:p>
    <w:p w14:paraId="4FDCACC2">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2.2.2 评标基准价计算 </w:t>
      </w:r>
    </w:p>
    <w:p w14:paraId="0DF2641E">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评标基准价计算方法：见评标办法前附表。 </w:t>
      </w:r>
    </w:p>
    <w:p w14:paraId="38EBFA1A">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2.2.3 投标报价的偏差率计算 </w:t>
      </w:r>
    </w:p>
    <w:p w14:paraId="21A417EC">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投标报价的偏差率计算公式：见评标办法前附表。 </w:t>
      </w:r>
    </w:p>
    <w:p w14:paraId="00061066">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2.2.4 评分标准 </w:t>
      </w:r>
    </w:p>
    <w:p w14:paraId="17348949">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（1）资信业绩评分标准：见评标办法前附表；</w:t>
      </w:r>
    </w:p>
    <w:p w14:paraId="5F0CE8BD">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（2）监理大纲评分标准：见评标办法前附表； </w:t>
      </w:r>
    </w:p>
    <w:p w14:paraId="6978612D">
      <w:pPr>
        <w:spacing w:before="120" w:beforeLines="50" w:after="120" w:afterLines="50" w:line="300" w:lineRule="auto"/>
        <w:ind w:right="103" w:firstLine="407"/>
        <w:rPr>
          <w:rFonts w:hint="eastAsia"/>
          <w:color w:val="auto"/>
          <w:sz w:val="21"/>
          <w:highlight w:val="none"/>
          <w:lang w:eastAsia="zh-CN"/>
        </w:rPr>
      </w:pPr>
      <w:r>
        <w:rPr>
          <w:color w:val="auto"/>
          <w:sz w:val="21"/>
          <w:highlight w:val="none"/>
          <w:lang w:eastAsia="zh-CN"/>
        </w:rPr>
        <w:t>（</w:t>
      </w:r>
      <w:r>
        <w:rPr>
          <w:rFonts w:hint="eastAsia"/>
          <w:color w:val="auto"/>
          <w:sz w:val="21"/>
          <w:highlight w:val="none"/>
          <w:lang w:eastAsia="zh-CN"/>
        </w:rPr>
        <w:t>3</w:t>
      </w:r>
      <w:r>
        <w:rPr>
          <w:color w:val="auto"/>
          <w:sz w:val="21"/>
          <w:highlight w:val="none"/>
          <w:lang w:eastAsia="zh-CN"/>
        </w:rPr>
        <w:t xml:space="preserve">）投标报价评分标准：见评标办法前附表； </w:t>
      </w:r>
    </w:p>
    <w:p w14:paraId="39000D86">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w:t>
      </w:r>
      <w:r>
        <w:rPr>
          <w:rFonts w:hint="eastAsia"/>
          <w:color w:val="auto"/>
          <w:sz w:val="21"/>
          <w:highlight w:val="none"/>
          <w:lang w:eastAsia="zh-CN"/>
        </w:rPr>
        <w:t>4</w:t>
      </w:r>
      <w:r>
        <w:rPr>
          <w:color w:val="auto"/>
          <w:sz w:val="21"/>
          <w:highlight w:val="none"/>
          <w:lang w:eastAsia="zh-CN"/>
        </w:rPr>
        <w:t>）</w:t>
      </w:r>
      <w:r>
        <w:rPr>
          <w:rFonts w:hint="eastAsia"/>
          <w:color w:val="auto"/>
          <w:sz w:val="21"/>
          <w:highlight w:val="none"/>
          <w:lang w:eastAsia="zh-CN"/>
        </w:rPr>
        <w:t>其他评分因素</w:t>
      </w:r>
      <w:r>
        <w:rPr>
          <w:color w:val="auto"/>
          <w:sz w:val="21"/>
          <w:highlight w:val="none"/>
          <w:lang w:eastAsia="zh-CN"/>
        </w:rPr>
        <w:t>评分标准：见评标办法前附表；</w:t>
      </w:r>
    </w:p>
    <w:p w14:paraId="52AE3156">
      <w:pPr>
        <w:pStyle w:val="4"/>
        <w:bidi w:val="0"/>
        <w:rPr>
          <w:color w:val="auto"/>
          <w:highlight w:val="none"/>
          <w:lang w:eastAsia="zh-CN"/>
        </w:rPr>
      </w:pPr>
      <w:bookmarkStart w:id="135" w:name="_Toc27381"/>
      <w:bookmarkStart w:id="136" w:name="_Toc493082550"/>
      <w:r>
        <w:rPr>
          <w:color w:val="auto"/>
          <w:highlight w:val="none"/>
          <w:lang w:eastAsia="zh-CN"/>
        </w:rPr>
        <w:t>3. 评标程序</w:t>
      </w:r>
      <w:bookmarkEnd w:id="135"/>
      <w:bookmarkEnd w:id="136"/>
    </w:p>
    <w:p w14:paraId="0E6BE057">
      <w:pPr>
        <w:pStyle w:val="5"/>
        <w:spacing w:before="120" w:beforeLines="50" w:after="120" w:afterLines="50" w:line="300" w:lineRule="auto"/>
        <w:rPr>
          <w:color w:val="auto"/>
          <w:highlight w:val="none"/>
          <w:lang w:eastAsia="zh-CN"/>
        </w:rPr>
      </w:pPr>
      <w:bookmarkStart w:id="137" w:name="_Toc4131"/>
      <w:bookmarkStart w:id="138" w:name="_Toc493082551"/>
      <w:bookmarkStart w:id="139" w:name="_Toc2396"/>
      <w:r>
        <w:rPr>
          <w:color w:val="auto"/>
          <w:highlight w:val="none"/>
          <w:lang w:eastAsia="zh-CN"/>
        </w:rPr>
        <w:t>3.1 初步评审</w:t>
      </w:r>
      <w:bookmarkEnd w:id="137"/>
      <w:bookmarkEnd w:id="138"/>
      <w:bookmarkEnd w:id="139"/>
    </w:p>
    <w:p w14:paraId="6FBE928E">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3.1.1 评标委员会可以要求投标人提交第二章“投标人须知”规定的有关证明和证件的原件，以便核验。评标委员会依据本章第 2.1 款规定的标准对投标文件进行初步评审。有一项不符合评审标准的，评标委员会应当否决其投标。 </w:t>
      </w:r>
    </w:p>
    <w:p w14:paraId="6E29DF3E">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3.1.2 投标人有以下情形之一的，评标委员会应当否决其投标： </w:t>
      </w:r>
    </w:p>
    <w:p w14:paraId="32EE6DA4">
      <w:pPr>
        <w:spacing w:before="120" w:beforeLines="50" w:after="120" w:afterLines="50" w:line="300" w:lineRule="auto"/>
        <w:ind w:right="103" w:firstLine="407"/>
        <w:rPr>
          <w:color w:val="auto"/>
          <w:sz w:val="21"/>
          <w:highlight w:val="none"/>
          <w:lang w:eastAsia="zh-CN"/>
        </w:rPr>
      </w:pPr>
      <w:r>
        <w:rPr>
          <w:rFonts w:hint="eastAsia"/>
          <w:color w:val="auto"/>
          <w:sz w:val="21"/>
          <w:highlight w:val="none"/>
          <w:lang w:eastAsia="zh-CN"/>
        </w:rPr>
        <w:t>（1）</w:t>
      </w:r>
      <w:r>
        <w:rPr>
          <w:color w:val="auto"/>
          <w:sz w:val="21"/>
          <w:highlight w:val="none"/>
          <w:lang w:eastAsia="zh-CN"/>
        </w:rPr>
        <w:t xml:space="preserve">投标文件没有对招标文件的实质性要求和条件作出响应，或者对招标文件的偏差超出招标文件规定的偏差范围或最高项数； </w:t>
      </w:r>
    </w:p>
    <w:p w14:paraId="4D519844">
      <w:pPr>
        <w:spacing w:before="120" w:beforeLines="50" w:after="120" w:afterLines="50" w:line="300" w:lineRule="auto"/>
        <w:ind w:right="103" w:firstLine="407"/>
        <w:rPr>
          <w:color w:val="auto"/>
          <w:sz w:val="21"/>
          <w:highlight w:val="none"/>
          <w:lang w:eastAsia="zh-CN"/>
        </w:rPr>
      </w:pPr>
      <w:r>
        <w:rPr>
          <w:rFonts w:hint="eastAsia"/>
          <w:color w:val="auto"/>
          <w:sz w:val="21"/>
          <w:highlight w:val="none"/>
          <w:lang w:eastAsia="zh-CN"/>
        </w:rPr>
        <w:t>（2）</w:t>
      </w:r>
      <w:r>
        <w:rPr>
          <w:color w:val="auto"/>
          <w:sz w:val="21"/>
          <w:highlight w:val="none"/>
          <w:lang w:eastAsia="zh-CN"/>
        </w:rPr>
        <w:t xml:space="preserve">有串通投标、弄虚作假、行贿等违法行为。 </w:t>
      </w:r>
    </w:p>
    <w:p w14:paraId="07249546">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3.1.3 投标报价有算术错误及其他错误的，评标委员会按以下原则要求投标人对投标报价进行修正，并要求投标人书面澄清确认。投标人拒不澄清确认的，评标委员会应当否决其投标： </w:t>
      </w:r>
    </w:p>
    <w:p w14:paraId="039B16CC">
      <w:pPr>
        <w:spacing w:before="120" w:beforeLines="50" w:after="120" w:afterLines="50" w:line="300" w:lineRule="auto"/>
        <w:ind w:right="103" w:firstLine="420" w:firstLineChars="200"/>
        <w:rPr>
          <w:color w:val="auto"/>
          <w:highlight w:val="none"/>
          <w:lang w:eastAsia="zh-CN"/>
        </w:rPr>
      </w:pPr>
      <w:r>
        <w:rPr>
          <w:rFonts w:hint="eastAsia"/>
          <w:color w:val="auto"/>
          <w:sz w:val="21"/>
          <w:highlight w:val="none"/>
          <w:lang w:eastAsia="zh-CN"/>
        </w:rPr>
        <w:t>（1）</w:t>
      </w:r>
      <w:r>
        <w:rPr>
          <w:color w:val="auto"/>
          <w:sz w:val="21"/>
          <w:highlight w:val="none"/>
          <w:lang w:eastAsia="zh-CN"/>
        </w:rPr>
        <w:t>投标文件中的大写金额与小写金额不一致的，以大写金额为准；</w:t>
      </w:r>
    </w:p>
    <w:p w14:paraId="4C531B39">
      <w:pPr>
        <w:spacing w:before="120" w:beforeLines="50" w:after="120" w:afterLines="50" w:line="300" w:lineRule="auto"/>
        <w:ind w:right="103" w:firstLine="420" w:firstLineChars="200"/>
        <w:rPr>
          <w:color w:val="auto"/>
          <w:highlight w:val="none"/>
          <w:lang w:eastAsia="zh-CN"/>
        </w:rPr>
      </w:pPr>
      <w:r>
        <w:rPr>
          <w:rFonts w:hint="eastAsia"/>
          <w:color w:val="auto"/>
          <w:sz w:val="21"/>
          <w:highlight w:val="none"/>
          <w:lang w:eastAsia="zh-CN"/>
        </w:rPr>
        <w:t>（2）</w:t>
      </w:r>
      <w:r>
        <w:rPr>
          <w:color w:val="auto"/>
          <w:sz w:val="21"/>
          <w:highlight w:val="none"/>
          <w:lang w:eastAsia="zh-CN"/>
        </w:rPr>
        <w:t>总价金额与单价金额不一致的，以单价金额为准，但单价金额小数点有明显错误的除外。</w:t>
      </w:r>
    </w:p>
    <w:p w14:paraId="772CE3A0">
      <w:pPr>
        <w:pStyle w:val="5"/>
        <w:spacing w:before="120" w:beforeLines="50" w:after="120" w:afterLines="50" w:line="300" w:lineRule="auto"/>
        <w:rPr>
          <w:color w:val="auto"/>
          <w:highlight w:val="none"/>
          <w:lang w:eastAsia="zh-CN"/>
        </w:rPr>
      </w:pPr>
      <w:bookmarkStart w:id="140" w:name="_Toc18631"/>
      <w:bookmarkStart w:id="141" w:name="_Toc493082552"/>
      <w:bookmarkStart w:id="142" w:name="_Toc25547"/>
      <w:r>
        <w:rPr>
          <w:color w:val="auto"/>
          <w:highlight w:val="none"/>
          <w:lang w:eastAsia="zh-CN"/>
        </w:rPr>
        <w:t>3.2 详细评审</w:t>
      </w:r>
      <w:bookmarkEnd w:id="140"/>
      <w:bookmarkEnd w:id="141"/>
      <w:bookmarkEnd w:id="142"/>
    </w:p>
    <w:p w14:paraId="614D8DFB">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3.2.1 评标委员会按本章第 2.2 款规定的量化因素和分值进行打分，并计算出综合评估得分。 </w:t>
      </w:r>
    </w:p>
    <w:p w14:paraId="53860CF3">
      <w:pPr>
        <w:widowControl/>
        <w:numPr>
          <w:ilvl w:val="0"/>
          <w:numId w:val="2"/>
        </w:numPr>
        <w:spacing w:before="120" w:beforeLines="50" w:after="120" w:afterLines="50" w:line="300" w:lineRule="auto"/>
        <w:ind w:right="103" w:hanging="526"/>
        <w:rPr>
          <w:color w:val="auto"/>
          <w:highlight w:val="none"/>
          <w:lang w:eastAsia="zh-CN"/>
        </w:rPr>
      </w:pPr>
      <w:r>
        <w:rPr>
          <w:color w:val="auto"/>
          <w:sz w:val="21"/>
          <w:highlight w:val="none"/>
          <w:lang w:eastAsia="zh-CN"/>
        </w:rPr>
        <w:t xml:space="preserve">按本章第 </w:t>
      </w:r>
      <w:r>
        <w:rPr>
          <w:rFonts w:cs="Times New Roman"/>
          <w:color w:val="auto"/>
          <w:sz w:val="21"/>
          <w:highlight w:val="none"/>
          <w:lang w:eastAsia="zh-CN"/>
        </w:rPr>
        <w:t>2.2.4</w:t>
      </w:r>
      <w:r>
        <w:rPr>
          <w:color w:val="auto"/>
          <w:sz w:val="21"/>
          <w:highlight w:val="none"/>
          <w:lang w:eastAsia="zh-CN"/>
        </w:rPr>
        <w:t>（</w:t>
      </w:r>
      <w:r>
        <w:rPr>
          <w:rFonts w:cs="Times New Roman"/>
          <w:color w:val="auto"/>
          <w:sz w:val="21"/>
          <w:highlight w:val="none"/>
          <w:lang w:eastAsia="zh-CN"/>
        </w:rPr>
        <w:t>1</w:t>
      </w:r>
      <w:r>
        <w:rPr>
          <w:color w:val="auto"/>
          <w:sz w:val="21"/>
          <w:highlight w:val="none"/>
          <w:lang w:eastAsia="zh-CN"/>
        </w:rPr>
        <w:t xml:space="preserve">）目规定的评审因素和分值对资信业绩部分计算出得分 </w:t>
      </w:r>
      <w:r>
        <w:rPr>
          <w:rFonts w:cs="Times New Roman"/>
          <w:color w:val="auto"/>
          <w:sz w:val="21"/>
          <w:highlight w:val="none"/>
          <w:lang w:eastAsia="zh-CN"/>
        </w:rPr>
        <w:t>A</w:t>
      </w:r>
      <w:r>
        <w:rPr>
          <w:color w:val="auto"/>
          <w:sz w:val="21"/>
          <w:highlight w:val="none"/>
          <w:lang w:eastAsia="zh-CN"/>
        </w:rPr>
        <w:t>；</w:t>
      </w:r>
    </w:p>
    <w:p w14:paraId="45E84B54">
      <w:pPr>
        <w:widowControl/>
        <w:numPr>
          <w:ilvl w:val="0"/>
          <w:numId w:val="2"/>
        </w:numPr>
        <w:spacing w:before="120" w:beforeLines="50" w:after="120" w:afterLines="50" w:line="300" w:lineRule="auto"/>
        <w:ind w:right="103" w:hanging="526"/>
        <w:rPr>
          <w:color w:val="auto"/>
          <w:highlight w:val="none"/>
          <w:lang w:eastAsia="zh-CN"/>
        </w:rPr>
      </w:pPr>
      <w:r>
        <w:rPr>
          <w:color w:val="auto"/>
          <w:sz w:val="21"/>
          <w:highlight w:val="none"/>
          <w:lang w:eastAsia="zh-CN"/>
        </w:rPr>
        <w:t xml:space="preserve">按本章第 </w:t>
      </w:r>
      <w:r>
        <w:rPr>
          <w:rFonts w:cs="Times New Roman"/>
          <w:color w:val="auto"/>
          <w:sz w:val="21"/>
          <w:highlight w:val="none"/>
          <w:lang w:eastAsia="zh-CN"/>
        </w:rPr>
        <w:t>2.2.4</w:t>
      </w:r>
      <w:r>
        <w:rPr>
          <w:color w:val="auto"/>
          <w:sz w:val="21"/>
          <w:highlight w:val="none"/>
          <w:lang w:eastAsia="zh-CN"/>
        </w:rPr>
        <w:t>（</w:t>
      </w:r>
      <w:r>
        <w:rPr>
          <w:rFonts w:cs="Times New Roman"/>
          <w:color w:val="auto"/>
          <w:sz w:val="21"/>
          <w:highlight w:val="none"/>
          <w:lang w:eastAsia="zh-CN"/>
        </w:rPr>
        <w:t>2</w:t>
      </w:r>
      <w:r>
        <w:rPr>
          <w:color w:val="auto"/>
          <w:sz w:val="21"/>
          <w:highlight w:val="none"/>
          <w:lang w:eastAsia="zh-CN"/>
        </w:rPr>
        <w:t xml:space="preserve">）目规定的评审因素和分值对监理大纲部分计算出得分 </w:t>
      </w:r>
      <w:r>
        <w:rPr>
          <w:rFonts w:cs="Times New Roman"/>
          <w:color w:val="auto"/>
          <w:sz w:val="21"/>
          <w:highlight w:val="none"/>
          <w:lang w:eastAsia="zh-CN"/>
        </w:rPr>
        <w:t>B</w:t>
      </w:r>
      <w:r>
        <w:rPr>
          <w:color w:val="auto"/>
          <w:sz w:val="21"/>
          <w:highlight w:val="none"/>
          <w:lang w:eastAsia="zh-CN"/>
        </w:rPr>
        <w:t>；</w:t>
      </w:r>
    </w:p>
    <w:p w14:paraId="723B1867">
      <w:pPr>
        <w:widowControl/>
        <w:numPr>
          <w:ilvl w:val="0"/>
          <w:numId w:val="2"/>
        </w:numPr>
        <w:spacing w:before="120" w:beforeLines="50" w:after="120" w:afterLines="50" w:line="300" w:lineRule="auto"/>
        <w:ind w:right="103" w:hanging="526"/>
        <w:rPr>
          <w:rFonts w:hint="eastAsia"/>
          <w:color w:val="auto"/>
          <w:sz w:val="21"/>
          <w:highlight w:val="none"/>
          <w:lang w:eastAsia="zh-CN"/>
        </w:rPr>
      </w:pPr>
      <w:r>
        <w:rPr>
          <w:color w:val="auto"/>
          <w:sz w:val="21"/>
          <w:highlight w:val="none"/>
          <w:lang w:eastAsia="zh-CN"/>
        </w:rPr>
        <w:t xml:space="preserve">按本章第 </w:t>
      </w:r>
      <w:r>
        <w:rPr>
          <w:rFonts w:cs="Times New Roman"/>
          <w:color w:val="auto"/>
          <w:sz w:val="21"/>
          <w:highlight w:val="none"/>
          <w:lang w:eastAsia="zh-CN"/>
        </w:rPr>
        <w:t>2.2.4</w:t>
      </w:r>
      <w:r>
        <w:rPr>
          <w:color w:val="auto"/>
          <w:sz w:val="21"/>
          <w:highlight w:val="none"/>
          <w:lang w:eastAsia="zh-CN"/>
        </w:rPr>
        <w:t>（</w:t>
      </w:r>
      <w:r>
        <w:rPr>
          <w:rFonts w:cs="Times New Roman"/>
          <w:color w:val="auto"/>
          <w:sz w:val="21"/>
          <w:highlight w:val="none"/>
          <w:lang w:eastAsia="zh-CN"/>
        </w:rPr>
        <w:t>3</w:t>
      </w:r>
      <w:r>
        <w:rPr>
          <w:color w:val="auto"/>
          <w:sz w:val="21"/>
          <w:highlight w:val="none"/>
          <w:lang w:eastAsia="zh-CN"/>
        </w:rPr>
        <w:t xml:space="preserve">）目规定的评审因素和分值对投标报价计算出得分 </w:t>
      </w:r>
      <w:r>
        <w:rPr>
          <w:rFonts w:cs="Times New Roman"/>
          <w:color w:val="auto"/>
          <w:sz w:val="21"/>
          <w:highlight w:val="none"/>
          <w:lang w:eastAsia="zh-CN"/>
        </w:rPr>
        <w:t>C</w:t>
      </w:r>
      <w:r>
        <w:rPr>
          <w:rFonts w:hint="eastAsia"/>
          <w:color w:val="auto"/>
          <w:sz w:val="21"/>
          <w:highlight w:val="none"/>
          <w:lang w:eastAsia="zh-CN"/>
        </w:rPr>
        <w:t>；</w:t>
      </w:r>
    </w:p>
    <w:p w14:paraId="3D7BCD2E">
      <w:pPr>
        <w:widowControl/>
        <w:numPr>
          <w:ilvl w:val="0"/>
          <w:numId w:val="2"/>
        </w:numPr>
        <w:spacing w:before="120" w:beforeLines="50" w:after="120" w:afterLines="50" w:line="300" w:lineRule="auto"/>
        <w:ind w:right="103" w:hanging="526"/>
        <w:rPr>
          <w:color w:val="auto"/>
          <w:sz w:val="21"/>
          <w:highlight w:val="none"/>
          <w:lang w:eastAsia="zh-CN"/>
        </w:rPr>
      </w:pPr>
      <w:r>
        <w:rPr>
          <w:color w:val="auto"/>
          <w:sz w:val="21"/>
          <w:highlight w:val="none"/>
          <w:lang w:eastAsia="zh-CN"/>
        </w:rPr>
        <w:t xml:space="preserve">按本章第 </w:t>
      </w:r>
      <w:r>
        <w:rPr>
          <w:rFonts w:cs="Times New Roman"/>
          <w:color w:val="auto"/>
          <w:sz w:val="21"/>
          <w:highlight w:val="none"/>
          <w:lang w:eastAsia="zh-CN"/>
        </w:rPr>
        <w:t>2.2.4</w:t>
      </w:r>
      <w:r>
        <w:rPr>
          <w:color w:val="auto"/>
          <w:sz w:val="21"/>
          <w:highlight w:val="none"/>
          <w:lang w:eastAsia="zh-CN"/>
        </w:rPr>
        <w:t>（</w:t>
      </w:r>
      <w:r>
        <w:rPr>
          <w:rFonts w:hint="eastAsia" w:cs="Times New Roman"/>
          <w:color w:val="auto"/>
          <w:sz w:val="21"/>
          <w:highlight w:val="none"/>
          <w:lang w:eastAsia="zh-CN"/>
        </w:rPr>
        <w:t>4</w:t>
      </w:r>
      <w:r>
        <w:rPr>
          <w:color w:val="auto"/>
          <w:sz w:val="21"/>
          <w:highlight w:val="none"/>
          <w:lang w:eastAsia="zh-CN"/>
        </w:rPr>
        <w:t>）目规定的评审因素和分值对</w:t>
      </w:r>
      <w:r>
        <w:rPr>
          <w:rFonts w:hint="eastAsia"/>
          <w:color w:val="auto"/>
          <w:sz w:val="21"/>
          <w:highlight w:val="none"/>
          <w:lang w:eastAsia="zh-CN"/>
        </w:rPr>
        <w:t>其他评分因素</w:t>
      </w:r>
      <w:r>
        <w:rPr>
          <w:color w:val="auto"/>
          <w:sz w:val="21"/>
          <w:highlight w:val="none"/>
          <w:lang w:eastAsia="zh-CN"/>
        </w:rPr>
        <w:t xml:space="preserve">计算出得分 </w:t>
      </w:r>
      <w:r>
        <w:rPr>
          <w:rFonts w:hint="eastAsia" w:cs="Times New Roman"/>
          <w:color w:val="auto"/>
          <w:sz w:val="21"/>
          <w:highlight w:val="none"/>
          <w:lang w:eastAsia="zh-CN"/>
        </w:rPr>
        <w:t>D。</w:t>
      </w:r>
    </w:p>
    <w:p w14:paraId="01086934">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3.2.2 评分分值计算保留小数点后两位，小数点后第三位“四舍五入”。 </w:t>
      </w:r>
    </w:p>
    <w:p w14:paraId="4914BE0F">
      <w:pPr>
        <w:spacing w:before="120" w:beforeLines="50" w:after="120" w:afterLines="50" w:line="300" w:lineRule="auto"/>
        <w:ind w:right="103" w:firstLine="407"/>
        <w:rPr>
          <w:color w:val="auto"/>
          <w:sz w:val="21"/>
          <w:highlight w:val="none"/>
        </w:rPr>
      </w:pPr>
      <w:r>
        <w:rPr>
          <w:color w:val="auto"/>
          <w:sz w:val="21"/>
          <w:highlight w:val="none"/>
        </w:rPr>
        <w:t>3.2.3 投标人得分=A+B+C</w:t>
      </w:r>
      <w:r>
        <w:rPr>
          <w:rFonts w:hint="eastAsia"/>
          <w:color w:val="auto"/>
          <w:sz w:val="21"/>
          <w:highlight w:val="none"/>
        </w:rPr>
        <w:t>+D</w:t>
      </w:r>
      <w:r>
        <w:rPr>
          <w:color w:val="auto"/>
          <w:sz w:val="21"/>
          <w:highlight w:val="none"/>
        </w:rPr>
        <w:t xml:space="preserve">。 </w:t>
      </w:r>
    </w:p>
    <w:p w14:paraId="51F36233">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 </w:t>
      </w:r>
    </w:p>
    <w:p w14:paraId="022C2C73">
      <w:pPr>
        <w:pStyle w:val="5"/>
        <w:spacing w:before="120" w:beforeLines="50" w:after="120" w:afterLines="50" w:line="300" w:lineRule="auto"/>
        <w:rPr>
          <w:color w:val="auto"/>
          <w:highlight w:val="none"/>
          <w:lang w:eastAsia="zh-CN"/>
        </w:rPr>
      </w:pPr>
      <w:bookmarkStart w:id="143" w:name="_Toc493082553"/>
      <w:bookmarkStart w:id="144" w:name="_Toc10409"/>
      <w:bookmarkStart w:id="145" w:name="_Toc29539"/>
      <w:r>
        <w:rPr>
          <w:color w:val="auto"/>
          <w:highlight w:val="none"/>
          <w:lang w:eastAsia="zh-CN"/>
        </w:rPr>
        <w:t>3.3 投标文件的澄清</w:t>
      </w:r>
      <w:bookmarkEnd w:id="143"/>
      <w:bookmarkEnd w:id="144"/>
      <w:bookmarkEnd w:id="145"/>
    </w:p>
    <w:p w14:paraId="5D9385B3">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 </w:t>
      </w:r>
    </w:p>
    <w:p w14:paraId="0561A8EC">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3.3.2 澄清、说明或补正不得超出投标文件的范围且不得改变投标文件的实质性内容，并构成投标文件的组成部分。 </w:t>
      </w:r>
    </w:p>
    <w:p w14:paraId="7EE59718">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3.3.3 评标委员会对投标人提交的澄清、说明或补正有疑问的，可以要求投标人进一步澄清、说明或补正，直至满足评标委员会的要求。 </w:t>
      </w:r>
    </w:p>
    <w:p w14:paraId="2F903F4B">
      <w:pPr>
        <w:pStyle w:val="5"/>
        <w:spacing w:before="120" w:beforeLines="50" w:after="120" w:afterLines="50" w:line="300" w:lineRule="auto"/>
        <w:rPr>
          <w:color w:val="auto"/>
          <w:highlight w:val="none"/>
          <w:lang w:eastAsia="zh-CN"/>
        </w:rPr>
      </w:pPr>
      <w:bookmarkStart w:id="146" w:name="_Toc11820"/>
      <w:bookmarkStart w:id="147" w:name="_Toc15935"/>
      <w:bookmarkStart w:id="148" w:name="_Toc493082554"/>
      <w:r>
        <w:rPr>
          <w:color w:val="auto"/>
          <w:highlight w:val="none"/>
          <w:lang w:eastAsia="zh-CN"/>
        </w:rPr>
        <w:t>3.4 评标结果</w:t>
      </w:r>
      <w:bookmarkEnd w:id="146"/>
      <w:bookmarkEnd w:id="147"/>
      <w:bookmarkEnd w:id="148"/>
    </w:p>
    <w:p w14:paraId="14B87B3F">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3.4.1 除第二章“投标人须知”前附表授权直接确定中标人外，评标委员会按照得分由高到低的顺序推荐中标候选人，并标明排序。 </w:t>
      </w:r>
    </w:p>
    <w:p w14:paraId="048A8D52">
      <w:pPr>
        <w:spacing w:before="120" w:beforeLines="50" w:after="120" w:afterLines="50" w:line="300" w:lineRule="auto"/>
        <w:ind w:right="103" w:firstLine="407"/>
        <w:rPr>
          <w:color w:val="auto"/>
          <w:sz w:val="21"/>
          <w:highlight w:val="none"/>
          <w:lang w:eastAsia="zh-CN"/>
        </w:rPr>
      </w:pPr>
      <w:r>
        <w:rPr>
          <w:color w:val="auto"/>
          <w:sz w:val="21"/>
          <w:highlight w:val="none"/>
          <w:lang w:eastAsia="zh-CN"/>
        </w:rPr>
        <w:t xml:space="preserve">3.4.2 评标委员会完成评标后，应当向招标人提交书面评标报告和中标候选人名单。 </w:t>
      </w:r>
    </w:p>
    <w:p w14:paraId="19B063CE">
      <w:pPr>
        <w:rPr>
          <w:color w:val="auto"/>
          <w:highlight w:val="none"/>
          <w:lang w:eastAsia="zh-CN"/>
        </w:rPr>
        <w:sectPr>
          <w:footerReference r:id="rId7" w:type="default"/>
          <w:pgSz w:w="12240" w:h="15840"/>
          <w:pgMar w:top="1500" w:right="1580" w:bottom="1120" w:left="1700" w:header="0" w:footer="861" w:gutter="0"/>
          <w:pgNumType w:fmt="decimal"/>
          <w:cols w:space="720" w:num="1"/>
        </w:sectPr>
      </w:pPr>
    </w:p>
    <w:p w14:paraId="30D7C112">
      <w:pPr>
        <w:pStyle w:val="3"/>
        <w:spacing w:line="574" w:lineRule="exact"/>
        <w:ind w:left="2212" w:right="108"/>
        <w:jc w:val="left"/>
        <w:rPr>
          <w:rFonts w:ascii="宋体" w:hAnsi="宋体" w:eastAsia="宋体" w:cs="宋体"/>
          <w:color w:val="auto"/>
          <w:highlight w:val="none"/>
          <w:lang w:eastAsia="zh-CN"/>
        </w:rPr>
      </w:pPr>
      <w:bookmarkStart w:id="149" w:name="_Toc9690"/>
      <w:r>
        <w:rPr>
          <w:rFonts w:hint="eastAsia" w:ascii="宋体" w:hAnsi="宋体" w:eastAsia="宋体" w:cs="宋体"/>
          <w:color w:val="auto"/>
          <w:highlight w:val="none"/>
          <w:lang w:eastAsia="zh-CN"/>
        </w:rPr>
        <w:t>第四章合同条款及格式</w:t>
      </w:r>
      <w:bookmarkEnd w:id="149"/>
    </w:p>
    <w:p w14:paraId="08874678">
      <w:pPr>
        <w:pStyle w:val="10"/>
        <w:rPr>
          <w:b/>
          <w:color w:val="auto"/>
          <w:sz w:val="20"/>
          <w:highlight w:val="none"/>
          <w:lang w:eastAsia="zh-CN"/>
        </w:rPr>
      </w:pPr>
    </w:p>
    <w:p w14:paraId="614E83C1">
      <w:pPr>
        <w:pStyle w:val="10"/>
        <w:jc w:val="center"/>
        <w:rPr>
          <w:b/>
          <w:color w:val="auto"/>
          <w:sz w:val="20"/>
          <w:highlight w:val="none"/>
          <w:lang w:eastAsia="zh-CN"/>
        </w:rPr>
      </w:pPr>
      <w:r>
        <w:rPr>
          <w:rFonts w:hint="eastAsia"/>
          <w:b/>
          <w:color w:val="auto"/>
          <w:sz w:val="20"/>
          <w:highlight w:val="none"/>
          <w:lang w:eastAsia="zh-CN"/>
        </w:rPr>
        <w:t>（</w:t>
      </w:r>
      <w:r>
        <w:rPr>
          <w:rFonts w:hint="eastAsia"/>
          <w:b/>
          <w:color w:val="auto"/>
          <w:sz w:val="20"/>
          <w:highlight w:val="none"/>
          <w:lang w:val="en-US" w:eastAsia="zh-CN"/>
        </w:rPr>
        <w:t>以实际签订为准</w:t>
      </w:r>
      <w:r>
        <w:rPr>
          <w:rFonts w:hint="eastAsia"/>
          <w:b/>
          <w:color w:val="auto"/>
          <w:sz w:val="20"/>
          <w:highlight w:val="none"/>
          <w:lang w:eastAsia="zh-CN"/>
        </w:rPr>
        <w:t>）</w:t>
      </w:r>
    </w:p>
    <w:p w14:paraId="7ED76E40">
      <w:pPr>
        <w:spacing w:before="91" w:line="220" w:lineRule="auto"/>
        <w:rPr>
          <w:rFonts w:ascii="宋体" w:hAnsi="宋体" w:eastAsia="宋体" w:cs="宋体"/>
          <w:sz w:val="28"/>
          <w:szCs w:val="28"/>
        </w:rPr>
      </w:pPr>
      <w:r>
        <w:rPr>
          <w:rFonts w:ascii="宋体" w:hAnsi="宋体" w:eastAsia="宋体" w:cs="宋体"/>
          <w:b/>
          <w:bCs/>
          <w:spacing w:val="-5"/>
          <w:sz w:val="28"/>
          <w:szCs w:val="28"/>
        </w:rPr>
        <w:t>合同编号：</w:t>
      </w:r>
    </w:p>
    <w:p w14:paraId="093C74D7">
      <w:pPr>
        <w:pStyle w:val="10"/>
        <w:spacing w:line="247" w:lineRule="auto"/>
      </w:pPr>
    </w:p>
    <w:p w14:paraId="1D5DF6CD">
      <w:pPr>
        <w:pStyle w:val="10"/>
        <w:spacing w:line="248" w:lineRule="auto"/>
      </w:pPr>
    </w:p>
    <w:p w14:paraId="43E34B0C">
      <w:pPr>
        <w:pStyle w:val="10"/>
        <w:spacing w:line="248" w:lineRule="auto"/>
      </w:pPr>
    </w:p>
    <w:p w14:paraId="7D468964">
      <w:pPr>
        <w:pStyle w:val="10"/>
        <w:spacing w:line="248" w:lineRule="auto"/>
      </w:pPr>
    </w:p>
    <w:p w14:paraId="765E1D97">
      <w:pPr>
        <w:pStyle w:val="10"/>
        <w:spacing w:line="248" w:lineRule="auto"/>
      </w:pPr>
    </w:p>
    <w:p w14:paraId="7216414B">
      <w:pPr>
        <w:spacing w:before="169" w:line="346" w:lineRule="auto"/>
        <w:ind w:left="3478" w:right="1936" w:hanging="766"/>
        <w:rPr>
          <w:rFonts w:ascii="宋体" w:hAnsi="宋体" w:eastAsia="宋体" w:cs="宋体"/>
          <w:sz w:val="52"/>
          <w:szCs w:val="52"/>
        </w:rPr>
      </w:pPr>
      <w:r>
        <w:rPr>
          <w:rFonts w:ascii="宋体" w:hAnsi="宋体" w:eastAsia="宋体" w:cs="宋体"/>
          <w:b/>
          <w:bCs/>
          <w:spacing w:val="-8"/>
          <w:sz w:val="52"/>
          <w:szCs w:val="52"/>
        </w:rPr>
        <w:t>高标准农田建设项目</w:t>
      </w:r>
      <w:r>
        <w:rPr>
          <w:rFonts w:ascii="宋体" w:hAnsi="宋体" w:eastAsia="宋体" w:cs="宋体"/>
          <w:spacing w:val="4"/>
          <w:sz w:val="52"/>
          <w:szCs w:val="52"/>
        </w:rPr>
        <w:t xml:space="preserve"> </w:t>
      </w:r>
      <w:r>
        <w:rPr>
          <w:rFonts w:ascii="宋体" w:hAnsi="宋体" w:eastAsia="宋体" w:cs="宋体"/>
          <w:b/>
          <w:bCs/>
          <w:spacing w:val="-7"/>
          <w:sz w:val="52"/>
          <w:szCs w:val="52"/>
        </w:rPr>
        <w:t>施工监理合同</w:t>
      </w:r>
    </w:p>
    <w:p w14:paraId="0DEE9C7E">
      <w:pPr>
        <w:pStyle w:val="10"/>
        <w:spacing w:line="244" w:lineRule="auto"/>
      </w:pPr>
    </w:p>
    <w:p w14:paraId="55F1131B">
      <w:pPr>
        <w:pStyle w:val="10"/>
        <w:spacing w:line="244" w:lineRule="auto"/>
      </w:pPr>
    </w:p>
    <w:p w14:paraId="29C9223B">
      <w:pPr>
        <w:pStyle w:val="10"/>
        <w:spacing w:line="244" w:lineRule="auto"/>
      </w:pPr>
    </w:p>
    <w:p w14:paraId="75F57692">
      <w:pPr>
        <w:pStyle w:val="10"/>
        <w:spacing w:line="244" w:lineRule="auto"/>
      </w:pPr>
    </w:p>
    <w:p w14:paraId="5A6AF88F">
      <w:pPr>
        <w:pStyle w:val="10"/>
        <w:spacing w:line="244" w:lineRule="auto"/>
      </w:pPr>
    </w:p>
    <w:p w14:paraId="6A15CF49">
      <w:pPr>
        <w:pStyle w:val="10"/>
        <w:spacing w:line="244" w:lineRule="auto"/>
      </w:pPr>
    </w:p>
    <w:p w14:paraId="0E36A41A">
      <w:pPr>
        <w:pStyle w:val="10"/>
        <w:spacing w:line="244" w:lineRule="auto"/>
      </w:pPr>
    </w:p>
    <w:p w14:paraId="00D07EF2">
      <w:pPr>
        <w:pStyle w:val="10"/>
        <w:spacing w:line="244" w:lineRule="auto"/>
      </w:pPr>
    </w:p>
    <w:p w14:paraId="589FC976">
      <w:pPr>
        <w:pStyle w:val="10"/>
        <w:spacing w:line="245" w:lineRule="auto"/>
      </w:pPr>
    </w:p>
    <w:p w14:paraId="7E6E04E1">
      <w:pPr>
        <w:pStyle w:val="10"/>
        <w:spacing w:line="245" w:lineRule="auto"/>
      </w:pPr>
    </w:p>
    <w:p w14:paraId="4EFF72C1">
      <w:pPr>
        <w:pStyle w:val="10"/>
        <w:spacing w:line="245" w:lineRule="auto"/>
      </w:pPr>
    </w:p>
    <w:p w14:paraId="26CF8536">
      <w:pPr>
        <w:pStyle w:val="10"/>
        <w:spacing w:line="245" w:lineRule="auto"/>
      </w:pPr>
    </w:p>
    <w:p w14:paraId="7ED51D3A">
      <w:pPr>
        <w:pStyle w:val="10"/>
        <w:spacing w:line="245" w:lineRule="auto"/>
      </w:pPr>
    </w:p>
    <w:p w14:paraId="61D386A2">
      <w:pPr>
        <w:pStyle w:val="10"/>
        <w:spacing w:line="245" w:lineRule="auto"/>
      </w:pPr>
    </w:p>
    <w:p w14:paraId="65C429C3">
      <w:pPr>
        <w:pStyle w:val="10"/>
        <w:spacing w:line="245" w:lineRule="auto"/>
      </w:pPr>
    </w:p>
    <w:p w14:paraId="320B557E">
      <w:pPr>
        <w:pStyle w:val="10"/>
        <w:spacing w:line="245" w:lineRule="auto"/>
      </w:pPr>
    </w:p>
    <w:p w14:paraId="56D2D02F">
      <w:pPr>
        <w:pStyle w:val="10"/>
        <w:spacing w:line="245" w:lineRule="auto"/>
      </w:pPr>
    </w:p>
    <w:p w14:paraId="52D8FD17">
      <w:pPr>
        <w:pStyle w:val="10"/>
        <w:spacing w:line="245" w:lineRule="auto"/>
      </w:pPr>
    </w:p>
    <w:p w14:paraId="63BD75B8">
      <w:pPr>
        <w:pStyle w:val="10"/>
        <w:spacing w:line="245" w:lineRule="auto"/>
      </w:pPr>
    </w:p>
    <w:p w14:paraId="3A7F2450">
      <w:pPr>
        <w:pStyle w:val="10"/>
        <w:spacing w:line="245" w:lineRule="auto"/>
      </w:pPr>
    </w:p>
    <w:p w14:paraId="28BA0C6F">
      <w:pPr>
        <w:spacing w:before="101" w:line="357" w:lineRule="auto"/>
        <w:ind w:left="407" w:right="6435" w:firstLine="5"/>
        <w:rPr>
          <w:rFonts w:ascii="宋体" w:hAnsi="宋体" w:eastAsia="宋体" w:cs="宋体"/>
          <w:sz w:val="31"/>
          <w:szCs w:val="31"/>
        </w:rPr>
      </w:pPr>
      <w:r>
        <w:rPr>
          <w:rFonts w:ascii="宋体" w:hAnsi="宋体" w:eastAsia="宋体" w:cs="宋体"/>
          <w:spacing w:val="-18"/>
          <w:sz w:val="31"/>
          <w:szCs w:val="31"/>
        </w:rPr>
        <w:t>工</w:t>
      </w:r>
      <w:r>
        <w:rPr>
          <w:rFonts w:ascii="宋体" w:hAnsi="宋体" w:eastAsia="宋体" w:cs="宋体"/>
          <w:spacing w:val="12"/>
          <w:sz w:val="31"/>
          <w:szCs w:val="31"/>
        </w:rPr>
        <w:t xml:space="preserve">  </w:t>
      </w:r>
      <w:r>
        <w:rPr>
          <w:rFonts w:ascii="宋体" w:hAnsi="宋体" w:eastAsia="宋体" w:cs="宋体"/>
          <w:spacing w:val="-18"/>
          <w:sz w:val="31"/>
          <w:szCs w:val="31"/>
        </w:rPr>
        <w:t>程</w:t>
      </w:r>
      <w:r>
        <w:rPr>
          <w:rFonts w:ascii="宋体" w:hAnsi="宋体" w:eastAsia="宋体" w:cs="宋体"/>
          <w:spacing w:val="13"/>
          <w:sz w:val="31"/>
          <w:szCs w:val="31"/>
        </w:rPr>
        <w:t xml:space="preserve">  </w:t>
      </w:r>
      <w:r>
        <w:rPr>
          <w:rFonts w:ascii="宋体" w:hAnsi="宋体" w:eastAsia="宋体" w:cs="宋体"/>
          <w:spacing w:val="-18"/>
          <w:sz w:val="31"/>
          <w:szCs w:val="31"/>
        </w:rPr>
        <w:t>名</w:t>
      </w:r>
      <w:r>
        <w:rPr>
          <w:rFonts w:ascii="宋体" w:hAnsi="宋体" w:eastAsia="宋体" w:cs="宋体"/>
          <w:spacing w:val="11"/>
          <w:sz w:val="31"/>
          <w:szCs w:val="31"/>
        </w:rPr>
        <w:t xml:space="preserve">  </w:t>
      </w:r>
      <w:r>
        <w:rPr>
          <w:rFonts w:ascii="宋体" w:hAnsi="宋体" w:eastAsia="宋体" w:cs="宋体"/>
          <w:spacing w:val="-18"/>
          <w:sz w:val="31"/>
          <w:szCs w:val="31"/>
        </w:rPr>
        <w:t>称：</w:t>
      </w:r>
      <w:r>
        <w:rPr>
          <w:rFonts w:ascii="宋体" w:hAnsi="宋体" w:eastAsia="宋体" w:cs="宋体"/>
          <w:spacing w:val="1"/>
          <w:sz w:val="31"/>
          <w:szCs w:val="31"/>
        </w:rPr>
        <w:t xml:space="preserve"> </w:t>
      </w:r>
      <w:r>
        <w:rPr>
          <w:rFonts w:ascii="宋体" w:hAnsi="宋体" w:eastAsia="宋体" w:cs="宋体"/>
          <w:spacing w:val="-3"/>
          <w:sz w:val="31"/>
          <w:szCs w:val="31"/>
        </w:rPr>
        <w:t>委</w:t>
      </w:r>
      <w:r>
        <w:rPr>
          <w:rFonts w:ascii="宋体" w:hAnsi="宋体" w:eastAsia="宋体" w:cs="宋体"/>
          <w:spacing w:val="9"/>
          <w:sz w:val="31"/>
          <w:szCs w:val="31"/>
        </w:rPr>
        <w:t xml:space="preserve">   </w:t>
      </w:r>
      <w:r>
        <w:rPr>
          <w:rFonts w:ascii="宋体" w:hAnsi="宋体" w:eastAsia="宋体" w:cs="宋体"/>
          <w:spacing w:val="-3"/>
          <w:sz w:val="31"/>
          <w:szCs w:val="31"/>
        </w:rPr>
        <w:t>托</w:t>
      </w:r>
      <w:r>
        <w:rPr>
          <w:rFonts w:ascii="宋体" w:hAnsi="宋体" w:eastAsia="宋体" w:cs="宋体"/>
          <w:spacing w:val="10"/>
          <w:sz w:val="31"/>
          <w:szCs w:val="31"/>
        </w:rPr>
        <w:t xml:space="preserve">   </w:t>
      </w:r>
      <w:r>
        <w:rPr>
          <w:rFonts w:ascii="宋体" w:hAnsi="宋体" w:eastAsia="宋体" w:cs="宋体"/>
          <w:spacing w:val="-3"/>
          <w:sz w:val="31"/>
          <w:szCs w:val="31"/>
        </w:rPr>
        <w:t>人：</w:t>
      </w:r>
    </w:p>
    <w:p w14:paraId="1FC7A85F">
      <w:pPr>
        <w:spacing w:before="46" w:line="228" w:lineRule="auto"/>
        <w:ind w:left="438"/>
        <w:rPr>
          <w:rFonts w:ascii="宋体" w:hAnsi="宋体" w:eastAsia="宋体" w:cs="宋体"/>
          <w:sz w:val="31"/>
          <w:szCs w:val="31"/>
        </w:rPr>
      </w:pPr>
      <w:r>
        <w:rPr>
          <w:rFonts w:ascii="宋体" w:hAnsi="宋体" w:eastAsia="宋体" w:cs="宋体"/>
          <w:spacing w:val="-5"/>
          <w:sz w:val="31"/>
          <w:szCs w:val="31"/>
        </w:rPr>
        <w:t>监</w:t>
      </w:r>
      <w:r>
        <w:rPr>
          <w:rFonts w:ascii="宋体" w:hAnsi="宋体" w:eastAsia="宋体" w:cs="宋体"/>
          <w:spacing w:val="10"/>
          <w:sz w:val="31"/>
          <w:szCs w:val="31"/>
        </w:rPr>
        <w:t xml:space="preserve">   </w:t>
      </w:r>
      <w:r>
        <w:rPr>
          <w:rFonts w:ascii="宋体" w:hAnsi="宋体" w:eastAsia="宋体" w:cs="宋体"/>
          <w:spacing w:val="-5"/>
          <w:sz w:val="31"/>
          <w:szCs w:val="31"/>
        </w:rPr>
        <w:t>理</w:t>
      </w:r>
      <w:r>
        <w:rPr>
          <w:rFonts w:ascii="宋体" w:hAnsi="宋体" w:eastAsia="宋体" w:cs="宋体"/>
          <w:spacing w:val="14"/>
          <w:sz w:val="31"/>
          <w:szCs w:val="31"/>
        </w:rPr>
        <w:t xml:space="preserve">  </w:t>
      </w:r>
      <w:r>
        <w:rPr>
          <w:rFonts w:ascii="宋体" w:hAnsi="宋体" w:eastAsia="宋体" w:cs="宋体"/>
          <w:spacing w:val="-5"/>
          <w:sz w:val="31"/>
          <w:szCs w:val="31"/>
        </w:rPr>
        <w:t>人：</w:t>
      </w:r>
    </w:p>
    <w:p w14:paraId="1AA0427E">
      <w:pPr>
        <w:spacing w:before="239" w:line="228" w:lineRule="auto"/>
        <w:ind w:left="437"/>
        <w:rPr>
          <w:rFonts w:ascii="宋体" w:hAnsi="宋体" w:eastAsia="宋体" w:cs="宋体"/>
          <w:sz w:val="31"/>
          <w:szCs w:val="31"/>
        </w:rPr>
      </w:pPr>
      <w:r>
        <w:rPr>
          <w:rFonts w:ascii="宋体" w:hAnsi="宋体" w:eastAsia="宋体" w:cs="宋体"/>
          <w:spacing w:val="-7"/>
          <w:sz w:val="31"/>
          <w:szCs w:val="31"/>
        </w:rPr>
        <w:t>签</w:t>
      </w:r>
      <w:r>
        <w:rPr>
          <w:rFonts w:ascii="宋体" w:hAnsi="宋体" w:eastAsia="宋体" w:cs="宋体"/>
          <w:spacing w:val="14"/>
          <w:sz w:val="31"/>
          <w:szCs w:val="31"/>
        </w:rPr>
        <w:t xml:space="preserve">  </w:t>
      </w:r>
      <w:r>
        <w:rPr>
          <w:rFonts w:ascii="宋体" w:hAnsi="宋体" w:eastAsia="宋体" w:cs="宋体"/>
          <w:spacing w:val="-7"/>
          <w:sz w:val="31"/>
          <w:szCs w:val="31"/>
        </w:rPr>
        <w:t>订</w:t>
      </w:r>
      <w:r>
        <w:rPr>
          <w:rFonts w:ascii="宋体" w:hAnsi="宋体" w:eastAsia="宋体" w:cs="宋体"/>
          <w:spacing w:val="11"/>
          <w:sz w:val="31"/>
          <w:szCs w:val="31"/>
        </w:rPr>
        <w:t xml:space="preserve">  </w:t>
      </w:r>
      <w:r>
        <w:rPr>
          <w:rFonts w:ascii="宋体" w:hAnsi="宋体" w:eastAsia="宋体" w:cs="宋体"/>
          <w:spacing w:val="-7"/>
          <w:sz w:val="31"/>
          <w:szCs w:val="31"/>
        </w:rPr>
        <w:t>地</w:t>
      </w:r>
      <w:r>
        <w:rPr>
          <w:rFonts w:ascii="宋体" w:hAnsi="宋体" w:eastAsia="宋体" w:cs="宋体"/>
          <w:spacing w:val="20"/>
          <w:sz w:val="31"/>
          <w:szCs w:val="31"/>
        </w:rPr>
        <w:t xml:space="preserve">  </w:t>
      </w:r>
      <w:r>
        <w:rPr>
          <w:rFonts w:ascii="宋体" w:hAnsi="宋体" w:eastAsia="宋体" w:cs="宋体"/>
          <w:spacing w:val="-7"/>
          <w:sz w:val="31"/>
          <w:szCs w:val="31"/>
        </w:rPr>
        <w:t>点：</w:t>
      </w:r>
    </w:p>
    <w:p w14:paraId="7C090EC3">
      <w:pPr>
        <w:spacing w:before="239" w:line="225" w:lineRule="auto"/>
        <w:ind w:left="437"/>
        <w:rPr>
          <w:rFonts w:ascii="宋体" w:hAnsi="宋体" w:eastAsia="宋体" w:cs="宋体"/>
          <w:sz w:val="31"/>
          <w:szCs w:val="31"/>
        </w:rPr>
      </w:pPr>
      <w:r>
        <w:rPr>
          <w:rFonts w:ascii="宋体" w:hAnsi="宋体" w:eastAsia="宋体" w:cs="宋体"/>
          <w:spacing w:val="-8"/>
          <w:sz w:val="31"/>
          <w:szCs w:val="31"/>
        </w:rPr>
        <w:t>签</w:t>
      </w:r>
      <w:r>
        <w:rPr>
          <w:rFonts w:ascii="宋体" w:hAnsi="宋体" w:eastAsia="宋体" w:cs="宋体"/>
          <w:spacing w:val="18"/>
          <w:sz w:val="31"/>
          <w:szCs w:val="31"/>
        </w:rPr>
        <w:t xml:space="preserve">  </w:t>
      </w:r>
      <w:r>
        <w:rPr>
          <w:rFonts w:ascii="宋体" w:hAnsi="宋体" w:eastAsia="宋体" w:cs="宋体"/>
          <w:spacing w:val="-8"/>
          <w:sz w:val="31"/>
          <w:szCs w:val="31"/>
        </w:rPr>
        <w:t>订</w:t>
      </w:r>
      <w:r>
        <w:rPr>
          <w:rFonts w:ascii="宋体" w:hAnsi="宋体" w:eastAsia="宋体" w:cs="宋体"/>
          <w:spacing w:val="38"/>
          <w:sz w:val="31"/>
          <w:szCs w:val="31"/>
        </w:rPr>
        <w:t xml:space="preserve">  </w:t>
      </w:r>
      <w:r>
        <w:rPr>
          <w:rFonts w:ascii="宋体" w:hAnsi="宋体" w:eastAsia="宋体" w:cs="宋体"/>
          <w:spacing w:val="-8"/>
          <w:sz w:val="31"/>
          <w:szCs w:val="31"/>
        </w:rPr>
        <w:t>日</w:t>
      </w:r>
      <w:r>
        <w:rPr>
          <w:rFonts w:ascii="宋体" w:hAnsi="宋体" w:eastAsia="宋体" w:cs="宋体"/>
          <w:spacing w:val="14"/>
          <w:sz w:val="31"/>
          <w:szCs w:val="31"/>
        </w:rPr>
        <w:t xml:space="preserve">  </w:t>
      </w:r>
      <w:r>
        <w:rPr>
          <w:rFonts w:ascii="宋体" w:hAnsi="宋体" w:eastAsia="宋体" w:cs="宋体"/>
          <w:spacing w:val="-8"/>
          <w:sz w:val="31"/>
          <w:szCs w:val="31"/>
        </w:rPr>
        <w:t>期：</w:t>
      </w:r>
      <w:r>
        <w:rPr>
          <w:rFonts w:ascii="宋体" w:hAnsi="宋体" w:eastAsia="宋体" w:cs="宋体"/>
          <w:spacing w:val="14"/>
          <w:sz w:val="31"/>
          <w:szCs w:val="31"/>
        </w:rPr>
        <w:t xml:space="preserve">   </w:t>
      </w:r>
      <w:r>
        <w:rPr>
          <w:rFonts w:ascii="宋体" w:hAnsi="宋体" w:eastAsia="宋体" w:cs="宋体"/>
          <w:spacing w:val="-8"/>
          <w:sz w:val="31"/>
          <w:szCs w:val="31"/>
        </w:rPr>
        <w:t>2024</w:t>
      </w:r>
      <w:r>
        <w:rPr>
          <w:rFonts w:ascii="宋体" w:hAnsi="宋体" w:eastAsia="宋体" w:cs="宋体"/>
          <w:spacing w:val="-61"/>
          <w:sz w:val="31"/>
          <w:szCs w:val="31"/>
        </w:rPr>
        <w:t xml:space="preserve"> </w:t>
      </w:r>
      <w:r>
        <w:rPr>
          <w:rFonts w:ascii="宋体" w:hAnsi="宋体" w:eastAsia="宋体" w:cs="宋体"/>
          <w:spacing w:val="-8"/>
          <w:sz w:val="31"/>
          <w:szCs w:val="31"/>
        </w:rPr>
        <w:t>年</w:t>
      </w:r>
      <w:r>
        <w:rPr>
          <w:rFonts w:ascii="宋体" w:hAnsi="宋体" w:eastAsia="宋体" w:cs="宋体"/>
          <w:spacing w:val="14"/>
          <w:sz w:val="31"/>
          <w:szCs w:val="31"/>
        </w:rPr>
        <w:t xml:space="preserve">  </w:t>
      </w:r>
      <w:r>
        <w:rPr>
          <w:rFonts w:ascii="宋体" w:hAnsi="宋体" w:eastAsia="宋体" w:cs="宋体"/>
          <w:spacing w:val="-8"/>
          <w:sz w:val="31"/>
          <w:szCs w:val="31"/>
        </w:rPr>
        <w:t>月</w:t>
      </w:r>
      <w:r>
        <w:rPr>
          <w:rFonts w:ascii="宋体" w:hAnsi="宋体" w:eastAsia="宋体" w:cs="宋体"/>
          <w:spacing w:val="40"/>
          <w:sz w:val="31"/>
          <w:szCs w:val="31"/>
        </w:rPr>
        <w:t xml:space="preserve">  </w:t>
      </w:r>
      <w:r>
        <w:rPr>
          <w:rFonts w:ascii="宋体" w:hAnsi="宋体" w:eastAsia="宋体" w:cs="宋体"/>
          <w:spacing w:val="-8"/>
          <w:sz w:val="31"/>
          <w:szCs w:val="31"/>
        </w:rPr>
        <w:t>日</w:t>
      </w:r>
    </w:p>
    <w:p w14:paraId="47775268">
      <w:pPr>
        <w:spacing w:line="225" w:lineRule="auto"/>
        <w:rPr>
          <w:rFonts w:ascii="宋体" w:hAnsi="宋体" w:eastAsia="宋体" w:cs="宋体"/>
          <w:sz w:val="31"/>
          <w:szCs w:val="31"/>
        </w:rPr>
        <w:sectPr>
          <w:footerReference r:id="rId8" w:type="default"/>
          <w:pgSz w:w="12240" w:h="15840"/>
          <w:pgMar w:top="1112" w:right="1836" w:bottom="1072" w:left="1092" w:header="0" w:footer="910" w:gutter="0"/>
          <w:cols w:space="720" w:num="1"/>
        </w:sectPr>
      </w:pPr>
    </w:p>
    <w:p w14:paraId="0B94DFE5">
      <w:pPr>
        <w:spacing w:before="88" w:line="222" w:lineRule="auto"/>
        <w:ind w:left="3499"/>
        <w:rPr>
          <w:rFonts w:ascii="宋体" w:hAnsi="宋体" w:eastAsia="宋体" w:cs="宋体"/>
          <w:sz w:val="43"/>
          <w:szCs w:val="43"/>
        </w:rPr>
      </w:pPr>
      <w:r>
        <w:rPr>
          <w:rFonts w:ascii="宋体" w:hAnsi="宋体" w:eastAsia="宋体" w:cs="宋体"/>
          <w:b/>
          <w:bCs/>
          <w:spacing w:val="4"/>
          <w:sz w:val="43"/>
          <w:szCs w:val="43"/>
        </w:rPr>
        <w:t>施工监理合同书</w:t>
      </w:r>
    </w:p>
    <w:p w14:paraId="78F2FC8B">
      <w:pPr>
        <w:spacing w:before="23" w:line="353" w:lineRule="auto"/>
        <w:ind w:left="339" w:right="8599" w:hanging="1"/>
        <w:jc w:val="both"/>
        <w:rPr>
          <w:rFonts w:ascii="宋体" w:hAnsi="宋体" w:eastAsia="宋体" w:cs="宋体"/>
          <w:sz w:val="24"/>
          <w:szCs w:val="24"/>
        </w:rPr>
      </w:pPr>
      <w:r>
        <w:rPr>
          <w:rFonts w:ascii="宋体" w:hAnsi="宋体" w:eastAsia="宋体" w:cs="宋体"/>
          <w:spacing w:val="-23"/>
          <w:sz w:val="24"/>
          <w:szCs w:val="24"/>
        </w:rPr>
        <w:t>委</w:t>
      </w:r>
      <w:r>
        <w:rPr>
          <w:rFonts w:ascii="宋体" w:hAnsi="宋体" w:eastAsia="宋体" w:cs="宋体"/>
          <w:spacing w:val="11"/>
          <w:sz w:val="24"/>
          <w:szCs w:val="24"/>
        </w:rPr>
        <w:t xml:space="preserve"> </w:t>
      </w:r>
      <w:r>
        <w:rPr>
          <w:rFonts w:ascii="宋体" w:hAnsi="宋体" w:eastAsia="宋体" w:cs="宋体"/>
          <w:spacing w:val="-23"/>
          <w:sz w:val="24"/>
          <w:szCs w:val="24"/>
        </w:rPr>
        <w:t>托</w:t>
      </w:r>
      <w:r>
        <w:rPr>
          <w:rFonts w:ascii="宋体" w:hAnsi="宋体" w:eastAsia="宋体" w:cs="宋体"/>
          <w:spacing w:val="11"/>
          <w:sz w:val="24"/>
          <w:szCs w:val="24"/>
        </w:rPr>
        <w:t xml:space="preserve"> </w:t>
      </w:r>
      <w:r>
        <w:rPr>
          <w:rFonts w:ascii="宋体" w:hAnsi="宋体" w:eastAsia="宋体" w:cs="宋体"/>
          <w:spacing w:val="-23"/>
          <w:sz w:val="24"/>
          <w:szCs w:val="24"/>
        </w:rPr>
        <w:t>人：</w:t>
      </w:r>
      <w:r>
        <w:rPr>
          <w:rFonts w:ascii="宋体" w:hAnsi="宋体" w:eastAsia="宋体" w:cs="宋体"/>
          <w:sz w:val="24"/>
          <w:szCs w:val="24"/>
        </w:rPr>
        <w:t xml:space="preserve"> </w:t>
      </w:r>
      <w:r>
        <w:rPr>
          <w:rFonts w:ascii="宋体" w:hAnsi="宋体" w:eastAsia="宋体" w:cs="宋体"/>
          <w:spacing w:val="-24"/>
          <w:sz w:val="24"/>
          <w:szCs w:val="24"/>
        </w:rPr>
        <w:t>监</w:t>
      </w:r>
      <w:r>
        <w:rPr>
          <w:rFonts w:ascii="宋体" w:hAnsi="宋体" w:eastAsia="宋体" w:cs="宋体"/>
          <w:spacing w:val="13"/>
          <w:sz w:val="24"/>
          <w:szCs w:val="24"/>
        </w:rPr>
        <w:t xml:space="preserve"> </w:t>
      </w:r>
      <w:r>
        <w:rPr>
          <w:rFonts w:ascii="宋体" w:hAnsi="宋体" w:eastAsia="宋体" w:cs="宋体"/>
          <w:spacing w:val="-24"/>
          <w:sz w:val="24"/>
          <w:szCs w:val="24"/>
        </w:rPr>
        <w:t>理</w:t>
      </w:r>
      <w:r>
        <w:rPr>
          <w:rFonts w:ascii="宋体" w:hAnsi="宋体" w:eastAsia="宋体" w:cs="宋体"/>
          <w:spacing w:val="11"/>
          <w:sz w:val="24"/>
          <w:szCs w:val="24"/>
        </w:rPr>
        <w:t xml:space="preserve"> </w:t>
      </w:r>
      <w:r>
        <w:rPr>
          <w:rFonts w:ascii="宋体" w:hAnsi="宋体" w:eastAsia="宋体" w:cs="宋体"/>
          <w:spacing w:val="-24"/>
          <w:sz w:val="24"/>
          <w:szCs w:val="24"/>
        </w:rPr>
        <w:t>人：</w:t>
      </w:r>
      <w:r>
        <w:rPr>
          <w:rFonts w:ascii="宋体" w:hAnsi="宋体" w:eastAsia="宋体" w:cs="宋体"/>
          <w:sz w:val="24"/>
          <w:szCs w:val="24"/>
        </w:rPr>
        <w:t xml:space="preserve"> </w:t>
      </w:r>
      <w:r>
        <w:rPr>
          <w:rFonts w:ascii="宋体" w:hAnsi="宋体" w:eastAsia="宋体" w:cs="宋体"/>
          <w:spacing w:val="-15"/>
          <w:sz w:val="24"/>
          <w:szCs w:val="24"/>
        </w:rPr>
        <w:t>合同编号：</w:t>
      </w:r>
      <w:r>
        <w:rPr>
          <w:rFonts w:ascii="宋体" w:hAnsi="宋体" w:eastAsia="宋体" w:cs="宋体"/>
          <w:spacing w:val="3"/>
          <w:sz w:val="24"/>
          <w:szCs w:val="24"/>
        </w:rPr>
        <w:t xml:space="preserve"> </w:t>
      </w:r>
      <w:r>
        <w:rPr>
          <w:rFonts w:ascii="宋体" w:hAnsi="宋体" w:eastAsia="宋体" w:cs="宋体"/>
          <w:spacing w:val="-15"/>
          <w:sz w:val="24"/>
          <w:szCs w:val="24"/>
        </w:rPr>
        <w:t>合同名称：</w:t>
      </w:r>
    </w:p>
    <w:p w14:paraId="14C1AB68">
      <w:pPr>
        <w:spacing w:before="29" w:line="219" w:lineRule="auto"/>
        <w:ind w:left="797"/>
        <w:rPr>
          <w:rFonts w:ascii="宋体" w:hAnsi="宋体" w:eastAsia="宋体" w:cs="宋体"/>
          <w:sz w:val="24"/>
          <w:szCs w:val="24"/>
        </w:rPr>
      </w:pPr>
      <w:r>
        <w:rPr>
          <w:rFonts w:ascii="宋体" w:hAnsi="宋体" w:eastAsia="宋体" w:cs="宋体"/>
          <w:spacing w:val="2"/>
          <w:sz w:val="24"/>
          <w:szCs w:val="24"/>
        </w:rPr>
        <w:t>依据国家有关法律、法规</w:t>
      </w:r>
      <w:r>
        <w:rPr>
          <w:rFonts w:ascii="宋体" w:hAnsi="宋体" w:eastAsia="宋体" w:cs="宋体"/>
          <w:spacing w:val="-14"/>
          <w:sz w:val="24"/>
          <w:szCs w:val="24"/>
        </w:rPr>
        <w:t>，</w:t>
      </w:r>
      <w:r>
        <w:rPr>
          <w:rFonts w:ascii="宋体" w:hAnsi="宋体" w:eastAsia="宋体" w:cs="宋体"/>
          <w:spacing w:val="17"/>
          <w:sz w:val="24"/>
          <w:szCs w:val="24"/>
        </w:rPr>
        <w:t xml:space="preserve">       </w:t>
      </w:r>
      <w:r>
        <w:rPr>
          <w:rFonts w:ascii="宋体" w:hAnsi="宋体" w:eastAsia="宋体" w:cs="宋体"/>
          <w:spacing w:val="-14"/>
          <w:sz w:val="24"/>
          <w:szCs w:val="24"/>
        </w:rPr>
        <w:t>（</w:t>
      </w:r>
      <w:r>
        <w:rPr>
          <w:rFonts w:ascii="宋体" w:hAnsi="宋体" w:eastAsia="宋体" w:cs="宋体"/>
          <w:spacing w:val="2"/>
          <w:sz w:val="24"/>
          <w:szCs w:val="24"/>
        </w:rPr>
        <w:t>以下简称委托人</w:t>
      </w:r>
      <w:r>
        <w:rPr>
          <w:rFonts w:ascii="宋体" w:hAnsi="宋体" w:eastAsia="宋体" w:cs="宋体"/>
          <w:spacing w:val="-14"/>
          <w:sz w:val="24"/>
          <w:szCs w:val="24"/>
        </w:rPr>
        <w:t>），</w:t>
      </w:r>
      <w:r>
        <w:rPr>
          <w:rFonts w:ascii="宋体" w:hAnsi="宋体" w:eastAsia="宋体" w:cs="宋体"/>
          <w:spacing w:val="2"/>
          <w:sz w:val="24"/>
          <w:szCs w:val="24"/>
        </w:rPr>
        <w:t>委</w:t>
      </w:r>
      <w:r>
        <w:rPr>
          <w:rFonts w:ascii="宋体" w:hAnsi="宋体" w:eastAsia="宋体" w:cs="宋体"/>
          <w:spacing w:val="1"/>
          <w:sz w:val="24"/>
          <w:szCs w:val="24"/>
        </w:rPr>
        <w:t>托 （以下</w:t>
      </w:r>
    </w:p>
    <w:p w14:paraId="267BCA1A">
      <w:pPr>
        <w:spacing w:before="183" w:line="219" w:lineRule="auto"/>
        <w:ind w:left="3"/>
        <w:rPr>
          <w:rFonts w:ascii="宋体" w:hAnsi="宋体" w:eastAsia="宋体" w:cs="宋体"/>
          <w:sz w:val="24"/>
          <w:szCs w:val="24"/>
        </w:rPr>
      </w:pPr>
      <w:r>
        <w:rPr>
          <w:rFonts w:ascii="宋体" w:hAnsi="宋体" w:eastAsia="宋体" w:cs="宋体"/>
          <w:sz w:val="24"/>
          <w:szCs w:val="24"/>
        </w:rPr>
        <w:t>简称监理人）提供      工程施工监理服</w:t>
      </w:r>
      <w:r>
        <w:rPr>
          <w:rFonts w:ascii="宋体" w:hAnsi="宋体" w:eastAsia="宋体" w:cs="宋体"/>
          <w:spacing w:val="-1"/>
          <w:sz w:val="24"/>
          <w:szCs w:val="24"/>
        </w:rPr>
        <w:t>务，经双方协商一致，订立本合同。</w:t>
      </w:r>
    </w:p>
    <w:p w14:paraId="0E12F480">
      <w:pPr>
        <w:spacing w:before="182" w:line="219" w:lineRule="auto"/>
        <w:ind w:left="485"/>
        <w:rPr>
          <w:rFonts w:ascii="宋体" w:hAnsi="宋体" w:eastAsia="宋体" w:cs="宋体"/>
          <w:sz w:val="24"/>
          <w:szCs w:val="24"/>
        </w:rPr>
      </w:pPr>
      <w:r>
        <w:rPr>
          <w:rFonts w:ascii="宋体" w:hAnsi="宋体" w:eastAsia="宋体" w:cs="宋体"/>
          <w:b/>
          <w:bCs/>
          <w:spacing w:val="-4"/>
          <w:sz w:val="24"/>
          <w:szCs w:val="24"/>
        </w:rPr>
        <w:t>一、工程概况</w:t>
      </w:r>
    </w:p>
    <w:p w14:paraId="57C28AE7">
      <w:pPr>
        <w:spacing w:before="180" w:line="220" w:lineRule="auto"/>
        <w:ind w:left="487"/>
        <w:rPr>
          <w:rFonts w:ascii="宋体" w:hAnsi="宋体" w:eastAsia="宋体" w:cs="宋体"/>
          <w:sz w:val="24"/>
          <w:szCs w:val="24"/>
        </w:rPr>
      </w:pPr>
      <w:r>
        <w:rPr>
          <w:rFonts w:ascii="宋体" w:hAnsi="宋体" w:eastAsia="宋体" w:cs="宋体"/>
          <w:spacing w:val="-4"/>
          <w:sz w:val="24"/>
          <w:szCs w:val="24"/>
        </w:rPr>
        <w:t>1、工程名称：</w:t>
      </w:r>
    </w:p>
    <w:p w14:paraId="6D713441">
      <w:pPr>
        <w:spacing w:before="182" w:line="221" w:lineRule="auto"/>
        <w:ind w:left="481"/>
        <w:rPr>
          <w:rFonts w:ascii="宋体" w:hAnsi="宋体" w:eastAsia="宋体" w:cs="宋体"/>
          <w:sz w:val="24"/>
          <w:szCs w:val="24"/>
        </w:rPr>
      </w:pPr>
      <w:r>
        <w:rPr>
          <w:rFonts w:ascii="宋体" w:hAnsi="宋体" w:eastAsia="宋体" w:cs="宋体"/>
          <w:spacing w:val="-2"/>
          <w:sz w:val="24"/>
          <w:szCs w:val="24"/>
        </w:rPr>
        <w:t>2、建设地点：</w:t>
      </w:r>
    </w:p>
    <w:p w14:paraId="6D84D90C">
      <w:pPr>
        <w:spacing w:before="182" w:line="219" w:lineRule="auto"/>
        <w:ind w:left="483"/>
        <w:rPr>
          <w:rFonts w:ascii="宋体" w:hAnsi="宋体" w:eastAsia="宋体" w:cs="宋体"/>
          <w:sz w:val="24"/>
          <w:szCs w:val="24"/>
        </w:rPr>
      </w:pPr>
      <w:r>
        <w:rPr>
          <w:rFonts w:ascii="宋体" w:hAnsi="宋体" w:eastAsia="宋体" w:cs="宋体"/>
          <w:spacing w:val="-2"/>
          <w:sz w:val="24"/>
          <w:szCs w:val="24"/>
        </w:rPr>
        <w:t>3、工程等别（级</w:t>
      </w:r>
      <w:r>
        <w:rPr>
          <w:rFonts w:ascii="宋体" w:hAnsi="宋体" w:eastAsia="宋体" w:cs="宋体"/>
          <w:sz w:val="24"/>
          <w:szCs w:val="24"/>
        </w:rPr>
        <w:t>）：</w:t>
      </w:r>
    </w:p>
    <w:p w14:paraId="733999D1">
      <w:pPr>
        <w:spacing w:before="179" w:line="219" w:lineRule="auto"/>
        <w:ind w:left="478"/>
        <w:rPr>
          <w:rFonts w:ascii="宋体" w:hAnsi="宋体" w:eastAsia="宋体" w:cs="宋体"/>
          <w:sz w:val="24"/>
          <w:szCs w:val="24"/>
        </w:rPr>
      </w:pPr>
      <w:r>
        <w:rPr>
          <w:rFonts w:ascii="宋体" w:hAnsi="宋体" w:eastAsia="宋体" w:cs="宋体"/>
          <w:spacing w:val="-1"/>
          <w:sz w:val="24"/>
          <w:szCs w:val="24"/>
        </w:rPr>
        <w:t>4、工程总投资(人民币，下同)：万元</w:t>
      </w:r>
    </w:p>
    <w:p w14:paraId="435EBC63">
      <w:pPr>
        <w:spacing w:before="184" w:line="220" w:lineRule="auto"/>
        <w:ind w:left="483"/>
        <w:rPr>
          <w:rFonts w:ascii="宋体" w:hAnsi="宋体" w:eastAsia="宋体" w:cs="宋体"/>
          <w:sz w:val="24"/>
          <w:szCs w:val="24"/>
        </w:rPr>
      </w:pPr>
      <w:r>
        <w:rPr>
          <w:rFonts w:ascii="宋体" w:hAnsi="宋体" w:eastAsia="宋体" w:cs="宋体"/>
          <w:spacing w:val="-3"/>
          <w:sz w:val="24"/>
          <w:szCs w:val="24"/>
        </w:rPr>
        <w:t>5、工期：</w:t>
      </w:r>
    </w:p>
    <w:p w14:paraId="40167CF5">
      <w:pPr>
        <w:spacing w:before="180" w:line="220" w:lineRule="auto"/>
        <w:ind w:left="485"/>
        <w:rPr>
          <w:rFonts w:ascii="宋体" w:hAnsi="宋体" w:eastAsia="宋体" w:cs="宋体"/>
          <w:sz w:val="24"/>
          <w:szCs w:val="24"/>
        </w:rPr>
      </w:pPr>
      <w:r>
        <w:rPr>
          <w:rFonts w:ascii="宋体" w:hAnsi="宋体" w:eastAsia="宋体" w:cs="宋体"/>
          <w:b/>
          <w:bCs/>
          <w:spacing w:val="-4"/>
          <w:sz w:val="24"/>
          <w:szCs w:val="24"/>
        </w:rPr>
        <w:t>二、监理范围</w:t>
      </w:r>
    </w:p>
    <w:p w14:paraId="08FA65E5">
      <w:pPr>
        <w:spacing w:before="182" w:line="220" w:lineRule="auto"/>
        <w:ind w:left="496"/>
        <w:rPr>
          <w:rFonts w:ascii="宋体" w:hAnsi="宋体" w:eastAsia="宋体" w:cs="宋体"/>
          <w:sz w:val="24"/>
          <w:szCs w:val="24"/>
        </w:rPr>
      </w:pPr>
      <w:r>
        <w:rPr>
          <w:rFonts w:ascii="宋体" w:hAnsi="宋体" w:eastAsia="宋体" w:cs="宋体"/>
          <w:spacing w:val="-4"/>
          <w:sz w:val="24"/>
          <w:szCs w:val="24"/>
        </w:rPr>
        <w:t>1、监理项目名称：</w:t>
      </w:r>
    </w:p>
    <w:p w14:paraId="08BBE4BB">
      <w:pPr>
        <w:spacing w:before="180" w:line="219" w:lineRule="auto"/>
        <w:ind w:left="481"/>
        <w:rPr>
          <w:rFonts w:ascii="宋体" w:hAnsi="宋体" w:eastAsia="宋体" w:cs="宋体"/>
          <w:sz w:val="24"/>
          <w:szCs w:val="24"/>
        </w:rPr>
      </w:pPr>
      <w:r>
        <w:rPr>
          <w:rFonts w:ascii="宋体" w:hAnsi="宋体" w:eastAsia="宋体" w:cs="宋体"/>
          <w:spacing w:val="-1"/>
          <w:sz w:val="24"/>
          <w:szCs w:val="24"/>
        </w:rPr>
        <w:t>2、监理项目内容及主要特性参数：</w:t>
      </w:r>
    </w:p>
    <w:p w14:paraId="1825F136">
      <w:pPr>
        <w:spacing w:before="183" w:line="220" w:lineRule="auto"/>
        <w:ind w:left="483"/>
        <w:rPr>
          <w:rFonts w:ascii="宋体" w:hAnsi="宋体" w:eastAsia="宋体" w:cs="宋体"/>
          <w:sz w:val="24"/>
          <w:szCs w:val="24"/>
        </w:rPr>
      </w:pPr>
      <w:r>
        <w:rPr>
          <w:rFonts w:ascii="宋体" w:hAnsi="宋体" w:eastAsia="宋体" w:cs="宋体"/>
          <w:spacing w:val="-2"/>
          <w:sz w:val="24"/>
          <w:szCs w:val="24"/>
        </w:rPr>
        <w:t>3、监理项目投资：万元</w:t>
      </w:r>
    </w:p>
    <w:p w14:paraId="712360C6">
      <w:pPr>
        <w:pStyle w:val="10"/>
        <w:spacing w:line="243" w:lineRule="auto"/>
      </w:pPr>
    </w:p>
    <w:p w14:paraId="6F4E703F">
      <w:pPr>
        <w:spacing w:before="79" w:line="221" w:lineRule="auto"/>
        <w:ind w:left="418"/>
        <w:rPr>
          <w:rFonts w:ascii="宋体" w:hAnsi="宋体" w:eastAsia="宋体" w:cs="宋体"/>
          <w:sz w:val="24"/>
          <w:szCs w:val="24"/>
        </w:rPr>
      </w:pPr>
      <w:r>
        <w:rPr>
          <w:rFonts w:ascii="宋体" w:hAnsi="宋体" w:eastAsia="宋体" w:cs="宋体"/>
          <w:spacing w:val="-2"/>
          <w:sz w:val="24"/>
          <w:szCs w:val="24"/>
        </w:rPr>
        <w:t>4、监理阶段：</w:t>
      </w:r>
    </w:p>
    <w:p w14:paraId="1483506A">
      <w:pPr>
        <w:spacing w:before="193" w:line="219" w:lineRule="auto"/>
        <w:ind w:left="481"/>
        <w:rPr>
          <w:rFonts w:ascii="宋体" w:hAnsi="宋体" w:eastAsia="宋体" w:cs="宋体"/>
          <w:sz w:val="24"/>
          <w:szCs w:val="24"/>
        </w:rPr>
      </w:pPr>
      <w:r>
        <w:rPr>
          <w:rFonts w:ascii="宋体" w:hAnsi="宋体" w:eastAsia="宋体" w:cs="宋体"/>
          <w:b/>
          <w:bCs/>
          <w:spacing w:val="-3"/>
          <w:sz w:val="24"/>
          <w:szCs w:val="24"/>
        </w:rPr>
        <w:t>三、监理服务内容、期限</w:t>
      </w:r>
    </w:p>
    <w:p w14:paraId="4FD86488">
      <w:pPr>
        <w:spacing w:before="195" w:line="219" w:lineRule="auto"/>
        <w:ind w:left="496"/>
        <w:rPr>
          <w:rFonts w:ascii="宋体" w:hAnsi="宋体" w:eastAsia="宋体" w:cs="宋体"/>
          <w:sz w:val="24"/>
          <w:szCs w:val="24"/>
        </w:rPr>
      </w:pPr>
      <w:r>
        <w:rPr>
          <w:rFonts w:ascii="宋体" w:hAnsi="宋体" w:eastAsia="宋体" w:cs="宋体"/>
          <w:spacing w:val="-2"/>
          <w:sz w:val="24"/>
          <w:szCs w:val="24"/>
        </w:rPr>
        <w:t>1、监理服务内容：按专用合同条款约定。</w:t>
      </w:r>
    </w:p>
    <w:p w14:paraId="380F9882">
      <w:pPr>
        <w:spacing w:before="196" w:line="219" w:lineRule="auto"/>
        <w:ind w:left="481"/>
        <w:rPr>
          <w:rFonts w:ascii="宋体" w:hAnsi="宋体" w:eastAsia="宋体" w:cs="宋体"/>
          <w:sz w:val="24"/>
          <w:szCs w:val="24"/>
        </w:rPr>
      </w:pPr>
      <w:r>
        <w:rPr>
          <w:rFonts w:ascii="宋体" w:hAnsi="宋体" w:eastAsia="宋体" w:cs="宋体"/>
          <w:spacing w:val="-2"/>
          <w:sz w:val="24"/>
          <w:szCs w:val="24"/>
        </w:rPr>
        <w:t>2、监理服务期限：</w:t>
      </w:r>
    </w:p>
    <w:p w14:paraId="4B201A83">
      <w:pPr>
        <w:spacing w:before="195" w:line="219" w:lineRule="auto"/>
        <w:ind w:left="503"/>
        <w:rPr>
          <w:rFonts w:ascii="宋体" w:hAnsi="宋体" w:eastAsia="宋体" w:cs="宋体"/>
          <w:sz w:val="24"/>
          <w:szCs w:val="24"/>
        </w:rPr>
      </w:pPr>
      <w:r>
        <w:rPr>
          <w:rFonts w:ascii="宋体" w:hAnsi="宋体" w:eastAsia="宋体" w:cs="宋体"/>
          <w:b/>
          <w:bCs/>
          <w:spacing w:val="-6"/>
          <w:sz w:val="24"/>
          <w:szCs w:val="24"/>
        </w:rPr>
        <w:t>四、监理服务酬金</w:t>
      </w:r>
    </w:p>
    <w:p w14:paraId="47BE117E">
      <w:pPr>
        <w:spacing w:before="195" w:line="356" w:lineRule="auto"/>
        <w:ind w:firstLine="480"/>
        <w:rPr>
          <w:rFonts w:ascii="宋体" w:hAnsi="宋体" w:eastAsia="宋体" w:cs="宋体"/>
          <w:sz w:val="24"/>
          <w:szCs w:val="24"/>
        </w:rPr>
      </w:pPr>
      <w:r>
        <w:rPr>
          <w:rFonts w:ascii="宋体" w:hAnsi="宋体" w:eastAsia="宋体" w:cs="宋体"/>
          <w:sz w:val="24"/>
          <w:szCs w:val="24"/>
        </w:rPr>
        <w:t>监理正常服务酬金为（大写）</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整，由委托人按专用合同条款约定的方式、时间向</w:t>
      </w:r>
      <w:r>
        <w:rPr>
          <w:rFonts w:ascii="宋体" w:hAnsi="宋体" w:eastAsia="宋体" w:cs="宋体"/>
          <w:sz w:val="24"/>
          <w:szCs w:val="24"/>
        </w:rPr>
        <w:t xml:space="preserve"> </w:t>
      </w:r>
      <w:r>
        <w:rPr>
          <w:rFonts w:ascii="宋体" w:hAnsi="宋体" w:eastAsia="宋体" w:cs="宋体"/>
          <w:spacing w:val="-2"/>
          <w:sz w:val="24"/>
          <w:szCs w:val="24"/>
        </w:rPr>
        <w:t>监理人支付。</w:t>
      </w:r>
    </w:p>
    <w:p w14:paraId="42A4335E">
      <w:pPr>
        <w:spacing w:before="35" w:line="219" w:lineRule="auto"/>
        <w:ind w:left="485"/>
        <w:rPr>
          <w:rFonts w:ascii="宋体" w:hAnsi="宋体" w:eastAsia="宋体" w:cs="宋体"/>
          <w:sz w:val="24"/>
          <w:szCs w:val="24"/>
        </w:rPr>
      </w:pPr>
      <w:r>
        <w:rPr>
          <w:rFonts w:ascii="宋体" w:hAnsi="宋体" w:eastAsia="宋体" w:cs="宋体"/>
          <w:b/>
          <w:bCs/>
          <w:spacing w:val="-3"/>
          <w:sz w:val="24"/>
          <w:szCs w:val="24"/>
        </w:rPr>
        <w:t>五、监理合同的组成文件及解释顺序</w:t>
      </w:r>
    </w:p>
    <w:p w14:paraId="2DFBF3C1">
      <w:pPr>
        <w:spacing w:before="194" w:line="219" w:lineRule="auto"/>
        <w:ind w:left="496"/>
        <w:rPr>
          <w:rFonts w:ascii="宋体" w:hAnsi="宋体" w:eastAsia="宋体" w:cs="宋体"/>
          <w:sz w:val="24"/>
          <w:szCs w:val="24"/>
        </w:rPr>
      </w:pPr>
      <w:r>
        <w:rPr>
          <w:rFonts w:ascii="宋体" w:hAnsi="宋体" w:eastAsia="宋体" w:cs="宋体"/>
          <w:spacing w:val="-2"/>
          <w:sz w:val="24"/>
          <w:szCs w:val="24"/>
        </w:rPr>
        <w:t>1、监理合同书(含补充协议)；</w:t>
      </w:r>
    </w:p>
    <w:p w14:paraId="42EA9F63">
      <w:pPr>
        <w:spacing w:before="195" w:line="219" w:lineRule="auto"/>
        <w:ind w:left="481"/>
        <w:rPr>
          <w:rFonts w:ascii="宋体" w:hAnsi="宋体" w:eastAsia="宋体" w:cs="宋体"/>
          <w:sz w:val="24"/>
          <w:szCs w:val="24"/>
        </w:rPr>
      </w:pPr>
      <w:r>
        <w:rPr>
          <w:rFonts w:ascii="宋体" w:hAnsi="宋体" w:eastAsia="宋体" w:cs="宋体"/>
          <w:spacing w:val="-2"/>
          <w:sz w:val="24"/>
          <w:szCs w:val="24"/>
        </w:rPr>
        <w:t>2、中标通知书；</w:t>
      </w:r>
    </w:p>
    <w:p w14:paraId="2968728F">
      <w:pPr>
        <w:spacing w:before="196" w:line="218" w:lineRule="auto"/>
        <w:ind w:left="483"/>
        <w:rPr>
          <w:rFonts w:ascii="宋体" w:hAnsi="宋体" w:eastAsia="宋体" w:cs="宋体"/>
          <w:sz w:val="24"/>
          <w:szCs w:val="24"/>
        </w:rPr>
      </w:pPr>
      <w:r>
        <w:rPr>
          <w:rFonts w:ascii="宋体" w:hAnsi="宋体" w:eastAsia="宋体" w:cs="宋体"/>
          <w:spacing w:val="-2"/>
          <w:sz w:val="24"/>
          <w:szCs w:val="24"/>
        </w:rPr>
        <w:t>3、投标报价书；</w:t>
      </w:r>
    </w:p>
    <w:p w14:paraId="4858CB89">
      <w:pPr>
        <w:spacing w:line="218" w:lineRule="auto"/>
        <w:rPr>
          <w:rFonts w:ascii="宋体" w:hAnsi="宋体" w:eastAsia="宋体" w:cs="宋体"/>
          <w:sz w:val="24"/>
          <w:szCs w:val="24"/>
        </w:rPr>
        <w:sectPr>
          <w:footerReference r:id="rId9" w:type="default"/>
          <w:pgSz w:w="12240" w:h="15840"/>
          <w:pgMar w:top="1112" w:right="1080" w:bottom="1072" w:left="1090" w:header="0" w:footer="910" w:gutter="0"/>
          <w:cols w:space="720" w:num="1"/>
        </w:sectPr>
      </w:pPr>
    </w:p>
    <w:p w14:paraId="08FC7668">
      <w:pPr>
        <w:spacing w:before="48" w:line="219" w:lineRule="auto"/>
        <w:ind w:left="995"/>
        <w:rPr>
          <w:rFonts w:ascii="宋体" w:hAnsi="宋体" w:eastAsia="宋体" w:cs="宋体"/>
          <w:sz w:val="24"/>
          <w:szCs w:val="24"/>
        </w:rPr>
      </w:pPr>
      <w:r>
        <w:rPr>
          <w:rFonts w:ascii="宋体" w:hAnsi="宋体" w:eastAsia="宋体" w:cs="宋体"/>
          <w:spacing w:val="-1"/>
          <w:sz w:val="24"/>
          <w:szCs w:val="24"/>
        </w:rPr>
        <w:t>4、专用合同条款；</w:t>
      </w:r>
    </w:p>
    <w:p w14:paraId="006C39C4">
      <w:pPr>
        <w:spacing w:before="195" w:line="219" w:lineRule="auto"/>
        <w:ind w:left="1001"/>
        <w:rPr>
          <w:rFonts w:ascii="宋体" w:hAnsi="宋体" w:eastAsia="宋体" w:cs="宋体"/>
          <w:sz w:val="24"/>
          <w:szCs w:val="24"/>
        </w:rPr>
      </w:pPr>
      <w:r>
        <w:rPr>
          <w:rFonts w:ascii="宋体" w:hAnsi="宋体" w:eastAsia="宋体" w:cs="宋体"/>
          <w:spacing w:val="-2"/>
          <w:sz w:val="24"/>
          <w:szCs w:val="24"/>
        </w:rPr>
        <w:t>5、通用合同条款；</w:t>
      </w:r>
    </w:p>
    <w:p w14:paraId="53ABB07F">
      <w:pPr>
        <w:spacing w:before="194" w:line="220" w:lineRule="auto"/>
        <w:ind w:left="998"/>
        <w:rPr>
          <w:rFonts w:ascii="宋体" w:hAnsi="宋体" w:eastAsia="宋体" w:cs="宋体"/>
          <w:sz w:val="24"/>
          <w:szCs w:val="24"/>
        </w:rPr>
      </w:pPr>
      <w:r>
        <w:rPr>
          <w:rFonts w:ascii="宋体" w:hAnsi="宋体" w:eastAsia="宋体" w:cs="宋体"/>
          <w:spacing w:val="-2"/>
          <w:sz w:val="24"/>
          <w:szCs w:val="24"/>
        </w:rPr>
        <w:t>6、监理大纲；</w:t>
      </w:r>
    </w:p>
    <w:p w14:paraId="54C66050">
      <w:pPr>
        <w:spacing w:before="194" w:line="219" w:lineRule="auto"/>
        <w:ind w:left="1002"/>
        <w:rPr>
          <w:rFonts w:ascii="宋体" w:hAnsi="宋体" w:eastAsia="宋体" w:cs="宋体"/>
          <w:sz w:val="24"/>
          <w:szCs w:val="24"/>
        </w:rPr>
      </w:pPr>
      <w:r>
        <w:rPr>
          <w:rFonts w:ascii="宋体" w:hAnsi="宋体" w:eastAsia="宋体" w:cs="宋体"/>
          <w:spacing w:val="-1"/>
          <w:sz w:val="24"/>
          <w:szCs w:val="24"/>
        </w:rPr>
        <w:t>7、双方确认需进入合同的其他文件。</w:t>
      </w:r>
    </w:p>
    <w:p w14:paraId="18916F1E">
      <w:pPr>
        <w:spacing w:before="194" w:line="219" w:lineRule="auto"/>
        <w:ind w:left="1001"/>
        <w:rPr>
          <w:rFonts w:ascii="宋体" w:hAnsi="宋体" w:eastAsia="宋体" w:cs="宋体"/>
          <w:sz w:val="24"/>
          <w:szCs w:val="24"/>
        </w:rPr>
      </w:pPr>
      <w:r>
        <w:rPr>
          <w:rFonts w:ascii="宋体" w:hAnsi="宋体" w:eastAsia="宋体" w:cs="宋体"/>
          <w:b/>
          <w:bCs/>
          <w:spacing w:val="-2"/>
          <w:sz w:val="24"/>
          <w:szCs w:val="24"/>
        </w:rPr>
        <w:t>六、本合同书经双方法定代表人或其授权代表人签名并加盖本单位公章后生效。</w:t>
      </w:r>
    </w:p>
    <w:p w14:paraId="1E556B87">
      <w:pPr>
        <w:spacing w:before="195" w:line="219" w:lineRule="auto"/>
        <w:jc w:val="center"/>
        <w:rPr>
          <w:rFonts w:ascii="宋体" w:hAnsi="宋体" w:eastAsia="宋体" w:cs="宋体"/>
          <w:sz w:val="24"/>
          <w:szCs w:val="24"/>
        </w:rPr>
      </w:pPr>
      <w:r>
        <w:rPr>
          <w:rFonts w:hint="eastAsia" w:cs="宋体"/>
          <w:b/>
          <w:bCs/>
          <w:spacing w:val="-2"/>
          <w:sz w:val="24"/>
          <w:szCs w:val="24"/>
          <w:lang w:val="en-US" w:eastAsia="zh-CN"/>
        </w:rPr>
        <w:t xml:space="preserve">       </w:t>
      </w:r>
      <w:r>
        <w:rPr>
          <w:rFonts w:ascii="宋体" w:hAnsi="宋体" w:eastAsia="宋体" w:cs="宋体"/>
          <w:b/>
          <w:bCs/>
          <w:spacing w:val="-2"/>
          <w:sz w:val="24"/>
          <w:szCs w:val="24"/>
        </w:rPr>
        <w:t>七、本合同书正本一式</w:t>
      </w:r>
      <w:r>
        <w:rPr>
          <w:rFonts w:hint="eastAsia" w:cs="宋体"/>
          <w:b/>
          <w:bCs/>
          <w:spacing w:val="-2"/>
          <w:sz w:val="24"/>
          <w:szCs w:val="24"/>
          <w:u w:val="single"/>
          <w:lang w:val="en-US" w:eastAsia="zh-CN"/>
        </w:rPr>
        <w:t xml:space="preserve">   </w:t>
      </w:r>
      <w:r>
        <w:rPr>
          <w:rFonts w:ascii="宋体" w:hAnsi="宋体" w:eastAsia="宋体" w:cs="宋体"/>
          <w:b/>
          <w:bCs/>
          <w:spacing w:val="-2"/>
          <w:sz w:val="24"/>
          <w:szCs w:val="24"/>
        </w:rPr>
        <w:t>份，具有同等法律效力，由双方各执</w:t>
      </w:r>
      <w:r>
        <w:rPr>
          <w:rFonts w:hint="eastAsia" w:cs="宋体"/>
          <w:b/>
          <w:bCs/>
          <w:spacing w:val="-2"/>
          <w:sz w:val="24"/>
          <w:szCs w:val="24"/>
          <w:u w:val="single"/>
          <w:lang w:val="en-US" w:eastAsia="zh-CN"/>
        </w:rPr>
        <w:t xml:space="preserve">   </w:t>
      </w:r>
      <w:r>
        <w:rPr>
          <w:rFonts w:ascii="宋体" w:hAnsi="宋体" w:eastAsia="宋体" w:cs="宋体"/>
          <w:b/>
          <w:bCs/>
          <w:spacing w:val="-2"/>
          <w:sz w:val="24"/>
          <w:szCs w:val="24"/>
        </w:rPr>
        <w:t>份；副本</w:t>
      </w:r>
      <w:r>
        <w:rPr>
          <w:rFonts w:ascii="宋体" w:hAnsi="宋体" w:eastAsia="宋体" w:cs="宋体"/>
          <w:spacing w:val="-2"/>
          <w:sz w:val="24"/>
          <w:szCs w:val="24"/>
        </w:rPr>
        <w:t xml:space="preserve"> </w:t>
      </w:r>
      <w:r>
        <w:rPr>
          <w:rFonts w:hint="eastAsia"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b/>
          <w:bCs/>
          <w:spacing w:val="-2"/>
          <w:sz w:val="24"/>
          <w:szCs w:val="24"/>
        </w:rPr>
        <w:t>份，委托</w:t>
      </w:r>
    </w:p>
    <w:p w14:paraId="4BF07FC5">
      <w:pPr>
        <w:spacing w:before="196" w:line="219" w:lineRule="auto"/>
        <w:ind w:left="518"/>
        <w:rPr>
          <w:rFonts w:ascii="宋体" w:hAnsi="宋体" w:eastAsia="宋体" w:cs="宋体"/>
          <w:sz w:val="24"/>
          <w:szCs w:val="24"/>
        </w:rPr>
      </w:pPr>
      <w:r>
        <w:rPr>
          <w:rFonts w:ascii="宋体" w:hAnsi="宋体" w:eastAsia="宋体" w:cs="宋体"/>
          <w:b/>
          <w:bCs/>
          <w:spacing w:val="-5"/>
          <w:sz w:val="24"/>
          <w:szCs w:val="24"/>
        </w:rPr>
        <w:t>人执</w:t>
      </w:r>
      <w:r>
        <w:rPr>
          <w:rFonts w:hint="eastAsia" w:cs="宋体"/>
          <w:spacing w:val="-5"/>
          <w:sz w:val="24"/>
          <w:szCs w:val="24"/>
          <w:u w:val="single"/>
          <w:lang w:val="en-US" w:eastAsia="zh-CN"/>
        </w:rPr>
        <w:t xml:space="preserve">    </w:t>
      </w:r>
      <w:r>
        <w:rPr>
          <w:rFonts w:ascii="宋体" w:hAnsi="宋体" w:eastAsia="宋体" w:cs="宋体"/>
          <w:b/>
          <w:bCs/>
          <w:spacing w:val="-5"/>
          <w:sz w:val="24"/>
          <w:szCs w:val="24"/>
        </w:rPr>
        <w:t>份，监理人执</w:t>
      </w:r>
      <w:r>
        <w:rPr>
          <w:rFonts w:ascii="宋体" w:hAnsi="宋体" w:eastAsia="宋体" w:cs="宋体"/>
          <w:spacing w:val="8"/>
          <w:sz w:val="24"/>
          <w:szCs w:val="24"/>
          <w:u w:val="single"/>
        </w:rPr>
        <w:t xml:space="preserve"> </w:t>
      </w:r>
      <w:r>
        <w:rPr>
          <w:rFonts w:hint="eastAsia" w:cs="宋体"/>
          <w:b/>
          <w:bCs/>
          <w:spacing w:val="-5"/>
          <w:sz w:val="24"/>
          <w:szCs w:val="24"/>
          <w:u w:val="single"/>
          <w:lang w:val="en-US" w:eastAsia="zh-CN"/>
        </w:rPr>
        <w:t xml:space="preserve">  </w:t>
      </w:r>
      <w:r>
        <w:rPr>
          <w:rFonts w:ascii="宋体" w:hAnsi="宋体" w:eastAsia="宋体" w:cs="宋体"/>
          <w:spacing w:val="5"/>
          <w:sz w:val="24"/>
          <w:szCs w:val="24"/>
          <w:u w:val="single"/>
        </w:rPr>
        <w:t xml:space="preserve">  </w:t>
      </w:r>
      <w:r>
        <w:rPr>
          <w:rFonts w:ascii="宋体" w:hAnsi="宋体" w:eastAsia="宋体" w:cs="宋体"/>
          <w:b/>
          <w:bCs/>
          <w:spacing w:val="-5"/>
          <w:sz w:val="24"/>
          <w:szCs w:val="24"/>
        </w:rPr>
        <w:t>份。</w:t>
      </w:r>
    </w:p>
    <w:p w14:paraId="1B2E8049">
      <w:pPr>
        <w:pStyle w:val="10"/>
        <w:spacing w:line="321" w:lineRule="auto"/>
      </w:pPr>
    </w:p>
    <w:p w14:paraId="777987D7">
      <w:pPr>
        <w:pStyle w:val="10"/>
        <w:spacing w:line="322" w:lineRule="auto"/>
      </w:pPr>
    </w:p>
    <w:p w14:paraId="7EECEE61">
      <w:pPr>
        <w:spacing w:before="194" w:line="219" w:lineRule="auto"/>
        <w:ind w:left="1002"/>
        <w:rPr>
          <w:rFonts w:ascii="宋体" w:hAnsi="宋体" w:eastAsia="宋体" w:cs="宋体"/>
          <w:spacing w:val="-1"/>
          <w:sz w:val="24"/>
          <w:szCs w:val="24"/>
        </w:rPr>
      </w:pPr>
      <w:r>
        <w:rPr>
          <w:rFonts w:ascii="宋体" w:hAnsi="宋体" w:eastAsia="宋体" w:cs="宋体"/>
          <w:spacing w:val="-1"/>
          <w:sz w:val="24"/>
          <w:szCs w:val="24"/>
        </w:rPr>
        <w:t xml:space="preserve">委托人：（盖章）                                 监理人：（盖章）                                    </w:t>
      </w:r>
    </w:p>
    <w:p w14:paraId="6A56533A">
      <w:pPr>
        <w:spacing w:before="194" w:line="219" w:lineRule="auto"/>
        <w:ind w:left="1002"/>
        <w:rPr>
          <w:rFonts w:ascii="宋体" w:hAnsi="宋体" w:eastAsia="宋体" w:cs="宋体"/>
          <w:spacing w:val="-1"/>
          <w:sz w:val="24"/>
          <w:szCs w:val="24"/>
        </w:rPr>
      </w:pPr>
      <w:r>
        <w:rPr>
          <w:rFonts w:ascii="宋体" w:hAnsi="宋体" w:eastAsia="宋体" w:cs="宋体"/>
          <w:spacing w:val="-1"/>
          <w:sz w:val="24"/>
          <w:szCs w:val="24"/>
        </w:rPr>
        <w:t>法定代表人：（签名）                             法定代表人：（签名）</w:t>
      </w:r>
    </w:p>
    <w:p w14:paraId="15CDE5CC">
      <w:pPr>
        <w:spacing w:before="194" w:line="219" w:lineRule="auto"/>
        <w:ind w:left="1002"/>
        <w:rPr>
          <w:rFonts w:ascii="宋体" w:hAnsi="宋体" w:eastAsia="宋体" w:cs="宋体"/>
          <w:spacing w:val="-1"/>
          <w:sz w:val="24"/>
          <w:szCs w:val="24"/>
        </w:rPr>
      </w:pPr>
      <w:r>
        <w:rPr>
          <w:rFonts w:ascii="宋体" w:hAnsi="宋体" w:eastAsia="宋体" w:cs="宋体"/>
          <w:spacing w:val="-1"/>
          <w:sz w:val="24"/>
          <w:szCs w:val="24"/>
        </w:rPr>
        <w:t>或授权代表人：（签名）                           或授权代表人：（签名）</w:t>
      </w:r>
    </w:p>
    <w:p w14:paraId="151C0B17">
      <w:pPr>
        <w:spacing w:before="194" w:line="219" w:lineRule="auto"/>
        <w:ind w:left="1002"/>
        <w:rPr>
          <w:rFonts w:ascii="宋体" w:hAnsi="宋体" w:eastAsia="宋体" w:cs="宋体"/>
          <w:spacing w:val="-1"/>
          <w:sz w:val="24"/>
          <w:szCs w:val="24"/>
        </w:rPr>
      </w:pPr>
      <w:r>
        <w:rPr>
          <w:rFonts w:ascii="宋体" w:hAnsi="宋体" w:eastAsia="宋体" w:cs="宋体"/>
          <w:spacing w:val="-1"/>
          <w:sz w:val="24"/>
          <w:szCs w:val="24"/>
        </w:rPr>
        <w:t>单位地址：                                       单位地址：</w:t>
      </w:r>
    </w:p>
    <w:p w14:paraId="4A39235F">
      <w:pPr>
        <w:spacing w:before="194" w:line="219" w:lineRule="auto"/>
        <w:ind w:left="1002"/>
        <w:rPr>
          <w:rFonts w:ascii="宋体" w:hAnsi="宋体" w:eastAsia="宋体" w:cs="宋体"/>
          <w:spacing w:val="-1"/>
          <w:sz w:val="24"/>
          <w:szCs w:val="24"/>
        </w:rPr>
      </w:pPr>
      <w:r>
        <w:rPr>
          <w:rFonts w:ascii="宋体" w:hAnsi="宋体" w:eastAsia="宋体" w:cs="宋体"/>
          <w:spacing w:val="-1"/>
          <w:sz w:val="24"/>
          <w:szCs w:val="24"/>
        </w:rPr>
        <w:t>邮政编码：                                       邮政编码：</w:t>
      </w:r>
    </w:p>
    <w:p w14:paraId="048DE203">
      <w:pPr>
        <w:spacing w:before="194" w:line="219" w:lineRule="auto"/>
        <w:ind w:left="1002"/>
        <w:rPr>
          <w:rFonts w:ascii="宋体" w:hAnsi="宋体" w:eastAsia="宋体" w:cs="宋体"/>
          <w:spacing w:val="-1"/>
          <w:sz w:val="24"/>
          <w:szCs w:val="24"/>
        </w:rPr>
      </w:pPr>
      <w:r>
        <w:rPr>
          <w:rFonts w:ascii="宋体" w:hAnsi="宋体" w:eastAsia="宋体" w:cs="宋体"/>
          <w:spacing w:val="-1"/>
          <w:sz w:val="24"/>
          <w:szCs w:val="24"/>
        </w:rPr>
        <w:t>电    话 ：                                      电    话：</w:t>
      </w:r>
    </w:p>
    <w:p w14:paraId="0FB4E73E">
      <w:pPr>
        <w:spacing w:before="194" w:line="219" w:lineRule="auto"/>
        <w:ind w:left="1002"/>
        <w:rPr>
          <w:rFonts w:ascii="宋体" w:hAnsi="宋体" w:eastAsia="宋体" w:cs="宋体"/>
          <w:spacing w:val="-1"/>
          <w:sz w:val="24"/>
          <w:szCs w:val="24"/>
        </w:rPr>
      </w:pPr>
      <w:r>
        <w:rPr>
          <w:rFonts w:ascii="宋体" w:hAnsi="宋体" w:eastAsia="宋体" w:cs="宋体"/>
          <w:spacing w:val="-1"/>
          <w:sz w:val="24"/>
          <w:szCs w:val="24"/>
        </w:rPr>
        <w:t>电子信箱：                                       电子信箱：</w:t>
      </w:r>
    </w:p>
    <w:p w14:paraId="7B0A8A40">
      <w:pPr>
        <w:spacing w:before="194" w:line="219" w:lineRule="auto"/>
        <w:ind w:left="1002"/>
        <w:rPr>
          <w:rFonts w:ascii="宋体" w:hAnsi="宋体" w:eastAsia="宋体" w:cs="宋体"/>
          <w:spacing w:val="-1"/>
          <w:sz w:val="24"/>
          <w:szCs w:val="24"/>
        </w:rPr>
      </w:pPr>
      <w:r>
        <w:rPr>
          <w:rFonts w:ascii="宋体" w:hAnsi="宋体" w:eastAsia="宋体" w:cs="宋体"/>
          <w:spacing w:val="-1"/>
          <w:sz w:val="24"/>
          <w:szCs w:val="24"/>
        </w:rPr>
        <w:t>传    真 ：                                      传    真：</w:t>
      </w:r>
    </w:p>
    <w:p w14:paraId="53AFDDAA">
      <w:pPr>
        <w:spacing w:before="194" w:line="219" w:lineRule="auto"/>
        <w:ind w:left="1002"/>
        <w:rPr>
          <w:rFonts w:ascii="宋体" w:hAnsi="宋体" w:eastAsia="宋体" w:cs="宋体"/>
          <w:spacing w:val="-1"/>
          <w:sz w:val="24"/>
          <w:szCs w:val="24"/>
        </w:rPr>
      </w:pPr>
      <w:r>
        <w:rPr>
          <w:rFonts w:ascii="宋体" w:hAnsi="宋体" w:eastAsia="宋体" w:cs="宋体"/>
          <w:spacing w:val="-1"/>
          <w:sz w:val="24"/>
          <w:szCs w:val="24"/>
        </w:rPr>
        <w:t>开户银行：                                       开户银行：</w:t>
      </w:r>
    </w:p>
    <w:p w14:paraId="20D358C8">
      <w:pPr>
        <w:spacing w:before="194" w:line="219" w:lineRule="auto"/>
        <w:ind w:left="1002"/>
        <w:rPr>
          <w:rFonts w:ascii="宋体" w:hAnsi="宋体" w:eastAsia="宋体" w:cs="宋体"/>
          <w:spacing w:val="-1"/>
          <w:sz w:val="24"/>
          <w:szCs w:val="24"/>
        </w:rPr>
      </w:pPr>
      <w:r>
        <w:rPr>
          <w:rFonts w:ascii="宋体" w:hAnsi="宋体" w:eastAsia="宋体" w:cs="宋体"/>
          <w:spacing w:val="-1"/>
          <w:sz w:val="24"/>
          <w:szCs w:val="24"/>
        </w:rPr>
        <w:t>帐    号 ：                                      帐    号：</w:t>
      </w:r>
    </w:p>
    <w:p w14:paraId="603E319E">
      <w:pPr>
        <w:spacing w:before="194" w:line="219" w:lineRule="auto"/>
        <w:ind w:left="1002"/>
        <w:rPr>
          <w:rFonts w:ascii="宋体" w:hAnsi="宋体" w:eastAsia="宋体" w:cs="宋体"/>
          <w:spacing w:val="-1"/>
          <w:sz w:val="24"/>
          <w:szCs w:val="24"/>
        </w:rPr>
      </w:pPr>
      <w:r>
        <w:rPr>
          <w:rFonts w:ascii="宋体" w:hAnsi="宋体" w:eastAsia="宋体" w:cs="宋体"/>
          <w:spacing w:val="-1"/>
          <w:sz w:val="24"/>
          <w:szCs w:val="24"/>
        </w:rPr>
        <w:t>签订地点：</w:t>
      </w:r>
    </w:p>
    <w:p w14:paraId="4A437E75">
      <w:pPr>
        <w:spacing w:before="194" w:line="219" w:lineRule="auto"/>
        <w:ind w:left="1002"/>
        <w:rPr>
          <w:rFonts w:ascii="宋体" w:hAnsi="宋体" w:eastAsia="宋体" w:cs="宋体"/>
          <w:spacing w:val="-1"/>
          <w:sz w:val="24"/>
          <w:szCs w:val="24"/>
        </w:rPr>
      </w:pPr>
      <w:r>
        <w:rPr>
          <w:rFonts w:ascii="宋体" w:hAnsi="宋体" w:eastAsia="宋体" w:cs="宋体"/>
          <w:spacing w:val="-1"/>
          <w:sz w:val="24"/>
          <w:szCs w:val="24"/>
        </w:rPr>
        <w:t>签订时间：       年      月      日</w:t>
      </w:r>
    </w:p>
    <w:p w14:paraId="74E4FD8B">
      <w:pPr>
        <w:spacing w:line="228" w:lineRule="auto"/>
        <w:rPr>
          <w:rFonts w:ascii="宋体" w:hAnsi="宋体" w:eastAsia="宋体" w:cs="宋体"/>
          <w:sz w:val="19"/>
          <w:szCs w:val="19"/>
        </w:rPr>
        <w:sectPr>
          <w:footerReference r:id="rId10" w:type="default"/>
          <w:pgSz w:w="12240" w:h="15840"/>
          <w:pgMar w:top="1266" w:right="1281" w:bottom="1072" w:left="572" w:header="0" w:footer="910" w:gutter="0"/>
          <w:cols w:space="720" w:num="1"/>
        </w:sectPr>
      </w:pPr>
    </w:p>
    <w:p w14:paraId="52327ADF">
      <w:pPr>
        <w:spacing w:before="40" w:line="335" w:lineRule="auto"/>
        <w:ind w:left="4136" w:right="3758" w:hanging="301"/>
        <w:rPr>
          <w:rFonts w:ascii="宋体" w:hAnsi="宋体" w:eastAsia="宋体" w:cs="宋体"/>
          <w:sz w:val="19"/>
          <w:szCs w:val="19"/>
        </w:rPr>
      </w:pPr>
      <w:r>
        <w:rPr>
          <w:rFonts w:ascii="宋体" w:hAnsi="宋体" w:eastAsia="宋体" w:cs="宋体"/>
          <w:b/>
          <w:bCs/>
          <w:spacing w:val="7"/>
          <w:sz w:val="19"/>
          <w:szCs w:val="19"/>
        </w:rPr>
        <w:t>第一部分</w:t>
      </w:r>
      <w:r>
        <w:rPr>
          <w:rFonts w:ascii="宋体" w:hAnsi="宋体" w:eastAsia="宋体" w:cs="宋体"/>
          <w:spacing w:val="7"/>
          <w:sz w:val="19"/>
          <w:szCs w:val="19"/>
        </w:rPr>
        <w:t xml:space="preserve">    </w:t>
      </w:r>
      <w:r>
        <w:rPr>
          <w:rFonts w:ascii="宋体" w:hAnsi="宋体" w:eastAsia="宋体" w:cs="宋体"/>
          <w:b/>
          <w:bCs/>
          <w:spacing w:val="7"/>
          <w:sz w:val="19"/>
          <w:szCs w:val="19"/>
        </w:rPr>
        <w:t>通用合同条款</w:t>
      </w:r>
      <w:r>
        <w:rPr>
          <w:rFonts w:ascii="宋体" w:hAnsi="宋体" w:eastAsia="宋体" w:cs="宋体"/>
          <w:sz w:val="19"/>
          <w:szCs w:val="19"/>
        </w:rPr>
        <w:t xml:space="preserve"> </w:t>
      </w:r>
      <w:r>
        <w:rPr>
          <w:rFonts w:ascii="宋体" w:hAnsi="宋体" w:eastAsia="宋体" w:cs="宋体"/>
          <w:b/>
          <w:bCs/>
          <w:spacing w:val="7"/>
          <w:sz w:val="19"/>
          <w:szCs w:val="19"/>
        </w:rPr>
        <w:t>词语涵义及适用语言</w:t>
      </w:r>
    </w:p>
    <w:p w14:paraId="6CBFEEC4">
      <w:pPr>
        <w:pStyle w:val="10"/>
        <w:spacing w:line="326" w:lineRule="auto"/>
      </w:pPr>
    </w:p>
    <w:p w14:paraId="47C96C62">
      <w:pPr>
        <w:spacing w:before="61" w:line="227" w:lineRule="auto"/>
        <w:ind w:left="391"/>
        <w:rPr>
          <w:rFonts w:ascii="宋体" w:hAnsi="宋体" w:eastAsia="宋体" w:cs="宋体"/>
          <w:sz w:val="19"/>
          <w:szCs w:val="19"/>
        </w:rPr>
      </w:pPr>
      <w:r>
        <w:rPr>
          <w:rFonts w:ascii="宋体" w:hAnsi="宋体" w:eastAsia="宋体" w:cs="宋体"/>
          <w:b/>
          <w:bCs/>
          <w:spacing w:val="9"/>
          <w:sz w:val="19"/>
          <w:szCs w:val="19"/>
        </w:rPr>
        <w:t>第一条</w:t>
      </w:r>
      <w:r>
        <w:rPr>
          <w:rFonts w:ascii="宋体" w:hAnsi="宋体" w:eastAsia="宋体" w:cs="宋体"/>
          <w:spacing w:val="9"/>
          <w:sz w:val="19"/>
          <w:szCs w:val="19"/>
        </w:rPr>
        <w:t xml:space="preserve">  下列名词和用语，除上下文另有约定外，具有本条所赋予的涵义：</w:t>
      </w:r>
    </w:p>
    <w:p w14:paraId="470C03EC">
      <w:pPr>
        <w:spacing w:before="126" w:line="228" w:lineRule="auto"/>
        <w:ind w:left="404"/>
        <w:rPr>
          <w:rFonts w:ascii="宋体" w:hAnsi="宋体" w:eastAsia="宋体" w:cs="宋体"/>
          <w:sz w:val="19"/>
          <w:szCs w:val="19"/>
        </w:rPr>
      </w:pPr>
      <w:r>
        <w:rPr>
          <w:rFonts w:ascii="宋体" w:hAnsi="宋体" w:eastAsia="宋体" w:cs="宋体"/>
          <w:spacing w:val="9"/>
          <w:sz w:val="19"/>
          <w:szCs w:val="19"/>
        </w:rPr>
        <w:t>一、“委托人</w:t>
      </w:r>
      <w:r>
        <w:rPr>
          <w:rFonts w:ascii="宋体" w:hAnsi="宋体" w:eastAsia="宋体" w:cs="宋体"/>
          <w:spacing w:val="-69"/>
          <w:sz w:val="19"/>
          <w:szCs w:val="19"/>
        </w:rPr>
        <w:t xml:space="preserve"> </w:t>
      </w:r>
      <w:r>
        <w:rPr>
          <w:rFonts w:ascii="宋体" w:hAnsi="宋体" w:eastAsia="宋体" w:cs="宋体"/>
          <w:spacing w:val="9"/>
          <w:sz w:val="19"/>
          <w:szCs w:val="19"/>
        </w:rPr>
        <w:t>”指承担工程建设项目直接建设管理责任，委托监理业务的法</w:t>
      </w:r>
      <w:r>
        <w:rPr>
          <w:rFonts w:ascii="宋体" w:hAnsi="宋体" w:eastAsia="宋体" w:cs="宋体"/>
          <w:spacing w:val="8"/>
          <w:sz w:val="19"/>
          <w:szCs w:val="19"/>
        </w:rPr>
        <w:t>人或其合法继承人。</w:t>
      </w:r>
    </w:p>
    <w:p w14:paraId="3A97262D">
      <w:pPr>
        <w:spacing w:before="125" w:line="227" w:lineRule="auto"/>
        <w:ind w:left="404"/>
        <w:rPr>
          <w:rFonts w:ascii="宋体" w:hAnsi="宋体" w:eastAsia="宋体" w:cs="宋体"/>
          <w:sz w:val="19"/>
          <w:szCs w:val="19"/>
        </w:rPr>
      </w:pPr>
      <w:r>
        <w:rPr>
          <w:rFonts w:ascii="宋体" w:hAnsi="宋体" w:eastAsia="宋体" w:cs="宋体"/>
          <w:spacing w:val="8"/>
          <w:sz w:val="19"/>
          <w:szCs w:val="19"/>
        </w:rPr>
        <w:t>二、“监理人</w:t>
      </w:r>
      <w:r>
        <w:rPr>
          <w:rFonts w:ascii="宋体" w:hAnsi="宋体" w:eastAsia="宋体" w:cs="宋体"/>
          <w:spacing w:val="-55"/>
          <w:sz w:val="19"/>
          <w:szCs w:val="19"/>
        </w:rPr>
        <w:t xml:space="preserve"> </w:t>
      </w:r>
      <w:r>
        <w:rPr>
          <w:rFonts w:ascii="宋体" w:hAnsi="宋体" w:eastAsia="宋体" w:cs="宋体"/>
          <w:spacing w:val="8"/>
          <w:sz w:val="19"/>
          <w:szCs w:val="19"/>
        </w:rPr>
        <w:t>”指受委托人委托，提供监理服务的法人或其合法继承人。</w:t>
      </w:r>
    </w:p>
    <w:p w14:paraId="009EF893">
      <w:pPr>
        <w:spacing w:before="126" w:line="228" w:lineRule="auto"/>
        <w:ind w:left="401"/>
        <w:rPr>
          <w:rFonts w:ascii="宋体" w:hAnsi="宋体" w:eastAsia="宋体" w:cs="宋体"/>
          <w:sz w:val="19"/>
          <w:szCs w:val="19"/>
        </w:rPr>
      </w:pPr>
      <w:r>
        <w:rPr>
          <w:rFonts w:ascii="宋体" w:hAnsi="宋体" w:eastAsia="宋体" w:cs="宋体"/>
          <w:spacing w:val="9"/>
          <w:sz w:val="19"/>
          <w:szCs w:val="19"/>
        </w:rPr>
        <w:t>三、“承包人</w:t>
      </w:r>
      <w:r>
        <w:rPr>
          <w:rFonts w:ascii="宋体" w:hAnsi="宋体" w:eastAsia="宋体" w:cs="宋体"/>
          <w:spacing w:val="-68"/>
          <w:sz w:val="19"/>
          <w:szCs w:val="19"/>
        </w:rPr>
        <w:t xml:space="preserve"> </w:t>
      </w:r>
      <w:r>
        <w:rPr>
          <w:rFonts w:ascii="宋体" w:hAnsi="宋体" w:eastAsia="宋体" w:cs="宋体"/>
          <w:spacing w:val="9"/>
          <w:sz w:val="19"/>
          <w:szCs w:val="19"/>
        </w:rPr>
        <w:t>”指与委托人(发包人)签订了施工合同，承担</w:t>
      </w:r>
      <w:r>
        <w:rPr>
          <w:rFonts w:ascii="宋体" w:hAnsi="宋体" w:eastAsia="宋体" w:cs="宋体"/>
          <w:spacing w:val="8"/>
          <w:sz w:val="19"/>
          <w:szCs w:val="19"/>
        </w:rPr>
        <w:t>工程施工的法人或其合法继承人。</w:t>
      </w:r>
    </w:p>
    <w:p w14:paraId="31134ECF">
      <w:pPr>
        <w:spacing w:before="126" w:line="289" w:lineRule="auto"/>
        <w:ind w:right="2" w:firstLine="420"/>
        <w:rPr>
          <w:rFonts w:ascii="宋体" w:hAnsi="宋体" w:eastAsia="宋体" w:cs="宋体"/>
          <w:sz w:val="19"/>
          <w:szCs w:val="19"/>
        </w:rPr>
      </w:pPr>
      <w:r>
        <w:rPr>
          <w:rFonts w:ascii="宋体" w:hAnsi="宋体" w:eastAsia="宋体" w:cs="宋体"/>
          <w:spacing w:val="8"/>
          <w:sz w:val="19"/>
          <w:szCs w:val="19"/>
        </w:rPr>
        <w:t>四、“监理机构</w:t>
      </w:r>
      <w:r>
        <w:rPr>
          <w:rFonts w:ascii="宋体" w:hAnsi="宋体" w:eastAsia="宋体" w:cs="宋体"/>
          <w:spacing w:val="-69"/>
          <w:sz w:val="19"/>
          <w:szCs w:val="19"/>
        </w:rPr>
        <w:t xml:space="preserve"> </w:t>
      </w:r>
      <w:r>
        <w:rPr>
          <w:rFonts w:ascii="宋体" w:hAnsi="宋体" w:eastAsia="宋体" w:cs="宋体"/>
          <w:spacing w:val="8"/>
          <w:sz w:val="19"/>
          <w:szCs w:val="19"/>
        </w:rPr>
        <w:t>”指监理人派驻工程现场直接开展监理业务的组织，</w:t>
      </w:r>
      <w:r>
        <w:rPr>
          <w:rFonts w:ascii="宋体" w:hAnsi="宋体" w:eastAsia="宋体" w:cs="宋体"/>
          <w:spacing w:val="-56"/>
          <w:sz w:val="19"/>
          <w:szCs w:val="19"/>
        </w:rPr>
        <w:t xml:space="preserve"> </w:t>
      </w:r>
      <w:r>
        <w:rPr>
          <w:rFonts w:ascii="宋体" w:hAnsi="宋体" w:eastAsia="宋体" w:cs="宋体"/>
          <w:spacing w:val="8"/>
          <w:sz w:val="19"/>
          <w:szCs w:val="19"/>
        </w:rPr>
        <w:t>由总监理工程师、监理工程师和监理员以</w:t>
      </w:r>
      <w:r>
        <w:rPr>
          <w:rFonts w:ascii="宋体" w:hAnsi="宋体" w:eastAsia="宋体" w:cs="宋体"/>
          <w:sz w:val="19"/>
          <w:szCs w:val="19"/>
        </w:rPr>
        <w:t xml:space="preserve"> </w:t>
      </w:r>
      <w:r>
        <w:rPr>
          <w:rFonts w:ascii="宋体" w:hAnsi="宋体" w:eastAsia="宋体" w:cs="宋体"/>
          <w:spacing w:val="7"/>
          <w:sz w:val="19"/>
          <w:szCs w:val="19"/>
        </w:rPr>
        <w:t>及其他人员组成。</w:t>
      </w:r>
    </w:p>
    <w:p w14:paraId="10C5F6D7">
      <w:pPr>
        <w:spacing w:before="124" w:line="229" w:lineRule="auto"/>
        <w:ind w:left="404"/>
        <w:rPr>
          <w:rFonts w:ascii="宋体" w:hAnsi="宋体" w:eastAsia="宋体" w:cs="宋体"/>
          <w:sz w:val="19"/>
          <w:szCs w:val="19"/>
        </w:rPr>
      </w:pPr>
      <w:r>
        <w:rPr>
          <w:rFonts w:ascii="宋体" w:hAnsi="宋体" w:eastAsia="宋体" w:cs="宋体"/>
          <w:spacing w:val="8"/>
          <w:sz w:val="19"/>
          <w:szCs w:val="19"/>
        </w:rPr>
        <w:t>五、“监理项目</w:t>
      </w:r>
      <w:r>
        <w:rPr>
          <w:rFonts w:ascii="宋体" w:hAnsi="宋体" w:eastAsia="宋体" w:cs="宋体"/>
          <w:spacing w:val="-57"/>
          <w:sz w:val="19"/>
          <w:szCs w:val="19"/>
        </w:rPr>
        <w:t xml:space="preserve"> </w:t>
      </w:r>
      <w:r>
        <w:rPr>
          <w:rFonts w:ascii="宋体" w:hAnsi="宋体" w:eastAsia="宋体" w:cs="宋体"/>
          <w:spacing w:val="8"/>
          <w:sz w:val="19"/>
          <w:szCs w:val="19"/>
        </w:rPr>
        <w:t>”是指委托人委托监理人实施建设监理的工程建设项目。</w:t>
      </w:r>
    </w:p>
    <w:p w14:paraId="52B09AA9">
      <w:pPr>
        <w:spacing w:before="125" w:line="227" w:lineRule="auto"/>
        <w:ind w:left="403"/>
        <w:rPr>
          <w:rFonts w:ascii="宋体" w:hAnsi="宋体" w:eastAsia="宋体" w:cs="宋体"/>
          <w:sz w:val="19"/>
          <w:szCs w:val="19"/>
        </w:rPr>
      </w:pPr>
      <w:r>
        <w:rPr>
          <w:rFonts w:ascii="宋体" w:hAnsi="宋体" w:eastAsia="宋体" w:cs="宋体"/>
          <w:spacing w:val="9"/>
          <w:sz w:val="19"/>
          <w:szCs w:val="19"/>
        </w:rPr>
        <w:t>六、“服务</w:t>
      </w:r>
      <w:r>
        <w:rPr>
          <w:rFonts w:ascii="宋体" w:hAnsi="宋体" w:eastAsia="宋体" w:cs="宋体"/>
          <w:spacing w:val="-68"/>
          <w:sz w:val="19"/>
          <w:szCs w:val="19"/>
        </w:rPr>
        <w:t xml:space="preserve"> </w:t>
      </w:r>
      <w:r>
        <w:rPr>
          <w:rFonts w:ascii="宋体" w:hAnsi="宋体" w:eastAsia="宋体" w:cs="宋体"/>
          <w:spacing w:val="9"/>
          <w:sz w:val="19"/>
          <w:szCs w:val="19"/>
        </w:rPr>
        <w:t>”是指监理人根据监理合同约定所承担的各项工作，包括正常</w:t>
      </w:r>
      <w:r>
        <w:rPr>
          <w:rFonts w:ascii="宋体" w:hAnsi="宋体" w:eastAsia="宋体" w:cs="宋体"/>
          <w:spacing w:val="8"/>
          <w:sz w:val="19"/>
          <w:szCs w:val="19"/>
        </w:rPr>
        <w:t>服务和附加服务。</w:t>
      </w:r>
    </w:p>
    <w:p w14:paraId="7E87F4DC">
      <w:pPr>
        <w:spacing w:before="126" w:line="227" w:lineRule="auto"/>
        <w:ind w:left="400"/>
        <w:rPr>
          <w:rFonts w:ascii="宋体" w:hAnsi="宋体" w:eastAsia="宋体" w:cs="宋体"/>
          <w:sz w:val="19"/>
          <w:szCs w:val="19"/>
        </w:rPr>
      </w:pPr>
      <w:r>
        <w:rPr>
          <w:rFonts w:ascii="宋体" w:hAnsi="宋体" w:eastAsia="宋体" w:cs="宋体"/>
          <w:spacing w:val="9"/>
          <w:sz w:val="19"/>
          <w:szCs w:val="19"/>
        </w:rPr>
        <w:t>七、“正常服务</w:t>
      </w:r>
      <w:r>
        <w:rPr>
          <w:rFonts w:ascii="宋体" w:hAnsi="宋体" w:eastAsia="宋体" w:cs="宋体"/>
          <w:spacing w:val="-69"/>
          <w:sz w:val="19"/>
          <w:szCs w:val="19"/>
        </w:rPr>
        <w:t xml:space="preserve"> </w:t>
      </w:r>
      <w:r>
        <w:rPr>
          <w:rFonts w:ascii="宋体" w:hAnsi="宋体" w:eastAsia="宋体" w:cs="宋体"/>
          <w:spacing w:val="9"/>
          <w:sz w:val="19"/>
          <w:szCs w:val="19"/>
        </w:rPr>
        <w:t>”指监理人按照合同约定的监理范围、内</w:t>
      </w:r>
      <w:r>
        <w:rPr>
          <w:rFonts w:ascii="宋体" w:hAnsi="宋体" w:eastAsia="宋体" w:cs="宋体"/>
          <w:spacing w:val="8"/>
          <w:sz w:val="19"/>
          <w:szCs w:val="19"/>
        </w:rPr>
        <w:t>容和期限所提供的服务。</w:t>
      </w:r>
    </w:p>
    <w:p w14:paraId="2110E1C1">
      <w:pPr>
        <w:spacing w:before="127" w:line="227" w:lineRule="auto"/>
        <w:ind w:left="404"/>
        <w:rPr>
          <w:rFonts w:ascii="宋体" w:hAnsi="宋体" w:eastAsia="宋体" w:cs="宋体"/>
          <w:sz w:val="19"/>
          <w:szCs w:val="19"/>
        </w:rPr>
      </w:pPr>
      <w:r>
        <w:rPr>
          <w:rFonts w:ascii="宋体" w:hAnsi="宋体" w:eastAsia="宋体" w:cs="宋体"/>
          <w:spacing w:val="7"/>
          <w:sz w:val="19"/>
          <w:szCs w:val="19"/>
        </w:rPr>
        <w:t>八、“</w:t>
      </w:r>
      <w:r>
        <w:rPr>
          <w:rFonts w:ascii="宋体" w:hAnsi="宋体" w:eastAsia="宋体" w:cs="宋体"/>
          <w:spacing w:val="-63"/>
          <w:sz w:val="19"/>
          <w:szCs w:val="19"/>
        </w:rPr>
        <w:t xml:space="preserve"> </w:t>
      </w:r>
      <w:r>
        <w:rPr>
          <w:rFonts w:ascii="宋体" w:hAnsi="宋体" w:eastAsia="宋体" w:cs="宋体"/>
          <w:spacing w:val="7"/>
          <w:sz w:val="19"/>
          <w:szCs w:val="19"/>
        </w:rPr>
        <w:t>附加服务</w:t>
      </w:r>
      <w:r>
        <w:rPr>
          <w:rFonts w:ascii="宋体" w:hAnsi="宋体" w:eastAsia="宋体" w:cs="宋体"/>
          <w:spacing w:val="-68"/>
          <w:sz w:val="19"/>
          <w:szCs w:val="19"/>
        </w:rPr>
        <w:t xml:space="preserve"> </w:t>
      </w:r>
      <w:r>
        <w:rPr>
          <w:rFonts w:ascii="宋体" w:hAnsi="宋体" w:eastAsia="宋体" w:cs="宋体"/>
          <w:spacing w:val="7"/>
          <w:sz w:val="19"/>
          <w:szCs w:val="19"/>
        </w:rPr>
        <w:t>”指监理人为委托人提供正常服务以外的服务。</w:t>
      </w:r>
    </w:p>
    <w:p w14:paraId="47DAA77C">
      <w:pPr>
        <w:spacing w:before="126" w:line="292" w:lineRule="auto"/>
        <w:ind w:left="2" w:right="201" w:firstLine="403"/>
        <w:rPr>
          <w:rFonts w:ascii="宋体" w:hAnsi="宋体" w:eastAsia="宋体" w:cs="宋体"/>
          <w:sz w:val="19"/>
          <w:szCs w:val="19"/>
        </w:rPr>
      </w:pPr>
      <w:r>
        <w:rPr>
          <w:rFonts w:ascii="宋体" w:hAnsi="宋体" w:eastAsia="宋体" w:cs="宋体"/>
          <w:spacing w:val="8"/>
          <w:sz w:val="19"/>
          <w:szCs w:val="19"/>
        </w:rPr>
        <w:t>九、“服务酬金</w:t>
      </w:r>
      <w:r>
        <w:rPr>
          <w:rFonts w:ascii="宋体" w:hAnsi="宋体" w:eastAsia="宋体" w:cs="宋体"/>
          <w:spacing w:val="-68"/>
          <w:sz w:val="19"/>
          <w:szCs w:val="19"/>
        </w:rPr>
        <w:t xml:space="preserve"> </w:t>
      </w:r>
      <w:r>
        <w:rPr>
          <w:rFonts w:ascii="宋体" w:hAnsi="宋体" w:eastAsia="宋体" w:cs="宋体"/>
          <w:spacing w:val="8"/>
          <w:sz w:val="19"/>
          <w:szCs w:val="19"/>
        </w:rPr>
        <w:t>”指本合同中监理人完成“</w:t>
      </w:r>
      <w:r>
        <w:rPr>
          <w:rFonts w:ascii="宋体" w:hAnsi="宋体" w:eastAsia="宋体" w:cs="宋体"/>
          <w:spacing w:val="7"/>
          <w:sz w:val="19"/>
          <w:szCs w:val="19"/>
        </w:rPr>
        <w:t>正常服务</w:t>
      </w:r>
      <w:r>
        <w:rPr>
          <w:rFonts w:ascii="宋体" w:hAnsi="宋体" w:eastAsia="宋体" w:cs="宋体"/>
          <w:spacing w:val="-69"/>
          <w:sz w:val="19"/>
          <w:szCs w:val="19"/>
        </w:rPr>
        <w:t xml:space="preserve"> </w:t>
      </w:r>
      <w:r>
        <w:rPr>
          <w:rFonts w:ascii="宋体" w:hAnsi="宋体" w:eastAsia="宋体" w:cs="宋体"/>
          <w:spacing w:val="7"/>
          <w:sz w:val="19"/>
          <w:szCs w:val="19"/>
        </w:rPr>
        <w:t>”、“</w:t>
      </w:r>
      <w:r>
        <w:rPr>
          <w:rFonts w:ascii="宋体" w:hAnsi="宋体" w:eastAsia="宋体" w:cs="宋体"/>
          <w:spacing w:val="-71"/>
          <w:sz w:val="19"/>
          <w:szCs w:val="19"/>
        </w:rPr>
        <w:t xml:space="preserve"> </w:t>
      </w:r>
      <w:r>
        <w:rPr>
          <w:rFonts w:ascii="宋体" w:hAnsi="宋体" w:eastAsia="宋体" w:cs="宋体"/>
          <w:spacing w:val="7"/>
          <w:sz w:val="19"/>
          <w:szCs w:val="19"/>
        </w:rPr>
        <w:t>附加服务</w:t>
      </w:r>
      <w:r>
        <w:rPr>
          <w:rFonts w:ascii="宋体" w:hAnsi="宋体" w:eastAsia="宋体" w:cs="宋体"/>
          <w:spacing w:val="-66"/>
          <w:sz w:val="19"/>
          <w:szCs w:val="19"/>
        </w:rPr>
        <w:t xml:space="preserve"> </w:t>
      </w:r>
      <w:r>
        <w:rPr>
          <w:rFonts w:ascii="宋体" w:hAnsi="宋体" w:eastAsia="宋体" w:cs="宋体"/>
          <w:spacing w:val="7"/>
          <w:sz w:val="19"/>
          <w:szCs w:val="19"/>
        </w:rPr>
        <w:t>”应得到的正常服务酬金和附加服务酬</w:t>
      </w:r>
      <w:r>
        <w:rPr>
          <w:rFonts w:ascii="宋体" w:hAnsi="宋体" w:eastAsia="宋体" w:cs="宋体"/>
          <w:sz w:val="19"/>
          <w:szCs w:val="19"/>
        </w:rPr>
        <w:t xml:space="preserve"> </w:t>
      </w:r>
      <w:r>
        <w:rPr>
          <w:rFonts w:ascii="宋体" w:hAnsi="宋体" w:eastAsia="宋体" w:cs="宋体"/>
          <w:spacing w:val="-1"/>
          <w:sz w:val="19"/>
          <w:szCs w:val="19"/>
        </w:rPr>
        <w:t>金。</w:t>
      </w:r>
    </w:p>
    <w:p w14:paraId="5A27A7B9">
      <w:pPr>
        <w:spacing w:before="119" w:line="229" w:lineRule="auto"/>
        <w:ind w:left="402"/>
        <w:rPr>
          <w:rFonts w:ascii="宋体" w:hAnsi="宋体" w:eastAsia="宋体" w:cs="宋体"/>
          <w:sz w:val="19"/>
          <w:szCs w:val="19"/>
        </w:rPr>
      </w:pPr>
      <w:r>
        <w:rPr>
          <w:rFonts w:ascii="宋体" w:hAnsi="宋体" w:eastAsia="宋体" w:cs="宋体"/>
          <w:spacing w:val="5"/>
          <w:sz w:val="19"/>
          <w:szCs w:val="19"/>
        </w:rPr>
        <w:t>十、“天</w:t>
      </w:r>
      <w:r>
        <w:rPr>
          <w:rFonts w:ascii="宋体" w:hAnsi="宋体" w:eastAsia="宋体" w:cs="宋体"/>
          <w:spacing w:val="-68"/>
          <w:sz w:val="19"/>
          <w:szCs w:val="19"/>
        </w:rPr>
        <w:t xml:space="preserve"> </w:t>
      </w:r>
      <w:r>
        <w:rPr>
          <w:rFonts w:ascii="宋体" w:hAnsi="宋体" w:eastAsia="宋体" w:cs="宋体"/>
          <w:spacing w:val="5"/>
          <w:sz w:val="19"/>
          <w:szCs w:val="19"/>
        </w:rPr>
        <w:t>”指日历天。</w:t>
      </w:r>
    </w:p>
    <w:p w14:paraId="63A6BC43">
      <w:pPr>
        <w:spacing w:before="124" w:line="229" w:lineRule="auto"/>
        <w:ind w:left="402"/>
        <w:rPr>
          <w:rFonts w:ascii="宋体" w:hAnsi="宋体" w:eastAsia="宋体" w:cs="宋体"/>
          <w:sz w:val="19"/>
          <w:szCs w:val="19"/>
        </w:rPr>
      </w:pPr>
      <w:r>
        <w:rPr>
          <w:rFonts w:ascii="宋体" w:hAnsi="宋体" w:eastAsia="宋体" w:cs="宋体"/>
          <w:spacing w:val="7"/>
          <w:sz w:val="19"/>
          <w:szCs w:val="19"/>
        </w:rPr>
        <w:t>十一、“现场</w:t>
      </w:r>
      <w:r>
        <w:rPr>
          <w:rFonts w:ascii="宋体" w:hAnsi="宋体" w:eastAsia="宋体" w:cs="宋体"/>
          <w:spacing w:val="-63"/>
          <w:sz w:val="19"/>
          <w:szCs w:val="19"/>
        </w:rPr>
        <w:t xml:space="preserve"> </w:t>
      </w:r>
      <w:r>
        <w:rPr>
          <w:rFonts w:ascii="宋体" w:hAnsi="宋体" w:eastAsia="宋体" w:cs="宋体"/>
          <w:spacing w:val="7"/>
          <w:sz w:val="19"/>
          <w:szCs w:val="19"/>
        </w:rPr>
        <w:t>”指监理项目实施的场所。</w:t>
      </w:r>
    </w:p>
    <w:p w14:paraId="6608DE65">
      <w:pPr>
        <w:spacing w:before="125" w:line="227" w:lineRule="auto"/>
        <w:ind w:left="401"/>
        <w:rPr>
          <w:rFonts w:ascii="宋体" w:hAnsi="宋体" w:eastAsia="宋体" w:cs="宋体"/>
          <w:sz w:val="19"/>
          <w:szCs w:val="19"/>
        </w:rPr>
      </w:pPr>
      <w:r>
        <w:rPr>
          <w:rFonts w:ascii="宋体" w:hAnsi="宋体" w:eastAsia="宋体" w:cs="宋体"/>
          <w:b/>
          <w:bCs/>
          <w:spacing w:val="8"/>
          <w:sz w:val="19"/>
          <w:szCs w:val="19"/>
        </w:rPr>
        <w:t>第二条</w:t>
      </w:r>
      <w:r>
        <w:rPr>
          <w:rFonts w:ascii="宋体" w:hAnsi="宋体" w:eastAsia="宋体" w:cs="宋体"/>
          <w:spacing w:val="8"/>
          <w:sz w:val="19"/>
          <w:szCs w:val="19"/>
        </w:rPr>
        <w:t xml:space="preserve">  本合同适用的语言文字为汉语文字。</w:t>
      </w:r>
    </w:p>
    <w:p w14:paraId="7B10B304">
      <w:pPr>
        <w:spacing w:before="126" w:line="227" w:lineRule="auto"/>
        <w:ind w:left="4638"/>
        <w:rPr>
          <w:rFonts w:ascii="宋体" w:hAnsi="宋体" w:eastAsia="宋体" w:cs="宋体"/>
          <w:sz w:val="19"/>
          <w:szCs w:val="19"/>
        </w:rPr>
      </w:pPr>
      <w:r>
        <w:rPr>
          <w:rFonts w:ascii="宋体" w:hAnsi="宋体" w:eastAsia="宋体" w:cs="宋体"/>
          <w:b/>
          <w:bCs/>
          <w:spacing w:val="6"/>
          <w:sz w:val="19"/>
          <w:szCs w:val="19"/>
        </w:rPr>
        <w:t>监理依据</w:t>
      </w:r>
    </w:p>
    <w:p w14:paraId="7B8EBB7F">
      <w:pPr>
        <w:spacing w:before="126" w:line="227" w:lineRule="auto"/>
        <w:ind w:left="401"/>
        <w:rPr>
          <w:rFonts w:ascii="宋体" w:hAnsi="宋体" w:eastAsia="宋体" w:cs="宋体"/>
          <w:sz w:val="19"/>
          <w:szCs w:val="19"/>
        </w:rPr>
      </w:pPr>
      <w:r>
        <w:rPr>
          <w:rFonts w:ascii="宋体" w:hAnsi="宋体" w:eastAsia="宋体" w:cs="宋体"/>
          <w:b/>
          <w:bCs/>
          <w:spacing w:val="10"/>
          <w:sz w:val="19"/>
          <w:szCs w:val="19"/>
        </w:rPr>
        <w:t>第三条</w:t>
      </w:r>
      <w:r>
        <w:rPr>
          <w:rFonts w:ascii="宋体" w:hAnsi="宋体" w:eastAsia="宋体" w:cs="宋体"/>
          <w:spacing w:val="10"/>
          <w:sz w:val="19"/>
          <w:szCs w:val="19"/>
        </w:rPr>
        <w:t xml:space="preserve">  监理的依据是有关工程建设的法律、法规</w:t>
      </w:r>
      <w:r>
        <w:rPr>
          <w:rFonts w:ascii="宋体" w:hAnsi="宋体" w:eastAsia="宋体" w:cs="宋体"/>
          <w:spacing w:val="9"/>
          <w:sz w:val="19"/>
          <w:szCs w:val="19"/>
        </w:rPr>
        <w:t>、规章和规范性文件；工程建设强制性条文、有关技术标</w:t>
      </w:r>
    </w:p>
    <w:p w14:paraId="7AA65F7C">
      <w:pPr>
        <w:spacing w:before="127" w:line="335" w:lineRule="auto"/>
        <w:ind w:left="5" w:right="2" w:hanging="3"/>
        <w:rPr>
          <w:rFonts w:ascii="宋体" w:hAnsi="宋体" w:eastAsia="宋体" w:cs="宋体"/>
          <w:sz w:val="19"/>
          <w:szCs w:val="19"/>
        </w:rPr>
      </w:pPr>
      <w:r>
        <w:rPr>
          <w:rFonts w:ascii="宋体" w:hAnsi="宋体" w:eastAsia="宋体" w:cs="宋体"/>
          <w:spacing w:val="10"/>
          <w:sz w:val="19"/>
          <w:szCs w:val="19"/>
        </w:rPr>
        <w:t>准；经批准的工程建设项目设计文件及其相关文件；监理合同、施工合同等合同文件</w:t>
      </w:r>
      <w:r>
        <w:rPr>
          <w:rFonts w:ascii="宋体" w:hAnsi="宋体" w:eastAsia="宋体" w:cs="宋体"/>
          <w:spacing w:val="9"/>
          <w:sz w:val="19"/>
          <w:szCs w:val="19"/>
        </w:rPr>
        <w:t>。具体内容在专用合同条款中</w:t>
      </w:r>
      <w:r>
        <w:rPr>
          <w:rFonts w:ascii="宋体" w:hAnsi="宋体" w:eastAsia="宋体" w:cs="宋体"/>
          <w:sz w:val="19"/>
          <w:szCs w:val="19"/>
        </w:rPr>
        <w:t xml:space="preserve"> </w:t>
      </w:r>
      <w:r>
        <w:rPr>
          <w:rFonts w:ascii="宋体" w:hAnsi="宋体" w:eastAsia="宋体" w:cs="宋体"/>
          <w:spacing w:val="1"/>
          <w:sz w:val="19"/>
          <w:szCs w:val="19"/>
        </w:rPr>
        <w:t>约定。</w:t>
      </w:r>
    </w:p>
    <w:p w14:paraId="193F9CA3">
      <w:pPr>
        <w:spacing w:before="30" w:line="230" w:lineRule="auto"/>
        <w:ind w:left="4539"/>
        <w:rPr>
          <w:rFonts w:ascii="宋体" w:hAnsi="宋体" w:eastAsia="宋体" w:cs="宋体"/>
          <w:sz w:val="19"/>
          <w:szCs w:val="19"/>
        </w:rPr>
      </w:pPr>
      <w:r>
        <w:rPr>
          <w:rFonts w:ascii="宋体" w:hAnsi="宋体" w:eastAsia="宋体" w:cs="宋体"/>
          <w:b/>
          <w:bCs/>
          <w:spacing w:val="7"/>
          <w:sz w:val="19"/>
          <w:szCs w:val="19"/>
        </w:rPr>
        <w:t>通知和联系</w:t>
      </w:r>
    </w:p>
    <w:p w14:paraId="3F75D708">
      <w:pPr>
        <w:spacing w:before="124" w:line="227" w:lineRule="auto"/>
        <w:ind w:left="401"/>
        <w:rPr>
          <w:rFonts w:ascii="宋体" w:hAnsi="宋体" w:eastAsia="宋体" w:cs="宋体"/>
          <w:sz w:val="19"/>
          <w:szCs w:val="19"/>
        </w:rPr>
      </w:pPr>
      <w:r>
        <w:rPr>
          <w:rFonts w:ascii="宋体" w:hAnsi="宋体" w:eastAsia="宋体" w:cs="宋体"/>
          <w:b/>
          <w:bCs/>
          <w:spacing w:val="9"/>
          <w:sz w:val="19"/>
          <w:szCs w:val="19"/>
        </w:rPr>
        <w:t>第四条</w:t>
      </w:r>
      <w:r>
        <w:rPr>
          <w:rFonts w:ascii="宋体" w:hAnsi="宋体" w:eastAsia="宋体" w:cs="宋体"/>
          <w:spacing w:val="9"/>
          <w:sz w:val="19"/>
          <w:szCs w:val="19"/>
        </w:rPr>
        <w:t xml:space="preserve">  委托人应指定一名联系人，负责与监理机构联系。更换联系人时，应提前通知监理人。</w:t>
      </w:r>
    </w:p>
    <w:p w14:paraId="0C05F8F3">
      <w:pPr>
        <w:spacing w:before="125" w:line="335" w:lineRule="auto"/>
        <w:ind w:firstLine="400"/>
        <w:rPr>
          <w:rFonts w:ascii="宋体" w:hAnsi="宋体" w:eastAsia="宋体" w:cs="宋体"/>
          <w:sz w:val="19"/>
          <w:szCs w:val="19"/>
        </w:rPr>
      </w:pPr>
      <w:r>
        <w:rPr>
          <w:rFonts w:ascii="宋体" w:hAnsi="宋体" w:eastAsia="宋体" w:cs="宋体"/>
          <w:b/>
          <w:bCs/>
          <w:spacing w:val="10"/>
          <w:sz w:val="19"/>
          <w:szCs w:val="19"/>
        </w:rPr>
        <w:t>第五条</w:t>
      </w:r>
      <w:r>
        <w:rPr>
          <w:rFonts w:ascii="宋体" w:hAnsi="宋体" w:eastAsia="宋体" w:cs="宋体"/>
          <w:spacing w:val="10"/>
          <w:sz w:val="19"/>
          <w:szCs w:val="19"/>
        </w:rPr>
        <w:t xml:space="preserve">  在监理合同实施过程中，双方的联系均应</w:t>
      </w:r>
      <w:r>
        <w:rPr>
          <w:rFonts w:ascii="宋体" w:hAnsi="宋体" w:eastAsia="宋体" w:cs="宋体"/>
          <w:spacing w:val="9"/>
          <w:sz w:val="19"/>
          <w:szCs w:val="19"/>
        </w:rPr>
        <w:t>以书面函件为准。在不做出紧急处理即可能导致安全、质量</w:t>
      </w:r>
      <w:r>
        <w:rPr>
          <w:rFonts w:ascii="宋体" w:hAnsi="宋体" w:eastAsia="宋体" w:cs="宋体"/>
          <w:sz w:val="19"/>
          <w:szCs w:val="19"/>
        </w:rPr>
        <w:t xml:space="preserve"> </w:t>
      </w:r>
      <w:r>
        <w:rPr>
          <w:rFonts w:ascii="宋体" w:hAnsi="宋体" w:eastAsia="宋体" w:cs="宋体"/>
          <w:spacing w:val="8"/>
          <w:sz w:val="19"/>
          <w:szCs w:val="19"/>
        </w:rPr>
        <w:t>事故的情况下，可先以口头形式通知，并在</w:t>
      </w:r>
      <w:r>
        <w:rPr>
          <w:rFonts w:ascii="宋体" w:hAnsi="宋体" w:eastAsia="宋体" w:cs="宋体"/>
          <w:spacing w:val="-26"/>
          <w:sz w:val="19"/>
          <w:szCs w:val="19"/>
        </w:rPr>
        <w:t xml:space="preserve"> </w:t>
      </w:r>
      <w:r>
        <w:rPr>
          <w:rFonts w:ascii="宋体" w:hAnsi="宋体" w:eastAsia="宋体" w:cs="宋体"/>
          <w:spacing w:val="8"/>
          <w:sz w:val="19"/>
          <w:szCs w:val="19"/>
        </w:rPr>
        <w:t>48</w:t>
      </w:r>
      <w:r>
        <w:rPr>
          <w:rFonts w:ascii="宋体" w:hAnsi="宋体" w:eastAsia="宋体" w:cs="宋体"/>
          <w:spacing w:val="-32"/>
          <w:sz w:val="19"/>
          <w:szCs w:val="19"/>
        </w:rPr>
        <w:t xml:space="preserve"> </w:t>
      </w:r>
      <w:r>
        <w:rPr>
          <w:rFonts w:ascii="宋体" w:hAnsi="宋体" w:eastAsia="宋体" w:cs="宋体"/>
          <w:spacing w:val="8"/>
          <w:sz w:val="19"/>
          <w:szCs w:val="19"/>
        </w:rPr>
        <w:t>小时内补做书面通知。</w:t>
      </w:r>
    </w:p>
    <w:p w14:paraId="5F036B8C">
      <w:pPr>
        <w:spacing w:before="31" w:line="335" w:lineRule="auto"/>
        <w:ind w:left="12" w:firstLine="389"/>
        <w:rPr>
          <w:rFonts w:ascii="宋体" w:hAnsi="宋体" w:eastAsia="宋体" w:cs="宋体"/>
          <w:sz w:val="19"/>
          <w:szCs w:val="19"/>
        </w:rPr>
      </w:pPr>
      <w:r>
        <w:rPr>
          <w:rFonts w:ascii="宋体" w:hAnsi="宋体" w:eastAsia="宋体" w:cs="宋体"/>
          <w:b/>
          <w:bCs/>
          <w:spacing w:val="10"/>
          <w:sz w:val="19"/>
          <w:szCs w:val="19"/>
        </w:rPr>
        <w:t>第六条</w:t>
      </w:r>
      <w:r>
        <w:rPr>
          <w:rFonts w:ascii="宋体" w:hAnsi="宋体" w:eastAsia="宋体" w:cs="宋体"/>
          <w:spacing w:val="10"/>
          <w:sz w:val="19"/>
          <w:szCs w:val="19"/>
        </w:rPr>
        <w:t xml:space="preserve">  委托人对委托监理范围内工程项目实施的</w:t>
      </w:r>
      <w:r>
        <w:rPr>
          <w:rFonts w:ascii="宋体" w:hAnsi="宋体" w:eastAsia="宋体" w:cs="宋体"/>
          <w:spacing w:val="9"/>
          <w:sz w:val="19"/>
          <w:szCs w:val="19"/>
        </w:rPr>
        <w:t>意见和决策，应通过监理机构下达，法律、法规另有规定的</w:t>
      </w:r>
      <w:r>
        <w:rPr>
          <w:rFonts w:ascii="宋体" w:hAnsi="宋体" w:eastAsia="宋体" w:cs="宋体"/>
          <w:sz w:val="19"/>
          <w:szCs w:val="19"/>
        </w:rPr>
        <w:t xml:space="preserve"> </w:t>
      </w:r>
      <w:r>
        <w:rPr>
          <w:rFonts w:ascii="宋体" w:hAnsi="宋体" w:eastAsia="宋体" w:cs="宋体"/>
          <w:spacing w:val="-1"/>
          <w:sz w:val="19"/>
          <w:szCs w:val="19"/>
        </w:rPr>
        <w:t>除外。</w:t>
      </w:r>
    </w:p>
    <w:p w14:paraId="76295B4F">
      <w:pPr>
        <w:spacing w:before="31" w:line="228" w:lineRule="auto"/>
        <w:ind w:left="4437"/>
        <w:rPr>
          <w:rFonts w:ascii="宋体" w:hAnsi="宋体" w:eastAsia="宋体" w:cs="宋体"/>
          <w:sz w:val="19"/>
          <w:szCs w:val="19"/>
        </w:rPr>
      </w:pPr>
      <w:r>
        <w:rPr>
          <w:rFonts w:ascii="宋体" w:hAnsi="宋体" w:eastAsia="宋体" w:cs="宋体"/>
          <w:b/>
          <w:bCs/>
          <w:spacing w:val="7"/>
          <w:sz w:val="19"/>
          <w:szCs w:val="19"/>
        </w:rPr>
        <w:t>委托人的权利</w:t>
      </w:r>
    </w:p>
    <w:p w14:paraId="0D108614">
      <w:pPr>
        <w:spacing w:before="125" w:line="228" w:lineRule="auto"/>
        <w:ind w:left="401"/>
        <w:rPr>
          <w:rFonts w:ascii="宋体" w:hAnsi="宋体" w:eastAsia="宋体" w:cs="宋体"/>
          <w:sz w:val="19"/>
          <w:szCs w:val="19"/>
        </w:rPr>
      </w:pPr>
      <w:r>
        <w:rPr>
          <w:rFonts w:ascii="宋体" w:hAnsi="宋体" w:eastAsia="宋体" w:cs="宋体"/>
          <w:b/>
          <w:bCs/>
          <w:spacing w:val="7"/>
          <w:sz w:val="19"/>
          <w:szCs w:val="19"/>
        </w:rPr>
        <w:t>第七条</w:t>
      </w:r>
      <w:r>
        <w:rPr>
          <w:rFonts w:ascii="宋体" w:hAnsi="宋体" w:eastAsia="宋体" w:cs="宋体"/>
          <w:spacing w:val="7"/>
          <w:sz w:val="19"/>
          <w:szCs w:val="19"/>
        </w:rPr>
        <w:t xml:space="preserve">  委托人享有如下权利：</w:t>
      </w:r>
    </w:p>
    <w:p w14:paraId="1E38DD63">
      <w:pPr>
        <w:spacing w:before="125" w:line="228" w:lineRule="auto"/>
        <w:ind w:left="404"/>
        <w:rPr>
          <w:rFonts w:ascii="宋体" w:hAnsi="宋体" w:eastAsia="宋体" w:cs="宋体"/>
          <w:sz w:val="19"/>
          <w:szCs w:val="19"/>
        </w:rPr>
      </w:pPr>
      <w:r>
        <w:rPr>
          <w:rFonts w:ascii="宋体" w:hAnsi="宋体" w:eastAsia="宋体" w:cs="宋体"/>
          <w:spacing w:val="9"/>
          <w:sz w:val="19"/>
          <w:szCs w:val="19"/>
        </w:rPr>
        <w:t>一、对监理工作进行监督、检查，并提出撤换不能胜任监理工作人员的建议或要求；</w:t>
      </w:r>
    </w:p>
    <w:p w14:paraId="5C96C10D">
      <w:pPr>
        <w:spacing w:before="126" w:line="228" w:lineRule="auto"/>
        <w:ind w:left="404"/>
        <w:rPr>
          <w:rFonts w:ascii="宋体" w:hAnsi="宋体" w:eastAsia="宋体" w:cs="宋体"/>
          <w:sz w:val="19"/>
          <w:szCs w:val="19"/>
        </w:rPr>
      </w:pPr>
      <w:r>
        <w:rPr>
          <w:rFonts w:ascii="宋体" w:hAnsi="宋体" w:eastAsia="宋体" w:cs="宋体"/>
          <w:spacing w:val="9"/>
          <w:sz w:val="19"/>
          <w:szCs w:val="19"/>
        </w:rPr>
        <w:t>二、对工程建设中质量、安全、投资、进度方面的重大问题的决策权；</w:t>
      </w:r>
    </w:p>
    <w:p w14:paraId="18033A75">
      <w:pPr>
        <w:spacing w:before="125" w:line="228" w:lineRule="auto"/>
        <w:ind w:left="401"/>
        <w:rPr>
          <w:rFonts w:ascii="宋体" w:hAnsi="宋体" w:eastAsia="宋体" w:cs="宋体"/>
          <w:sz w:val="19"/>
          <w:szCs w:val="19"/>
        </w:rPr>
      </w:pPr>
      <w:r>
        <w:rPr>
          <w:rFonts w:ascii="宋体" w:hAnsi="宋体" w:eastAsia="宋体" w:cs="宋体"/>
          <w:spacing w:val="9"/>
          <w:sz w:val="19"/>
          <w:szCs w:val="19"/>
        </w:rPr>
        <w:t>三、核定监理人签发的工程计量、付款凭证；</w:t>
      </w:r>
    </w:p>
    <w:p w14:paraId="70A45A54">
      <w:pPr>
        <w:spacing w:before="125" w:line="227" w:lineRule="auto"/>
        <w:ind w:left="420"/>
        <w:rPr>
          <w:rFonts w:ascii="宋体" w:hAnsi="宋体" w:eastAsia="宋体" w:cs="宋体"/>
          <w:sz w:val="19"/>
          <w:szCs w:val="19"/>
        </w:rPr>
      </w:pPr>
      <w:r>
        <w:rPr>
          <w:rFonts w:ascii="宋体" w:hAnsi="宋体" w:eastAsia="宋体" w:cs="宋体"/>
          <w:spacing w:val="9"/>
          <w:sz w:val="19"/>
          <w:szCs w:val="19"/>
        </w:rPr>
        <w:t>四、要求监理人提交监理月报、监理专题报告、监理工作报告和监理工作总结报</w:t>
      </w:r>
      <w:r>
        <w:rPr>
          <w:rFonts w:ascii="宋体" w:hAnsi="宋体" w:eastAsia="宋体" w:cs="宋体"/>
          <w:spacing w:val="8"/>
          <w:sz w:val="19"/>
          <w:szCs w:val="19"/>
        </w:rPr>
        <w:t>告；</w:t>
      </w:r>
    </w:p>
    <w:p w14:paraId="02424B46">
      <w:pPr>
        <w:spacing w:before="127" w:line="227" w:lineRule="auto"/>
        <w:ind w:left="404"/>
        <w:rPr>
          <w:rFonts w:ascii="宋体" w:hAnsi="宋体" w:eastAsia="宋体" w:cs="宋体"/>
          <w:sz w:val="19"/>
          <w:szCs w:val="19"/>
        </w:rPr>
      </w:pPr>
      <w:r>
        <w:rPr>
          <w:rFonts w:ascii="宋体" w:hAnsi="宋体" w:eastAsia="宋体" w:cs="宋体"/>
          <w:spacing w:val="9"/>
          <w:sz w:val="19"/>
          <w:szCs w:val="19"/>
        </w:rPr>
        <w:t>五、当监理人发生本合同专用条款约定的违约情形时，有权解除本合同。</w:t>
      </w:r>
    </w:p>
    <w:p w14:paraId="74E5C189">
      <w:pPr>
        <w:spacing w:before="126" w:line="228" w:lineRule="auto"/>
        <w:ind w:left="4439"/>
        <w:rPr>
          <w:rFonts w:ascii="宋体" w:hAnsi="宋体" w:eastAsia="宋体" w:cs="宋体"/>
          <w:sz w:val="19"/>
          <w:szCs w:val="19"/>
        </w:rPr>
      </w:pPr>
      <w:r>
        <w:rPr>
          <w:rFonts w:ascii="宋体" w:hAnsi="宋体" w:eastAsia="宋体" w:cs="宋体"/>
          <w:b/>
          <w:bCs/>
          <w:spacing w:val="6"/>
          <w:sz w:val="19"/>
          <w:szCs w:val="19"/>
        </w:rPr>
        <w:t>监理人的权利</w:t>
      </w:r>
    </w:p>
    <w:p w14:paraId="555CE088">
      <w:pPr>
        <w:spacing w:line="228" w:lineRule="auto"/>
        <w:rPr>
          <w:rFonts w:ascii="宋体" w:hAnsi="宋体" w:eastAsia="宋体" w:cs="宋体"/>
          <w:sz w:val="19"/>
          <w:szCs w:val="19"/>
        </w:rPr>
        <w:sectPr>
          <w:footerReference r:id="rId11" w:type="default"/>
          <w:pgSz w:w="12240" w:h="15840"/>
          <w:pgMar w:top="1227" w:right="1159" w:bottom="1072" w:left="1086" w:header="0" w:footer="910" w:gutter="0"/>
          <w:cols w:space="720" w:num="1"/>
        </w:sectPr>
      </w:pPr>
    </w:p>
    <w:p w14:paraId="1092DE46">
      <w:pPr>
        <w:spacing w:before="39" w:line="228" w:lineRule="auto"/>
        <w:ind w:left="401"/>
        <w:rPr>
          <w:rFonts w:ascii="宋体" w:hAnsi="宋体" w:eastAsia="宋体" w:cs="宋体"/>
          <w:sz w:val="19"/>
          <w:szCs w:val="19"/>
        </w:rPr>
      </w:pPr>
      <w:r>
        <w:rPr>
          <w:rFonts w:ascii="宋体" w:hAnsi="宋体" w:eastAsia="宋体" w:cs="宋体"/>
          <w:b/>
          <w:bCs/>
          <w:spacing w:val="8"/>
          <w:sz w:val="19"/>
          <w:szCs w:val="19"/>
        </w:rPr>
        <w:t>第八条</w:t>
      </w:r>
      <w:r>
        <w:rPr>
          <w:rFonts w:ascii="宋体" w:hAnsi="宋体" w:eastAsia="宋体" w:cs="宋体"/>
          <w:spacing w:val="8"/>
          <w:sz w:val="19"/>
          <w:szCs w:val="19"/>
        </w:rPr>
        <w:t xml:space="preserve">  委托人赋予监理人如下权利：</w:t>
      </w:r>
    </w:p>
    <w:p w14:paraId="3635FDB8">
      <w:pPr>
        <w:spacing w:before="125" w:line="227" w:lineRule="auto"/>
        <w:ind w:left="404"/>
        <w:rPr>
          <w:rFonts w:ascii="宋体" w:hAnsi="宋体" w:eastAsia="宋体" w:cs="宋体"/>
          <w:sz w:val="19"/>
          <w:szCs w:val="19"/>
        </w:rPr>
      </w:pPr>
      <w:r>
        <w:rPr>
          <w:rFonts w:ascii="宋体" w:hAnsi="宋体" w:eastAsia="宋体" w:cs="宋体"/>
          <w:spacing w:val="9"/>
          <w:sz w:val="19"/>
          <w:szCs w:val="19"/>
        </w:rPr>
        <w:t>一、审查承包人拟选择的分包项目和分包人，报委托人批准；</w:t>
      </w:r>
    </w:p>
    <w:p w14:paraId="2F8680E9">
      <w:pPr>
        <w:spacing w:before="126" w:line="228" w:lineRule="auto"/>
        <w:ind w:left="404"/>
        <w:rPr>
          <w:rFonts w:ascii="宋体" w:hAnsi="宋体" w:eastAsia="宋体" w:cs="宋体"/>
          <w:sz w:val="19"/>
          <w:szCs w:val="19"/>
        </w:rPr>
      </w:pPr>
      <w:r>
        <w:rPr>
          <w:rFonts w:ascii="宋体" w:hAnsi="宋体" w:eastAsia="宋体" w:cs="宋体"/>
          <w:spacing w:val="9"/>
          <w:sz w:val="19"/>
          <w:szCs w:val="19"/>
        </w:rPr>
        <w:t>二、审查承包人提交的施工组织设计、安全技术措施及专项施工方案等各类文件；</w:t>
      </w:r>
    </w:p>
    <w:p w14:paraId="57C0CDF0">
      <w:pPr>
        <w:spacing w:before="125" w:line="228" w:lineRule="auto"/>
        <w:ind w:left="401"/>
        <w:rPr>
          <w:rFonts w:ascii="宋体" w:hAnsi="宋体" w:eastAsia="宋体" w:cs="宋体"/>
          <w:sz w:val="19"/>
          <w:szCs w:val="19"/>
        </w:rPr>
      </w:pPr>
      <w:r>
        <w:rPr>
          <w:rFonts w:ascii="宋体" w:hAnsi="宋体" w:eastAsia="宋体" w:cs="宋体"/>
          <w:spacing w:val="8"/>
          <w:sz w:val="19"/>
          <w:szCs w:val="19"/>
        </w:rPr>
        <w:t>三、核查并签发施工图纸；</w:t>
      </w:r>
    </w:p>
    <w:p w14:paraId="1152463F">
      <w:pPr>
        <w:spacing w:before="125" w:line="227" w:lineRule="auto"/>
        <w:ind w:left="419"/>
        <w:rPr>
          <w:rFonts w:ascii="宋体" w:hAnsi="宋体" w:eastAsia="宋体" w:cs="宋体"/>
          <w:sz w:val="19"/>
          <w:szCs w:val="19"/>
        </w:rPr>
      </w:pPr>
      <w:r>
        <w:rPr>
          <w:rFonts w:ascii="宋体" w:hAnsi="宋体" w:eastAsia="宋体" w:cs="宋体"/>
          <w:spacing w:val="9"/>
          <w:sz w:val="19"/>
          <w:szCs w:val="19"/>
        </w:rPr>
        <w:t>四、签发合同项目开工指令、暂停施工指示，但应事先征得委托人同意；签发进场通知、复工通知；</w:t>
      </w:r>
    </w:p>
    <w:p w14:paraId="33AF7B6C">
      <w:pPr>
        <w:spacing w:before="126" w:line="228" w:lineRule="auto"/>
        <w:ind w:left="404"/>
        <w:rPr>
          <w:rFonts w:ascii="宋体" w:hAnsi="宋体" w:eastAsia="宋体" w:cs="宋体"/>
          <w:sz w:val="19"/>
          <w:szCs w:val="19"/>
        </w:rPr>
      </w:pPr>
      <w:r>
        <w:rPr>
          <w:rFonts w:ascii="宋体" w:hAnsi="宋体" w:eastAsia="宋体" w:cs="宋体"/>
          <w:spacing w:val="8"/>
          <w:sz w:val="19"/>
          <w:szCs w:val="19"/>
        </w:rPr>
        <w:t>五、审核和签发工程计量、付款凭证；</w:t>
      </w:r>
    </w:p>
    <w:p w14:paraId="69846B19">
      <w:pPr>
        <w:spacing w:before="125" w:line="228" w:lineRule="auto"/>
        <w:ind w:left="402"/>
        <w:rPr>
          <w:rFonts w:ascii="宋体" w:hAnsi="宋体" w:eastAsia="宋体" w:cs="宋体"/>
          <w:sz w:val="19"/>
          <w:szCs w:val="19"/>
        </w:rPr>
      </w:pPr>
      <w:r>
        <w:rPr>
          <w:rFonts w:ascii="宋体" w:hAnsi="宋体" w:eastAsia="宋体" w:cs="宋体"/>
          <w:spacing w:val="10"/>
          <w:sz w:val="19"/>
          <w:szCs w:val="19"/>
        </w:rPr>
        <w:t>六、核查承包人现场工作人员数量及相应岗位资格</w:t>
      </w:r>
      <w:r>
        <w:rPr>
          <w:rFonts w:ascii="宋体" w:hAnsi="宋体" w:eastAsia="宋体" w:cs="宋体"/>
          <w:spacing w:val="9"/>
          <w:sz w:val="19"/>
          <w:szCs w:val="19"/>
        </w:rPr>
        <w:t>，有权要求承包人撤换不称职的现场工作人员；</w:t>
      </w:r>
    </w:p>
    <w:p w14:paraId="47BBB74E">
      <w:pPr>
        <w:spacing w:before="126" w:line="228" w:lineRule="auto"/>
        <w:ind w:left="400"/>
        <w:rPr>
          <w:rFonts w:ascii="宋体" w:hAnsi="宋体" w:eastAsia="宋体" w:cs="宋体"/>
          <w:sz w:val="19"/>
          <w:szCs w:val="19"/>
        </w:rPr>
      </w:pPr>
      <w:r>
        <w:rPr>
          <w:rFonts w:ascii="宋体" w:hAnsi="宋体" w:eastAsia="宋体" w:cs="宋体"/>
          <w:spacing w:val="10"/>
          <w:sz w:val="19"/>
          <w:szCs w:val="19"/>
        </w:rPr>
        <w:t>七、发现承包人使用的施工设备影响工程质量或</w:t>
      </w:r>
      <w:r>
        <w:rPr>
          <w:rFonts w:ascii="宋体" w:hAnsi="宋体" w:eastAsia="宋体" w:cs="宋体"/>
          <w:spacing w:val="9"/>
          <w:sz w:val="19"/>
          <w:szCs w:val="19"/>
        </w:rPr>
        <w:t>进度时，有权要求承包人增加或更换施工设备；</w:t>
      </w:r>
    </w:p>
    <w:p w14:paraId="34DB2D31">
      <w:pPr>
        <w:spacing w:before="125" w:line="227" w:lineRule="auto"/>
        <w:ind w:left="404"/>
        <w:rPr>
          <w:rFonts w:ascii="宋体" w:hAnsi="宋体" w:eastAsia="宋体" w:cs="宋体"/>
          <w:sz w:val="19"/>
          <w:szCs w:val="19"/>
        </w:rPr>
      </w:pPr>
      <w:r>
        <w:rPr>
          <w:rFonts w:ascii="宋体" w:hAnsi="宋体" w:eastAsia="宋体" w:cs="宋体"/>
          <w:spacing w:val="9"/>
          <w:sz w:val="19"/>
          <w:szCs w:val="19"/>
        </w:rPr>
        <w:t>八、当委托人发生本合同专用条款约定的违约情形时，有权解除本合同；</w:t>
      </w:r>
    </w:p>
    <w:p w14:paraId="0F6A4D5A">
      <w:pPr>
        <w:spacing w:before="127" w:line="228" w:lineRule="auto"/>
        <w:ind w:left="406"/>
        <w:rPr>
          <w:rFonts w:ascii="宋体" w:hAnsi="宋体" w:eastAsia="宋体" w:cs="宋体"/>
          <w:sz w:val="19"/>
          <w:szCs w:val="19"/>
        </w:rPr>
      </w:pPr>
      <w:r>
        <w:rPr>
          <w:rFonts w:ascii="宋体" w:hAnsi="宋体" w:eastAsia="宋体" w:cs="宋体"/>
          <w:spacing w:val="8"/>
          <w:sz w:val="19"/>
          <w:szCs w:val="19"/>
        </w:rPr>
        <w:t>九、专用合同条款约定的其他权利。</w:t>
      </w:r>
    </w:p>
    <w:p w14:paraId="66BC0009">
      <w:pPr>
        <w:spacing w:before="125" w:line="228" w:lineRule="auto"/>
        <w:ind w:left="4437"/>
        <w:rPr>
          <w:rFonts w:ascii="宋体" w:hAnsi="宋体" w:eastAsia="宋体" w:cs="宋体"/>
          <w:sz w:val="19"/>
          <w:szCs w:val="19"/>
        </w:rPr>
      </w:pPr>
      <w:r>
        <w:rPr>
          <w:rFonts w:ascii="宋体" w:hAnsi="宋体" w:eastAsia="宋体" w:cs="宋体"/>
          <w:b/>
          <w:bCs/>
          <w:spacing w:val="7"/>
          <w:sz w:val="19"/>
          <w:szCs w:val="19"/>
        </w:rPr>
        <w:t>委托人的义务</w:t>
      </w:r>
    </w:p>
    <w:p w14:paraId="256BFF60">
      <w:pPr>
        <w:spacing w:before="23" w:line="228" w:lineRule="auto"/>
        <w:ind w:left="420"/>
        <w:rPr>
          <w:rFonts w:ascii="宋体" w:hAnsi="宋体" w:eastAsia="宋体" w:cs="宋体"/>
          <w:sz w:val="20"/>
          <w:szCs w:val="20"/>
        </w:rPr>
      </w:pPr>
      <w:r>
        <w:rPr>
          <w:rFonts w:ascii="宋体" w:hAnsi="宋体" w:eastAsia="宋体" w:cs="宋体"/>
          <w:b/>
          <w:bCs/>
          <w:spacing w:val="8"/>
          <w:sz w:val="20"/>
          <w:szCs w:val="20"/>
        </w:rPr>
        <w:t>第九条</w:t>
      </w:r>
      <w:r>
        <w:rPr>
          <w:rFonts w:ascii="宋体" w:hAnsi="宋体" w:eastAsia="宋体" w:cs="宋体"/>
          <w:spacing w:val="8"/>
          <w:sz w:val="20"/>
          <w:szCs w:val="20"/>
        </w:rPr>
        <w:t xml:space="preserve"> 工程建设外部环境的协调工作。</w:t>
      </w:r>
    </w:p>
    <w:p w14:paraId="2FBD04F6">
      <w:pPr>
        <w:spacing w:before="160" w:line="365" w:lineRule="auto"/>
        <w:ind w:left="17" w:right="103" w:firstLine="402"/>
        <w:rPr>
          <w:rFonts w:ascii="宋体" w:hAnsi="宋体" w:eastAsia="宋体" w:cs="宋体"/>
          <w:sz w:val="20"/>
          <w:szCs w:val="20"/>
        </w:rPr>
      </w:pPr>
      <w:r>
        <w:rPr>
          <w:rFonts w:ascii="宋体" w:hAnsi="宋体" w:eastAsia="宋体" w:cs="宋体"/>
          <w:b/>
          <w:bCs/>
          <w:spacing w:val="10"/>
          <w:sz w:val="20"/>
          <w:szCs w:val="20"/>
        </w:rPr>
        <w:t>第十条</w:t>
      </w:r>
      <w:r>
        <w:rPr>
          <w:rFonts w:ascii="宋体" w:hAnsi="宋体" w:eastAsia="宋体" w:cs="宋体"/>
          <w:spacing w:val="10"/>
          <w:sz w:val="20"/>
          <w:szCs w:val="20"/>
        </w:rPr>
        <w:t xml:space="preserve"> 按专用合同条款约定的时间、数量、方式，免</w:t>
      </w:r>
      <w:r>
        <w:rPr>
          <w:rFonts w:ascii="宋体" w:hAnsi="宋体" w:eastAsia="宋体" w:cs="宋体"/>
          <w:spacing w:val="9"/>
          <w:sz w:val="20"/>
          <w:szCs w:val="20"/>
        </w:rPr>
        <w:t>费向监理机构提供开展监理服务的有关本工程建设</w:t>
      </w:r>
      <w:r>
        <w:rPr>
          <w:rFonts w:ascii="宋体" w:hAnsi="宋体" w:eastAsia="宋体" w:cs="宋体"/>
          <w:sz w:val="20"/>
          <w:szCs w:val="20"/>
        </w:rPr>
        <w:t xml:space="preserve"> 的资料。</w:t>
      </w:r>
    </w:p>
    <w:p w14:paraId="238AB29B">
      <w:pPr>
        <w:spacing w:before="28" w:line="227" w:lineRule="auto"/>
        <w:ind w:left="420"/>
        <w:rPr>
          <w:rFonts w:ascii="宋体" w:hAnsi="宋体" w:eastAsia="宋体" w:cs="宋体"/>
          <w:sz w:val="20"/>
          <w:szCs w:val="20"/>
        </w:rPr>
      </w:pPr>
      <w:r>
        <w:rPr>
          <w:rFonts w:ascii="宋体" w:hAnsi="宋体" w:eastAsia="宋体" w:cs="宋体"/>
          <w:b/>
          <w:bCs/>
          <w:spacing w:val="9"/>
          <w:sz w:val="20"/>
          <w:szCs w:val="20"/>
        </w:rPr>
        <w:t>第十一条</w:t>
      </w:r>
      <w:r>
        <w:rPr>
          <w:rFonts w:ascii="宋体" w:hAnsi="宋体" w:eastAsia="宋体" w:cs="宋体"/>
          <w:spacing w:val="9"/>
          <w:sz w:val="20"/>
          <w:szCs w:val="20"/>
        </w:rPr>
        <w:t xml:space="preserve"> 在专用合同条款约定的时间内，就监理机构书面提交并要求作出决定的问题作出的书面决定，</w:t>
      </w:r>
    </w:p>
    <w:p w14:paraId="0458343F">
      <w:pPr>
        <w:spacing w:before="163" w:line="362" w:lineRule="auto"/>
        <w:ind w:left="2" w:firstLine="3"/>
        <w:rPr>
          <w:rFonts w:ascii="宋体" w:hAnsi="宋体" w:eastAsia="宋体" w:cs="宋体"/>
          <w:sz w:val="20"/>
          <w:szCs w:val="20"/>
        </w:rPr>
      </w:pPr>
      <w:r>
        <w:rPr>
          <w:rFonts w:ascii="宋体" w:hAnsi="宋体" w:eastAsia="宋体" w:cs="宋体"/>
          <w:spacing w:val="10"/>
          <w:sz w:val="20"/>
          <w:szCs w:val="20"/>
        </w:rPr>
        <w:t>并及时送达监理机构。超过约定的时间，监理机构未收到委托人的书面</w:t>
      </w:r>
      <w:r>
        <w:rPr>
          <w:rFonts w:ascii="宋体" w:hAnsi="宋体" w:eastAsia="宋体" w:cs="宋体"/>
          <w:spacing w:val="9"/>
          <w:sz w:val="20"/>
          <w:szCs w:val="20"/>
        </w:rPr>
        <w:t>决定，且委托人未说明理由，监理机构</w:t>
      </w:r>
      <w:r>
        <w:rPr>
          <w:rFonts w:ascii="宋体" w:hAnsi="宋体" w:eastAsia="宋体" w:cs="宋体"/>
          <w:sz w:val="20"/>
          <w:szCs w:val="20"/>
        </w:rPr>
        <w:t xml:space="preserve"> </w:t>
      </w:r>
      <w:r>
        <w:rPr>
          <w:rFonts w:ascii="宋体" w:hAnsi="宋体" w:eastAsia="宋体" w:cs="宋体"/>
          <w:spacing w:val="9"/>
          <w:sz w:val="20"/>
          <w:szCs w:val="20"/>
        </w:rPr>
        <w:t>可认为委托人对其提出的事宜已无不同意见，无须再作确认。</w:t>
      </w:r>
    </w:p>
    <w:p w14:paraId="534FCED2">
      <w:pPr>
        <w:spacing w:before="34" w:line="362" w:lineRule="auto"/>
        <w:ind w:right="101" w:firstLine="420"/>
        <w:rPr>
          <w:rFonts w:ascii="宋体" w:hAnsi="宋体" w:eastAsia="宋体" w:cs="宋体"/>
          <w:sz w:val="20"/>
          <w:szCs w:val="20"/>
        </w:rPr>
      </w:pPr>
      <w:r>
        <w:rPr>
          <w:rFonts w:ascii="宋体" w:hAnsi="宋体" w:eastAsia="宋体" w:cs="宋体"/>
          <w:b/>
          <w:bCs/>
          <w:spacing w:val="10"/>
          <w:sz w:val="20"/>
          <w:szCs w:val="20"/>
        </w:rPr>
        <w:t>第十二条</w:t>
      </w:r>
      <w:r>
        <w:rPr>
          <w:rFonts w:ascii="宋体" w:hAnsi="宋体" w:eastAsia="宋体" w:cs="宋体"/>
          <w:spacing w:val="10"/>
          <w:sz w:val="20"/>
          <w:szCs w:val="20"/>
        </w:rPr>
        <w:t xml:space="preserve"> 与承包人签订的施工合同中明确其赋予监理人</w:t>
      </w:r>
      <w:r>
        <w:rPr>
          <w:rFonts w:ascii="宋体" w:hAnsi="宋体" w:eastAsia="宋体" w:cs="宋体"/>
          <w:spacing w:val="9"/>
          <w:sz w:val="20"/>
          <w:szCs w:val="20"/>
        </w:rPr>
        <w:t>的权限，并在工程开工前将监理单位、总监理工</w:t>
      </w:r>
      <w:r>
        <w:rPr>
          <w:rFonts w:ascii="宋体" w:hAnsi="宋体" w:eastAsia="宋体" w:cs="宋体"/>
          <w:sz w:val="20"/>
          <w:szCs w:val="20"/>
        </w:rPr>
        <w:t xml:space="preserve"> </w:t>
      </w:r>
      <w:r>
        <w:rPr>
          <w:rFonts w:ascii="宋体" w:hAnsi="宋体" w:eastAsia="宋体" w:cs="宋体"/>
          <w:spacing w:val="7"/>
          <w:sz w:val="20"/>
          <w:szCs w:val="20"/>
        </w:rPr>
        <w:t>程师通知承包人。</w:t>
      </w:r>
    </w:p>
    <w:p w14:paraId="41A525B2">
      <w:pPr>
        <w:spacing w:before="31" w:line="362" w:lineRule="auto"/>
        <w:ind w:left="2" w:right="101" w:firstLine="418"/>
        <w:rPr>
          <w:rFonts w:ascii="宋体" w:hAnsi="宋体" w:eastAsia="宋体" w:cs="宋体"/>
          <w:sz w:val="20"/>
          <w:szCs w:val="20"/>
        </w:rPr>
      </w:pPr>
      <w:r>
        <w:rPr>
          <w:rFonts w:ascii="宋体" w:hAnsi="宋体" w:eastAsia="宋体" w:cs="宋体"/>
          <w:b/>
          <w:bCs/>
          <w:spacing w:val="10"/>
          <w:sz w:val="20"/>
          <w:szCs w:val="20"/>
        </w:rPr>
        <w:t>第十三条</w:t>
      </w:r>
      <w:r>
        <w:rPr>
          <w:rFonts w:ascii="宋体" w:hAnsi="宋体" w:eastAsia="宋体" w:cs="宋体"/>
          <w:spacing w:val="10"/>
          <w:sz w:val="20"/>
          <w:szCs w:val="20"/>
        </w:rPr>
        <w:t xml:space="preserve"> 提供监理人员在现场的工作和生活条件，具体</w:t>
      </w:r>
      <w:r>
        <w:rPr>
          <w:rFonts w:ascii="宋体" w:hAnsi="宋体" w:eastAsia="宋体" w:cs="宋体"/>
          <w:spacing w:val="9"/>
          <w:sz w:val="20"/>
          <w:szCs w:val="20"/>
        </w:rPr>
        <w:t>内容在专用合同条款中明确。如果不能提供上述</w:t>
      </w:r>
      <w:r>
        <w:rPr>
          <w:rFonts w:ascii="宋体" w:hAnsi="宋体" w:eastAsia="宋体" w:cs="宋体"/>
          <w:sz w:val="20"/>
          <w:szCs w:val="20"/>
        </w:rPr>
        <w:t xml:space="preserve"> </w:t>
      </w:r>
      <w:r>
        <w:rPr>
          <w:rFonts w:ascii="宋体" w:hAnsi="宋体" w:eastAsia="宋体" w:cs="宋体"/>
          <w:spacing w:val="8"/>
          <w:sz w:val="20"/>
          <w:szCs w:val="20"/>
        </w:rPr>
        <w:t>条件的，应按实际发生费用给予监理人补偿。</w:t>
      </w:r>
    </w:p>
    <w:p w14:paraId="66FA99A4">
      <w:pPr>
        <w:spacing w:before="32" w:line="227" w:lineRule="auto"/>
        <w:ind w:left="420"/>
        <w:rPr>
          <w:rFonts w:ascii="宋体" w:hAnsi="宋体" w:eastAsia="宋体" w:cs="宋体"/>
          <w:sz w:val="20"/>
          <w:szCs w:val="20"/>
        </w:rPr>
      </w:pPr>
      <w:r>
        <w:rPr>
          <w:rFonts w:ascii="宋体" w:hAnsi="宋体" w:eastAsia="宋体" w:cs="宋体"/>
          <w:b/>
          <w:bCs/>
          <w:spacing w:val="9"/>
          <w:sz w:val="20"/>
          <w:szCs w:val="20"/>
        </w:rPr>
        <w:t>第十四条</w:t>
      </w:r>
      <w:r>
        <w:rPr>
          <w:rFonts w:ascii="宋体" w:hAnsi="宋体" w:eastAsia="宋体" w:cs="宋体"/>
          <w:spacing w:val="9"/>
          <w:sz w:val="20"/>
          <w:szCs w:val="20"/>
        </w:rPr>
        <w:t xml:space="preserve"> 按本合同约定及时、足额支付监</w:t>
      </w:r>
      <w:r>
        <w:rPr>
          <w:rFonts w:ascii="宋体" w:hAnsi="宋体" w:eastAsia="宋体" w:cs="宋体"/>
          <w:spacing w:val="8"/>
          <w:sz w:val="20"/>
          <w:szCs w:val="20"/>
        </w:rPr>
        <w:t>理服务酬金。</w:t>
      </w:r>
    </w:p>
    <w:p w14:paraId="024BEC82">
      <w:pPr>
        <w:spacing w:before="162" w:line="227" w:lineRule="auto"/>
        <w:ind w:left="420"/>
        <w:rPr>
          <w:rFonts w:ascii="宋体" w:hAnsi="宋体" w:eastAsia="宋体" w:cs="宋体"/>
          <w:sz w:val="20"/>
          <w:szCs w:val="20"/>
        </w:rPr>
      </w:pPr>
      <w:r>
        <w:rPr>
          <w:rFonts w:ascii="宋体" w:hAnsi="宋体" w:eastAsia="宋体" w:cs="宋体"/>
          <w:b/>
          <w:bCs/>
          <w:spacing w:val="9"/>
          <w:sz w:val="20"/>
          <w:szCs w:val="20"/>
        </w:rPr>
        <w:t>第十五条</w:t>
      </w:r>
      <w:r>
        <w:rPr>
          <w:rFonts w:ascii="宋体" w:hAnsi="宋体" w:eastAsia="宋体" w:cs="宋体"/>
          <w:spacing w:val="9"/>
          <w:sz w:val="20"/>
          <w:szCs w:val="20"/>
        </w:rPr>
        <w:t xml:space="preserve"> 为监理机构指定具有检验、试验资质的机构并承担检验、试验相关费用。</w:t>
      </w:r>
    </w:p>
    <w:p w14:paraId="3F1AABF4">
      <w:pPr>
        <w:spacing w:before="164" w:line="362" w:lineRule="auto"/>
        <w:ind w:left="3" w:right="101" w:firstLine="417"/>
        <w:rPr>
          <w:rFonts w:ascii="宋体" w:hAnsi="宋体" w:eastAsia="宋体" w:cs="宋体"/>
          <w:sz w:val="20"/>
          <w:szCs w:val="20"/>
        </w:rPr>
      </w:pPr>
      <w:r>
        <w:rPr>
          <w:rFonts w:ascii="宋体" w:hAnsi="宋体" w:eastAsia="宋体" w:cs="宋体"/>
          <w:b/>
          <w:bCs/>
          <w:spacing w:val="10"/>
          <w:sz w:val="20"/>
          <w:szCs w:val="20"/>
        </w:rPr>
        <w:t>第十六条</w:t>
      </w:r>
      <w:r>
        <w:rPr>
          <w:rFonts w:ascii="宋体" w:hAnsi="宋体" w:eastAsia="宋体" w:cs="宋体"/>
          <w:spacing w:val="10"/>
          <w:sz w:val="20"/>
          <w:szCs w:val="20"/>
        </w:rPr>
        <w:t xml:space="preserve"> 维护监理机构工作的独立性，不干涉监理机构</w:t>
      </w:r>
      <w:r>
        <w:rPr>
          <w:rFonts w:ascii="宋体" w:hAnsi="宋体" w:eastAsia="宋体" w:cs="宋体"/>
          <w:spacing w:val="9"/>
          <w:sz w:val="20"/>
          <w:szCs w:val="20"/>
        </w:rPr>
        <w:t>正常开展监理业务，不能擅自作出有悖于监理机</w:t>
      </w:r>
      <w:r>
        <w:rPr>
          <w:rFonts w:ascii="宋体" w:hAnsi="宋体" w:eastAsia="宋体" w:cs="宋体"/>
          <w:sz w:val="20"/>
          <w:szCs w:val="20"/>
        </w:rPr>
        <w:t xml:space="preserve"> </w:t>
      </w:r>
      <w:r>
        <w:rPr>
          <w:rFonts w:ascii="宋体" w:hAnsi="宋体" w:eastAsia="宋体" w:cs="宋体"/>
          <w:spacing w:val="9"/>
          <w:sz w:val="20"/>
          <w:szCs w:val="20"/>
        </w:rPr>
        <w:t>构在合同授权范围内所作出的监理指示和决定；未经监理机构签字确认，不得支付工程款。</w:t>
      </w:r>
    </w:p>
    <w:p w14:paraId="0D234972">
      <w:pPr>
        <w:spacing w:before="33" w:line="361" w:lineRule="auto"/>
        <w:ind w:left="3" w:right="101" w:firstLine="417"/>
        <w:rPr>
          <w:rFonts w:ascii="宋体" w:hAnsi="宋体" w:eastAsia="宋体" w:cs="宋体"/>
          <w:sz w:val="20"/>
          <w:szCs w:val="20"/>
        </w:rPr>
      </w:pPr>
      <w:r>
        <w:rPr>
          <w:rFonts w:ascii="宋体" w:hAnsi="宋体" w:eastAsia="宋体" w:cs="宋体"/>
          <w:b/>
          <w:bCs/>
          <w:spacing w:val="10"/>
          <w:sz w:val="20"/>
          <w:szCs w:val="20"/>
        </w:rPr>
        <w:t>第十七条</w:t>
      </w:r>
      <w:r>
        <w:rPr>
          <w:rFonts w:ascii="宋体" w:hAnsi="宋体" w:eastAsia="宋体" w:cs="宋体"/>
          <w:spacing w:val="10"/>
          <w:sz w:val="20"/>
          <w:szCs w:val="20"/>
        </w:rPr>
        <w:t xml:space="preserve"> 为监理人员投保人身意外伤害险和第三者责任</w:t>
      </w:r>
      <w:r>
        <w:rPr>
          <w:rFonts w:ascii="宋体" w:hAnsi="宋体" w:eastAsia="宋体" w:cs="宋体"/>
          <w:spacing w:val="9"/>
          <w:sz w:val="20"/>
          <w:szCs w:val="20"/>
        </w:rPr>
        <w:t>险。如要求监理人自己投保，则应同意监理人将</w:t>
      </w:r>
      <w:r>
        <w:rPr>
          <w:rFonts w:ascii="宋体" w:hAnsi="宋体" w:eastAsia="宋体" w:cs="宋体"/>
          <w:sz w:val="20"/>
          <w:szCs w:val="20"/>
        </w:rPr>
        <w:t xml:space="preserve"> </w:t>
      </w:r>
      <w:r>
        <w:rPr>
          <w:rFonts w:ascii="宋体" w:hAnsi="宋体" w:eastAsia="宋体" w:cs="宋体"/>
          <w:spacing w:val="7"/>
          <w:sz w:val="20"/>
          <w:szCs w:val="20"/>
        </w:rPr>
        <w:t>投保的费用计入报价中。</w:t>
      </w:r>
    </w:p>
    <w:p w14:paraId="702993A9">
      <w:pPr>
        <w:spacing w:before="35" w:line="227" w:lineRule="auto"/>
        <w:ind w:left="420"/>
        <w:rPr>
          <w:rFonts w:ascii="宋体" w:hAnsi="宋体" w:eastAsia="宋体" w:cs="宋体"/>
          <w:sz w:val="20"/>
          <w:szCs w:val="20"/>
        </w:rPr>
      </w:pPr>
      <w:r>
        <w:rPr>
          <w:rFonts w:ascii="宋体" w:hAnsi="宋体" w:eastAsia="宋体" w:cs="宋体"/>
          <w:b/>
          <w:bCs/>
          <w:spacing w:val="9"/>
          <w:sz w:val="20"/>
          <w:szCs w:val="20"/>
        </w:rPr>
        <w:t>第十八条</w:t>
      </w:r>
      <w:r>
        <w:rPr>
          <w:rFonts w:ascii="宋体" w:hAnsi="宋体" w:eastAsia="宋体" w:cs="宋体"/>
          <w:spacing w:val="9"/>
          <w:sz w:val="20"/>
          <w:szCs w:val="20"/>
        </w:rPr>
        <w:t xml:space="preserve"> 将投保工程险的保险合同提供给监理人作为工程合同管理的一部分。</w:t>
      </w:r>
    </w:p>
    <w:p w14:paraId="55FB360B">
      <w:pPr>
        <w:spacing w:before="263" w:line="335" w:lineRule="auto"/>
        <w:ind w:left="2" w:right="1087" w:firstLine="1486"/>
        <w:rPr>
          <w:rFonts w:ascii="宋体" w:hAnsi="宋体" w:eastAsia="宋体" w:cs="宋体"/>
          <w:sz w:val="19"/>
          <w:szCs w:val="19"/>
        </w:rPr>
      </w:pPr>
      <w:r>
        <w:rPr>
          <w:rFonts w:ascii="宋体" w:hAnsi="宋体" w:eastAsia="宋体" w:cs="宋体"/>
          <w:b/>
          <w:bCs/>
          <w:spacing w:val="9"/>
          <w:sz w:val="19"/>
          <w:szCs w:val="19"/>
        </w:rPr>
        <w:t>第十九条</w:t>
      </w:r>
      <w:r>
        <w:rPr>
          <w:rFonts w:ascii="宋体" w:hAnsi="宋体" w:eastAsia="宋体" w:cs="宋体"/>
          <w:spacing w:val="9"/>
          <w:sz w:val="19"/>
          <w:szCs w:val="19"/>
        </w:rPr>
        <w:t xml:space="preserve"> 未经监理人同意，不得将监理人用于本工程监理服务的任何文件直接或间接</w:t>
      </w:r>
      <w:r>
        <w:rPr>
          <w:rFonts w:ascii="宋体" w:hAnsi="宋体" w:eastAsia="宋体" w:cs="宋体"/>
          <w:spacing w:val="18"/>
          <w:sz w:val="19"/>
          <w:szCs w:val="19"/>
        </w:rPr>
        <w:t xml:space="preserve"> </w:t>
      </w:r>
      <w:r>
        <w:rPr>
          <w:rFonts w:ascii="宋体" w:hAnsi="宋体" w:eastAsia="宋体" w:cs="宋体"/>
          <w:spacing w:val="8"/>
          <w:sz w:val="19"/>
          <w:szCs w:val="19"/>
        </w:rPr>
        <w:t>用于其他工程建设之中。</w:t>
      </w:r>
    </w:p>
    <w:p w14:paraId="32D9715E">
      <w:pPr>
        <w:spacing w:before="30" w:line="228" w:lineRule="auto"/>
        <w:ind w:left="4438"/>
        <w:rPr>
          <w:rFonts w:ascii="宋体" w:hAnsi="宋体" w:eastAsia="宋体" w:cs="宋体"/>
          <w:sz w:val="19"/>
          <w:szCs w:val="19"/>
        </w:rPr>
      </w:pPr>
      <w:r>
        <w:rPr>
          <w:rFonts w:ascii="宋体" w:hAnsi="宋体" w:eastAsia="宋体" w:cs="宋体"/>
          <w:b/>
          <w:bCs/>
          <w:spacing w:val="6"/>
          <w:sz w:val="19"/>
          <w:szCs w:val="19"/>
        </w:rPr>
        <w:t>监理人的义务</w:t>
      </w:r>
    </w:p>
    <w:p w14:paraId="54A1E350">
      <w:pPr>
        <w:spacing w:before="25" w:line="362" w:lineRule="auto"/>
        <w:ind w:right="103" w:firstLine="420"/>
        <w:rPr>
          <w:rFonts w:ascii="宋体" w:hAnsi="宋体" w:eastAsia="宋体" w:cs="宋体"/>
          <w:sz w:val="20"/>
          <w:szCs w:val="20"/>
        </w:rPr>
      </w:pPr>
      <w:r>
        <w:rPr>
          <w:rFonts w:ascii="宋体" w:hAnsi="宋体" w:eastAsia="宋体" w:cs="宋体"/>
          <w:b/>
          <w:bCs/>
          <w:spacing w:val="9"/>
          <w:sz w:val="20"/>
          <w:szCs w:val="20"/>
        </w:rPr>
        <w:t>第二十条</w:t>
      </w:r>
      <w:r>
        <w:rPr>
          <w:rFonts w:ascii="宋体" w:hAnsi="宋体" w:eastAsia="宋体" w:cs="宋体"/>
          <w:spacing w:val="9"/>
          <w:sz w:val="20"/>
          <w:szCs w:val="20"/>
        </w:rPr>
        <w:t xml:space="preserve"> 本着“守法、诚信、公正、科学</w:t>
      </w:r>
      <w:r>
        <w:rPr>
          <w:rFonts w:ascii="宋体" w:hAnsi="宋体" w:eastAsia="宋体" w:cs="宋体"/>
          <w:spacing w:val="-69"/>
          <w:sz w:val="20"/>
          <w:szCs w:val="20"/>
        </w:rPr>
        <w:t xml:space="preserve"> </w:t>
      </w:r>
      <w:r>
        <w:rPr>
          <w:rFonts w:ascii="宋体" w:hAnsi="宋体" w:eastAsia="宋体" w:cs="宋体"/>
          <w:spacing w:val="9"/>
          <w:sz w:val="20"/>
          <w:szCs w:val="20"/>
        </w:rPr>
        <w:t>”的原则，按专用合同条款约定的监理服务</w:t>
      </w:r>
      <w:r>
        <w:rPr>
          <w:rFonts w:ascii="宋体" w:hAnsi="宋体" w:eastAsia="宋体" w:cs="宋体"/>
          <w:spacing w:val="8"/>
          <w:sz w:val="20"/>
          <w:szCs w:val="20"/>
        </w:rPr>
        <w:t>内容为委托人提供</w:t>
      </w:r>
      <w:r>
        <w:rPr>
          <w:rFonts w:ascii="宋体" w:hAnsi="宋体" w:eastAsia="宋体" w:cs="宋体"/>
          <w:sz w:val="20"/>
          <w:szCs w:val="20"/>
        </w:rPr>
        <w:t xml:space="preserve"> </w:t>
      </w:r>
      <w:r>
        <w:rPr>
          <w:rFonts w:ascii="宋体" w:hAnsi="宋体" w:eastAsia="宋体" w:cs="宋体"/>
          <w:spacing w:val="6"/>
          <w:sz w:val="20"/>
          <w:szCs w:val="20"/>
        </w:rPr>
        <w:t>优质服务。</w:t>
      </w:r>
    </w:p>
    <w:p w14:paraId="0BCE5C9A">
      <w:pPr>
        <w:spacing w:line="362" w:lineRule="auto"/>
        <w:rPr>
          <w:rFonts w:ascii="宋体" w:hAnsi="宋体" w:eastAsia="宋体" w:cs="宋体"/>
          <w:sz w:val="20"/>
          <w:szCs w:val="20"/>
        </w:rPr>
        <w:sectPr>
          <w:footerReference r:id="rId12" w:type="default"/>
          <w:pgSz w:w="12240" w:h="15840"/>
          <w:pgMar w:top="1227" w:right="1082" w:bottom="1072" w:left="1087" w:header="0" w:footer="910" w:gutter="0"/>
          <w:cols w:space="720" w:num="1"/>
        </w:sectPr>
      </w:pPr>
    </w:p>
    <w:p w14:paraId="593EBAC5">
      <w:pPr>
        <w:spacing w:before="41" w:line="368" w:lineRule="auto"/>
        <w:ind w:left="1" w:firstLine="419"/>
        <w:rPr>
          <w:rFonts w:ascii="宋体" w:hAnsi="宋体" w:eastAsia="宋体" w:cs="宋体"/>
          <w:sz w:val="20"/>
          <w:szCs w:val="20"/>
        </w:rPr>
      </w:pPr>
      <w:r>
        <w:rPr>
          <w:rFonts w:ascii="宋体" w:hAnsi="宋体" w:eastAsia="宋体" w:cs="宋体"/>
          <w:b/>
          <w:bCs/>
          <w:spacing w:val="10"/>
          <w:sz w:val="20"/>
          <w:szCs w:val="20"/>
        </w:rPr>
        <w:t>第二十一条</w:t>
      </w:r>
      <w:r>
        <w:rPr>
          <w:rFonts w:ascii="宋体" w:hAnsi="宋体" w:eastAsia="宋体" w:cs="宋体"/>
          <w:spacing w:val="10"/>
          <w:sz w:val="20"/>
          <w:szCs w:val="20"/>
        </w:rPr>
        <w:t xml:space="preserve"> 在专用合同条款约定的时间内组建监理</w:t>
      </w:r>
      <w:r>
        <w:rPr>
          <w:rFonts w:ascii="宋体" w:hAnsi="宋体" w:eastAsia="宋体" w:cs="宋体"/>
          <w:spacing w:val="9"/>
          <w:sz w:val="20"/>
          <w:szCs w:val="20"/>
        </w:rPr>
        <w:t>机构，并进驻现场。及时将监理规划、监理机构及其</w:t>
      </w:r>
      <w:r>
        <w:rPr>
          <w:rFonts w:ascii="宋体" w:hAnsi="宋体" w:eastAsia="宋体" w:cs="宋体"/>
          <w:sz w:val="20"/>
          <w:szCs w:val="20"/>
        </w:rPr>
        <w:t xml:space="preserve">  </w:t>
      </w:r>
      <w:r>
        <w:rPr>
          <w:rFonts w:ascii="宋体" w:hAnsi="宋体" w:eastAsia="宋体" w:cs="宋体"/>
          <w:spacing w:val="10"/>
          <w:sz w:val="20"/>
          <w:szCs w:val="20"/>
        </w:rPr>
        <w:t>主要人员名单提交委托人，将监理机构及其人员名单、监理工程师和监理员的授</w:t>
      </w:r>
      <w:r>
        <w:rPr>
          <w:rFonts w:ascii="宋体" w:hAnsi="宋体" w:eastAsia="宋体" w:cs="宋体"/>
          <w:spacing w:val="9"/>
          <w:sz w:val="20"/>
          <w:szCs w:val="20"/>
        </w:rPr>
        <w:t>权范围通知承包人；实施期间</w:t>
      </w:r>
      <w:r>
        <w:rPr>
          <w:rFonts w:ascii="宋体" w:hAnsi="宋体" w:eastAsia="宋体" w:cs="宋体"/>
          <w:sz w:val="20"/>
          <w:szCs w:val="20"/>
        </w:rPr>
        <w:t xml:space="preserve"> </w:t>
      </w:r>
      <w:r>
        <w:rPr>
          <w:rFonts w:ascii="宋体" w:hAnsi="宋体" w:eastAsia="宋体" w:cs="宋体"/>
          <w:spacing w:val="9"/>
          <w:sz w:val="20"/>
          <w:szCs w:val="20"/>
        </w:rPr>
        <w:t>有变化的，应当及时通知承包人。更换总监理工程师和其他主要监理人员应征得委托人同意。</w:t>
      </w:r>
    </w:p>
    <w:p w14:paraId="7A76E69C">
      <w:pPr>
        <w:spacing w:before="30" w:line="226" w:lineRule="auto"/>
        <w:ind w:left="420"/>
        <w:rPr>
          <w:rFonts w:ascii="宋体" w:hAnsi="宋体" w:eastAsia="宋体" w:cs="宋体"/>
          <w:sz w:val="20"/>
          <w:szCs w:val="20"/>
        </w:rPr>
      </w:pPr>
      <w:r>
        <w:rPr>
          <w:rFonts w:ascii="宋体" w:hAnsi="宋体" w:eastAsia="宋体" w:cs="宋体"/>
          <w:b/>
          <w:bCs/>
          <w:spacing w:val="9"/>
          <w:sz w:val="20"/>
          <w:szCs w:val="20"/>
        </w:rPr>
        <w:t>第二十二条</w:t>
      </w:r>
      <w:r>
        <w:rPr>
          <w:rFonts w:ascii="宋体" w:hAnsi="宋体" w:eastAsia="宋体" w:cs="宋体"/>
          <w:spacing w:val="9"/>
          <w:sz w:val="20"/>
          <w:szCs w:val="20"/>
        </w:rPr>
        <w:t xml:space="preserve"> 发现设计文件不符合有关规定或合同约定时，应向委托人报告。</w:t>
      </w:r>
    </w:p>
    <w:p w14:paraId="2A307399">
      <w:pPr>
        <w:spacing w:before="162" w:line="362" w:lineRule="auto"/>
        <w:ind w:left="2" w:right="34" w:firstLine="418"/>
        <w:rPr>
          <w:rFonts w:ascii="宋体" w:hAnsi="宋体" w:eastAsia="宋体" w:cs="宋体"/>
          <w:sz w:val="20"/>
          <w:szCs w:val="20"/>
        </w:rPr>
      </w:pPr>
      <w:r>
        <w:rPr>
          <w:rFonts w:ascii="宋体" w:hAnsi="宋体" w:eastAsia="宋体" w:cs="宋体"/>
          <w:b/>
          <w:bCs/>
          <w:spacing w:val="10"/>
          <w:sz w:val="20"/>
          <w:szCs w:val="20"/>
        </w:rPr>
        <w:t>第二十三条</w:t>
      </w:r>
      <w:r>
        <w:rPr>
          <w:rFonts w:ascii="宋体" w:hAnsi="宋体" w:eastAsia="宋体" w:cs="宋体"/>
          <w:spacing w:val="10"/>
          <w:sz w:val="20"/>
          <w:szCs w:val="20"/>
        </w:rPr>
        <w:t xml:space="preserve"> 核验建筑材料、建筑构配件和设备质量</w:t>
      </w:r>
      <w:r>
        <w:rPr>
          <w:rFonts w:ascii="宋体" w:hAnsi="宋体" w:eastAsia="宋体" w:cs="宋体"/>
          <w:spacing w:val="9"/>
          <w:sz w:val="20"/>
          <w:szCs w:val="20"/>
        </w:rPr>
        <w:t>，检查、检验并确认工程的施工质量；检查施工安全</w:t>
      </w:r>
      <w:r>
        <w:rPr>
          <w:rFonts w:ascii="宋体" w:hAnsi="宋体" w:eastAsia="宋体" w:cs="宋体"/>
          <w:sz w:val="20"/>
          <w:szCs w:val="20"/>
        </w:rPr>
        <w:t xml:space="preserve"> </w:t>
      </w:r>
      <w:r>
        <w:rPr>
          <w:rFonts w:ascii="宋体" w:hAnsi="宋体" w:eastAsia="宋体" w:cs="宋体"/>
          <w:spacing w:val="9"/>
          <w:sz w:val="20"/>
          <w:szCs w:val="20"/>
        </w:rPr>
        <w:t>生产情况。发现存在质量、安全事故隐患，或发生质量、安全事故，应按有关规定及时采取相应的监理措施。</w:t>
      </w:r>
    </w:p>
    <w:p w14:paraId="7B35E320">
      <w:pPr>
        <w:spacing w:before="34" w:line="228" w:lineRule="auto"/>
        <w:ind w:left="420"/>
        <w:rPr>
          <w:rFonts w:ascii="宋体" w:hAnsi="宋体" w:eastAsia="宋体" w:cs="宋体"/>
          <w:sz w:val="20"/>
          <w:szCs w:val="20"/>
        </w:rPr>
      </w:pPr>
      <w:r>
        <w:rPr>
          <w:rFonts w:ascii="宋体" w:hAnsi="宋体" w:eastAsia="宋体" w:cs="宋体"/>
          <w:b/>
          <w:bCs/>
          <w:spacing w:val="8"/>
          <w:sz w:val="20"/>
          <w:szCs w:val="20"/>
        </w:rPr>
        <w:t>第二十四条</w:t>
      </w:r>
      <w:r>
        <w:rPr>
          <w:rFonts w:ascii="宋体" w:hAnsi="宋体" w:eastAsia="宋体" w:cs="宋体"/>
          <w:spacing w:val="8"/>
          <w:sz w:val="20"/>
          <w:szCs w:val="20"/>
        </w:rPr>
        <w:t xml:space="preserve"> 监督、检查工程施工进度。</w:t>
      </w:r>
    </w:p>
    <w:p w14:paraId="1258ED1A">
      <w:pPr>
        <w:spacing w:before="160" w:line="362" w:lineRule="auto"/>
        <w:ind w:left="8" w:right="101" w:firstLine="411"/>
        <w:rPr>
          <w:rFonts w:ascii="宋体" w:hAnsi="宋体" w:eastAsia="宋体" w:cs="宋体"/>
          <w:sz w:val="20"/>
          <w:szCs w:val="20"/>
        </w:rPr>
      </w:pPr>
      <w:r>
        <w:rPr>
          <w:rFonts w:ascii="宋体" w:hAnsi="宋体" w:eastAsia="宋体" w:cs="宋体"/>
          <w:b/>
          <w:bCs/>
          <w:spacing w:val="10"/>
          <w:sz w:val="20"/>
          <w:szCs w:val="20"/>
        </w:rPr>
        <w:t>第二十五条</w:t>
      </w:r>
      <w:r>
        <w:rPr>
          <w:rFonts w:ascii="宋体" w:hAnsi="宋体" w:eastAsia="宋体" w:cs="宋体"/>
          <w:spacing w:val="10"/>
          <w:sz w:val="20"/>
          <w:szCs w:val="20"/>
        </w:rPr>
        <w:t xml:space="preserve"> 按照委托人签订的工程保险合同，做好</w:t>
      </w:r>
      <w:r>
        <w:rPr>
          <w:rFonts w:ascii="宋体" w:hAnsi="宋体" w:eastAsia="宋体" w:cs="宋体"/>
          <w:spacing w:val="9"/>
          <w:sz w:val="20"/>
          <w:szCs w:val="20"/>
        </w:rPr>
        <w:t>施工现场工程保险合同的管理。协助委托人向保险公</w:t>
      </w:r>
      <w:r>
        <w:rPr>
          <w:rFonts w:ascii="宋体" w:hAnsi="宋体" w:eastAsia="宋体" w:cs="宋体"/>
          <w:sz w:val="20"/>
          <w:szCs w:val="20"/>
        </w:rPr>
        <w:t xml:space="preserve"> </w:t>
      </w:r>
      <w:r>
        <w:rPr>
          <w:rFonts w:ascii="宋体" w:hAnsi="宋体" w:eastAsia="宋体" w:cs="宋体"/>
          <w:spacing w:val="8"/>
          <w:sz w:val="20"/>
          <w:szCs w:val="20"/>
        </w:rPr>
        <w:t>司及时提供一切必要的材料和证据。</w:t>
      </w:r>
    </w:p>
    <w:p w14:paraId="4FFA388B">
      <w:pPr>
        <w:spacing w:before="32" w:line="228" w:lineRule="auto"/>
        <w:ind w:left="420"/>
        <w:rPr>
          <w:rFonts w:ascii="宋体" w:hAnsi="宋体" w:eastAsia="宋体" w:cs="宋体"/>
          <w:sz w:val="20"/>
          <w:szCs w:val="20"/>
        </w:rPr>
      </w:pPr>
      <w:r>
        <w:rPr>
          <w:rFonts w:ascii="宋体" w:hAnsi="宋体" w:eastAsia="宋体" w:cs="宋体"/>
          <w:b/>
          <w:bCs/>
          <w:spacing w:val="8"/>
          <w:sz w:val="20"/>
          <w:szCs w:val="20"/>
        </w:rPr>
        <w:t>第二十六条</w:t>
      </w:r>
      <w:r>
        <w:rPr>
          <w:rFonts w:ascii="宋体" w:hAnsi="宋体" w:eastAsia="宋体" w:cs="宋体"/>
          <w:spacing w:val="8"/>
          <w:sz w:val="20"/>
          <w:szCs w:val="20"/>
        </w:rPr>
        <w:t xml:space="preserve"> 协调施工合同各方之间的关系。</w:t>
      </w:r>
    </w:p>
    <w:p w14:paraId="1B9E8512">
      <w:pPr>
        <w:spacing w:before="161" w:line="362" w:lineRule="auto"/>
        <w:ind w:left="1" w:right="100" w:firstLine="419"/>
        <w:rPr>
          <w:rFonts w:ascii="宋体" w:hAnsi="宋体" w:eastAsia="宋体" w:cs="宋体"/>
          <w:sz w:val="20"/>
          <w:szCs w:val="20"/>
        </w:rPr>
      </w:pPr>
      <w:r>
        <w:rPr>
          <w:rFonts w:ascii="宋体" w:hAnsi="宋体" w:eastAsia="宋体" w:cs="宋体"/>
          <w:b/>
          <w:bCs/>
          <w:spacing w:val="10"/>
          <w:sz w:val="20"/>
          <w:szCs w:val="20"/>
        </w:rPr>
        <w:t>第二十七条</w:t>
      </w:r>
      <w:r>
        <w:rPr>
          <w:rFonts w:ascii="宋体" w:hAnsi="宋体" w:eastAsia="宋体" w:cs="宋体"/>
          <w:spacing w:val="10"/>
          <w:sz w:val="20"/>
          <w:szCs w:val="20"/>
        </w:rPr>
        <w:t xml:space="preserve"> 按照施工作业程序，采取旁站、巡视、</w:t>
      </w:r>
      <w:r>
        <w:rPr>
          <w:rFonts w:ascii="宋体" w:hAnsi="宋体" w:eastAsia="宋体" w:cs="宋体"/>
          <w:spacing w:val="9"/>
          <w:sz w:val="20"/>
          <w:szCs w:val="20"/>
        </w:rPr>
        <w:t>跟踪检测和平行检测等方法实施监理。需要旁站的重</w:t>
      </w:r>
      <w:r>
        <w:rPr>
          <w:rFonts w:ascii="宋体" w:hAnsi="宋体" w:eastAsia="宋体" w:cs="宋体"/>
          <w:sz w:val="20"/>
          <w:szCs w:val="20"/>
        </w:rPr>
        <w:t xml:space="preserve"> </w:t>
      </w:r>
      <w:r>
        <w:rPr>
          <w:rFonts w:ascii="宋体" w:hAnsi="宋体" w:eastAsia="宋体" w:cs="宋体"/>
          <w:spacing w:val="8"/>
          <w:sz w:val="20"/>
          <w:szCs w:val="20"/>
        </w:rPr>
        <w:t>要部位和关键工序在专用合同条款中约定。</w:t>
      </w:r>
    </w:p>
    <w:p w14:paraId="4A657CE1">
      <w:pPr>
        <w:spacing w:before="34" w:line="362" w:lineRule="auto"/>
        <w:ind w:right="135" w:firstLine="419"/>
        <w:rPr>
          <w:rFonts w:ascii="宋体" w:hAnsi="宋体" w:eastAsia="宋体" w:cs="宋体"/>
          <w:sz w:val="20"/>
          <w:szCs w:val="20"/>
        </w:rPr>
      </w:pPr>
      <w:r>
        <w:rPr>
          <w:rFonts w:ascii="宋体" w:hAnsi="宋体" w:eastAsia="宋体" w:cs="宋体"/>
          <w:b/>
          <w:bCs/>
          <w:spacing w:val="9"/>
          <w:sz w:val="20"/>
          <w:szCs w:val="20"/>
        </w:rPr>
        <w:t>第二十八条</w:t>
      </w:r>
      <w:r>
        <w:rPr>
          <w:rFonts w:ascii="宋体" w:hAnsi="宋体" w:eastAsia="宋体" w:cs="宋体"/>
          <w:spacing w:val="9"/>
          <w:sz w:val="20"/>
          <w:szCs w:val="20"/>
        </w:rPr>
        <w:t xml:space="preserve"> 及时做好工程施工过程各种监理信息的收集、整理和归档，并保</w:t>
      </w:r>
      <w:r>
        <w:rPr>
          <w:rFonts w:ascii="宋体" w:hAnsi="宋体" w:eastAsia="宋体" w:cs="宋体"/>
          <w:spacing w:val="8"/>
          <w:sz w:val="20"/>
          <w:szCs w:val="20"/>
        </w:rPr>
        <w:t>证现场记录、试验、检验、</w:t>
      </w:r>
      <w:r>
        <w:rPr>
          <w:rFonts w:ascii="宋体" w:hAnsi="宋体" w:eastAsia="宋体" w:cs="宋体"/>
          <w:sz w:val="20"/>
          <w:szCs w:val="20"/>
        </w:rPr>
        <w:t xml:space="preserve"> </w:t>
      </w:r>
      <w:r>
        <w:rPr>
          <w:rFonts w:ascii="宋体" w:hAnsi="宋体" w:eastAsia="宋体" w:cs="宋体"/>
          <w:spacing w:val="8"/>
          <w:sz w:val="20"/>
          <w:szCs w:val="20"/>
        </w:rPr>
        <w:t>检查等资料的完整和真实。</w:t>
      </w:r>
    </w:p>
    <w:p w14:paraId="6E93F70D">
      <w:pPr>
        <w:spacing w:before="33" w:line="361" w:lineRule="auto"/>
        <w:ind w:left="5" w:right="101" w:firstLine="414"/>
        <w:rPr>
          <w:rFonts w:ascii="宋体" w:hAnsi="宋体" w:eastAsia="宋体" w:cs="宋体"/>
          <w:sz w:val="20"/>
          <w:szCs w:val="20"/>
        </w:rPr>
      </w:pPr>
      <w:r>
        <w:rPr>
          <w:rFonts w:ascii="宋体" w:hAnsi="宋体" w:eastAsia="宋体" w:cs="宋体"/>
          <w:b/>
          <w:bCs/>
          <w:spacing w:val="10"/>
          <w:sz w:val="20"/>
          <w:szCs w:val="20"/>
        </w:rPr>
        <w:t>第二十九条</w:t>
      </w:r>
      <w:r>
        <w:rPr>
          <w:rFonts w:ascii="宋体" w:hAnsi="宋体" w:eastAsia="宋体" w:cs="宋体"/>
          <w:spacing w:val="10"/>
          <w:sz w:val="20"/>
          <w:szCs w:val="20"/>
        </w:rPr>
        <w:t xml:space="preserve"> 编制《监理日志》，并向委托人提交监</w:t>
      </w:r>
      <w:r>
        <w:rPr>
          <w:rFonts w:ascii="宋体" w:hAnsi="宋体" w:eastAsia="宋体" w:cs="宋体"/>
          <w:spacing w:val="9"/>
          <w:sz w:val="20"/>
          <w:szCs w:val="20"/>
        </w:rPr>
        <w:t>理月报、监理专题报告、监理工作报告和监理工作总</w:t>
      </w:r>
      <w:r>
        <w:rPr>
          <w:rFonts w:ascii="宋体" w:hAnsi="宋体" w:eastAsia="宋体" w:cs="宋体"/>
          <w:sz w:val="20"/>
          <w:szCs w:val="20"/>
        </w:rPr>
        <w:t xml:space="preserve"> </w:t>
      </w:r>
      <w:r>
        <w:rPr>
          <w:rFonts w:ascii="宋体" w:hAnsi="宋体" w:eastAsia="宋体" w:cs="宋体"/>
          <w:spacing w:val="3"/>
          <w:sz w:val="20"/>
          <w:szCs w:val="20"/>
        </w:rPr>
        <w:t>结报告。</w:t>
      </w:r>
    </w:p>
    <w:p w14:paraId="58A4AD52">
      <w:pPr>
        <w:spacing w:before="35" w:line="362" w:lineRule="auto"/>
        <w:ind w:left="1" w:right="100" w:firstLine="419"/>
        <w:rPr>
          <w:rFonts w:ascii="宋体" w:hAnsi="宋体" w:eastAsia="宋体" w:cs="宋体"/>
          <w:sz w:val="20"/>
          <w:szCs w:val="20"/>
        </w:rPr>
      </w:pPr>
      <w:r>
        <w:rPr>
          <w:rFonts w:ascii="宋体" w:hAnsi="宋体" w:eastAsia="宋体" w:cs="宋体"/>
          <w:b/>
          <w:bCs/>
          <w:spacing w:val="10"/>
          <w:sz w:val="20"/>
          <w:szCs w:val="20"/>
        </w:rPr>
        <w:t>第三十条</w:t>
      </w:r>
      <w:r>
        <w:rPr>
          <w:rFonts w:ascii="宋体" w:hAnsi="宋体" w:eastAsia="宋体" w:cs="宋体"/>
          <w:spacing w:val="10"/>
          <w:sz w:val="20"/>
          <w:szCs w:val="20"/>
        </w:rPr>
        <w:t xml:space="preserve"> 按有关规定参加工程验收，做好相关配合工作</w:t>
      </w:r>
      <w:r>
        <w:rPr>
          <w:rFonts w:ascii="宋体" w:hAnsi="宋体" w:eastAsia="宋体" w:cs="宋体"/>
          <w:spacing w:val="9"/>
          <w:sz w:val="20"/>
          <w:szCs w:val="20"/>
        </w:rPr>
        <w:t>。委托人委托监理人主持的分部工程验收由专用</w:t>
      </w:r>
      <w:r>
        <w:rPr>
          <w:rFonts w:ascii="宋体" w:hAnsi="宋体" w:eastAsia="宋体" w:cs="宋体"/>
          <w:sz w:val="20"/>
          <w:szCs w:val="20"/>
        </w:rPr>
        <w:t xml:space="preserve"> </w:t>
      </w:r>
      <w:r>
        <w:rPr>
          <w:rFonts w:ascii="宋体" w:hAnsi="宋体" w:eastAsia="宋体" w:cs="宋体"/>
          <w:spacing w:val="6"/>
          <w:sz w:val="20"/>
          <w:szCs w:val="20"/>
        </w:rPr>
        <w:t>合同条款约定。</w:t>
      </w:r>
    </w:p>
    <w:p w14:paraId="4154C2CE">
      <w:pPr>
        <w:spacing w:before="31" w:line="368" w:lineRule="auto"/>
        <w:ind w:firstLine="419"/>
        <w:jc w:val="both"/>
        <w:rPr>
          <w:rFonts w:ascii="宋体" w:hAnsi="宋体" w:eastAsia="宋体" w:cs="宋体"/>
          <w:sz w:val="20"/>
          <w:szCs w:val="20"/>
        </w:rPr>
      </w:pPr>
      <w:r>
        <w:rPr>
          <w:rFonts w:ascii="宋体" w:hAnsi="宋体" w:eastAsia="宋体" w:cs="宋体"/>
          <w:b/>
          <w:bCs/>
          <w:spacing w:val="10"/>
          <w:sz w:val="20"/>
          <w:szCs w:val="20"/>
        </w:rPr>
        <w:t>第三十一条</w:t>
      </w:r>
      <w:r>
        <w:rPr>
          <w:rFonts w:ascii="宋体" w:hAnsi="宋体" w:eastAsia="宋体" w:cs="宋体"/>
          <w:spacing w:val="10"/>
          <w:sz w:val="20"/>
          <w:szCs w:val="20"/>
        </w:rPr>
        <w:t xml:space="preserve"> 妥善做好委托人所提供的工程建设文件</w:t>
      </w:r>
      <w:r>
        <w:rPr>
          <w:rFonts w:ascii="宋体" w:hAnsi="宋体" w:eastAsia="宋体" w:cs="宋体"/>
          <w:spacing w:val="9"/>
          <w:sz w:val="20"/>
          <w:szCs w:val="20"/>
        </w:rPr>
        <w:t>资料的保存、回收及保密工作。在本合同期限内或专</w:t>
      </w:r>
      <w:r>
        <w:rPr>
          <w:rFonts w:ascii="宋体" w:hAnsi="宋体" w:eastAsia="宋体" w:cs="宋体"/>
          <w:sz w:val="20"/>
          <w:szCs w:val="20"/>
        </w:rPr>
        <w:t xml:space="preserve">  </w:t>
      </w:r>
      <w:r>
        <w:rPr>
          <w:rFonts w:ascii="宋体" w:hAnsi="宋体" w:eastAsia="宋体" w:cs="宋体"/>
          <w:spacing w:val="10"/>
          <w:sz w:val="20"/>
          <w:szCs w:val="20"/>
        </w:rPr>
        <w:t>用合同条款约定的合同终止后的一定期限内，未征得委托人同意，不得公开涉及委</w:t>
      </w:r>
      <w:r>
        <w:rPr>
          <w:rFonts w:ascii="宋体" w:hAnsi="宋体" w:eastAsia="宋体" w:cs="宋体"/>
          <w:spacing w:val="9"/>
          <w:sz w:val="20"/>
          <w:szCs w:val="20"/>
        </w:rPr>
        <w:t>托人的专利、专有技术或其</w:t>
      </w:r>
      <w:r>
        <w:rPr>
          <w:rFonts w:ascii="宋体" w:hAnsi="宋体" w:eastAsia="宋体" w:cs="宋体"/>
          <w:sz w:val="20"/>
          <w:szCs w:val="20"/>
        </w:rPr>
        <w:t xml:space="preserve"> </w:t>
      </w:r>
      <w:r>
        <w:rPr>
          <w:rFonts w:ascii="宋体" w:hAnsi="宋体" w:eastAsia="宋体" w:cs="宋体"/>
          <w:spacing w:val="9"/>
          <w:sz w:val="20"/>
          <w:szCs w:val="20"/>
        </w:rPr>
        <w:t>他需保密的资料，不得泄露与本合同业务有关的技术、商务等秘密。</w:t>
      </w:r>
    </w:p>
    <w:p w14:paraId="1261C0B8">
      <w:pPr>
        <w:spacing w:before="151" w:line="228" w:lineRule="auto"/>
        <w:ind w:left="4438"/>
        <w:rPr>
          <w:rFonts w:ascii="宋体" w:hAnsi="宋体" w:eastAsia="宋体" w:cs="宋体"/>
          <w:sz w:val="19"/>
          <w:szCs w:val="19"/>
        </w:rPr>
      </w:pPr>
      <w:r>
        <w:rPr>
          <w:rFonts w:ascii="宋体" w:hAnsi="宋体" w:eastAsia="宋体" w:cs="宋体"/>
          <w:b/>
          <w:bCs/>
          <w:spacing w:val="6"/>
          <w:sz w:val="19"/>
          <w:szCs w:val="19"/>
        </w:rPr>
        <w:t>监理服务酬金</w:t>
      </w:r>
    </w:p>
    <w:p w14:paraId="3AF24E34">
      <w:pPr>
        <w:spacing w:before="144" w:line="362" w:lineRule="auto"/>
        <w:ind w:right="101" w:firstLine="420"/>
        <w:rPr>
          <w:rFonts w:ascii="宋体" w:hAnsi="宋体" w:eastAsia="宋体" w:cs="宋体"/>
          <w:sz w:val="20"/>
          <w:szCs w:val="20"/>
        </w:rPr>
      </w:pPr>
      <w:r>
        <w:rPr>
          <w:rFonts w:ascii="宋体" w:hAnsi="宋体" w:eastAsia="宋体" w:cs="宋体"/>
          <w:b/>
          <w:bCs/>
          <w:spacing w:val="10"/>
          <w:sz w:val="20"/>
          <w:szCs w:val="20"/>
        </w:rPr>
        <w:t>第三十三条</w:t>
      </w:r>
      <w:r>
        <w:rPr>
          <w:rFonts w:ascii="宋体" w:hAnsi="宋体" w:eastAsia="宋体" w:cs="宋体"/>
          <w:spacing w:val="10"/>
          <w:sz w:val="20"/>
          <w:szCs w:val="20"/>
        </w:rPr>
        <w:t xml:space="preserve"> 除不可抗力外，有下列情形之一且由此</w:t>
      </w:r>
      <w:r>
        <w:rPr>
          <w:rFonts w:ascii="宋体" w:hAnsi="宋体" w:eastAsia="宋体" w:cs="宋体"/>
          <w:spacing w:val="9"/>
          <w:sz w:val="20"/>
          <w:szCs w:val="20"/>
        </w:rPr>
        <w:t>引起监理工作量增加或服务期限延长，均应视为监理</w:t>
      </w:r>
      <w:r>
        <w:rPr>
          <w:rFonts w:ascii="宋体" w:hAnsi="宋体" w:eastAsia="宋体" w:cs="宋体"/>
          <w:sz w:val="20"/>
          <w:szCs w:val="20"/>
        </w:rPr>
        <w:t xml:space="preserve"> </w:t>
      </w:r>
      <w:r>
        <w:rPr>
          <w:rFonts w:ascii="宋体" w:hAnsi="宋体" w:eastAsia="宋体" w:cs="宋体"/>
          <w:spacing w:val="9"/>
          <w:sz w:val="20"/>
          <w:szCs w:val="20"/>
        </w:rPr>
        <w:t>机构的附加服务，监理人应得到监理附加服务酬金。</w:t>
      </w:r>
    </w:p>
    <w:p w14:paraId="05F80188">
      <w:pPr>
        <w:spacing w:before="32" w:line="303" w:lineRule="auto"/>
        <w:ind w:left="1" w:firstLine="422"/>
        <w:rPr>
          <w:rFonts w:ascii="宋体" w:hAnsi="宋体" w:eastAsia="宋体" w:cs="宋体"/>
          <w:sz w:val="20"/>
          <w:szCs w:val="20"/>
        </w:rPr>
      </w:pPr>
      <w:r>
        <w:rPr>
          <w:rFonts w:ascii="宋体" w:hAnsi="宋体" w:eastAsia="宋体" w:cs="宋体"/>
          <w:spacing w:val="9"/>
          <w:sz w:val="20"/>
          <w:szCs w:val="20"/>
        </w:rPr>
        <w:t>一、</w:t>
      </w:r>
      <w:r>
        <w:rPr>
          <w:rFonts w:ascii="宋体" w:hAnsi="宋体" w:eastAsia="宋体" w:cs="宋体"/>
          <w:spacing w:val="-59"/>
          <w:sz w:val="20"/>
          <w:szCs w:val="20"/>
        </w:rPr>
        <w:t xml:space="preserve"> </w:t>
      </w:r>
      <w:r>
        <w:rPr>
          <w:rFonts w:ascii="宋体" w:hAnsi="宋体" w:eastAsia="宋体" w:cs="宋体"/>
          <w:spacing w:val="9"/>
          <w:sz w:val="20"/>
          <w:szCs w:val="20"/>
        </w:rPr>
        <w:t>由于委托人、第三方责任、设计变更及不良地质条件等非监理人原因致使正</w:t>
      </w:r>
      <w:r>
        <w:rPr>
          <w:rFonts w:ascii="宋体" w:hAnsi="宋体" w:eastAsia="宋体" w:cs="宋体"/>
          <w:spacing w:val="8"/>
          <w:sz w:val="20"/>
          <w:szCs w:val="20"/>
        </w:rPr>
        <w:t>常的监理服务受到阻碍或</w:t>
      </w:r>
      <w:r>
        <w:rPr>
          <w:rFonts w:ascii="宋体" w:hAnsi="宋体" w:eastAsia="宋体" w:cs="宋体"/>
          <w:sz w:val="20"/>
          <w:szCs w:val="20"/>
        </w:rPr>
        <w:t xml:space="preserve"> </w:t>
      </w:r>
      <w:r>
        <w:rPr>
          <w:rFonts w:ascii="宋体" w:hAnsi="宋体" w:eastAsia="宋体" w:cs="宋体"/>
          <w:spacing w:val="2"/>
          <w:sz w:val="20"/>
          <w:szCs w:val="20"/>
        </w:rPr>
        <w:t>延误；</w:t>
      </w:r>
    </w:p>
    <w:p w14:paraId="607E42DE">
      <w:pPr>
        <w:spacing w:before="163" w:line="227" w:lineRule="auto"/>
        <w:ind w:left="424"/>
        <w:rPr>
          <w:rFonts w:ascii="宋体" w:hAnsi="宋体" w:eastAsia="宋体" w:cs="宋体"/>
          <w:sz w:val="20"/>
          <w:szCs w:val="20"/>
        </w:rPr>
      </w:pPr>
      <w:r>
        <w:rPr>
          <w:rFonts w:ascii="宋体" w:hAnsi="宋体" w:eastAsia="宋体" w:cs="宋体"/>
          <w:spacing w:val="9"/>
          <w:sz w:val="20"/>
          <w:szCs w:val="20"/>
        </w:rPr>
        <w:t>二、在本合同履行过程中，委托人要求监理机构完成监理合同约定范围和内容以外的服务；</w:t>
      </w:r>
    </w:p>
    <w:p w14:paraId="3C9A68B6">
      <w:pPr>
        <w:spacing w:before="161" w:line="228" w:lineRule="auto"/>
        <w:ind w:left="420"/>
        <w:rPr>
          <w:rFonts w:ascii="宋体" w:hAnsi="宋体" w:eastAsia="宋体" w:cs="宋体"/>
          <w:sz w:val="20"/>
          <w:szCs w:val="20"/>
        </w:rPr>
      </w:pPr>
      <w:r>
        <w:rPr>
          <w:rFonts w:ascii="宋体" w:hAnsi="宋体" w:eastAsia="宋体" w:cs="宋体"/>
          <w:spacing w:val="8"/>
          <w:sz w:val="20"/>
          <w:szCs w:val="20"/>
        </w:rPr>
        <w:t>三、</w:t>
      </w:r>
      <w:r>
        <w:rPr>
          <w:rFonts w:ascii="宋体" w:hAnsi="宋体" w:eastAsia="宋体" w:cs="宋体"/>
          <w:spacing w:val="-41"/>
          <w:sz w:val="20"/>
          <w:szCs w:val="20"/>
        </w:rPr>
        <w:t xml:space="preserve"> </w:t>
      </w:r>
      <w:r>
        <w:rPr>
          <w:rFonts w:ascii="宋体" w:hAnsi="宋体" w:eastAsia="宋体" w:cs="宋体"/>
          <w:spacing w:val="8"/>
          <w:sz w:val="20"/>
          <w:szCs w:val="20"/>
        </w:rPr>
        <w:t>由于非监理人的原因暂停或终止监理业务时，其善后工作或恢复执行监理业务的工作。</w:t>
      </w:r>
    </w:p>
    <w:p w14:paraId="44758815">
      <w:pPr>
        <w:spacing w:before="162" w:line="227" w:lineRule="auto"/>
        <w:ind w:left="421"/>
        <w:rPr>
          <w:rFonts w:ascii="宋体" w:hAnsi="宋体" w:eastAsia="宋体" w:cs="宋体"/>
          <w:sz w:val="20"/>
          <w:szCs w:val="20"/>
        </w:rPr>
      </w:pPr>
      <w:r>
        <w:rPr>
          <w:rFonts w:ascii="宋体" w:hAnsi="宋体" w:eastAsia="宋体" w:cs="宋体"/>
          <w:spacing w:val="9"/>
          <w:sz w:val="20"/>
          <w:szCs w:val="20"/>
        </w:rPr>
        <w:t>监理人完成附加服务应得到的酬金，按专用合同条款约定的方法或监理补充协议计取和支付。</w:t>
      </w:r>
    </w:p>
    <w:p w14:paraId="4A7EF29C">
      <w:pPr>
        <w:spacing w:before="162" w:line="227" w:lineRule="auto"/>
        <w:ind w:left="420"/>
        <w:rPr>
          <w:rFonts w:ascii="宋体" w:hAnsi="宋体" w:eastAsia="宋体" w:cs="宋体"/>
          <w:sz w:val="20"/>
          <w:szCs w:val="20"/>
        </w:rPr>
      </w:pPr>
      <w:r>
        <w:rPr>
          <w:rFonts w:ascii="宋体" w:hAnsi="宋体" w:eastAsia="宋体" w:cs="宋体"/>
          <w:b/>
          <w:bCs/>
          <w:spacing w:val="9"/>
          <w:sz w:val="20"/>
          <w:szCs w:val="20"/>
        </w:rPr>
        <w:t>第三十四条</w:t>
      </w:r>
      <w:r>
        <w:rPr>
          <w:rFonts w:ascii="宋体" w:hAnsi="宋体" w:eastAsia="宋体" w:cs="宋体"/>
          <w:spacing w:val="37"/>
          <w:sz w:val="20"/>
          <w:szCs w:val="20"/>
        </w:rPr>
        <w:t xml:space="preserve"> </w:t>
      </w:r>
      <w:r>
        <w:rPr>
          <w:rFonts w:ascii="宋体" w:hAnsi="宋体" w:eastAsia="宋体" w:cs="宋体"/>
          <w:spacing w:val="9"/>
          <w:sz w:val="20"/>
          <w:szCs w:val="20"/>
        </w:rPr>
        <w:t>国家有关法律、法规、规章和监理酬金标准发生变化时，应</w:t>
      </w:r>
      <w:r>
        <w:rPr>
          <w:rFonts w:ascii="宋体" w:hAnsi="宋体" w:eastAsia="宋体" w:cs="宋体"/>
          <w:spacing w:val="8"/>
          <w:sz w:val="20"/>
          <w:szCs w:val="20"/>
        </w:rPr>
        <w:t>按有关规定调整监理服务酬金。</w:t>
      </w:r>
    </w:p>
    <w:p w14:paraId="1F9B88AA">
      <w:pPr>
        <w:spacing w:before="164" w:line="367" w:lineRule="auto"/>
        <w:ind w:right="100" w:firstLine="419"/>
        <w:rPr>
          <w:rFonts w:ascii="宋体" w:hAnsi="宋体" w:eastAsia="宋体" w:cs="宋体"/>
          <w:sz w:val="20"/>
          <w:szCs w:val="20"/>
        </w:rPr>
      </w:pPr>
      <w:r>
        <w:rPr>
          <w:rFonts w:ascii="宋体" w:hAnsi="宋体" w:eastAsia="宋体" w:cs="宋体"/>
          <w:b/>
          <w:bCs/>
          <w:spacing w:val="10"/>
          <w:sz w:val="20"/>
          <w:szCs w:val="20"/>
        </w:rPr>
        <w:t>第三十五条</w:t>
      </w:r>
      <w:r>
        <w:rPr>
          <w:rFonts w:ascii="宋体" w:hAnsi="宋体" w:eastAsia="宋体" w:cs="宋体"/>
          <w:spacing w:val="10"/>
          <w:sz w:val="20"/>
          <w:szCs w:val="20"/>
        </w:rPr>
        <w:t xml:space="preserve"> 委托人对监理人申请支付的监理酬金项</w:t>
      </w:r>
      <w:r>
        <w:rPr>
          <w:rFonts w:ascii="宋体" w:hAnsi="宋体" w:eastAsia="宋体" w:cs="宋体"/>
          <w:spacing w:val="9"/>
          <w:sz w:val="20"/>
          <w:szCs w:val="20"/>
        </w:rPr>
        <w:t>目及金额有异议时，应当在收到监理人支付申请书后</w:t>
      </w:r>
      <w:r>
        <w:rPr>
          <w:rFonts w:ascii="宋体" w:hAnsi="宋体" w:eastAsia="宋体" w:cs="宋体"/>
          <w:sz w:val="20"/>
          <w:szCs w:val="20"/>
        </w:rPr>
        <w:t xml:space="preserve"> </w:t>
      </w:r>
      <w:r>
        <w:rPr>
          <w:rFonts w:ascii="宋体" w:hAnsi="宋体" w:eastAsia="宋体" w:cs="宋体"/>
          <w:spacing w:val="9"/>
          <w:sz w:val="20"/>
          <w:szCs w:val="20"/>
        </w:rPr>
        <w:t>7</w:t>
      </w:r>
      <w:r>
        <w:rPr>
          <w:rFonts w:ascii="宋体" w:hAnsi="宋体" w:eastAsia="宋体" w:cs="宋体"/>
          <w:spacing w:val="-33"/>
          <w:sz w:val="20"/>
          <w:szCs w:val="20"/>
        </w:rPr>
        <w:t xml:space="preserve"> </w:t>
      </w:r>
      <w:r>
        <w:rPr>
          <w:rFonts w:ascii="宋体" w:hAnsi="宋体" w:eastAsia="宋体" w:cs="宋体"/>
          <w:spacing w:val="9"/>
          <w:sz w:val="20"/>
          <w:szCs w:val="20"/>
        </w:rPr>
        <w:t>天内向监理人发出异议通知，由双方协商解决。7</w:t>
      </w:r>
      <w:r>
        <w:rPr>
          <w:rFonts w:ascii="宋体" w:hAnsi="宋体" w:eastAsia="宋体" w:cs="宋体"/>
          <w:spacing w:val="-34"/>
          <w:sz w:val="20"/>
          <w:szCs w:val="20"/>
        </w:rPr>
        <w:t xml:space="preserve"> </w:t>
      </w:r>
      <w:r>
        <w:rPr>
          <w:rFonts w:ascii="宋体" w:hAnsi="宋体" w:eastAsia="宋体" w:cs="宋体"/>
          <w:spacing w:val="9"/>
          <w:sz w:val="20"/>
          <w:szCs w:val="20"/>
        </w:rPr>
        <w:t>天内未发出异议通知，则按通用合同条款第三十二条、第</w:t>
      </w:r>
      <w:r>
        <w:rPr>
          <w:rFonts w:ascii="宋体" w:hAnsi="宋体" w:eastAsia="宋体" w:cs="宋体"/>
          <w:sz w:val="20"/>
          <w:szCs w:val="20"/>
        </w:rPr>
        <w:t xml:space="preserve"> </w:t>
      </w:r>
      <w:r>
        <w:rPr>
          <w:rFonts w:ascii="宋体" w:hAnsi="宋体" w:eastAsia="宋体" w:cs="宋体"/>
          <w:spacing w:val="8"/>
          <w:sz w:val="20"/>
          <w:szCs w:val="20"/>
        </w:rPr>
        <w:t>三十三条、第三十四条的约定支付。</w:t>
      </w:r>
    </w:p>
    <w:p w14:paraId="461DEA5E">
      <w:pPr>
        <w:spacing w:line="367" w:lineRule="auto"/>
        <w:rPr>
          <w:rFonts w:ascii="宋体" w:hAnsi="宋体" w:eastAsia="宋体" w:cs="宋体"/>
          <w:sz w:val="20"/>
          <w:szCs w:val="20"/>
        </w:rPr>
        <w:sectPr>
          <w:footerReference r:id="rId13" w:type="default"/>
          <w:pgSz w:w="12240" w:h="15840"/>
          <w:pgMar w:top="1123" w:right="1082" w:bottom="1072" w:left="1087" w:header="0" w:footer="910" w:gutter="0"/>
          <w:cols w:space="720" w:num="1"/>
        </w:sectPr>
      </w:pPr>
    </w:p>
    <w:p w14:paraId="4282C6DF">
      <w:pPr>
        <w:spacing w:before="39" w:line="230" w:lineRule="auto"/>
        <w:ind w:left="4338"/>
        <w:rPr>
          <w:rFonts w:ascii="宋体" w:hAnsi="宋体" w:eastAsia="宋体" w:cs="宋体"/>
          <w:sz w:val="19"/>
          <w:szCs w:val="19"/>
        </w:rPr>
      </w:pPr>
      <w:r>
        <w:rPr>
          <w:rFonts w:ascii="宋体" w:hAnsi="宋体" w:eastAsia="宋体" w:cs="宋体"/>
          <w:b/>
          <w:bCs/>
          <w:spacing w:val="7"/>
          <w:sz w:val="19"/>
          <w:szCs w:val="19"/>
        </w:rPr>
        <w:t>合同变更与终止</w:t>
      </w:r>
    </w:p>
    <w:p w14:paraId="37FFF648">
      <w:pPr>
        <w:spacing w:before="142" w:line="368" w:lineRule="auto"/>
        <w:ind w:left="3" w:firstLine="417"/>
        <w:jc w:val="both"/>
        <w:rPr>
          <w:rFonts w:ascii="宋体" w:hAnsi="宋体" w:eastAsia="宋体" w:cs="宋体"/>
          <w:sz w:val="20"/>
          <w:szCs w:val="20"/>
        </w:rPr>
      </w:pPr>
      <w:r>
        <w:rPr>
          <w:rFonts w:ascii="宋体" w:hAnsi="宋体" w:eastAsia="宋体" w:cs="宋体"/>
          <w:b/>
          <w:bCs/>
          <w:spacing w:val="9"/>
          <w:sz w:val="20"/>
          <w:szCs w:val="20"/>
        </w:rPr>
        <w:t>第三十六条</w:t>
      </w:r>
      <w:r>
        <w:rPr>
          <w:rFonts w:ascii="宋体" w:hAnsi="宋体" w:eastAsia="宋体" w:cs="宋体"/>
          <w:spacing w:val="32"/>
          <w:sz w:val="20"/>
          <w:szCs w:val="20"/>
        </w:rPr>
        <w:t xml:space="preserve"> </w:t>
      </w:r>
      <w:r>
        <w:rPr>
          <w:rFonts w:ascii="宋体" w:hAnsi="宋体" w:eastAsia="宋体" w:cs="宋体"/>
          <w:spacing w:val="9"/>
          <w:sz w:val="20"/>
          <w:szCs w:val="20"/>
        </w:rPr>
        <w:t>因工程建设计划调整、较大的工程设计变更、不良地质条件等非监理人原因致使本合同约定</w:t>
      </w:r>
      <w:r>
        <w:rPr>
          <w:rFonts w:ascii="宋体" w:hAnsi="宋体" w:eastAsia="宋体" w:cs="宋体"/>
          <w:sz w:val="20"/>
          <w:szCs w:val="20"/>
        </w:rPr>
        <w:t xml:space="preserve">  </w:t>
      </w:r>
      <w:r>
        <w:rPr>
          <w:rFonts w:ascii="宋体" w:hAnsi="宋体" w:eastAsia="宋体" w:cs="宋体"/>
          <w:spacing w:val="9"/>
          <w:sz w:val="20"/>
          <w:szCs w:val="20"/>
        </w:rPr>
        <w:t>的服务范围、</w:t>
      </w:r>
      <w:r>
        <w:rPr>
          <w:rFonts w:ascii="宋体" w:hAnsi="宋体" w:eastAsia="宋体" w:cs="宋体"/>
          <w:spacing w:val="-59"/>
          <w:sz w:val="20"/>
          <w:szCs w:val="20"/>
        </w:rPr>
        <w:t xml:space="preserve"> </w:t>
      </w:r>
      <w:r>
        <w:rPr>
          <w:rFonts w:ascii="宋体" w:hAnsi="宋体" w:eastAsia="宋体" w:cs="宋体"/>
          <w:spacing w:val="9"/>
          <w:sz w:val="20"/>
          <w:szCs w:val="20"/>
        </w:rPr>
        <w:t>内容和服务形式发生较大变化时，双方对监理服务酬金计取、监理服务期限等</w:t>
      </w:r>
      <w:r>
        <w:rPr>
          <w:rFonts w:ascii="宋体" w:hAnsi="宋体" w:eastAsia="宋体" w:cs="宋体"/>
          <w:spacing w:val="8"/>
          <w:sz w:val="20"/>
          <w:szCs w:val="20"/>
        </w:rPr>
        <w:t>有关合同条款应当</w:t>
      </w:r>
      <w:r>
        <w:rPr>
          <w:rFonts w:ascii="宋体" w:hAnsi="宋体" w:eastAsia="宋体" w:cs="宋体"/>
          <w:sz w:val="20"/>
          <w:szCs w:val="20"/>
        </w:rPr>
        <w:t xml:space="preserve"> </w:t>
      </w:r>
      <w:r>
        <w:rPr>
          <w:rFonts w:ascii="宋体" w:hAnsi="宋体" w:eastAsia="宋体" w:cs="宋体"/>
          <w:spacing w:val="8"/>
          <w:sz w:val="20"/>
          <w:szCs w:val="20"/>
        </w:rPr>
        <w:t>充分协商，签订监理补充协议。</w:t>
      </w:r>
    </w:p>
    <w:p w14:paraId="7C0003F8">
      <w:pPr>
        <w:spacing w:before="28" w:line="367" w:lineRule="auto"/>
        <w:ind w:left="1" w:right="101" w:firstLine="419"/>
        <w:rPr>
          <w:rFonts w:ascii="宋体" w:hAnsi="宋体" w:eastAsia="宋体" w:cs="宋体"/>
          <w:sz w:val="20"/>
          <w:szCs w:val="20"/>
        </w:rPr>
      </w:pPr>
      <w:r>
        <w:rPr>
          <w:rFonts w:ascii="宋体" w:hAnsi="宋体" w:eastAsia="宋体" w:cs="宋体"/>
          <w:b/>
          <w:bCs/>
          <w:spacing w:val="10"/>
          <w:sz w:val="20"/>
          <w:szCs w:val="20"/>
        </w:rPr>
        <w:t>第三十七条</w:t>
      </w:r>
      <w:r>
        <w:rPr>
          <w:rFonts w:ascii="宋体" w:hAnsi="宋体" w:eastAsia="宋体" w:cs="宋体"/>
          <w:spacing w:val="10"/>
          <w:sz w:val="20"/>
          <w:szCs w:val="20"/>
        </w:rPr>
        <w:t xml:space="preserve"> 当发生法律或本合同约定的解除合同的</w:t>
      </w:r>
      <w:r>
        <w:rPr>
          <w:rFonts w:ascii="宋体" w:hAnsi="宋体" w:eastAsia="宋体" w:cs="宋体"/>
          <w:spacing w:val="9"/>
          <w:sz w:val="20"/>
          <w:szCs w:val="20"/>
        </w:rPr>
        <w:t>情形时，有权解除合同的一方要求解除合同的，应书</w:t>
      </w:r>
      <w:r>
        <w:rPr>
          <w:rFonts w:ascii="宋体" w:hAnsi="宋体" w:eastAsia="宋体" w:cs="宋体"/>
          <w:sz w:val="20"/>
          <w:szCs w:val="20"/>
        </w:rPr>
        <w:t xml:space="preserve"> </w:t>
      </w:r>
      <w:r>
        <w:rPr>
          <w:rFonts w:ascii="宋体" w:hAnsi="宋体" w:eastAsia="宋体" w:cs="宋体"/>
          <w:spacing w:val="9"/>
          <w:sz w:val="20"/>
          <w:szCs w:val="20"/>
        </w:rPr>
        <w:t>面通知对方；若通知送达后</w:t>
      </w:r>
      <w:r>
        <w:rPr>
          <w:rFonts w:ascii="宋体" w:hAnsi="宋体" w:eastAsia="宋体" w:cs="宋体"/>
          <w:spacing w:val="-34"/>
          <w:sz w:val="20"/>
          <w:szCs w:val="20"/>
        </w:rPr>
        <w:t xml:space="preserve"> </w:t>
      </w:r>
      <w:r>
        <w:rPr>
          <w:rFonts w:ascii="宋体" w:hAnsi="宋体" w:eastAsia="宋体" w:cs="宋体"/>
          <w:spacing w:val="9"/>
          <w:sz w:val="20"/>
          <w:szCs w:val="20"/>
        </w:rPr>
        <w:t>28</w:t>
      </w:r>
      <w:r>
        <w:rPr>
          <w:rFonts w:ascii="宋体" w:hAnsi="宋体" w:eastAsia="宋体" w:cs="宋体"/>
          <w:spacing w:val="-37"/>
          <w:sz w:val="20"/>
          <w:szCs w:val="20"/>
        </w:rPr>
        <w:t xml:space="preserve"> </w:t>
      </w:r>
      <w:r>
        <w:rPr>
          <w:rFonts w:ascii="宋体" w:hAnsi="宋体" w:eastAsia="宋体" w:cs="宋体"/>
          <w:spacing w:val="9"/>
          <w:sz w:val="20"/>
          <w:szCs w:val="20"/>
        </w:rPr>
        <w:t>天内未收到对方的答复，可发出终止监理合同的通知，本合同即行终止。因解</w:t>
      </w:r>
      <w:r>
        <w:rPr>
          <w:rFonts w:ascii="宋体" w:hAnsi="宋体" w:eastAsia="宋体" w:cs="宋体"/>
          <w:sz w:val="20"/>
          <w:szCs w:val="20"/>
        </w:rPr>
        <w:t xml:space="preserve"> </w:t>
      </w:r>
      <w:r>
        <w:rPr>
          <w:rFonts w:ascii="宋体" w:hAnsi="宋体" w:eastAsia="宋体" w:cs="宋体"/>
          <w:spacing w:val="9"/>
          <w:sz w:val="20"/>
          <w:szCs w:val="20"/>
        </w:rPr>
        <w:t>除合同遭受损失的，除依法可以免除责任的外，应由责任方赔偿损失。</w:t>
      </w:r>
    </w:p>
    <w:p w14:paraId="03E0650E">
      <w:pPr>
        <w:spacing w:before="34" w:line="362" w:lineRule="auto"/>
        <w:ind w:left="10" w:right="101" w:firstLine="410"/>
        <w:rPr>
          <w:rFonts w:ascii="宋体" w:hAnsi="宋体" w:eastAsia="宋体" w:cs="宋体"/>
          <w:sz w:val="20"/>
          <w:szCs w:val="20"/>
        </w:rPr>
      </w:pPr>
      <w:r>
        <w:rPr>
          <w:rFonts w:ascii="宋体" w:hAnsi="宋体" w:eastAsia="宋体" w:cs="宋体"/>
          <w:b/>
          <w:bCs/>
          <w:spacing w:val="9"/>
          <w:sz w:val="20"/>
          <w:szCs w:val="20"/>
        </w:rPr>
        <w:t>第三十八条</w:t>
      </w:r>
      <w:r>
        <w:rPr>
          <w:rFonts w:ascii="宋体" w:hAnsi="宋体" w:eastAsia="宋体" w:cs="宋体"/>
          <w:spacing w:val="9"/>
          <w:sz w:val="20"/>
          <w:szCs w:val="20"/>
        </w:rPr>
        <w:t xml:space="preserve"> 在监理服务期内，</w:t>
      </w:r>
      <w:r>
        <w:rPr>
          <w:rFonts w:ascii="宋体" w:hAnsi="宋体" w:eastAsia="宋体" w:cs="宋体"/>
          <w:spacing w:val="-57"/>
          <w:sz w:val="20"/>
          <w:szCs w:val="20"/>
        </w:rPr>
        <w:t xml:space="preserve"> </w:t>
      </w:r>
      <w:r>
        <w:rPr>
          <w:rFonts w:ascii="宋体" w:hAnsi="宋体" w:eastAsia="宋体" w:cs="宋体"/>
          <w:spacing w:val="9"/>
          <w:sz w:val="20"/>
          <w:szCs w:val="20"/>
        </w:rPr>
        <w:t>由于国家政策致使工程建设</w:t>
      </w:r>
      <w:r>
        <w:rPr>
          <w:rFonts w:ascii="宋体" w:hAnsi="宋体" w:eastAsia="宋体" w:cs="宋体"/>
          <w:spacing w:val="8"/>
          <w:sz w:val="20"/>
          <w:szCs w:val="20"/>
        </w:rPr>
        <w:t>计划重大调整，或不可抗力致使合同不能履行</w:t>
      </w:r>
      <w:r>
        <w:rPr>
          <w:rFonts w:ascii="宋体" w:hAnsi="宋体" w:eastAsia="宋体" w:cs="宋体"/>
          <w:sz w:val="20"/>
          <w:szCs w:val="20"/>
        </w:rPr>
        <w:t xml:space="preserve"> </w:t>
      </w:r>
      <w:r>
        <w:rPr>
          <w:rFonts w:ascii="宋体" w:hAnsi="宋体" w:eastAsia="宋体" w:cs="宋体"/>
          <w:spacing w:val="8"/>
          <w:sz w:val="20"/>
          <w:szCs w:val="20"/>
        </w:rPr>
        <w:t>时，双方协商解决因合同终止所产生的遗留问题。</w:t>
      </w:r>
    </w:p>
    <w:p w14:paraId="7237349C">
      <w:pPr>
        <w:spacing w:before="31" w:line="227" w:lineRule="auto"/>
        <w:ind w:left="420"/>
        <w:rPr>
          <w:rFonts w:ascii="宋体" w:hAnsi="宋体" w:eastAsia="宋体" w:cs="宋体"/>
          <w:sz w:val="20"/>
          <w:szCs w:val="20"/>
        </w:rPr>
      </w:pPr>
      <w:r>
        <w:rPr>
          <w:rFonts w:ascii="宋体" w:hAnsi="宋体" w:eastAsia="宋体" w:cs="宋体"/>
          <w:b/>
          <w:bCs/>
          <w:spacing w:val="9"/>
          <w:sz w:val="20"/>
          <w:szCs w:val="20"/>
        </w:rPr>
        <w:t>第三十九条</w:t>
      </w:r>
      <w:r>
        <w:rPr>
          <w:rFonts w:ascii="宋体" w:hAnsi="宋体" w:eastAsia="宋体" w:cs="宋体"/>
          <w:spacing w:val="9"/>
          <w:sz w:val="20"/>
          <w:szCs w:val="20"/>
        </w:rPr>
        <w:t xml:space="preserve"> 本合同在监理期限届满并结清监理服务酬金后即终</w:t>
      </w:r>
      <w:r>
        <w:rPr>
          <w:rFonts w:ascii="宋体" w:hAnsi="宋体" w:eastAsia="宋体" w:cs="宋体"/>
          <w:spacing w:val="8"/>
          <w:sz w:val="20"/>
          <w:szCs w:val="20"/>
        </w:rPr>
        <w:t>止。</w:t>
      </w:r>
    </w:p>
    <w:p w14:paraId="74DFE4CC">
      <w:pPr>
        <w:spacing w:before="147" w:line="228" w:lineRule="auto"/>
        <w:ind w:left="4542"/>
        <w:rPr>
          <w:rFonts w:ascii="宋体" w:hAnsi="宋体" w:eastAsia="宋体" w:cs="宋体"/>
          <w:b/>
          <w:bCs/>
          <w:spacing w:val="6"/>
          <w:sz w:val="19"/>
          <w:szCs w:val="19"/>
        </w:rPr>
      </w:pPr>
      <w:r>
        <w:rPr>
          <w:rFonts w:ascii="宋体" w:hAnsi="宋体" w:eastAsia="宋体" w:cs="宋体"/>
          <w:b/>
          <w:bCs/>
          <w:spacing w:val="6"/>
          <w:sz w:val="19"/>
          <w:szCs w:val="19"/>
        </w:rPr>
        <w:t>违约责任</w:t>
      </w:r>
    </w:p>
    <w:p w14:paraId="196D3122">
      <w:pPr>
        <w:spacing w:before="150" w:line="228" w:lineRule="auto"/>
        <w:ind w:left="401"/>
        <w:rPr>
          <w:rFonts w:ascii="宋体" w:hAnsi="宋体" w:eastAsia="宋体" w:cs="宋体"/>
          <w:sz w:val="19"/>
          <w:szCs w:val="19"/>
        </w:rPr>
      </w:pPr>
      <w:r>
        <w:rPr>
          <w:rFonts w:ascii="宋体" w:hAnsi="宋体" w:eastAsia="宋体" w:cs="宋体"/>
          <w:b/>
          <w:bCs/>
          <w:spacing w:val="10"/>
          <w:sz w:val="19"/>
          <w:szCs w:val="19"/>
        </w:rPr>
        <w:t>第四十条</w:t>
      </w:r>
      <w:r>
        <w:rPr>
          <w:rFonts w:ascii="宋体" w:hAnsi="宋体" w:eastAsia="宋体" w:cs="宋体"/>
          <w:spacing w:val="10"/>
          <w:sz w:val="19"/>
          <w:szCs w:val="19"/>
        </w:rPr>
        <w:t xml:space="preserve"> 委托人未履行合同条款第十条、第十一条、第十三</w:t>
      </w:r>
      <w:r>
        <w:rPr>
          <w:rFonts w:ascii="宋体" w:hAnsi="宋体" w:eastAsia="宋体" w:cs="宋体"/>
          <w:spacing w:val="9"/>
          <w:sz w:val="19"/>
          <w:szCs w:val="19"/>
        </w:rPr>
        <w:t>条、第十四条、第十五条、第十六条、第十七</w:t>
      </w:r>
    </w:p>
    <w:p w14:paraId="77809905">
      <w:pPr>
        <w:spacing w:before="186" w:line="393" w:lineRule="auto"/>
        <w:ind w:left="7" w:right="80" w:hanging="5"/>
        <w:rPr>
          <w:rFonts w:ascii="宋体" w:hAnsi="宋体" w:eastAsia="宋体" w:cs="宋体"/>
          <w:sz w:val="19"/>
          <w:szCs w:val="19"/>
        </w:rPr>
      </w:pPr>
      <w:r>
        <w:rPr>
          <w:rFonts w:ascii="宋体" w:hAnsi="宋体" w:eastAsia="宋体" w:cs="宋体"/>
          <w:spacing w:val="10"/>
          <w:sz w:val="19"/>
          <w:szCs w:val="19"/>
        </w:rPr>
        <w:t>条、第十九条约定的义务和责任，除按专用合同条款约定向监理人支付违约金外，还</w:t>
      </w:r>
      <w:r>
        <w:rPr>
          <w:rFonts w:ascii="宋体" w:hAnsi="宋体" w:eastAsia="宋体" w:cs="宋体"/>
          <w:spacing w:val="9"/>
          <w:sz w:val="19"/>
          <w:szCs w:val="19"/>
        </w:rPr>
        <w:t>应继续履行合同约定的义务和</w:t>
      </w:r>
      <w:r>
        <w:rPr>
          <w:rFonts w:ascii="宋体" w:hAnsi="宋体" w:eastAsia="宋体" w:cs="宋体"/>
          <w:sz w:val="19"/>
          <w:szCs w:val="19"/>
        </w:rPr>
        <w:t xml:space="preserve"> </w:t>
      </w:r>
      <w:r>
        <w:rPr>
          <w:rFonts w:ascii="宋体" w:hAnsi="宋体" w:eastAsia="宋体" w:cs="宋体"/>
          <w:spacing w:val="1"/>
          <w:sz w:val="19"/>
          <w:szCs w:val="19"/>
        </w:rPr>
        <w:t>责任。</w:t>
      </w:r>
    </w:p>
    <w:p w14:paraId="0A9558C5">
      <w:pPr>
        <w:spacing w:before="31" w:line="228" w:lineRule="auto"/>
        <w:ind w:left="401"/>
        <w:rPr>
          <w:rFonts w:ascii="宋体" w:hAnsi="宋体" w:eastAsia="宋体" w:cs="宋体"/>
          <w:sz w:val="19"/>
          <w:szCs w:val="19"/>
        </w:rPr>
      </w:pPr>
      <w:r>
        <w:rPr>
          <w:rFonts w:ascii="宋体" w:hAnsi="宋体" w:eastAsia="宋体" w:cs="宋体"/>
          <w:b/>
          <w:bCs/>
          <w:spacing w:val="10"/>
          <w:sz w:val="19"/>
          <w:szCs w:val="19"/>
        </w:rPr>
        <w:t>第四十一条</w:t>
      </w:r>
      <w:r>
        <w:rPr>
          <w:rFonts w:ascii="宋体" w:hAnsi="宋体" w:eastAsia="宋体" w:cs="宋体"/>
          <w:spacing w:val="10"/>
          <w:sz w:val="19"/>
          <w:szCs w:val="19"/>
        </w:rPr>
        <w:t xml:space="preserve"> 委托人未按合同条款第三十二条、第三十三</w:t>
      </w:r>
      <w:r>
        <w:rPr>
          <w:rFonts w:ascii="宋体" w:hAnsi="宋体" w:eastAsia="宋体" w:cs="宋体"/>
          <w:spacing w:val="9"/>
          <w:sz w:val="19"/>
          <w:szCs w:val="19"/>
        </w:rPr>
        <w:t>条、第三十四条约定支付监理服务酬金，除按专用合</w:t>
      </w:r>
    </w:p>
    <w:p w14:paraId="62FC9764">
      <w:pPr>
        <w:spacing w:before="185" w:line="228" w:lineRule="auto"/>
        <w:ind w:left="19"/>
        <w:rPr>
          <w:rFonts w:ascii="宋体" w:hAnsi="宋体" w:eastAsia="宋体" w:cs="宋体"/>
          <w:sz w:val="19"/>
          <w:szCs w:val="19"/>
        </w:rPr>
      </w:pPr>
      <w:r>
        <w:rPr>
          <w:rFonts w:ascii="宋体" w:hAnsi="宋体" w:eastAsia="宋体" w:cs="宋体"/>
          <w:spacing w:val="9"/>
          <w:sz w:val="19"/>
          <w:szCs w:val="19"/>
        </w:rPr>
        <w:t>同条款约定向监理人支付逾期付款违约金外，还应继续履行合同约定的</w:t>
      </w:r>
      <w:r>
        <w:rPr>
          <w:rFonts w:ascii="宋体" w:hAnsi="宋体" w:eastAsia="宋体" w:cs="宋体"/>
          <w:spacing w:val="8"/>
          <w:sz w:val="19"/>
          <w:szCs w:val="19"/>
        </w:rPr>
        <w:t>支付义务。</w:t>
      </w:r>
    </w:p>
    <w:p w14:paraId="6D6C41E5">
      <w:pPr>
        <w:spacing w:before="51" w:line="243" w:lineRule="auto"/>
        <w:ind w:left="1" w:right="80" w:hanging="1"/>
        <w:jc w:val="both"/>
        <w:rPr>
          <w:rFonts w:ascii="宋体" w:hAnsi="宋体" w:eastAsia="宋体" w:cs="宋体"/>
          <w:sz w:val="19"/>
          <w:szCs w:val="19"/>
        </w:rPr>
      </w:pPr>
      <w:r>
        <w:rPr>
          <w:rFonts w:ascii="宋体" w:hAnsi="宋体" w:eastAsia="宋体" w:cs="宋体"/>
          <w:b/>
          <w:bCs/>
          <w:spacing w:val="10"/>
          <w:sz w:val="19"/>
          <w:szCs w:val="19"/>
        </w:rPr>
        <w:t>第四十二条</w:t>
      </w:r>
      <w:r>
        <w:rPr>
          <w:rFonts w:ascii="宋体" w:hAnsi="宋体" w:eastAsia="宋体" w:cs="宋体"/>
          <w:spacing w:val="10"/>
          <w:sz w:val="19"/>
          <w:szCs w:val="19"/>
        </w:rPr>
        <w:t xml:space="preserve"> 监理人未履行合同条款第二十一条、第二十三条、</w:t>
      </w:r>
      <w:r>
        <w:rPr>
          <w:rFonts w:ascii="宋体" w:hAnsi="宋体" w:eastAsia="宋体" w:cs="宋体"/>
          <w:spacing w:val="9"/>
          <w:sz w:val="19"/>
          <w:szCs w:val="19"/>
        </w:rPr>
        <w:t>第二十四条、第二十五条、第二十七条、第二十八</w:t>
      </w:r>
      <w:r>
        <w:rPr>
          <w:rFonts w:ascii="宋体" w:hAnsi="宋体" w:eastAsia="宋体" w:cs="宋体"/>
          <w:sz w:val="19"/>
          <w:szCs w:val="19"/>
        </w:rPr>
        <w:t xml:space="preserve">  </w:t>
      </w:r>
      <w:r>
        <w:rPr>
          <w:rFonts w:ascii="宋体" w:hAnsi="宋体" w:eastAsia="宋体" w:cs="宋体"/>
          <w:spacing w:val="10"/>
          <w:sz w:val="19"/>
          <w:szCs w:val="19"/>
        </w:rPr>
        <w:t>条、第二十九条、第三十条、第三十一条约定的义务和责任，除按专用合同条款约定</w:t>
      </w:r>
      <w:r>
        <w:rPr>
          <w:rFonts w:ascii="宋体" w:hAnsi="宋体" w:eastAsia="宋体" w:cs="宋体"/>
          <w:spacing w:val="9"/>
          <w:sz w:val="19"/>
          <w:szCs w:val="19"/>
        </w:rPr>
        <w:t>向委托人支付违约金外，还应</w:t>
      </w:r>
      <w:r>
        <w:rPr>
          <w:rFonts w:ascii="宋体" w:hAnsi="宋体" w:eastAsia="宋体" w:cs="宋体"/>
          <w:sz w:val="19"/>
          <w:szCs w:val="19"/>
        </w:rPr>
        <w:t xml:space="preserve"> </w:t>
      </w:r>
      <w:r>
        <w:rPr>
          <w:rFonts w:ascii="宋体" w:hAnsi="宋体" w:eastAsia="宋体" w:cs="宋体"/>
          <w:spacing w:val="8"/>
          <w:sz w:val="19"/>
          <w:szCs w:val="19"/>
        </w:rPr>
        <w:t>继续履行合同约定的义务和责任。</w:t>
      </w:r>
    </w:p>
    <w:p w14:paraId="5D12BD7A">
      <w:pPr>
        <w:spacing w:before="147" w:line="228" w:lineRule="auto"/>
        <w:ind w:left="4542"/>
        <w:rPr>
          <w:rFonts w:ascii="宋体" w:hAnsi="宋体" w:eastAsia="宋体" w:cs="宋体"/>
          <w:sz w:val="19"/>
          <w:szCs w:val="19"/>
        </w:rPr>
      </w:pPr>
      <w:r>
        <w:rPr>
          <w:rFonts w:ascii="宋体" w:hAnsi="宋体" w:eastAsia="宋体" w:cs="宋体"/>
          <w:b/>
          <w:bCs/>
          <w:spacing w:val="6"/>
          <w:sz w:val="19"/>
          <w:szCs w:val="19"/>
        </w:rPr>
        <w:t>争议的解决</w:t>
      </w:r>
    </w:p>
    <w:p w14:paraId="047AF055">
      <w:pPr>
        <w:spacing w:before="143" w:line="368" w:lineRule="auto"/>
        <w:ind w:firstLine="420"/>
        <w:jc w:val="both"/>
        <w:rPr>
          <w:rFonts w:ascii="宋体" w:hAnsi="宋体" w:eastAsia="宋体" w:cs="宋体"/>
          <w:sz w:val="20"/>
          <w:szCs w:val="20"/>
        </w:rPr>
      </w:pPr>
      <w:r>
        <w:rPr>
          <w:rFonts w:ascii="宋体" w:hAnsi="宋体" w:eastAsia="宋体" w:cs="宋体"/>
          <w:b/>
          <w:bCs/>
          <w:spacing w:val="9"/>
          <w:sz w:val="20"/>
          <w:szCs w:val="20"/>
        </w:rPr>
        <w:t>第四十三条</w:t>
      </w:r>
      <w:r>
        <w:rPr>
          <w:rFonts w:ascii="宋体" w:hAnsi="宋体" w:eastAsia="宋体" w:cs="宋体"/>
          <w:spacing w:val="9"/>
          <w:sz w:val="20"/>
          <w:szCs w:val="20"/>
        </w:rPr>
        <w:t xml:space="preserve"> 本合同发生争议，</w:t>
      </w:r>
      <w:r>
        <w:rPr>
          <w:rFonts w:ascii="宋体" w:hAnsi="宋体" w:eastAsia="宋体" w:cs="宋体"/>
          <w:spacing w:val="-57"/>
          <w:sz w:val="20"/>
          <w:szCs w:val="20"/>
        </w:rPr>
        <w:t xml:space="preserve"> </w:t>
      </w:r>
      <w:r>
        <w:rPr>
          <w:rFonts w:ascii="宋体" w:hAnsi="宋体" w:eastAsia="宋体" w:cs="宋体"/>
          <w:spacing w:val="9"/>
          <w:sz w:val="20"/>
          <w:szCs w:val="20"/>
        </w:rPr>
        <w:t>由当事人双方协商解决；也</w:t>
      </w:r>
      <w:r>
        <w:rPr>
          <w:rFonts w:ascii="宋体" w:hAnsi="宋体" w:eastAsia="宋体" w:cs="宋体"/>
          <w:spacing w:val="8"/>
          <w:sz w:val="20"/>
          <w:szCs w:val="20"/>
        </w:rPr>
        <w:t>可由工程项目主管部门或合同争议调解机构调</w:t>
      </w:r>
      <w:r>
        <w:rPr>
          <w:rFonts w:ascii="宋体" w:hAnsi="宋体" w:eastAsia="宋体" w:cs="宋体"/>
          <w:sz w:val="20"/>
          <w:szCs w:val="20"/>
        </w:rPr>
        <w:t xml:space="preserve">  </w:t>
      </w:r>
      <w:r>
        <w:rPr>
          <w:rFonts w:ascii="宋体" w:hAnsi="宋体" w:eastAsia="宋体" w:cs="宋体"/>
          <w:spacing w:val="10"/>
          <w:sz w:val="20"/>
          <w:szCs w:val="20"/>
        </w:rPr>
        <w:t>解；协商或调解未果时，经当事人双方同意可由仲裁机构仲裁；或向人民法院起诉。</w:t>
      </w:r>
      <w:r>
        <w:rPr>
          <w:rFonts w:ascii="宋体" w:hAnsi="宋体" w:eastAsia="宋体" w:cs="宋体"/>
          <w:spacing w:val="9"/>
          <w:sz w:val="20"/>
          <w:szCs w:val="20"/>
        </w:rPr>
        <w:t>争议调解机构、仲裁机构</w:t>
      </w:r>
      <w:r>
        <w:rPr>
          <w:rFonts w:ascii="宋体" w:hAnsi="宋体" w:eastAsia="宋体" w:cs="宋体"/>
          <w:sz w:val="20"/>
          <w:szCs w:val="20"/>
        </w:rPr>
        <w:t xml:space="preserve"> </w:t>
      </w:r>
      <w:r>
        <w:rPr>
          <w:rFonts w:ascii="宋体" w:hAnsi="宋体" w:eastAsia="宋体" w:cs="宋体"/>
          <w:spacing w:val="8"/>
          <w:sz w:val="20"/>
          <w:szCs w:val="20"/>
        </w:rPr>
        <w:t>在专用合同条款中约定。</w:t>
      </w:r>
    </w:p>
    <w:p w14:paraId="02847236">
      <w:pPr>
        <w:spacing w:before="31" w:line="227" w:lineRule="auto"/>
        <w:ind w:left="420"/>
        <w:rPr>
          <w:rFonts w:ascii="宋体" w:hAnsi="宋体" w:eastAsia="宋体" w:cs="宋体"/>
          <w:sz w:val="20"/>
          <w:szCs w:val="20"/>
        </w:rPr>
      </w:pPr>
      <w:r>
        <w:rPr>
          <w:rFonts w:ascii="宋体" w:hAnsi="宋体" w:eastAsia="宋体" w:cs="宋体"/>
          <w:b/>
          <w:bCs/>
          <w:spacing w:val="9"/>
          <w:sz w:val="20"/>
          <w:szCs w:val="20"/>
        </w:rPr>
        <w:t>第四十四条</w:t>
      </w:r>
      <w:r>
        <w:rPr>
          <w:rFonts w:ascii="宋体" w:hAnsi="宋体" w:eastAsia="宋体" w:cs="宋体"/>
          <w:spacing w:val="9"/>
          <w:sz w:val="20"/>
          <w:szCs w:val="20"/>
        </w:rPr>
        <w:t xml:space="preserve"> 在争议协商、调解、仲裁或起诉过程中，双方仍应继续履行本合同约定的责任和义务。</w:t>
      </w:r>
    </w:p>
    <w:p w14:paraId="18F9199A">
      <w:pPr>
        <w:spacing w:line="227" w:lineRule="auto"/>
        <w:rPr>
          <w:rFonts w:ascii="宋体" w:hAnsi="宋体" w:eastAsia="宋体" w:cs="宋体"/>
          <w:sz w:val="20"/>
          <w:szCs w:val="20"/>
        </w:rPr>
        <w:sectPr>
          <w:footerReference r:id="rId14" w:type="default"/>
          <w:pgSz w:w="12240" w:h="15840"/>
          <w:pgMar w:top="1127" w:right="1082" w:bottom="1072" w:left="1087" w:header="0" w:footer="910" w:gutter="0"/>
          <w:cols w:space="720" w:num="1"/>
        </w:sectPr>
      </w:pPr>
    </w:p>
    <w:p w14:paraId="1FAAEDAB">
      <w:pPr>
        <w:spacing w:before="281" w:line="228" w:lineRule="auto"/>
        <w:ind w:left="3400"/>
        <w:rPr>
          <w:rFonts w:ascii="宋体" w:hAnsi="宋体" w:eastAsia="宋体" w:cs="宋体"/>
          <w:sz w:val="19"/>
          <w:szCs w:val="19"/>
        </w:rPr>
      </w:pPr>
      <w:r>
        <w:rPr>
          <w:rFonts w:ascii="宋体" w:hAnsi="宋体" w:eastAsia="宋体" w:cs="宋体"/>
          <w:b/>
          <w:bCs/>
          <w:spacing w:val="7"/>
          <w:sz w:val="19"/>
          <w:szCs w:val="19"/>
        </w:rPr>
        <w:t>第二部分</w:t>
      </w:r>
      <w:r>
        <w:rPr>
          <w:rFonts w:ascii="宋体" w:hAnsi="宋体" w:eastAsia="宋体" w:cs="宋体"/>
          <w:spacing w:val="7"/>
          <w:sz w:val="19"/>
          <w:szCs w:val="19"/>
        </w:rPr>
        <w:t xml:space="preserve">  </w:t>
      </w:r>
      <w:r>
        <w:rPr>
          <w:rFonts w:ascii="宋体" w:hAnsi="宋体" w:eastAsia="宋体" w:cs="宋体"/>
          <w:b/>
          <w:bCs/>
          <w:spacing w:val="7"/>
          <w:sz w:val="19"/>
          <w:szCs w:val="19"/>
        </w:rPr>
        <w:t>专用合同条款</w:t>
      </w:r>
    </w:p>
    <w:p w14:paraId="51251093">
      <w:pPr>
        <w:pStyle w:val="10"/>
        <w:spacing w:line="421" w:lineRule="auto"/>
      </w:pPr>
    </w:p>
    <w:p w14:paraId="55247506">
      <w:pPr>
        <w:spacing w:before="62" w:line="227" w:lineRule="auto"/>
        <w:ind w:left="4636"/>
        <w:rPr>
          <w:rFonts w:ascii="宋体" w:hAnsi="宋体" w:eastAsia="宋体" w:cs="宋体"/>
          <w:sz w:val="19"/>
          <w:szCs w:val="19"/>
        </w:rPr>
      </w:pPr>
      <w:r>
        <w:rPr>
          <w:rFonts w:ascii="宋体" w:hAnsi="宋体" w:eastAsia="宋体" w:cs="宋体"/>
          <w:b/>
          <w:bCs/>
          <w:spacing w:val="6"/>
          <w:sz w:val="19"/>
          <w:szCs w:val="19"/>
        </w:rPr>
        <w:t>监理依据</w:t>
      </w:r>
    </w:p>
    <w:p w14:paraId="75EEABBF">
      <w:pPr>
        <w:spacing w:before="125" w:line="335" w:lineRule="auto"/>
        <w:ind w:right="49" w:firstLine="403"/>
        <w:rPr>
          <w:rFonts w:ascii="宋体" w:hAnsi="宋体" w:eastAsia="宋体" w:cs="宋体"/>
          <w:sz w:val="19"/>
          <w:szCs w:val="19"/>
        </w:rPr>
      </w:pPr>
      <w:r>
        <w:rPr>
          <w:rFonts w:ascii="宋体" w:hAnsi="宋体" w:eastAsia="宋体" w:cs="宋体"/>
          <w:b/>
          <w:bCs/>
          <w:spacing w:val="9"/>
          <w:sz w:val="19"/>
          <w:szCs w:val="19"/>
        </w:rPr>
        <w:t>一、</w:t>
      </w:r>
      <w:r>
        <w:rPr>
          <w:rFonts w:ascii="宋体" w:hAnsi="宋体" w:eastAsia="宋体" w:cs="宋体"/>
          <w:spacing w:val="9"/>
          <w:sz w:val="19"/>
          <w:szCs w:val="19"/>
        </w:rPr>
        <w:t xml:space="preserve">  本合同的监理依据为：  有关工程建设的法律、法规、规章和规范性文件；工程建设强制性条文、有关</w:t>
      </w:r>
      <w:r>
        <w:rPr>
          <w:rFonts w:ascii="宋体" w:hAnsi="宋体" w:eastAsia="宋体" w:cs="宋体"/>
          <w:spacing w:val="13"/>
          <w:sz w:val="19"/>
          <w:szCs w:val="19"/>
        </w:rPr>
        <w:t xml:space="preserve"> </w:t>
      </w:r>
      <w:r>
        <w:rPr>
          <w:rFonts w:ascii="宋体" w:hAnsi="宋体" w:eastAsia="宋体" w:cs="宋体"/>
          <w:spacing w:val="10"/>
          <w:sz w:val="19"/>
          <w:szCs w:val="19"/>
        </w:rPr>
        <w:t>技术标准；经批准的本工程建设项目设计文件及相关</w:t>
      </w:r>
      <w:r>
        <w:rPr>
          <w:rFonts w:ascii="宋体" w:hAnsi="宋体" w:eastAsia="宋体" w:cs="宋体"/>
          <w:spacing w:val="9"/>
          <w:sz w:val="19"/>
          <w:szCs w:val="19"/>
        </w:rPr>
        <w:t>文件；本工程监理合同、施工合同等合同文件。</w:t>
      </w:r>
    </w:p>
    <w:p w14:paraId="50A9377A">
      <w:pPr>
        <w:pStyle w:val="10"/>
        <w:spacing w:line="327" w:lineRule="auto"/>
      </w:pPr>
    </w:p>
    <w:p w14:paraId="6E06F30E">
      <w:pPr>
        <w:spacing w:before="62" w:line="228" w:lineRule="auto"/>
        <w:ind w:left="403"/>
        <w:rPr>
          <w:rFonts w:ascii="宋体" w:hAnsi="宋体" w:eastAsia="宋体" w:cs="宋体"/>
          <w:sz w:val="19"/>
          <w:szCs w:val="19"/>
        </w:rPr>
      </w:pPr>
      <w:r>
        <w:rPr>
          <w:rFonts w:ascii="宋体" w:hAnsi="宋体" w:eastAsia="宋体" w:cs="宋体"/>
          <w:b/>
          <w:bCs/>
          <w:spacing w:val="5"/>
          <w:sz w:val="19"/>
          <w:szCs w:val="19"/>
        </w:rPr>
        <w:t>二、</w:t>
      </w:r>
      <w:r>
        <w:rPr>
          <w:rFonts w:ascii="宋体" w:hAnsi="宋体" w:eastAsia="宋体" w:cs="宋体"/>
          <w:spacing w:val="3"/>
          <w:sz w:val="19"/>
          <w:szCs w:val="19"/>
        </w:rPr>
        <w:t xml:space="preserve">                        </w:t>
      </w:r>
      <w:r>
        <w:rPr>
          <w:rFonts w:ascii="宋体" w:hAnsi="宋体" w:eastAsia="宋体" w:cs="宋体"/>
          <w:spacing w:val="2"/>
          <w:sz w:val="19"/>
          <w:szCs w:val="19"/>
        </w:rPr>
        <w:t xml:space="preserve">         </w:t>
      </w:r>
      <w:r>
        <w:rPr>
          <w:rFonts w:ascii="宋体" w:hAnsi="宋体" w:eastAsia="宋体" w:cs="宋体"/>
          <w:b/>
          <w:bCs/>
          <w:spacing w:val="5"/>
          <w:sz w:val="19"/>
          <w:szCs w:val="19"/>
        </w:rPr>
        <w:t>委托人的权利</w:t>
      </w:r>
    </w:p>
    <w:p w14:paraId="48A193F2">
      <w:pPr>
        <w:spacing w:before="125" w:line="335" w:lineRule="auto"/>
        <w:ind w:left="414" w:right="4899" w:hanging="2"/>
        <w:rPr>
          <w:rFonts w:ascii="宋体" w:hAnsi="宋体" w:eastAsia="宋体" w:cs="宋体"/>
          <w:sz w:val="19"/>
          <w:szCs w:val="19"/>
        </w:rPr>
      </w:pPr>
      <w:r>
        <w:rPr>
          <w:rFonts w:ascii="宋体" w:hAnsi="宋体" w:eastAsia="宋体" w:cs="宋体"/>
          <w:spacing w:val="7"/>
          <w:sz w:val="19"/>
          <w:szCs w:val="19"/>
        </w:rPr>
        <w:t>当监理人发生下列违约情形时，委托人有权解除合同：</w:t>
      </w:r>
      <w:r>
        <w:rPr>
          <w:rFonts w:ascii="宋体" w:hAnsi="宋体" w:eastAsia="宋体" w:cs="宋体"/>
          <w:sz w:val="19"/>
          <w:szCs w:val="19"/>
        </w:rPr>
        <w:t xml:space="preserve"> </w:t>
      </w:r>
      <w:r>
        <w:rPr>
          <w:rFonts w:ascii="宋体" w:hAnsi="宋体" w:eastAsia="宋体" w:cs="宋体"/>
          <w:spacing w:val="7"/>
          <w:sz w:val="19"/>
          <w:szCs w:val="19"/>
        </w:rPr>
        <w:t>1.监理人未在规定时间内进驻现场。</w:t>
      </w:r>
    </w:p>
    <w:p w14:paraId="3861CE79">
      <w:pPr>
        <w:spacing w:before="30" w:line="335" w:lineRule="auto"/>
        <w:ind w:left="403" w:right="3685" w:hanging="1"/>
        <w:rPr>
          <w:rFonts w:ascii="宋体" w:hAnsi="宋体" w:eastAsia="宋体" w:cs="宋体"/>
          <w:sz w:val="19"/>
          <w:szCs w:val="19"/>
        </w:rPr>
      </w:pPr>
      <w:r>
        <w:rPr>
          <w:rFonts w:ascii="宋体" w:hAnsi="宋体" w:eastAsia="宋体" w:cs="宋体"/>
          <w:spacing w:val="8"/>
          <w:sz w:val="19"/>
          <w:szCs w:val="19"/>
        </w:rPr>
        <w:t>2.监理人员核定的计量存在虚假情况，给发包人造成一定经济损失。</w:t>
      </w:r>
      <w:r>
        <w:rPr>
          <w:rFonts w:ascii="宋体" w:hAnsi="宋体" w:eastAsia="宋体" w:cs="宋体"/>
          <w:spacing w:val="4"/>
          <w:sz w:val="19"/>
          <w:szCs w:val="19"/>
        </w:rPr>
        <w:t xml:space="preserve"> </w:t>
      </w:r>
      <w:r>
        <w:rPr>
          <w:rFonts w:ascii="宋体" w:hAnsi="宋体" w:eastAsia="宋体" w:cs="宋体"/>
          <w:spacing w:val="8"/>
          <w:sz w:val="19"/>
          <w:szCs w:val="19"/>
        </w:rPr>
        <w:t>3.擅自更改进驻现场的监理人员及专业配置。</w:t>
      </w:r>
    </w:p>
    <w:p w14:paraId="1FE6AAC5">
      <w:pPr>
        <w:spacing w:before="30" w:line="335" w:lineRule="auto"/>
        <w:ind w:left="2" w:right="52" w:firstLine="396"/>
        <w:rPr>
          <w:rFonts w:ascii="宋体" w:hAnsi="宋体" w:eastAsia="宋体" w:cs="宋体"/>
          <w:sz w:val="19"/>
          <w:szCs w:val="19"/>
        </w:rPr>
      </w:pPr>
      <w:r>
        <w:rPr>
          <w:rFonts w:ascii="宋体" w:hAnsi="宋体" w:eastAsia="宋体" w:cs="宋体"/>
          <w:spacing w:val="7"/>
          <w:sz w:val="19"/>
          <w:szCs w:val="19"/>
        </w:rPr>
        <w:t>4.严格执行监理细则，委托人方面抽查如三次以上不在现场，扣减监理费的</w:t>
      </w:r>
      <w:r>
        <w:rPr>
          <w:rFonts w:ascii="宋体" w:hAnsi="宋体" w:eastAsia="宋体" w:cs="宋体"/>
          <w:spacing w:val="-21"/>
          <w:sz w:val="19"/>
          <w:szCs w:val="19"/>
        </w:rPr>
        <w:t xml:space="preserve"> </w:t>
      </w:r>
      <w:r>
        <w:rPr>
          <w:rFonts w:ascii="宋体" w:hAnsi="宋体" w:eastAsia="宋体" w:cs="宋体"/>
          <w:spacing w:val="7"/>
          <w:sz w:val="19"/>
          <w:szCs w:val="19"/>
        </w:rPr>
        <w:t>10%，5</w:t>
      </w:r>
      <w:r>
        <w:rPr>
          <w:rFonts w:ascii="宋体" w:hAnsi="宋体" w:eastAsia="宋体" w:cs="宋体"/>
          <w:spacing w:val="-32"/>
          <w:sz w:val="19"/>
          <w:szCs w:val="19"/>
        </w:rPr>
        <w:t xml:space="preserve"> </w:t>
      </w:r>
      <w:r>
        <w:rPr>
          <w:rFonts w:ascii="宋体" w:hAnsi="宋体" w:eastAsia="宋体" w:cs="宋体"/>
          <w:spacing w:val="7"/>
          <w:sz w:val="19"/>
          <w:szCs w:val="19"/>
        </w:rPr>
        <w:t>次以上扣减监理费的</w:t>
      </w:r>
      <w:r>
        <w:rPr>
          <w:rFonts w:ascii="宋体" w:hAnsi="宋体" w:eastAsia="宋体" w:cs="宋体"/>
          <w:spacing w:val="-33"/>
          <w:sz w:val="19"/>
          <w:szCs w:val="19"/>
        </w:rPr>
        <w:t xml:space="preserve"> </w:t>
      </w:r>
      <w:r>
        <w:rPr>
          <w:rFonts w:ascii="宋体" w:hAnsi="宋体" w:eastAsia="宋体" w:cs="宋体"/>
          <w:spacing w:val="7"/>
          <w:sz w:val="19"/>
          <w:szCs w:val="19"/>
        </w:rPr>
        <w:t>50%；</w:t>
      </w:r>
      <w:r>
        <w:rPr>
          <w:rFonts w:ascii="宋体" w:hAnsi="宋体" w:eastAsia="宋体" w:cs="宋体"/>
          <w:sz w:val="19"/>
          <w:szCs w:val="19"/>
        </w:rPr>
        <w:t xml:space="preserve"> </w:t>
      </w:r>
      <w:r>
        <w:rPr>
          <w:rFonts w:ascii="宋体" w:hAnsi="宋体" w:eastAsia="宋体" w:cs="宋体"/>
          <w:spacing w:val="8"/>
          <w:sz w:val="19"/>
          <w:szCs w:val="19"/>
        </w:rPr>
        <w:t>不严格按监理细则执行的，如发现，每次扣监理费的</w:t>
      </w:r>
      <w:r>
        <w:rPr>
          <w:rFonts w:ascii="宋体" w:hAnsi="宋体" w:eastAsia="宋体" w:cs="宋体"/>
          <w:spacing w:val="-26"/>
          <w:sz w:val="19"/>
          <w:szCs w:val="19"/>
        </w:rPr>
        <w:t xml:space="preserve"> </w:t>
      </w:r>
      <w:r>
        <w:rPr>
          <w:rFonts w:ascii="宋体" w:hAnsi="宋体" w:eastAsia="宋体" w:cs="宋体"/>
          <w:spacing w:val="8"/>
          <w:sz w:val="19"/>
          <w:szCs w:val="19"/>
        </w:rPr>
        <w:t>5%。</w:t>
      </w:r>
    </w:p>
    <w:p w14:paraId="45AF9447">
      <w:pPr>
        <w:spacing w:before="30" w:line="228" w:lineRule="auto"/>
        <w:ind w:left="403"/>
        <w:rPr>
          <w:rFonts w:ascii="宋体" w:hAnsi="宋体" w:eastAsia="宋体" w:cs="宋体"/>
          <w:sz w:val="19"/>
          <w:szCs w:val="19"/>
        </w:rPr>
      </w:pPr>
      <w:r>
        <w:rPr>
          <w:rFonts w:ascii="宋体" w:hAnsi="宋体" w:eastAsia="宋体" w:cs="宋体"/>
          <w:spacing w:val="8"/>
          <w:sz w:val="19"/>
          <w:szCs w:val="19"/>
        </w:rPr>
        <w:t>5.监理人员遵照法律法规规定办理保险业务。</w:t>
      </w:r>
    </w:p>
    <w:p w14:paraId="77F34E81">
      <w:pPr>
        <w:spacing w:before="125" w:line="228" w:lineRule="auto"/>
        <w:ind w:left="401"/>
        <w:rPr>
          <w:rFonts w:ascii="宋体" w:hAnsi="宋体" w:eastAsia="宋体" w:cs="宋体"/>
          <w:sz w:val="19"/>
          <w:szCs w:val="19"/>
        </w:rPr>
      </w:pPr>
      <w:r>
        <w:rPr>
          <w:rFonts w:ascii="宋体" w:hAnsi="宋体" w:eastAsia="宋体" w:cs="宋体"/>
          <w:spacing w:val="8"/>
          <w:sz w:val="19"/>
          <w:szCs w:val="19"/>
        </w:rPr>
        <w:t>6.监理人按时提交监理资料，保证工程按时验收。</w:t>
      </w:r>
    </w:p>
    <w:p w14:paraId="74D563C9">
      <w:pPr>
        <w:spacing w:before="126" w:line="335" w:lineRule="auto"/>
        <w:ind w:left="9" w:right="52" w:firstLine="395"/>
        <w:rPr>
          <w:rFonts w:ascii="宋体" w:hAnsi="宋体" w:eastAsia="宋体" w:cs="宋体"/>
          <w:sz w:val="19"/>
          <w:szCs w:val="19"/>
        </w:rPr>
      </w:pPr>
      <w:r>
        <w:rPr>
          <w:rFonts w:ascii="宋体" w:hAnsi="宋体" w:eastAsia="宋体" w:cs="宋体"/>
          <w:spacing w:val="9"/>
          <w:sz w:val="19"/>
          <w:szCs w:val="19"/>
        </w:rPr>
        <w:t>7.施工过程中，因监理人监管不到位，导致工程质量不合格，</w:t>
      </w:r>
      <w:r>
        <w:rPr>
          <w:rFonts w:ascii="宋体" w:hAnsi="宋体" w:eastAsia="宋体" w:cs="宋体"/>
          <w:spacing w:val="-54"/>
          <w:sz w:val="19"/>
          <w:szCs w:val="19"/>
        </w:rPr>
        <w:t xml:space="preserve"> </w:t>
      </w:r>
      <w:r>
        <w:rPr>
          <w:rFonts w:ascii="宋体" w:hAnsi="宋体" w:eastAsia="宋体" w:cs="宋体"/>
          <w:spacing w:val="9"/>
          <w:sz w:val="19"/>
          <w:szCs w:val="19"/>
        </w:rPr>
        <w:t>由监</w:t>
      </w:r>
      <w:r>
        <w:rPr>
          <w:rFonts w:ascii="宋体" w:hAnsi="宋体" w:eastAsia="宋体" w:cs="宋体"/>
          <w:spacing w:val="8"/>
          <w:sz w:val="19"/>
          <w:szCs w:val="19"/>
        </w:rPr>
        <w:t>理人负全责，根据工程造价扣减对应监理费</w:t>
      </w:r>
      <w:r>
        <w:rPr>
          <w:rFonts w:ascii="宋体" w:hAnsi="宋体" w:eastAsia="宋体" w:cs="宋体"/>
          <w:sz w:val="19"/>
          <w:szCs w:val="19"/>
        </w:rPr>
        <w:t xml:space="preserve"> </w:t>
      </w:r>
      <w:r>
        <w:rPr>
          <w:rFonts w:ascii="宋体" w:hAnsi="宋体" w:eastAsia="宋体" w:cs="宋体"/>
          <w:spacing w:val="6"/>
          <w:sz w:val="19"/>
          <w:szCs w:val="19"/>
        </w:rPr>
        <w:t>（不得超监理费总额）。</w:t>
      </w:r>
    </w:p>
    <w:p w14:paraId="4298A9B0">
      <w:pPr>
        <w:spacing w:before="29" w:line="334" w:lineRule="auto"/>
        <w:ind w:left="3" w:firstLine="397"/>
        <w:rPr>
          <w:rFonts w:ascii="宋体" w:hAnsi="宋体" w:eastAsia="宋体" w:cs="宋体"/>
          <w:sz w:val="19"/>
          <w:szCs w:val="19"/>
        </w:rPr>
      </w:pPr>
      <w:r>
        <w:rPr>
          <w:rFonts w:ascii="宋体" w:hAnsi="宋体" w:eastAsia="宋体" w:cs="宋体"/>
          <w:spacing w:val="9"/>
          <w:sz w:val="19"/>
          <w:szCs w:val="19"/>
        </w:rPr>
        <w:t>8.根据《水利工程建设施工监理机构监理人员配置标准导则》配置监理人员：监理总监常驻现场，每月最低</w:t>
      </w:r>
      <w:r>
        <w:rPr>
          <w:rFonts w:ascii="宋体" w:hAnsi="宋体" w:eastAsia="宋体" w:cs="宋体"/>
          <w:spacing w:val="-26"/>
          <w:sz w:val="19"/>
          <w:szCs w:val="19"/>
        </w:rPr>
        <w:t xml:space="preserve"> </w:t>
      </w:r>
      <w:r>
        <w:rPr>
          <w:rFonts w:ascii="宋体" w:hAnsi="宋体" w:eastAsia="宋体" w:cs="宋体"/>
          <w:spacing w:val="9"/>
          <w:sz w:val="19"/>
          <w:szCs w:val="19"/>
        </w:rPr>
        <w:t>22</w:t>
      </w:r>
      <w:r>
        <w:rPr>
          <w:rFonts w:ascii="宋体" w:hAnsi="宋体" w:eastAsia="宋体" w:cs="宋体"/>
          <w:sz w:val="19"/>
          <w:szCs w:val="19"/>
        </w:rPr>
        <w:t xml:space="preserve"> </w:t>
      </w:r>
      <w:r>
        <w:rPr>
          <w:rFonts w:ascii="宋体" w:hAnsi="宋体" w:eastAsia="宋体" w:cs="宋体"/>
          <w:spacing w:val="4"/>
          <w:sz w:val="19"/>
          <w:szCs w:val="19"/>
        </w:rPr>
        <w:t>天。500</w:t>
      </w:r>
      <w:r>
        <w:rPr>
          <w:rFonts w:ascii="宋体" w:hAnsi="宋体" w:eastAsia="宋体" w:cs="宋体"/>
          <w:spacing w:val="-15"/>
          <w:sz w:val="19"/>
          <w:szCs w:val="19"/>
        </w:rPr>
        <w:t xml:space="preserve"> </w:t>
      </w:r>
      <w:r>
        <w:rPr>
          <w:rFonts w:ascii="宋体" w:hAnsi="宋体" w:eastAsia="宋体" w:cs="宋体"/>
          <w:spacing w:val="4"/>
          <w:sz w:val="19"/>
          <w:szCs w:val="19"/>
        </w:rPr>
        <w:t>万元以下</w:t>
      </w:r>
      <w:r>
        <w:rPr>
          <w:rFonts w:ascii="宋体" w:hAnsi="宋体" w:eastAsia="宋体" w:cs="宋体"/>
          <w:spacing w:val="-32"/>
          <w:sz w:val="19"/>
          <w:szCs w:val="19"/>
        </w:rPr>
        <w:t xml:space="preserve"> </w:t>
      </w:r>
      <w:r>
        <w:rPr>
          <w:rFonts w:ascii="宋体" w:hAnsi="宋体" w:eastAsia="宋体" w:cs="宋体"/>
          <w:spacing w:val="4"/>
          <w:sz w:val="19"/>
          <w:szCs w:val="19"/>
        </w:rPr>
        <w:t>2</w:t>
      </w:r>
      <w:r>
        <w:rPr>
          <w:rFonts w:ascii="宋体" w:hAnsi="宋体" w:eastAsia="宋体" w:cs="宋体"/>
          <w:spacing w:val="-36"/>
          <w:sz w:val="19"/>
          <w:szCs w:val="19"/>
        </w:rPr>
        <w:t xml:space="preserve"> </w:t>
      </w:r>
      <w:r>
        <w:rPr>
          <w:rFonts w:ascii="宋体" w:hAnsi="宋体" w:eastAsia="宋体" w:cs="宋体"/>
          <w:spacing w:val="4"/>
          <w:sz w:val="19"/>
          <w:szCs w:val="19"/>
        </w:rPr>
        <w:t>名监理人，500</w:t>
      </w:r>
      <w:r>
        <w:rPr>
          <w:rFonts w:ascii="宋体" w:hAnsi="宋体" w:eastAsia="宋体" w:cs="宋体"/>
          <w:spacing w:val="-33"/>
          <w:sz w:val="19"/>
          <w:szCs w:val="19"/>
        </w:rPr>
        <w:t xml:space="preserve"> </w:t>
      </w:r>
      <w:r>
        <w:rPr>
          <w:rFonts w:ascii="宋体" w:hAnsi="宋体" w:eastAsia="宋体" w:cs="宋体"/>
          <w:spacing w:val="4"/>
          <w:sz w:val="19"/>
          <w:szCs w:val="19"/>
        </w:rPr>
        <w:t>万-1000</w:t>
      </w:r>
      <w:r>
        <w:rPr>
          <w:rFonts w:ascii="宋体" w:hAnsi="宋体" w:eastAsia="宋体" w:cs="宋体"/>
          <w:spacing w:val="-33"/>
          <w:sz w:val="19"/>
          <w:szCs w:val="19"/>
        </w:rPr>
        <w:t xml:space="preserve"> </w:t>
      </w:r>
      <w:r>
        <w:rPr>
          <w:rFonts w:ascii="宋体" w:hAnsi="宋体" w:eastAsia="宋体" w:cs="宋体"/>
          <w:spacing w:val="4"/>
          <w:sz w:val="19"/>
          <w:szCs w:val="19"/>
        </w:rPr>
        <w:t>万元</w:t>
      </w:r>
      <w:r>
        <w:rPr>
          <w:rFonts w:ascii="宋体" w:hAnsi="宋体" w:eastAsia="宋体" w:cs="宋体"/>
          <w:spacing w:val="-30"/>
          <w:sz w:val="19"/>
          <w:szCs w:val="19"/>
        </w:rPr>
        <w:t xml:space="preserve"> </w:t>
      </w:r>
      <w:r>
        <w:rPr>
          <w:rFonts w:ascii="宋体" w:hAnsi="宋体" w:eastAsia="宋体" w:cs="宋体"/>
          <w:spacing w:val="4"/>
          <w:sz w:val="19"/>
          <w:szCs w:val="19"/>
        </w:rPr>
        <w:t>3</w:t>
      </w:r>
      <w:r>
        <w:rPr>
          <w:rFonts w:ascii="宋体" w:hAnsi="宋体" w:eastAsia="宋体" w:cs="宋体"/>
          <w:spacing w:val="-36"/>
          <w:sz w:val="19"/>
          <w:szCs w:val="19"/>
        </w:rPr>
        <w:t xml:space="preserve"> </w:t>
      </w:r>
      <w:r>
        <w:rPr>
          <w:rFonts w:ascii="宋体" w:hAnsi="宋体" w:eastAsia="宋体" w:cs="宋体"/>
          <w:spacing w:val="4"/>
          <w:sz w:val="19"/>
          <w:szCs w:val="19"/>
        </w:rPr>
        <w:t>名监理人,1000</w:t>
      </w:r>
      <w:r>
        <w:rPr>
          <w:rFonts w:ascii="宋体" w:hAnsi="宋体" w:eastAsia="宋体" w:cs="宋体"/>
          <w:spacing w:val="-30"/>
          <w:sz w:val="19"/>
          <w:szCs w:val="19"/>
        </w:rPr>
        <w:t xml:space="preserve"> </w:t>
      </w:r>
      <w:r>
        <w:rPr>
          <w:rFonts w:ascii="宋体" w:hAnsi="宋体" w:eastAsia="宋体" w:cs="宋体"/>
          <w:spacing w:val="4"/>
          <w:sz w:val="19"/>
          <w:szCs w:val="19"/>
        </w:rPr>
        <w:t>万以上</w:t>
      </w:r>
      <w:r>
        <w:rPr>
          <w:rFonts w:ascii="宋体" w:hAnsi="宋体" w:eastAsia="宋体" w:cs="宋体"/>
          <w:spacing w:val="-40"/>
          <w:sz w:val="19"/>
          <w:szCs w:val="19"/>
        </w:rPr>
        <w:t xml:space="preserve"> </w:t>
      </w:r>
      <w:r>
        <w:rPr>
          <w:rFonts w:ascii="宋体" w:hAnsi="宋体" w:eastAsia="宋体" w:cs="宋体"/>
          <w:spacing w:val="4"/>
          <w:sz w:val="19"/>
          <w:szCs w:val="19"/>
        </w:rPr>
        <w:t>4</w:t>
      </w:r>
      <w:r>
        <w:rPr>
          <w:rFonts w:ascii="宋体" w:hAnsi="宋体" w:eastAsia="宋体" w:cs="宋体"/>
          <w:spacing w:val="-34"/>
          <w:sz w:val="19"/>
          <w:szCs w:val="19"/>
        </w:rPr>
        <w:t xml:space="preserve"> </w:t>
      </w:r>
      <w:r>
        <w:rPr>
          <w:rFonts w:ascii="宋体" w:hAnsi="宋体" w:eastAsia="宋体" w:cs="宋体"/>
          <w:spacing w:val="4"/>
          <w:sz w:val="19"/>
          <w:szCs w:val="19"/>
        </w:rPr>
        <w:t>人-6</w:t>
      </w:r>
      <w:r>
        <w:rPr>
          <w:rFonts w:ascii="宋体" w:hAnsi="宋体" w:eastAsia="宋体" w:cs="宋体"/>
          <w:spacing w:val="-36"/>
          <w:sz w:val="19"/>
          <w:szCs w:val="19"/>
        </w:rPr>
        <w:t xml:space="preserve"> </w:t>
      </w:r>
      <w:r>
        <w:rPr>
          <w:rFonts w:ascii="宋体" w:hAnsi="宋体" w:eastAsia="宋体" w:cs="宋体"/>
          <w:spacing w:val="4"/>
          <w:sz w:val="19"/>
          <w:szCs w:val="19"/>
        </w:rPr>
        <w:t>人。</w:t>
      </w:r>
    </w:p>
    <w:p w14:paraId="730D9BEB">
      <w:pPr>
        <w:spacing w:before="34" w:line="228" w:lineRule="auto"/>
        <w:ind w:left="400"/>
        <w:rPr>
          <w:rFonts w:ascii="宋体" w:hAnsi="宋体" w:eastAsia="宋体" w:cs="宋体"/>
          <w:sz w:val="19"/>
          <w:szCs w:val="19"/>
        </w:rPr>
      </w:pPr>
      <w:r>
        <w:rPr>
          <w:rFonts w:ascii="宋体" w:hAnsi="宋体" w:eastAsia="宋体" w:cs="宋体"/>
          <w:b/>
          <w:bCs/>
          <w:spacing w:val="5"/>
          <w:sz w:val="19"/>
          <w:szCs w:val="19"/>
        </w:rPr>
        <w:t>三、</w:t>
      </w:r>
      <w:r>
        <w:rPr>
          <w:rFonts w:ascii="宋体" w:hAnsi="宋体" w:eastAsia="宋体" w:cs="宋体"/>
          <w:sz w:val="19"/>
          <w:szCs w:val="19"/>
        </w:rPr>
        <w:t xml:space="preserve">                                   </w:t>
      </w:r>
      <w:r>
        <w:rPr>
          <w:rFonts w:ascii="宋体" w:hAnsi="宋体" w:eastAsia="宋体" w:cs="宋体"/>
          <w:b/>
          <w:bCs/>
          <w:spacing w:val="5"/>
          <w:sz w:val="19"/>
          <w:szCs w:val="19"/>
        </w:rPr>
        <w:t>监理人的权利</w:t>
      </w:r>
    </w:p>
    <w:p w14:paraId="4CDF7F85">
      <w:pPr>
        <w:pStyle w:val="10"/>
        <w:spacing w:line="421" w:lineRule="auto"/>
      </w:pPr>
    </w:p>
    <w:p w14:paraId="4EA65AD7">
      <w:pPr>
        <w:spacing w:before="62" w:line="228" w:lineRule="auto"/>
        <w:ind w:left="412"/>
        <w:rPr>
          <w:rFonts w:ascii="宋体" w:hAnsi="宋体" w:eastAsia="宋体" w:cs="宋体"/>
          <w:sz w:val="19"/>
          <w:szCs w:val="19"/>
        </w:rPr>
      </w:pPr>
      <w:r>
        <w:rPr>
          <w:rFonts w:ascii="宋体" w:hAnsi="宋体" w:eastAsia="宋体" w:cs="宋体"/>
          <w:spacing w:val="8"/>
          <w:sz w:val="19"/>
          <w:szCs w:val="19"/>
        </w:rPr>
        <w:t>当委托人发生下列违约情形时，监理人有权解除合同：</w:t>
      </w:r>
    </w:p>
    <w:p w14:paraId="153AD0F4">
      <w:pPr>
        <w:spacing w:before="125" w:line="227" w:lineRule="auto"/>
        <w:ind w:left="414"/>
        <w:rPr>
          <w:rFonts w:ascii="宋体" w:hAnsi="宋体" w:eastAsia="宋体" w:cs="宋体"/>
          <w:sz w:val="19"/>
          <w:szCs w:val="19"/>
        </w:rPr>
      </w:pPr>
      <w:r>
        <w:rPr>
          <w:rFonts w:ascii="宋体" w:hAnsi="宋体" w:eastAsia="宋体" w:cs="宋体"/>
          <w:spacing w:val="7"/>
          <w:sz w:val="19"/>
          <w:szCs w:val="19"/>
        </w:rPr>
        <w:t xml:space="preserve">1、  未按本合同约定及时、足额支付监理服务酬金 </w:t>
      </w:r>
      <w:r>
        <w:rPr>
          <w:rFonts w:ascii="宋体" w:hAnsi="宋体" w:eastAsia="宋体" w:cs="宋体"/>
          <w:spacing w:val="6"/>
          <w:sz w:val="19"/>
          <w:szCs w:val="19"/>
        </w:rPr>
        <w:t xml:space="preserve">                          ；</w:t>
      </w:r>
    </w:p>
    <w:p w14:paraId="319BBF03">
      <w:pPr>
        <w:spacing w:before="126" w:line="350" w:lineRule="auto"/>
        <w:ind w:left="403" w:right="2185" w:hanging="1"/>
        <w:rPr>
          <w:rFonts w:ascii="宋体" w:hAnsi="宋体" w:eastAsia="宋体" w:cs="宋体"/>
          <w:sz w:val="19"/>
          <w:szCs w:val="19"/>
        </w:rPr>
      </w:pPr>
      <w:r>
        <w:rPr>
          <w:rFonts w:ascii="宋体" w:hAnsi="宋体" w:eastAsia="宋体" w:cs="宋体"/>
          <w:spacing w:val="9"/>
          <w:sz w:val="19"/>
          <w:szCs w:val="19"/>
        </w:rPr>
        <w:t>2、  未为监理机构指定具有检验、试验资质的机构并未承担检验、试验相关费用</w:t>
      </w:r>
      <w:r>
        <w:rPr>
          <w:rFonts w:ascii="宋体" w:hAnsi="宋体" w:eastAsia="宋体" w:cs="宋体"/>
          <w:spacing w:val="31"/>
          <w:sz w:val="19"/>
          <w:szCs w:val="19"/>
        </w:rPr>
        <w:t xml:space="preserve"> </w:t>
      </w:r>
      <w:r>
        <w:rPr>
          <w:rFonts w:ascii="宋体" w:hAnsi="宋体" w:eastAsia="宋体" w:cs="宋体"/>
          <w:spacing w:val="9"/>
          <w:sz w:val="19"/>
          <w:szCs w:val="19"/>
        </w:rPr>
        <w:t>；</w:t>
      </w:r>
      <w:r>
        <w:rPr>
          <w:rFonts w:ascii="宋体" w:hAnsi="宋体" w:eastAsia="宋体" w:cs="宋体"/>
          <w:sz w:val="19"/>
          <w:szCs w:val="19"/>
        </w:rPr>
        <w:t xml:space="preserve"> </w:t>
      </w:r>
      <w:r>
        <w:rPr>
          <w:rFonts w:ascii="宋体" w:hAnsi="宋体" w:eastAsia="宋体" w:cs="宋体"/>
          <w:spacing w:val="-10"/>
          <w:sz w:val="19"/>
          <w:szCs w:val="19"/>
        </w:rPr>
        <w:t>3、</w:t>
      </w:r>
      <w:r>
        <w:rPr>
          <w:rFonts w:ascii="宋体" w:hAnsi="宋体" w:eastAsia="宋体" w:cs="宋体"/>
          <w:spacing w:val="1"/>
          <w:sz w:val="19"/>
          <w:szCs w:val="19"/>
        </w:rPr>
        <w:t xml:space="preserve">                                                                        </w:t>
      </w:r>
      <w:r>
        <w:rPr>
          <w:rFonts w:ascii="宋体" w:hAnsi="宋体" w:eastAsia="宋体" w:cs="宋体"/>
          <w:spacing w:val="-10"/>
          <w:sz w:val="19"/>
          <w:szCs w:val="19"/>
        </w:rPr>
        <w:t>.。</w:t>
      </w:r>
      <w:r>
        <w:rPr>
          <w:rFonts w:ascii="宋体" w:hAnsi="宋体" w:eastAsia="宋体" w:cs="宋体"/>
          <w:spacing w:val="9"/>
          <w:sz w:val="19"/>
          <w:szCs w:val="19"/>
        </w:rPr>
        <w:t xml:space="preserve"> 委托人赋予监理人的其他权利：</w:t>
      </w:r>
    </w:p>
    <w:p w14:paraId="4AD7E2B4">
      <w:pPr>
        <w:spacing w:line="227" w:lineRule="auto"/>
        <w:ind w:left="414"/>
        <w:rPr>
          <w:rFonts w:ascii="宋体" w:hAnsi="宋体" w:eastAsia="宋体" w:cs="宋体"/>
          <w:sz w:val="19"/>
          <w:szCs w:val="19"/>
        </w:rPr>
      </w:pPr>
      <w:r>
        <w:rPr>
          <w:rFonts w:ascii="宋体" w:hAnsi="宋体" w:eastAsia="宋体" w:cs="宋体"/>
          <w:spacing w:val="8"/>
          <w:sz w:val="19"/>
          <w:szCs w:val="19"/>
        </w:rPr>
        <w:t>1、  签发工程移交证书（按《水利工程建设项目施工监理规范》</w:t>
      </w:r>
      <w:r>
        <w:rPr>
          <w:rFonts w:ascii="宋体" w:hAnsi="宋体" w:eastAsia="宋体" w:cs="宋体"/>
          <w:sz w:val="19"/>
          <w:szCs w:val="19"/>
        </w:rPr>
        <w:t>SL</w:t>
      </w:r>
      <w:r>
        <w:rPr>
          <w:rFonts w:ascii="宋体" w:hAnsi="宋体" w:eastAsia="宋体" w:cs="宋体"/>
          <w:spacing w:val="8"/>
          <w:sz w:val="19"/>
          <w:szCs w:val="19"/>
        </w:rPr>
        <w:t>2</w:t>
      </w:r>
      <w:r>
        <w:rPr>
          <w:rFonts w:ascii="宋体" w:hAnsi="宋体" w:eastAsia="宋体" w:cs="宋体"/>
          <w:spacing w:val="7"/>
          <w:sz w:val="19"/>
          <w:szCs w:val="19"/>
        </w:rPr>
        <w:t>88-2014</w:t>
      </w:r>
      <w:r>
        <w:rPr>
          <w:rFonts w:ascii="宋体" w:hAnsi="宋体" w:eastAsia="宋体" w:cs="宋体"/>
          <w:spacing w:val="-19"/>
          <w:sz w:val="19"/>
          <w:szCs w:val="19"/>
        </w:rPr>
        <w:t xml:space="preserve"> </w:t>
      </w:r>
      <w:r>
        <w:rPr>
          <w:rFonts w:ascii="宋体" w:hAnsi="宋体" w:eastAsia="宋体" w:cs="宋体"/>
          <w:spacing w:val="7"/>
          <w:sz w:val="19"/>
          <w:szCs w:val="19"/>
        </w:rPr>
        <w:t>中规定执行</w:t>
      </w:r>
      <w:r>
        <w:rPr>
          <w:rFonts w:ascii="宋体" w:hAnsi="宋体" w:eastAsia="宋体" w:cs="宋体"/>
          <w:sz w:val="19"/>
          <w:szCs w:val="19"/>
        </w:rPr>
        <w:t>）</w:t>
      </w:r>
      <w:r>
        <w:rPr>
          <w:rFonts w:ascii="宋体" w:hAnsi="宋体" w:eastAsia="宋体" w:cs="宋体"/>
          <w:spacing w:val="11"/>
          <w:sz w:val="19"/>
          <w:szCs w:val="19"/>
        </w:rPr>
        <w:t xml:space="preserve">  </w:t>
      </w:r>
      <w:r>
        <w:rPr>
          <w:rFonts w:ascii="宋体" w:hAnsi="宋体" w:eastAsia="宋体" w:cs="宋体"/>
          <w:sz w:val="19"/>
          <w:szCs w:val="19"/>
        </w:rPr>
        <w:t>；</w:t>
      </w:r>
    </w:p>
    <w:p w14:paraId="6E77C1AD">
      <w:pPr>
        <w:spacing w:before="126" w:line="227" w:lineRule="auto"/>
        <w:ind w:left="402"/>
        <w:rPr>
          <w:rFonts w:ascii="宋体" w:hAnsi="宋体" w:eastAsia="宋体" w:cs="宋体"/>
          <w:sz w:val="19"/>
          <w:szCs w:val="19"/>
        </w:rPr>
      </w:pPr>
      <w:r>
        <w:rPr>
          <w:rFonts w:ascii="宋体" w:hAnsi="宋体" w:eastAsia="宋体" w:cs="宋体"/>
          <w:spacing w:val="8"/>
          <w:sz w:val="19"/>
          <w:szCs w:val="19"/>
        </w:rPr>
        <w:t>2、  签发保修责任终止证书（按《水利工程建设项目施工监理规范》</w:t>
      </w:r>
      <w:r>
        <w:rPr>
          <w:rFonts w:ascii="宋体" w:hAnsi="宋体" w:eastAsia="宋体" w:cs="宋体"/>
          <w:sz w:val="19"/>
          <w:szCs w:val="19"/>
        </w:rPr>
        <w:t>SL</w:t>
      </w:r>
      <w:r>
        <w:rPr>
          <w:rFonts w:ascii="宋体" w:hAnsi="宋体" w:eastAsia="宋体" w:cs="宋体"/>
          <w:spacing w:val="8"/>
          <w:sz w:val="19"/>
          <w:szCs w:val="19"/>
        </w:rPr>
        <w:t>288-2014</w:t>
      </w:r>
      <w:r>
        <w:rPr>
          <w:rFonts w:ascii="宋体" w:hAnsi="宋体" w:eastAsia="宋体" w:cs="宋体"/>
          <w:spacing w:val="-16"/>
          <w:sz w:val="19"/>
          <w:szCs w:val="19"/>
        </w:rPr>
        <w:t xml:space="preserve"> </w:t>
      </w:r>
      <w:r>
        <w:rPr>
          <w:rFonts w:ascii="宋体" w:hAnsi="宋体" w:eastAsia="宋体" w:cs="宋体"/>
          <w:spacing w:val="8"/>
          <w:sz w:val="19"/>
          <w:szCs w:val="19"/>
        </w:rPr>
        <w:t>中规定执行</w:t>
      </w:r>
      <w:r>
        <w:rPr>
          <w:rFonts w:ascii="宋体" w:hAnsi="宋体" w:eastAsia="宋体" w:cs="宋体"/>
          <w:spacing w:val="1"/>
          <w:sz w:val="19"/>
          <w:szCs w:val="19"/>
        </w:rPr>
        <w:t>）</w:t>
      </w:r>
      <w:r>
        <w:rPr>
          <w:rFonts w:ascii="宋体" w:hAnsi="宋体" w:eastAsia="宋体" w:cs="宋体"/>
          <w:spacing w:val="11"/>
          <w:sz w:val="19"/>
          <w:szCs w:val="19"/>
        </w:rPr>
        <w:t xml:space="preserve">  </w:t>
      </w:r>
      <w:r>
        <w:rPr>
          <w:rFonts w:ascii="宋体" w:hAnsi="宋体" w:eastAsia="宋体" w:cs="宋体"/>
          <w:spacing w:val="1"/>
          <w:sz w:val="19"/>
          <w:szCs w:val="19"/>
        </w:rPr>
        <w:t>；</w:t>
      </w:r>
    </w:p>
    <w:p w14:paraId="41365B77">
      <w:pPr>
        <w:spacing w:before="126" w:line="228" w:lineRule="auto"/>
        <w:ind w:left="418"/>
        <w:rPr>
          <w:rFonts w:ascii="宋体" w:hAnsi="宋体" w:eastAsia="宋体" w:cs="宋体"/>
          <w:sz w:val="19"/>
          <w:szCs w:val="19"/>
        </w:rPr>
      </w:pPr>
      <w:r>
        <w:rPr>
          <w:rFonts w:ascii="宋体" w:hAnsi="宋体" w:eastAsia="宋体" w:cs="宋体"/>
          <w:b/>
          <w:bCs/>
          <w:spacing w:val="3"/>
          <w:sz w:val="19"/>
          <w:szCs w:val="19"/>
        </w:rPr>
        <w:t>四、</w:t>
      </w:r>
      <w:r>
        <w:rPr>
          <w:rFonts w:ascii="宋体" w:hAnsi="宋体" w:eastAsia="宋体" w:cs="宋体"/>
          <w:spacing w:val="3"/>
          <w:sz w:val="19"/>
          <w:szCs w:val="19"/>
        </w:rPr>
        <w:t xml:space="preserve">                                   </w:t>
      </w:r>
      <w:r>
        <w:rPr>
          <w:rFonts w:ascii="宋体" w:hAnsi="宋体" w:eastAsia="宋体" w:cs="宋体"/>
          <w:b/>
          <w:bCs/>
          <w:spacing w:val="3"/>
          <w:sz w:val="19"/>
          <w:szCs w:val="19"/>
        </w:rPr>
        <w:t>委托人的</w:t>
      </w:r>
      <w:r>
        <w:rPr>
          <w:rFonts w:ascii="宋体" w:hAnsi="宋体" w:eastAsia="宋体" w:cs="宋体"/>
          <w:b/>
          <w:bCs/>
          <w:spacing w:val="2"/>
          <w:sz w:val="19"/>
          <w:szCs w:val="19"/>
        </w:rPr>
        <w:t>义务</w:t>
      </w:r>
    </w:p>
    <w:p w14:paraId="3420332A">
      <w:pPr>
        <w:spacing w:before="126" w:line="227" w:lineRule="auto"/>
        <w:ind w:left="433"/>
        <w:rPr>
          <w:rFonts w:ascii="宋体" w:hAnsi="宋体" w:eastAsia="宋体" w:cs="宋体"/>
          <w:sz w:val="19"/>
          <w:szCs w:val="19"/>
        </w:rPr>
      </w:pPr>
      <w:r>
        <w:rPr>
          <w:rFonts w:ascii="宋体" w:hAnsi="宋体" w:eastAsia="宋体" w:cs="宋体"/>
          <w:b/>
          <w:bCs/>
          <w:spacing w:val="8"/>
          <w:sz w:val="19"/>
          <w:szCs w:val="19"/>
        </w:rPr>
        <w:t>1.</w:t>
      </w:r>
      <w:r>
        <w:rPr>
          <w:rFonts w:ascii="宋体" w:hAnsi="宋体" w:eastAsia="宋体" w:cs="宋体"/>
          <w:spacing w:val="8"/>
          <w:sz w:val="19"/>
          <w:szCs w:val="19"/>
        </w:rPr>
        <w:t xml:space="preserve">  委托人向监理机构免费提供的资料为：投标文件、实施方案、图纸。</w:t>
      </w:r>
    </w:p>
    <w:p w14:paraId="0F8053BE">
      <w:pPr>
        <w:spacing w:before="126" w:line="289" w:lineRule="auto"/>
        <w:ind w:left="2" w:right="30" w:firstLine="419"/>
        <w:rPr>
          <w:rFonts w:ascii="宋体" w:hAnsi="宋体" w:eastAsia="宋体" w:cs="宋体"/>
          <w:sz w:val="19"/>
          <w:szCs w:val="19"/>
        </w:rPr>
      </w:pPr>
      <w:r>
        <w:rPr>
          <w:rFonts w:ascii="宋体" w:hAnsi="宋体" w:eastAsia="宋体" w:cs="宋体"/>
          <w:b/>
          <w:bCs/>
          <w:spacing w:val="9"/>
          <w:sz w:val="19"/>
          <w:szCs w:val="19"/>
        </w:rPr>
        <w:t>2.</w:t>
      </w:r>
      <w:r>
        <w:rPr>
          <w:rFonts w:ascii="宋体" w:hAnsi="宋体" w:eastAsia="宋体" w:cs="宋体"/>
          <w:spacing w:val="9"/>
          <w:sz w:val="19"/>
          <w:szCs w:val="19"/>
        </w:rPr>
        <w:t xml:space="preserve">  委托人对监理机构书面提交并要求作出决定的事宜作出书面决定并送达的时限：一般文件    天</w:t>
      </w:r>
      <w:r>
        <w:rPr>
          <w:rFonts w:ascii="宋体" w:hAnsi="宋体" w:eastAsia="宋体" w:cs="宋体"/>
          <w:spacing w:val="8"/>
          <w:sz w:val="19"/>
          <w:szCs w:val="19"/>
        </w:rPr>
        <w:t>；紧急事</w:t>
      </w:r>
      <w:r>
        <w:rPr>
          <w:rFonts w:ascii="宋体" w:hAnsi="宋体" w:eastAsia="宋体" w:cs="宋体"/>
          <w:sz w:val="19"/>
          <w:szCs w:val="19"/>
        </w:rPr>
        <w:t xml:space="preserve"> </w:t>
      </w:r>
      <w:r>
        <w:rPr>
          <w:rFonts w:ascii="宋体" w:hAnsi="宋体" w:eastAsia="宋体" w:cs="宋体"/>
          <w:spacing w:val="4"/>
          <w:sz w:val="19"/>
          <w:szCs w:val="19"/>
        </w:rPr>
        <w:t>项</w:t>
      </w:r>
      <w:r>
        <w:rPr>
          <w:rFonts w:ascii="宋体" w:hAnsi="宋体" w:eastAsia="宋体" w:cs="宋体"/>
          <w:spacing w:val="9"/>
          <w:sz w:val="19"/>
          <w:szCs w:val="19"/>
        </w:rPr>
        <w:t xml:space="preserve">    </w:t>
      </w:r>
      <w:r>
        <w:rPr>
          <w:rFonts w:ascii="宋体" w:hAnsi="宋体" w:eastAsia="宋体" w:cs="宋体"/>
          <w:spacing w:val="4"/>
          <w:sz w:val="19"/>
          <w:szCs w:val="19"/>
        </w:rPr>
        <w:t>天；变更文件</w:t>
      </w:r>
      <w:r>
        <w:rPr>
          <w:rFonts w:ascii="宋体" w:hAnsi="宋体" w:eastAsia="宋体" w:cs="宋体"/>
          <w:spacing w:val="8"/>
          <w:sz w:val="19"/>
          <w:szCs w:val="19"/>
        </w:rPr>
        <w:t xml:space="preserve">    </w:t>
      </w:r>
      <w:r>
        <w:rPr>
          <w:rFonts w:ascii="宋体" w:hAnsi="宋体" w:eastAsia="宋体" w:cs="宋体"/>
          <w:spacing w:val="4"/>
          <w:sz w:val="19"/>
          <w:szCs w:val="19"/>
        </w:rPr>
        <w:t>天。</w:t>
      </w:r>
    </w:p>
    <w:p w14:paraId="6A28AA7D">
      <w:pPr>
        <w:spacing w:before="125" w:line="228" w:lineRule="auto"/>
        <w:ind w:left="403"/>
        <w:rPr>
          <w:rFonts w:ascii="宋体" w:hAnsi="宋体" w:eastAsia="宋体" w:cs="宋体"/>
          <w:sz w:val="19"/>
          <w:szCs w:val="19"/>
        </w:rPr>
      </w:pPr>
      <w:r>
        <w:rPr>
          <w:rFonts w:ascii="宋体" w:hAnsi="宋体" w:eastAsia="宋体" w:cs="宋体"/>
          <w:b/>
          <w:bCs/>
          <w:spacing w:val="5"/>
          <w:sz w:val="19"/>
          <w:szCs w:val="19"/>
        </w:rPr>
        <w:t>五、</w:t>
      </w:r>
      <w:r>
        <w:rPr>
          <w:rFonts w:ascii="宋体" w:hAnsi="宋体" w:eastAsia="宋体" w:cs="宋体"/>
          <w:sz w:val="19"/>
          <w:szCs w:val="19"/>
        </w:rPr>
        <w:t xml:space="preserve">                                    </w:t>
      </w:r>
      <w:r>
        <w:rPr>
          <w:rFonts w:ascii="宋体" w:hAnsi="宋体" w:eastAsia="宋体" w:cs="宋体"/>
          <w:b/>
          <w:bCs/>
          <w:spacing w:val="5"/>
          <w:sz w:val="19"/>
          <w:szCs w:val="19"/>
        </w:rPr>
        <w:t>监理人的义务</w:t>
      </w:r>
    </w:p>
    <w:p w14:paraId="72ECF522">
      <w:pPr>
        <w:spacing w:before="126" w:line="227" w:lineRule="auto"/>
        <w:ind w:left="433"/>
        <w:rPr>
          <w:rFonts w:ascii="宋体" w:hAnsi="宋体" w:eastAsia="宋体" w:cs="宋体"/>
          <w:sz w:val="19"/>
          <w:szCs w:val="19"/>
        </w:rPr>
      </w:pPr>
      <w:r>
        <w:rPr>
          <w:rFonts w:ascii="宋体" w:hAnsi="宋体" w:eastAsia="宋体" w:cs="宋体"/>
          <w:b/>
          <w:bCs/>
          <w:spacing w:val="6"/>
          <w:sz w:val="19"/>
          <w:szCs w:val="19"/>
        </w:rPr>
        <w:t>1.</w:t>
      </w:r>
      <w:r>
        <w:rPr>
          <w:rFonts w:ascii="宋体" w:hAnsi="宋体" w:eastAsia="宋体" w:cs="宋体"/>
          <w:spacing w:val="6"/>
          <w:sz w:val="19"/>
          <w:szCs w:val="19"/>
        </w:rPr>
        <w:t xml:space="preserve">  监理服务内容</w:t>
      </w:r>
      <w:r>
        <w:rPr>
          <w:rFonts w:ascii="宋体" w:hAnsi="宋体" w:eastAsia="宋体" w:cs="宋体"/>
          <w:spacing w:val="-6"/>
          <w:sz w:val="19"/>
          <w:szCs w:val="19"/>
        </w:rPr>
        <w:t>：</w:t>
      </w:r>
      <w:r>
        <w:rPr>
          <w:rFonts w:ascii="宋体" w:hAnsi="宋体" w:eastAsia="宋体" w:cs="宋体"/>
          <w:spacing w:val="13"/>
          <w:sz w:val="19"/>
          <w:szCs w:val="19"/>
        </w:rPr>
        <w:t xml:space="preserve">  </w:t>
      </w:r>
      <w:r>
        <w:rPr>
          <w:rFonts w:ascii="宋体" w:hAnsi="宋体" w:eastAsia="宋体" w:cs="宋体"/>
          <w:spacing w:val="-6"/>
          <w:sz w:val="19"/>
          <w:szCs w:val="19"/>
        </w:rPr>
        <w:t>（</w:t>
      </w:r>
      <w:r>
        <w:rPr>
          <w:rFonts w:ascii="宋体" w:hAnsi="宋体" w:eastAsia="宋体" w:cs="宋体"/>
          <w:spacing w:val="6"/>
          <w:sz w:val="19"/>
          <w:szCs w:val="19"/>
        </w:rPr>
        <w:t>见第三部分</w:t>
      </w:r>
      <w:r>
        <w:rPr>
          <w:rFonts w:ascii="宋体" w:hAnsi="宋体" w:eastAsia="宋体" w:cs="宋体"/>
          <w:spacing w:val="16"/>
          <w:sz w:val="19"/>
          <w:szCs w:val="19"/>
        </w:rPr>
        <w:t xml:space="preserve">  </w:t>
      </w:r>
      <w:r>
        <w:rPr>
          <w:rFonts w:ascii="宋体" w:hAnsi="宋体" w:eastAsia="宋体" w:cs="宋体"/>
          <w:spacing w:val="6"/>
          <w:sz w:val="19"/>
          <w:szCs w:val="19"/>
        </w:rPr>
        <w:t>附件）</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宋体" w:hAnsi="宋体" w:eastAsia="宋体" w:cs="宋体"/>
          <w:spacing w:val="6"/>
          <w:sz w:val="19"/>
          <w:szCs w:val="19"/>
        </w:rPr>
        <w:t>。</w:t>
      </w:r>
    </w:p>
    <w:p w14:paraId="2C10E677">
      <w:pPr>
        <w:spacing w:before="126" w:line="227" w:lineRule="auto"/>
        <w:ind w:left="402"/>
        <w:rPr>
          <w:rFonts w:ascii="宋体" w:hAnsi="宋体" w:eastAsia="宋体" w:cs="宋体"/>
          <w:sz w:val="19"/>
          <w:szCs w:val="19"/>
        </w:rPr>
      </w:pPr>
      <w:r>
        <w:rPr>
          <w:rFonts w:ascii="宋体" w:hAnsi="宋体" w:eastAsia="宋体" w:cs="宋体"/>
          <w:b/>
          <w:bCs/>
          <w:spacing w:val="8"/>
          <w:sz w:val="19"/>
          <w:szCs w:val="19"/>
        </w:rPr>
        <w:t>2.</w:t>
      </w:r>
      <w:r>
        <w:rPr>
          <w:rFonts w:ascii="宋体" w:hAnsi="宋体" w:eastAsia="宋体" w:cs="宋体"/>
          <w:spacing w:val="8"/>
          <w:sz w:val="19"/>
          <w:szCs w:val="19"/>
        </w:rPr>
        <w:t xml:space="preserve">  监理人应当在本合同生效后  14  天内组建监理机构，并进驻</w:t>
      </w:r>
      <w:r>
        <w:rPr>
          <w:rFonts w:ascii="宋体" w:hAnsi="宋体" w:eastAsia="宋体" w:cs="宋体"/>
          <w:spacing w:val="7"/>
          <w:sz w:val="19"/>
          <w:szCs w:val="19"/>
        </w:rPr>
        <w:t>现场。</w:t>
      </w:r>
    </w:p>
    <w:p w14:paraId="078F8DEE">
      <w:pPr>
        <w:spacing w:line="227" w:lineRule="auto"/>
        <w:rPr>
          <w:rFonts w:ascii="宋体" w:hAnsi="宋体" w:eastAsia="宋体" w:cs="宋体"/>
          <w:sz w:val="19"/>
          <w:szCs w:val="19"/>
        </w:rPr>
        <w:sectPr>
          <w:footerReference r:id="rId15" w:type="default"/>
          <w:pgSz w:w="12240" w:h="15840"/>
          <w:pgMar w:top="1346" w:right="1110" w:bottom="1072" w:left="1088" w:header="0" w:footer="910" w:gutter="0"/>
          <w:cols w:space="720" w:num="1"/>
        </w:sectPr>
      </w:pPr>
    </w:p>
    <w:p w14:paraId="1902964D">
      <w:pPr>
        <w:spacing w:before="39" w:line="289" w:lineRule="auto"/>
        <w:ind w:left="3" w:right="198" w:firstLine="402"/>
        <w:rPr>
          <w:rFonts w:ascii="宋体" w:hAnsi="宋体" w:eastAsia="宋体" w:cs="宋体"/>
          <w:sz w:val="19"/>
          <w:szCs w:val="19"/>
        </w:rPr>
      </w:pPr>
      <w:r>
        <w:rPr>
          <w:rFonts w:ascii="宋体" w:hAnsi="宋体" w:eastAsia="宋体" w:cs="宋体"/>
          <w:b/>
          <w:bCs/>
          <w:spacing w:val="9"/>
          <w:sz w:val="19"/>
          <w:szCs w:val="19"/>
        </w:rPr>
        <w:t>3.</w:t>
      </w:r>
      <w:r>
        <w:rPr>
          <w:rFonts w:ascii="宋体" w:hAnsi="宋体" w:eastAsia="宋体" w:cs="宋体"/>
          <w:spacing w:val="9"/>
          <w:sz w:val="19"/>
          <w:szCs w:val="19"/>
        </w:rPr>
        <w:t xml:space="preserve">  需旁站监理的工程重要部位是：重要部位、关键工序等。需旁站监理的关键工序是：基础处理、钢筋绑</w:t>
      </w:r>
      <w:r>
        <w:rPr>
          <w:rFonts w:ascii="宋体" w:hAnsi="宋体" w:eastAsia="宋体" w:cs="宋体"/>
          <w:spacing w:val="10"/>
          <w:sz w:val="19"/>
          <w:szCs w:val="19"/>
        </w:rPr>
        <w:t xml:space="preserve"> </w:t>
      </w:r>
      <w:r>
        <w:rPr>
          <w:rFonts w:ascii="宋体" w:hAnsi="宋体" w:eastAsia="宋体" w:cs="宋体"/>
          <w:spacing w:val="7"/>
          <w:sz w:val="19"/>
          <w:szCs w:val="19"/>
        </w:rPr>
        <w:t>扎、支模、砼浇筑等。</w:t>
      </w:r>
    </w:p>
    <w:p w14:paraId="727C59BE">
      <w:pPr>
        <w:spacing w:before="125" w:line="228" w:lineRule="auto"/>
        <w:ind w:left="401"/>
        <w:rPr>
          <w:rFonts w:ascii="宋体" w:hAnsi="宋体" w:eastAsia="宋体" w:cs="宋体"/>
          <w:sz w:val="19"/>
          <w:szCs w:val="19"/>
        </w:rPr>
      </w:pPr>
      <w:r>
        <w:rPr>
          <w:rFonts w:ascii="宋体" w:hAnsi="宋体" w:eastAsia="宋体" w:cs="宋体"/>
          <w:b/>
          <w:bCs/>
          <w:spacing w:val="7"/>
          <w:sz w:val="19"/>
          <w:szCs w:val="19"/>
        </w:rPr>
        <w:t>4.</w:t>
      </w:r>
      <w:r>
        <w:rPr>
          <w:rFonts w:ascii="宋体" w:hAnsi="宋体" w:eastAsia="宋体" w:cs="宋体"/>
          <w:spacing w:val="7"/>
          <w:sz w:val="19"/>
          <w:szCs w:val="19"/>
        </w:rPr>
        <w:t xml:space="preserve">  委托人委托监理人主持的分部工程验收：   </w:t>
      </w:r>
      <w:r>
        <w:rPr>
          <w:rFonts w:ascii="宋体" w:hAnsi="宋体" w:eastAsia="宋体" w:cs="宋体"/>
          <w:spacing w:val="6"/>
          <w:sz w:val="19"/>
          <w:szCs w:val="19"/>
        </w:rPr>
        <w:t xml:space="preserve">                        。</w:t>
      </w:r>
    </w:p>
    <w:p w14:paraId="62D8C9F5">
      <w:pPr>
        <w:spacing w:before="125" w:line="227" w:lineRule="auto"/>
        <w:ind w:left="406"/>
      </w:pPr>
      <w:r>
        <w:rPr>
          <w:rFonts w:ascii="宋体" w:hAnsi="宋体" w:eastAsia="宋体" w:cs="宋体"/>
          <w:b/>
          <w:bCs/>
          <w:spacing w:val="8"/>
          <w:sz w:val="19"/>
          <w:szCs w:val="19"/>
        </w:rPr>
        <w:t>5.</w:t>
      </w:r>
      <w:r>
        <w:rPr>
          <w:rFonts w:ascii="宋体" w:hAnsi="宋体" w:eastAsia="宋体" w:cs="宋体"/>
          <w:spacing w:val="8"/>
          <w:sz w:val="19"/>
          <w:szCs w:val="19"/>
        </w:rPr>
        <w:t xml:space="preserve">  在本合同终止后</w:t>
      </w:r>
      <w:r>
        <w:rPr>
          <w:rFonts w:ascii="宋体" w:hAnsi="宋体" w:eastAsia="宋体" w:cs="宋体"/>
          <w:spacing w:val="-18"/>
          <w:sz w:val="19"/>
          <w:szCs w:val="19"/>
        </w:rPr>
        <w:t xml:space="preserve"> </w:t>
      </w:r>
      <w:r>
        <w:rPr>
          <w:rFonts w:ascii="宋体" w:hAnsi="宋体" w:eastAsia="宋体" w:cs="宋体"/>
          <w:spacing w:val="8"/>
          <w:sz w:val="19"/>
          <w:szCs w:val="19"/>
        </w:rPr>
        <w:t>7</w:t>
      </w:r>
      <w:r>
        <w:rPr>
          <w:rFonts w:ascii="宋体" w:hAnsi="宋体" w:eastAsia="宋体" w:cs="宋体"/>
          <w:spacing w:val="-34"/>
          <w:sz w:val="19"/>
          <w:szCs w:val="19"/>
        </w:rPr>
        <w:t xml:space="preserve"> </w:t>
      </w:r>
      <w:r>
        <w:rPr>
          <w:rFonts w:ascii="宋体" w:hAnsi="宋体" w:eastAsia="宋体" w:cs="宋体"/>
          <w:spacing w:val="8"/>
          <w:sz w:val="19"/>
          <w:szCs w:val="19"/>
        </w:rPr>
        <w:t>天内，未征得委托人同意，不得泄露与本合同业务有关的技术、商务等秘密。</w:t>
      </w:r>
    </w:p>
    <w:p w14:paraId="0DF8D691">
      <w:pPr>
        <w:spacing w:before="61" w:line="227" w:lineRule="auto"/>
        <w:ind w:left="2730"/>
      </w:pPr>
      <w:r>
        <w:rPr>
          <w:rFonts w:ascii="宋体" w:hAnsi="宋体" w:eastAsia="宋体" w:cs="宋体"/>
          <w:b/>
          <w:bCs/>
          <w:spacing w:val="3"/>
          <w:sz w:val="19"/>
          <w:szCs w:val="19"/>
        </w:rPr>
        <w:t>第三部分</w:t>
      </w:r>
      <w:r>
        <w:rPr>
          <w:rFonts w:ascii="宋体" w:hAnsi="宋体" w:eastAsia="宋体" w:cs="宋体"/>
          <w:spacing w:val="11"/>
          <w:sz w:val="19"/>
          <w:szCs w:val="19"/>
        </w:rPr>
        <w:t xml:space="preserve">    </w:t>
      </w:r>
      <w:r>
        <w:rPr>
          <w:rFonts w:ascii="宋体" w:hAnsi="宋体" w:eastAsia="宋体" w:cs="宋体"/>
          <w:b/>
          <w:bCs/>
          <w:spacing w:val="3"/>
          <w:sz w:val="19"/>
          <w:szCs w:val="19"/>
        </w:rPr>
        <w:t>附件</w:t>
      </w:r>
    </w:p>
    <w:p w14:paraId="705D3A15">
      <w:pPr>
        <w:spacing w:before="62" w:line="227" w:lineRule="auto"/>
        <w:ind w:left="403"/>
        <w:rPr>
          <w:rFonts w:ascii="宋体" w:hAnsi="宋体" w:eastAsia="宋体" w:cs="宋体"/>
          <w:sz w:val="19"/>
          <w:szCs w:val="19"/>
        </w:rPr>
      </w:pPr>
      <w:r>
        <w:rPr>
          <w:rFonts w:ascii="宋体" w:hAnsi="宋体" w:eastAsia="宋体" w:cs="宋体"/>
          <w:spacing w:val="8"/>
          <w:sz w:val="19"/>
          <w:szCs w:val="19"/>
        </w:rPr>
        <w:t>本合同监理服务工作内容：</w:t>
      </w:r>
    </w:p>
    <w:p w14:paraId="51E1B656">
      <w:pPr>
        <w:spacing w:before="125" w:line="230" w:lineRule="auto"/>
        <w:ind w:left="437"/>
        <w:rPr>
          <w:rFonts w:ascii="宋体" w:hAnsi="宋体" w:eastAsia="宋体" w:cs="宋体"/>
          <w:sz w:val="19"/>
          <w:szCs w:val="19"/>
        </w:rPr>
      </w:pPr>
      <w:r>
        <w:rPr>
          <w:rFonts w:ascii="宋体" w:hAnsi="宋体" w:eastAsia="宋体" w:cs="宋体"/>
          <w:spacing w:val="2"/>
          <w:sz w:val="19"/>
          <w:szCs w:val="19"/>
        </w:rPr>
        <w:t>(一)设计方面</w:t>
      </w:r>
    </w:p>
    <w:p w14:paraId="198B0B53">
      <w:pPr>
        <w:spacing w:before="124" w:line="227" w:lineRule="auto"/>
        <w:ind w:left="417"/>
        <w:rPr>
          <w:rFonts w:ascii="宋体" w:hAnsi="宋体" w:eastAsia="宋体" w:cs="宋体"/>
          <w:sz w:val="19"/>
          <w:szCs w:val="19"/>
        </w:rPr>
      </w:pPr>
      <w:r>
        <w:rPr>
          <w:rFonts w:ascii="宋体" w:hAnsi="宋体" w:eastAsia="宋体" w:cs="宋体"/>
          <w:spacing w:val="9"/>
          <w:sz w:val="19"/>
          <w:szCs w:val="19"/>
        </w:rPr>
        <w:t>1、核查并签发施工图，发现问题向委托人反映，重大问题向委托人</w:t>
      </w:r>
      <w:r>
        <w:rPr>
          <w:rFonts w:ascii="宋体" w:hAnsi="宋体" w:eastAsia="宋体" w:cs="宋体"/>
          <w:spacing w:val="8"/>
          <w:sz w:val="19"/>
          <w:szCs w:val="19"/>
        </w:rPr>
        <w:t>做专题报告。</w:t>
      </w:r>
    </w:p>
    <w:p w14:paraId="65425809">
      <w:pPr>
        <w:spacing w:before="127" w:line="227" w:lineRule="auto"/>
        <w:ind w:left="404"/>
        <w:rPr>
          <w:rFonts w:ascii="宋体" w:hAnsi="宋体" w:eastAsia="宋体" w:cs="宋体"/>
          <w:sz w:val="19"/>
          <w:szCs w:val="19"/>
        </w:rPr>
      </w:pPr>
      <w:r>
        <w:rPr>
          <w:rFonts w:ascii="宋体" w:hAnsi="宋体" w:eastAsia="宋体" w:cs="宋体"/>
          <w:spacing w:val="9"/>
          <w:sz w:val="19"/>
          <w:szCs w:val="19"/>
        </w:rPr>
        <w:t>2、协助委托人联合主持设计技术交底会议，编写会议纪</w:t>
      </w:r>
      <w:r>
        <w:rPr>
          <w:rFonts w:ascii="宋体" w:hAnsi="宋体" w:eastAsia="宋体" w:cs="宋体"/>
          <w:spacing w:val="8"/>
          <w:sz w:val="19"/>
          <w:szCs w:val="19"/>
        </w:rPr>
        <w:t>要。</w:t>
      </w:r>
    </w:p>
    <w:p w14:paraId="0FDB4A3A">
      <w:pPr>
        <w:spacing w:before="126" w:line="227" w:lineRule="auto"/>
        <w:ind w:left="406"/>
        <w:rPr>
          <w:rFonts w:ascii="宋体" w:hAnsi="宋体" w:eastAsia="宋体" w:cs="宋体"/>
          <w:sz w:val="19"/>
          <w:szCs w:val="19"/>
        </w:rPr>
      </w:pPr>
      <w:r>
        <w:rPr>
          <w:rFonts w:ascii="宋体" w:hAnsi="宋体" w:eastAsia="宋体" w:cs="宋体"/>
          <w:spacing w:val="9"/>
          <w:sz w:val="19"/>
          <w:szCs w:val="19"/>
        </w:rPr>
        <w:t>3、协助委托人会同设计人对重大技术问题和优化设计进行专题讨论。</w:t>
      </w:r>
    </w:p>
    <w:p w14:paraId="059B9629">
      <w:pPr>
        <w:spacing w:before="126" w:line="227" w:lineRule="auto"/>
        <w:ind w:left="401"/>
        <w:rPr>
          <w:rFonts w:ascii="宋体" w:hAnsi="宋体" w:eastAsia="宋体" w:cs="宋体"/>
          <w:sz w:val="19"/>
          <w:szCs w:val="19"/>
        </w:rPr>
      </w:pPr>
      <w:r>
        <w:rPr>
          <w:rFonts w:ascii="宋体" w:hAnsi="宋体" w:eastAsia="宋体" w:cs="宋体"/>
          <w:spacing w:val="9"/>
          <w:sz w:val="19"/>
          <w:szCs w:val="19"/>
        </w:rPr>
        <w:t>4、审核承包人对施工图的意见和建议，协助委托人会同设计人进行研究。</w:t>
      </w:r>
    </w:p>
    <w:p w14:paraId="0EE9C187">
      <w:pPr>
        <w:spacing w:before="127" w:line="227" w:lineRule="auto"/>
        <w:ind w:left="437"/>
        <w:rPr>
          <w:rFonts w:ascii="宋体" w:hAnsi="宋体" w:eastAsia="宋体" w:cs="宋体"/>
          <w:sz w:val="19"/>
          <w:szCs w:val="19"/>
        </w:rPr>
      </w:pPr>
      <w:r>
        <w:rPr>
          <w:rFonts w:ascii="宋体" w:hAnsi="宋体" w:eastAsia="宋体" w:cs="宋体"/>
          <w:spacing w:val="2"/>
          <w:sz w:val="19"/>
          <w:szCs w:val="19"/>
        </w:rPr>
        <w:t>(二)采购方面</w:t>
      </w:r>
    </w:p>
    <w:p w14:paraId="43D9ABC5">
      <w:pPr>
        <w:spacing w:before="126" w:line="227" w:lineRule="auto"/>
        <w:ind w:left="417"/>
        <w:rPr>
          <w:rFonts w:ascii="宋体" w:hAnsi="宋体" w:eastAsia="宋体" w:cs="宋体"/>
          <w:sz w:val="19"/>
          <w:szCs w:val="19"/>
        </w:rPr>
      </w:pPr>
      <w:r>
        <w:rPr>
          <w:rFonts w:ascii="宋体" w:hAnsi="宋体" w:eastAsia="宋体" w:cs="宋体"/>
          <w:spacing w:val="7"/>
          <w:sz w:val="19"/>
          <w:szCs w:val="19"/>
        </w:rPr>
        <w:t>1、可以协助委托人进行采购招标。</w:t>
      </w:r>
    </w:p>
    <w:p w14:paraId="57B2B5A7">
      <w:pPr>
        <w:spacing w:before="127" w:line="227" w:lineRule="auto"/>
        <w:ind w:left="404"/>
        <w:rPr>
          <w:rFonts w:ascii="宋体" w:hAnsi="宋体" w:eastAsia="宋体" w:cs="宋体"/>
          <w:sz w:val="19"/>
          <w:szCs w:val="19"/>
        </w:rPr>
      </w:pPr>
      <w:r>
        <w:rPr>
          <w:rFonts w:ascii="宋体" w:hAnsi="宋体" w:eastAsia="宋体" w:cs="宋体"/>
          <w:spacing w:val="9"/>
          <w:sz w:val="19"/>
          <w:szCs w:val="19"/>
        </w:rPr>
        <w:t>2、协助委托人对进场的永久工程设备进行质量检验与到货验收。</w:t>
      </w:r>
    </w:p>
    <w:p w14:paraId="3E2160A5">
      <w:pPr>
        <w:spacing w:before="125" w:line="230" w:lineRule="auto"/>
        <w:ind w:left="437"/>
        <w:rPr>
          <w:rFonts w:ascii="宋体" w:hAnsi="宋体" w:eastAsia="宋体" w:cs="宋体"/>
          <w:sz w:val="19"/>
          <w:szCs w:val="19"/>
        </w:rPr>
      </w:pPr>
      <w:r>
        <w:rPr>
          <w:rFonts w:ascii="宋体" w:hAnsi="宋体" w:eastAsia="宋体" w:cs="宋体"/>
          <w:spacing w:val="2"/>
          <w:sz w:val="19"/>
          <w:szCs w:val="19"/>
        </w:rPr>
        <w:t>(三)施工方面</w:t>
      </w:r>
    </w:p>
    <w:p w14:paraId="65C9D4F1">
      <w:pPr>
        <w:spacing w:before="124" w:line="229" w:lineRule="auto"/>
        <w:ind w:left="417"/>
        <w:rPr>
          <w:rFonts w:ascii="宋体" w:hAnsi="宋体" w:eastAsia="宋体" w:cs="宋体"/>
          <w:sz w:val="19"/>
          <w:szCs w:val="19"/>
        </w:rPr>
      </w:pPr>
      <w:r>
        <w:rPr>
          <w:rFonts w:ascii="宋体" w:hAnsi="宋体" w:eastAsia="宋体" w:cs="宋体"/>
          <w:spacing w:val="8"/>
          <w:sz w:val="19"/>
          <w:szCs w:val="19"/>
        </w:rPr>
        <w:t>1、受委托人的委托协助委托人进行工程施工招标。</w:t>
      </w:r>
    </w:p>
    <w:p w14:paraId="3F46022D">
      <w:pPr>
        <w:spacing w:before="124" w:line="228" w:lineRule="auto"/>
        <w:ind w:left="404"/>
        <w:rPr>
          <w:rFonts w:ascii="宋体" w:hAnsi="宋体" w:eastAsia="宋体" w:cs="宋体"/>
          <w:sz w:val="19"/>
          <w:szCs w:val="19"/>
        </w:rPr>
      </w:pPr>
      <w:r>
        <w:rPr>
          <w:rFonts w:ascii="宋体" w:hAnsi="宋体" w:eastAsia="宋体" w:cs="宋体"/>
          <w:spacing w:val="9"/>
          <w:sz w:val="19"/>
          <w:szCs w:val="19"/>
        </w:rPr>
        <w:t>2、管理工程施工合同，受委托人的委托审查承包人选定的分包单位，并报委托人批准。</w:t>
      </w:r>
    </w:p>
    <w:p w14:paraId="603C221A">
      <w:pPr>
        <w:spacing w:before="126" w:line="227" w:lineRule="auto"/>
        <w:ind w:left="406"/>
        <w:rPr>
          <w:rFonts w:ascii="宋体" w:hAnsi="宋体" w:eastAsia="宋体" w:cs="宋体"/>
          <w:sz w:val="19"/>
          <w:szCs w:val="19"/>
        </w:rPr>
      </w:pPr>
      <w:r>
        <w:rPr>
          <w:rFonts w:ascii="宋体" w:hAnsi="宋体" w:eastAsia="宋体" w:cs="宋体"/>
          <w:spacing w:val="9"/>
          <w:sz w:val="19"/>
          <w:szCs w:val="19"/>
        </w:rPr>
        <w:t>3、督促委托人按工程施工合同的约定，落实必须提供的施工条件；检查承包人的开工准备工作。</w:t>
      </w:r>
    </w:p>
    <w:p w14:paraId="7824929F">
      <w:pPr>
        <w:spacing w:before="126" w:line="228" w:lineRule="auto"/>
        <w:ind w:left="401"/>
        <w:rPr>
          <w:rFonts w:ascii="宋体" w:hAnsi="宋体" w:eastAsia="宋体" w:cs="宋体"/>
          <w:sz w:val="19"/>
          <w:szCs w:val="19"/>
        </w:rPr>
      </w:pPr>
      <w:r>
        <w:rPr>
          <w:rFonts w:ascii="宋体" w:hAnsi="宋体" w:eastAsia="宋体" w:cs="宋体"/>
          <w:spacing w:val="9"/>
          <w:sz w:val="19"/>
          <w:szCs w:val="19"/>
        </w:rPr>
        <w:t>4、审查承包人提交的施工组织设计、施工进度计划、施工措施计划；审核工艺试验成果等。</w:t>
      </w:r>
    </w:p>
    <w:p w14:paraId="0C0B1333">
      <w:pPr>
        <w:spacing w:before="126" w:line="309" w:lineRule="auto"/>
        <w:ind w:firstLine="406"/>
        <w:rPr>
          <w:rFonts w:ascii="宋体" w:hAnsi="宋体" w:eastAsia="宋体" w:cs="宋体"/>
          <w:sz w:val="19"/>
          <w:szCs w:val="19"/>
        </w:rPr>
      </w:pPr>
      <w:r>
        <w:rPr>
          <w:rFonts w:ascii="宋体" w:hAnsi="宋体" w:eastAsia="宋体" w:cs="宋体"/>
          <w:spacing w:val="10"/>
          <w:sz w:val="19"/>
          <w:szCs w:val="19"/>
        </w:rPr>
        <w:t>5、进度控制。协助委托人编制控制性总进度计划，审批承</w:t>
      </w:r>
      <w:r>
        <w:rPr>
          <w:rFonts w:ascii="宋体" w:hAnsi="宋体" w:eastAsia="宋体" w:cs="宋体"/>
          <w:spacing w:val="9"/>
          <w:sz w:val="19"/>
          <w:szCs w:val="19"/>
        </w:rPr>
        <w:t>包人编制的进度计划；检查实施情况，督促承包人</w:t>
      </w:r>
      <w:r>
        <w:rPr>
          <w:rFonts w:ascii="宋体" w:hAnsi="宋体" w:eastAsia="宋体" w:cs="宋体"/>
          <w:sz w:val="19"/>
          <w:szCs w:val="19"/>
        </w:rPr>
        <w:t xml:space="preserve">  </w:t>
      </w:r>
      <w:r>
        <w:rPr>
          <w:rFonts w:ascii="宋体" w:hAnsi="宋体" w:eastAsia="宋体" w:cs="宋体"/>
          <w:spacing w:val="9"/>
          <w:sz w:val="19"/>
          <w:szCs w:val="19"/>
        </w:rPr>
        <w:t>采取措施，实现合同工期目标。当实施进度发生较大偏差时，要求承包人调整进度计划；</w:t>
      </w:r>
      <w:r>
        <w:rPr>
          <w:rFonts w:ascii="宋体" w:hAnsi="宋体" w:eastAsia="宋体" w:cs="宋体"/>
          <w:spacing w:val="-55"/>
          <w:sz w:val="19"/>
          <w:szCs w:val="19"/>
        </w:rPr>
        <w:t xml:space="preserve"> </w:t>
      </w:r>
      <w:r>
        <w:rPr>
          <w:rFonts w:ascii="宋体" w:hAnsi="宋体" w:eastAsia="宋体" w:cs="宋体"/>
          <w:spacing w:val="9"/>
          <w:sz w:val="19"/>
          <w:szCs w:val="19"/>
        </w:rPr>
        <w:t>向委托人提出调整控制性</w:t>
      </w:r>
      <w:r>
        <w:rPr>
          <w:rFonts w:ascii="宋体" w:hAnsi="宋体" w:eastAsia="宋体" w:cs="宋体"/>
          <w:sz w:val="19"/>
          <w:szCs w:val="19"/>
        </w:rPr>
        <w:t xml:space="preserve"> </w:t>
      </w:r>
      <w:r>
        <w:rPr>
          <w:rFonts w:ascii="宋体" w:hAnsi="宋体" w:eastAsia="宋体" w:cs="宋体"/>
          <w:spacing w:val="8"/>
          <w:sz w:val="19"/>
          <w:szCs w:val="19"/>
        </w:rPr>
        <w:t>进度计划的建议意见。</w:t>
      </w:r>
    </w:p>
    <w:p w14:paraId="7F12670F">
      <w:pPr>
        <w:spacing w:before="123" w:line="320" w:lineRule="auto"/>
        <w:ind w:left="3" w:firstLine="400"/>
        <w:rPr>
          <w:rFonts w:ascii="宋体" w:hAnsi="宋体" w:eastAsia="宋体" w:cs="宋体"/>
          <w:sz w:val="19"/>
          <w:szCs w:val="19"/>
        </w:rPr>
      </w:pPr>
      <w:r>
        <w:rPr>
          <w:rFonts w:ascii="宋体" w:hAnsi="宋体" w:eastAsia="宋体" w:cs="宋体"/>
          <w:spacing w:val="10"/>
          <w:sz w:val="19"/>
          <w:szCs w:val="19"/>
        </w:rPr>
        <w:t>6、施工质量控制。审查承包人的质量保证体系和措施；依据工</w:t>
      </w:r>
      <w:r>
        <w:rPr>
          <w:rFonts w:ascii="宋体" w:hAnsi="宋体" w:eastAsia="宋体" w:cs="宋体"/>
          <w:spacing w:val="9"/>
          <w:sz w:val="19"/>
          <w:szCs w:val="19"/>
        </w:rPr>
        <w:t>程施工合同文件、设计文件、技术标准，对施</w:t>
      </w:r>
      <w:r>
        <w:rPr>
          <w:rFonts w:ascii="宋体" w:hAnsi="宋体" w:eastAsia="宋体" w:cs="宋体"/>
          <w:sz w:val="19"/>
          <w:szCs w:val="19"/>
        </w:rPr>
        <w:t xml:space="preserve">  </w:t>
      </w:r>
      <w:r>
        <w:rPr>
          <w:rFonts w:ascii="宋体" w:hAnsi="宋体" w:eastAsia="宋体" w:cs="宋体"/>
          <w:spacing w:val="10"/>
          <w:sz w:val="19"/>
          <w:szCs w:val="19"/>
        </w:rPr>
        <w:t>工全过程进行检查，对重要部位、关键工序进行旁站监理；按照有关规定，对承包</w:t>
      </w:r>
      <w:r>
        <w:rPr>
          <w:rFonts w:ascii="宋体" w:hAnsi="宋体" w:eastAsia="宋体" w:cs="宋体"/>
          <w:spacing w:val="9"/>
          <w:sz w:val="19"/>
          <w:szCs w:val="19"/>
        </w:rPr>
        <w:t>人进场的工程设备、建筑材料、</w:t>
      </w:r>
      <w:r>
        <w:rPr>
          <w:rFonts w:ascii="宋体" w:hAnsi="宋体" w:eastAsia="宋体" w:cs="宋体"/>
          <w:sz w:val="19"/>
          <w:szCs w:val="19"/>
        </w:rPr>
        <w:t xml:space="preserve"> </w:t>
      </w:r>
      <w:r>
        <w:rPr>
          <w:rFonts w:ascii="宋体" w:hAnsi="宋体" w:eastAsia="宋体" w:cs="宋体"/>
          <w:spacing w:val="10"/>
          <w:sz w:val="19"/>
          <w:szCs w:val="19"/>
        </w:rPr>
        <w:t>建筑构配件、中间产品进行跟踪检测和平行检测，复核承包人自评的工程质量等级</w:t>
      </w:r>
      <w:r>
        <w:rPr>
          <w:rFonts w:ascii="宋体" w:hAnsi="宋体" w:eastAsia="宋体" w:cs="宋体"/>
          <w:spacing w:val="9"/>
          <w:sz w:val="19"/>
          <w:szCs w:val="19"/>
        </w:rPr>
        <w:t>；审核承包人提出的工程质量缺</w:t>
      </w:r>
      <w:r>
        <w:rPr>
          <w:rFonts w:ascii="宋体" w:hAnsi="宋体" w:eastAsia="宋体" w:cs="宋体"/>
          <w:sz w:val="19"/>
          <w:szCs w:val="19"/>
        </w:rPr>
        <w:t xml:space="preserve"> </w:t>
      </w:r>
      <w:r>
        <w:rPr>
          <w:rFonts w:ascii="宋体" w:hAnsi="宋体" w:eastAsia="宋体" w:cs="宋体"/>
          <w:spacing w:val="8"/>
          <w:sz w:val="19"/>
          <w:szCs w:val="19"/>
        </w:rPr>
        <w:t>陷处理方案，参与调查质量事故。</w:t>
      </w:r>
    </w:p>
    <w:p w14:paraId="7A3D4B8E">
      <w:pPr>
        <w:spacing w:before="125" w:line="289" w:lineRule="auto"/>
        <w:ind w:left="1" w:right="100" w:firstLine="405"/>
        <w:rPr>
          <w:rFonts w:ascii="宋体" w:hAnsi="宋体" w:eastAsia="宋体" w:cs="宋体"/>
          <w:sz w:val="19"/>
          <w:szCs w:val="19"/>
        </w:rPr>
      </w:pPr>
      <w:r>
        <w:rPr>
          <w:rFonts w:ascii="宋体" w:hAnsi="宋体" w:eastAsia="宋体" w:cs="宋体"/>
          <w:spacing w:val="10"/>
          <w:sz w:val="19"/>
          <w:szCs w:val="19"/>
        </w:rPr>
        <w:t>7、资金控制。协助委托人编制付款计划；审查承包人提</w:t>
      </w:r>
      <w:r>
        <w:rPr>
          <w:rFonts w:ascii="宋体" w:hAnsi="宋体" w:eastAsia="宋体" w:cs="宋体"/>
          <w:spacing w:val="9"/>
          <w:sz w:val="19"/>
          <w:szCs w:val="19"/>
        </w:rPr>
        <w:t>交的资金流计划；核定承包人完成的工程量，审核承</w:t>
      </w:r>
      <w:r>
        <w:rPr>
          <w:rFonts w:ascii="宋体" w:hAnsi="宋体" w:eastAsia="宋体" w:cs="宋体"/>
          <w:sz w:val="19"/>
          <w:szCs w:val="19"/>
        </w:rPr>
        <w:t xml:space="preserve"> </w:t>
      </w:r>
      <w:r>
        <w:rPr>
          <w:rFonts w:ascii="宋体" w:hAnsi="宋体" w:eastAsia="宋体" w:cs="宋体"/>
          <w:spacing w:val="9"/>
          <w:sz w:val="19"/>
          <w:szCs w:val="19"/>
        </w:rPr>
        <w:t>包人提交的支付申请，签审付款凭证；代委托人受理索赔申请，提出处理意见。</w:t>
      </w:r>
    </w:p>
    <w:p w14:paraId="3A64A9A3">
      <w:pPr>
        <w:spacing w:before="126" w:line="289" w:lineRule="auto"/>
        <w:ind w:left="6" w:right="100" w:firstLine="396"/>
        <w:rPr>
          <w:rFonts w:ascii="宋体" w:hAnsi="宋体" w:eastAsia="宋体" w:cs="宋体"/>
          <w:sz w:val="19"/>
          <w:szCs w:val="19"/>
        </w:rPr>
      </w:pPr>
      <w:r>
        <w:rPr>
          <w:rFonts w:ascii="宋体" w:hAnsi="宋体" w:eastAsia="宋体" w:cs="宋体"/>
          <w:spacing w:val="10"/>
          <w:sz w:val="19"/>
          <w:szCs w:val="19"/>
        </w:rPr>
        <w:t>8、施工安全控制。审查承包人提出的安全技术措施、专项施工方</w:t>
      </w:r>
      <w:r>
        <w:rPr>
          <w:rFonts w:ascii="宋体" w:hAnsi="宋体" w:eastAsia="宋体" w:cs="宋体"/>
          <w:spacing w:val="9"/>
          <w:sz w:val="19"/>
          <w:szCs w:val="19"/>
        </w:rPr>
        <w:t>案，并检查实施情况；检查防洪度汛措施落</w:t>
      </w:r>
      <w:r>
        <w:rPr>
          <w:rFonts w:ascii="宋体" w:hAnsi="宋体" w:eastAsia="宋体" w:cs="宋体"/>
          <w:sz w:val="19"/>
          <w:szCs w:val="19"/>
        </w:rPr>
        <w:t xml:space="preserve"> </w:t>
      </w:r>
      <w:r>
        <w:rPr>
          <w:rFonts w:ascii="宋体" w:hAnsi="宋体" w:eastAsia="宋体" w:cs="宋体"/>
          <w:spacing w:val="8"/>
          <w:sz w:val="19"/>
          <w:szCs w:val="19"/>
        </w:rPr>
        <w:t>实情况；参与安全事故调查。</w:t>
      </w:r>
    </w:p>
    <w:p w14:paraId="64CE1EDD">
      <w:pPr>
        <w:spacing w:before="125" w:line="288" w:lineRule="auto"/>
        <w:ind w:left="1" w:right="100" w:firstLine="401"/>
        <w:rPr>
          <w:rFonts w:ascii="宋体" w:hAnsi="宋体" w:eastAsia="宋体" w:cs="宋体"/>
          <w:sz w:val="19"/>
          <w:szCs w:val="19"/>
        </w:rPr>
      </w:pPr>
      <w:r>
        <w:rPr>
          <w:rFonts w:ascii="宋体" w:hAnsi="宋体" w:eastAsia="宋体" w:cs="宋体"/>
          <w:spacing w:val="10"/>
          <w:sz w:val="19"/>
          <w:szCs w:val="19"/>
        </w:rPr>
        <w:t>9、按有关规定参加工程验收，负责完成监理资料的汇总、整理，</w:t>
      </w:r>
      <w:r>
        <w:rPr>
          <w:rFonts w:ascii="宋体" w:hAnsi="宋体" w:eastAsia="宋体" w:cs="宋体"/>
          <w:spacing w:val="9"/>
          <w:sz w:val="19"/>
          <w:szCs w:val="19"/>
        </w:rPr>
        <w:t>协助委托人检查承包人的合同执行情况；做</w:t>
      </w:r>
      <w:r>
        <w:rPr>
          <w:rFonts w:ascii="宋体" w:hAnsi="宋体" w:eastAsia="宋体" w:cs="宋体"/>
          <w:sz w:val="19"/>
          <w:szCs w:val="19"/>
        </w:rPr>
        <w:t xml:space="preserve"> </w:t>
      </w:r>
      <w:r>
        <w:rPr>
          <w:rFonts w:ascii="宋体" w:hAnsi="宋体" w:eastAsia="宋体" w:cs="宋体"/>
          <w:spacing w:val="9"/>
          <w:sz w:val="19"/>
          <w:szCs w:val="19"/>
        </w:rPr>
        <w:t>好验收的各项准备工作或者配合工作，提供工程监理资料，提交监理工作报告。</w:t>
      </w:r>
    </w:p>
    <w:p w14:paraId="55F8808F">
      <w:pPr>
        <w:spacing w:before="126" w:line="289" w:lineRule="auto"/>
        <w:ind w:left="2" w:firstLine="414"/>
        <w:rPr>
          <w:rFonts w:ascii="宋体" w:hAnsi="宋体" w:eastAsia="宋体" w:cs="宋体"/>
          <w:sz w:val="19"/>
          <w:szCs w:val="19"/>
        </w:rPr>
      </w:pPr>
      <w:r>
        <w:rPr>
          <w:rFonts w:ascii="宋体" w:hAnsi="宋体" w:eastAsia="宋体" w:cs="宋体"/>
          <w:spacing w:val="9"/>
          <w:sz w:val="19"/>
          <w:szCs w:val="19"/>
        </w:rPr>
        <w:t>10、档案管理。做好施工现场的监理记录与信息反馈，做好监理文档管理工作，合同期限届满时按照档案管理</w:t>
      </w:r>
      <w:r>
        <w:rPr>
          <w:rFonts w:ascii="宋体" w:hAnsi="宋体" w:eastAsia="宋体" w:cs="宋体"/>
          <w:spacing w:val="12"/>
          <w:sz w:val="19"/>
          <w:szCs w:val="19"/>
        </w:rPr>
        <w:t xml:space="preserve"> </w:t>
      </w:r>
      <w:r>
        <w:rPr>
          <w:rFonts w:ascii="宋体" w:hAnsi="宋体" w:eastAsia="宋体" w:cs="宋体"/>
          <w:spacing w:val="8"/>
          <w:sz w:val="19"/>
          <w:szCs w:val="19"/>
        </w:rPr>
        <w:t>要求整理、归档并移交委托人。</w:t>
      </w:r>
    </w:p>
    <w:p w14:paraId="7536819A">
      <w:pPr>
        <w:rPr>
          <w:color w:val="auto"/>
          <w:highlight w:val="none"/>
        </w:rPr>
      </w:pPr>
      <w:bookmarkStart w:id="150" w:name="_Toc9184"/>
      <w:r>
        <w:rPr>
          <w:rFonts w:hint="eastAsia" w:ascii="宋体" w:hAnsi="宋体" w:eastAsia="宋体" w:cs="宋体"/>
          <w:color w:val="auto"/>
          <w:highlight w:val="none"/>
          <w:lang w:eastAsia="zh-CN"/>
        </w:rPr>
        <w:br w:type="page"/>
      </w:r>
      <w:bookmarkEnd w:id="150"/>
    </w:p>
    <w:p w14:paraId="089F923A">
      <w:pPr>
        <w:rPr>
          <w:color w:val="auto"/>
          <w:highlight w:val="none"/>
        </w:rPr>
        <w:sectPr>
          <w:footerReference r:id="rId16" w:type="default"/>
          <w:type w:val="continuous"/>
          <w:pgSz w:w="12240" w:h="15840"/>
          <w:pgMar w:top="1500" w:right="1580" w:bottom="280" w:left="1700" w:header="720" w:footer="720" w:gutter="0"/>
          <w:pgNumType w:fmt="decimal"/>
          <w:cols w:space="720" w:num="1"/>
        </w:sectPr>
      </w:pPr>
    </w:p>
    <w:p w14:paraId="0907A8FC">
      <w:pPr>
        <w:pStyle w:val="3"/>
        <w:spacing w:before="120" w:beforeLines="50" w:after="120" w:afterLines="50" w:line="300" w:lineRule="auto"/>
        <w:ind w:left="2634" w:right="175"/>
        <w:jc w:val="left"/>
        <w:rPr>
          <w:rFonts w:ascii="宋体" w:hAnsi="宋体" w:eastAsia="宋体" w:cs="宋体"/>
          <w:color w:val="auto"/>
          <w:highlight w:val="none"/>
        </w:rPr>
      </w:pPr>
      <w:bookmarkStart w:id="151" w:name="_Toc3523"/>
      <w:r>
        <w:rPr>
          <w:rFonts w:hint="eastAsia" w:ascii="宋体" w:hAnsi="宋体" w:eastAsia="宋体" w:cs="宋体"/>
          <w:color w:val="auto"/>
          <w:highlight w:val="none"/>
        </w:rPr>
        <w:t>第五章委托人要求</w:t>
      </w:r>
      <w:bookmarkEnd w:id="151"/>
    </w:p>
    <w:p w14:paraId="146D860C">
      <w:pPr>
        <w:spacing w:before="120" w:beforeLines="50" w:after="120" w:afterLines="50" w:line="300" w:lineRule="auto"/>
        <w:ind w:right="2890" w:firstLine="420"/>
        <w:rPr>
          <w:color w:val="auto"/>
          <w:highlight w:val="none"/>
          <w:lang w:eastAsia="zh-CN"/>
        </w:rPr>
      </w:pPr>
      <w:r>
        <w:rPr>
          <w:color w:val="auto"/>
          <w:sz w:val="21"/>
          <w:highlight w:val="none"/>
          <w:lang w:eastAsia="zh-CN"/>
        </w:rPr>
        <w:t>委托人要求通常包括但不限于以下内容：</w:t>
      </w:r>
    </w:p>
    <w:p w14:paraId="55F49B36">
      <w:pPr>
        <w:pStyle w:val="4"/>
        <w:spacing w:before="120" w:beforeLines="50" w:after="120" w:afterLines="50" w:line="300" w:lineRule="auto"/>
        <w:rPr>
          <w:color w:val="auto"/>
          <w:highlight w:val="none"/>
          <w:lang w:eastAsia="zh-CN"/>
        </w:rPr>
      </w:pPr>
      <w:bookmarkStart w:id="152" w:name="_Toc3020"/>
      <w:bookmarkStart w:id="153" w:name="_Toc493082625"/>
      <w:r>
        <w:rPr>
          <w:color w:val="auto"/>
          <w:highlight w:val="none"/>
          <w:lang w:eastAsia="zh-CN"/>
        </w:rPr>
        <w:t>一、监理要求</w:t>
      </w:r>
      <w:bookmarkEnd w:id="152"/>
      <w:bookmarkEnd w:id="153"/>
    </w:p>
    <w:p w14:paraId="0030ED4E">
      <w:pPr>
        <w:spacing w:before="120" w:beforeLines="50" w:after="120" w:afterLines="50" w:line="300" w:lineRule="auto"/>
        <w:ind w:left="417" w:right="103" w:hanging="10"/>
        <w:rPr>
          <w:color w:val="auto"/>
          <w:highlight w:val="none"/>
          <w:lang w:eastAsia="zh-CN"/>
        </w:rPr>
      </w:pPr>
      <w:r>
        <w:rPr>
          <w:color w:val="auto"/>
          <w:sz w:val="21"/>
          <w:highlight w:val="none"/>
          <w:lang w:eastAsia="zh-CN"/>
        </w:rPr>
        <w:t>招标人应当根据项目情况在本章中明确相应的监理要求，一般应包括以下内容：</w:t>
      </w:r>
    </w:p>
    <w:p w14:paraId="51603998">
      <w:pPr>
        <w:widowControl/>
        <w:numPr>
          <w:ilvl w:val="0"/>
          <w:numId w:val="0"/>
        </w:numPr>
        <w:spacing w:before="120" w:beforeLines="50" w:after="120" w:afterLines="50" w:line="300" w:lineRule="auto"/>
        <w:ind w:left="671" w:leftChars="0" w:right="103" w:rightChars="0" w:hanging="264" w:firstLineChars="0"/>
        <w:rPr>
          <w:color w:val="auto"/>
          <w:highlight w:val="none"/>
        </w:rPr>
      </w:pPr>
      <w:r>
        <w:rPr>
          <w:color w:val="auto"/>
          <w:sz w:val="21"/>
          <w:highlight w:val="none"/>
        </w:rPr>
        <w:t>项目概况</w:t>
      </w:r>
    </w:p>
    <w:p w14:paraId="12CD371A">
      <w:pPr>
        <w:widowControl/>
        <w:numPr>
          <w:ilvl w:val="0"/>
          <w:numId w:val="0"/>
        </w:numPr>
        <w:spacing w:before="120" w:beforeLines="50" w:after="120" w:afterLines="50" w:line="300" w:lineRule="auto"/>
        <w:ind w:left="426" w:leftChars="0" w:right="103" w:rightChars="0" w:hanging="19" w:firstLineChars="0"/>
        <w:rPr>
          <w:color w:val="auto"/>
          <w:sz w:val="21"/>
          <w:highlight w:val="none"/>
        </w:rPr>
      </w:pPr>
      <w:r>
        <w:rPr>
          <w:rFonts w:hint="eastAsia" w:ascii="Times New Roman" w:hAnsi="Times New Roman" w:eastAsia="宋体" w:cs="Times New Roman"/>
          <w:b w:val="0"/>
          <w:i w:val="0"/>
          <w:strike w:val="0"/>
          <w:dstrike w:val="0"/>
          <w:color w:val="000000"/>
          <w:sz w:val="21"/>
          <w:szCs w:val="21"/>
          <w:u w:val="none" w:color="000000"/>
          <w:shd w:val="clear" w:color="auto" w:fill="auto"/>
          <w:vertAlign w:val="baseline"/>
          <w:lang w:val="en-US" w:eastAsia="zh-CN" w:bidi="ar-SA"/>
        </w:rPr>
        <w:t>1</w:t>
      </w:r>
      <w:r>
        <w:rPr>
          <w:rFonts w:ascii="Times New Roman" w:hAnsi="Times New Roman" w:eastAsia="Times New Roman" w:cs="Times New Roman"/>
          <w:b w:val="0"/>
          <w:i w:val="0"/>
          <w:strike w:val="0"/>
          <w:dstrike w:val="0"/>
          <w:color w:val="000000"/>
          <w:sz w:val="21"/>
          <w:szCs w:val="21"/>
          <w:u w:val="none" w:color="000000"/>
          <w:shd w:val="clear" w:color="auto" w:fill="auto"/>
          <w:vertAlign w:val="baseline"/>
          <w:lang w:val="en-US" w:eastAsia="en-US" w:bidi="ar-SA"/>
        </w:rPr>
        <w:t>.</w:t>
      </w:r>
      <w:r>
        <w:rPr>
          <w:color w:val="auto"/>
          <w:sz w:val="21"/>
          <w:highlight w:val="none"/>
          <w:lang w:eastAsia="zh-CN"/>
        </w:rPr>
        <w:t>项目名称</w:t>
      </w:r>
      <w:r>
        <w:rPr>
          <w:rFonts w:hint="eastAsia"/>
          <w:color w:val="auto"/>
          <w:sz w:val="21"/>
          <w:highlight w:val="none"/>
          <w:lang w:eastAsia="zh-CN"/>
        </w:rPr>
        <w:t xml:space="preserve">：乾安县2024年高标准农田建设项目监理 </w:t>
      </w:r>
    </w:p>
    <w:p w14:paraId="4171C281">
      <w:pPr>
        <w:widowControl/>
        <w:numPr>
          <w:ilvl w:val="0"/>
          <w:numId w:val="0"/>
        </w:numPr>
        <w:spacing w:before="120" w:beforeLines="50" w:after="120" w:afterLines="50" w:line="300" w:lineRule="auto"/>
        <w:ind w:left="426" w:leftChars="0" w:right="103" w:rightChars="0" w:hanging="19" w:firstLineChars="0"/>
        <w:rPr>
          <w:color w:val="auto"/>
          <w:sz w:val="21"/>
          <w:highlight w:val="none"/>
        </w:rPr>
      </w:pPr>
      <w:r>
        <w:rPr>
          <w:rFonts w:hint="eastAsia" w:ascii="Times New Roman" w:hAnsi="Times New Roman" w:eastAsia="宋体" w:cs="Times New Roman"/>
          <w:b w:val="0"/>
          <w:i w:val="0"/>
          <w:strike w:val="0"/>
          <w:dstrike w:val="0"/>
          <w:color w:val="000000"/>
          <w:sz w:val="21"/>
          <w:szCs w:val="21"/>
          <w:u w:val="none" w:color="000000"/>
          <w:shd w:val="clear" w:color="auto" w:fill="auto"/>
          <w:vertAlign w:val="baseline"/>
          <w:lang w:val="en-US" w:eastAsia="zh-CN" w:bidi="ar-SA"/>
        </w:rPr>
        <w:t>2</w:t>
      </w:r>
      <w:r>
        <w:rPr>
          <w:rFonts w:ascii="Times New Roman" w:hAnsi="Times New Roman" w:eastAsia="Times New Roman" w:cs="Times New Roman"/>
          <w:b w:val="0"/>
          <w:i w:val="0"/>
          <w:strike w:val="0"/>
          <w:dstrike w:val="0"/>
          <w:color w:val="000000"/>
          <w:sz w:val="21"/>
          <w:szCs w:val="21"/>
          <w:u w:val="none" w:color="000000"/>
          <w:shd w:val="clear" w:color="auto" w:fill="auto"/>
          <w:vertAlign w:val="baseline"/>
          <w:lang w:val="en-US" w:eastAsia="en-US" w:bidi="ar-SA"/>
        </w:rPr>
        <w:t>.</w:t>
      </w:r>
      <w:r>
        <w:rPr>
          <w:color w:val="auto"/>
          <w:sz w:val="21"/>
          <w:highlight w:val="none"/>
          <w:lang w:eastAsia="zh-CN"/>
        </w:rPr>
        <w:t>建设单位</w:t>
      </w:r>
      <w:r>
        <w:rPr>
          <w:rFonts w:hint="eastAsia"/>
          <w:color w:val="auto"/>
          <w:sz w:val="21"/>
          <w:highlight w:val="none"/>
          <w:lang w:eastAsia="zh-CN"/>
        </w:rPr>
        <w:t>：乾安县农业农村局</w:t>
      </w:r>
    </w:p>
    <w:p w14:paraId="754BFEF9">
      <w:pPr>
        <w:widowControl/>
        <w:numPr>
          <w:ilvl w:val="0"/>
          <w:numId w:val="0"/>
        </w:numPr>
        <w:spacing w:before="120" w:beforeLines="50" w:after="120" w:afterLines="50" w:line="300" w:lineRule="auto"/>
        <w:ind w:left="426" w:leftChars="0" w:right="103" w:rightChars="0" w:hanging="19" w:firstLineChars="0"/>
        <w:rPr>
          <w:rFonts w:hint="eastAsia" w:ascii="Times New Roman" w:hAnsi="Times New Roman" w:eastAsia="宋体" w:cs="Times New Roman"/>
          <w:b w:val="0"/>
          <w:i w:val="0"/>
          <w:strike w:val="0"/>
          <w:dstrike w:val="0"/>
          <w:color w:val="000000"/>
          <w:sz w:val="21"/>
          <w:szCs w:val="21"/>
          <w:u w:val="none" w:color="000000"/>
          <w:shd w:val="clear" w:color="auto" w:fill="auto"/>
          <w:vertAlign w:val="baseline"/>
          <w:lang w:val="en-US" w:eastAsia="zh-CN" w:bidi="ar-SA"/>
        </w:rPr>
      </w:pPr>
      <w:r>
        <w:rPr>
          <w:rFonts w:hint="eastAsia" w:ascii="Times New Roman" w:hAnsi="Times New Roman" w:eastAsia="宋体" w:cs="Times New Roman"/>
          <w:b w:val="0"/>
          <w:i w:val="0"/>
          <w:strike w:val="0"/>
          <w:dstrike w:val="0"/>
          <w:color w:val="000000"/>
          <w:sz w:val="21"/>
          <w:szCs w:val="21"/>
          <w:u w:val="none" w:color="000000"/>
          <w:shd w:val="clear" w:color="auto" w:fill="auto"/>
          <w:vertAlign w:val="baseline"/>
          <w:lang w:val="en-US" w:eastAsia="zh-CN" w:bidi="ar-SA"/>
        </w:rPr>
        <w:t>3</w:t>
      </w:r>
      <w:r>
        <w:rPr>
          <w:rFonts w:ascii="Times New Roman" w:hAnsi="Times New Roman" w:eastAsia="Times New Roman" w:cs="Times New Roman"/>
          <w:b w:val="0"/>
          <w:i w:val="0"/>
          <w:strike w:val="0"/>
          <w:dstrike w:val="0"/>
          <w:color w:val="000000"/>
          <w:sz w:val="21"/>
          <w:szCs w:val="21"/>
          <w:u w:val="none" w:color="000000"/>
          <w:shd w:val="clear" w:color="auto" w:fill="auto"/>
          <w:vertAlign w:val="baseline"/>
          <w:lang w:val="en-US" w:eastAsia="en-US" w:bidi="ar-SA"/>
        </w:rPr>
        <w:t>.</w:t>
      </w:r>
      <w:r>
        <w:rPr>
          <w:rFonts w:hint="eastAsia"/>
          <w:color w:val="auto"/>
          <w:sz w:val="21"/>
          <w:highlight w:val="none"/>
          <w:lang w:eastAsia="zh-CN"/>
        </w:rPr>
        <w:t>监理范围：</w:t>
      </w:r>
      <w:r>
        <w:rPr>
          <w:rFonts w:hint="eastAsia"/>
          <w:color w:val="auto"/>
          <w:sz w:val="21"/>
          <w:highlight w:val="none"/>
          <w:lang w:val="en-US" w:eastAsia="zh-CN"/>
        </w:rPr>
        <w:t>建设项目工程所有标段全过程监理服务</w:t>
      </w:r>
    </w:p>
    <w:p w14:paraId="235D515A">
      <w:pPr>
        <w:widowControl/>
        <w:numPr>
          <w:ilvl w:val="0"/>
          <w:numId w:val="0"/>
        </w:numPr>
        <w:spacing w:before="120" w:beforeLines="50" w:after="120" w:afterLines="50" w:line="300" w:lineRule="auto"/>
        <w:ind w:left="426" w:leftChars="0" w:right="103" w:rightChars="0" w:hanging="19" w:firstLineChars="0"/>
        <w:rPr>
          <w:rFonts w:hint="eastAsia" w:ascii="Times New Roman" w:hAnsi="Times New Roman" w:eastAsia="宋体" w:cs="Times New Roman"/>
          <w:b w:val="0"/>
          <w:i w:val="0"/>
          <w:strike w:val="0"/>
          <w:dstrike w:val="0"/>
          <w:color w:val="000000"/>
          <w:sz w:val="21"/>
          <w:szCs w:val="21"/>
          <w:u w:val="none" w:color="000000"/>
          <w:shd w:val="clear" w:color="auto" w:fill="auto"/>
          <w:vertAlign w:val="baseline"/>
          <w:lang w:val="en-US" w:eastAsia="zh-CN" w:bidi="ar-SA"/>
        </w:rPr>
      </w:pPr>
      <w:r>
        <w:rPr>
          <w:rFonts w:hint="eastAsia" w:ascii="Times New Roman" w:hAnsi="Times New Roman" w:eastAsia="宋体" w:cs="Times New Roman"/>
          <w:b w:val="0"/>
          <w:i w:val="0"/>
          <w:strike w:val="0"/>
          <w:dstrike w:val="0"/>
          <w:color w:val="000000"/>
          <w:sz w:val="21"/>
          <w:szCs w:val="21"/>
          <w:u w:val="none" w:color="000000"/>
          <w:shd w:val="clear" w:color="auto" w:fill="auto"/>
          <w:vertAlign w:val="baseline"/>
          <w:lang w:val="en-US" w:eastAsia="zh-CN" w:bidi="ar-SA"/>
        </w:rPr>
        <w:t>4监理服务期：签订合同之日起至工程竣工验收、保修期结束止。</w:t>
      </w:r>
    </w:p>
    <w:p w14:paraId="5E7A8A8C">
      <w:pPr>
        <w:widowControl/>
        <w:numPr>
          <w:ilvl w:val="0"/>
          <w:numId w:val="0"/>
        </w:numPr>
        <w:spacing w:before="120" w:beforeLines="50" w:after="120" w:afterLines="50" w:line="300" w:lineRule="auto"/>
        <w:ind w:left="426" w:leftChars="0" w:right="103" w:rightChars="0" w:hanging="19" w:firstLineChars="0"/>
        <w:rPr>
          <w:rFonts w:hint="eastAsia" w:ascii="Times New Roman" w:hAnsi="Times New Roman" w:eastAsia="宋体" w:cs="Times New Roman"/>
          <w:b w:val="0"/>
          <w:i w:val="0"/>
          <w:strike w:val="0"/>
          <w:dstrike w:val="0"/>
          <w:color w:val="000000"/>
          <w:sz w:val="21"/>
          <w:szCs w:val="21"/>
          <w:u w:val="none" w:color="000000"/>
          <w:shd w:val="clear" w:color="auto" w:fill="auto"/>
          <w:vertAlign w:val="baseline"/>
          <w:lang w:val="en-US" w:eastAsia="zh-CN" w:bidi="ar-SA"/>
        </w:rPr>
      </w:pPr>
      <w:r>
        <w:rPr>
          <w:rFonts w:hint="eastAsia" w:ascii="Times New Roman" w:hAnsi="Times New Roman" w:eastAsia="宋体" w:cs="Times New Roman"/>
          <w:b w:val="0"/>
          <w:i w:val="0"/>
          <w:strike w:val="0"/>
          <w:dstrike w:val="0"/>
          <w:color w:val="000000"/>
          <w:sz w:val="21"/>
          <w:szCs w:val="21"/>
          <w:u w:val="none" w:color="000000"/>
          <w:shd w:val="clear" w:color="auto" w:fill="auto"/>
          <w:vertAlign w:val="baseline"/>
          <w:lang w:val="en-US" w:eastAsia="zh-CN" w:bidi="ar-SA"/>
        </w:rPr>
        <w:t>5项目地点：乾安县境内；</w:t>
      </w:r>
    </w:p>
    <w:p w14:paraId="593341D0">
      <w:pPr>
        <w:widowControl/>
        <w:numPr>
          <w:ilvl w:val="0"/>
          <w:numId w:val="0"/>
        </w:numPr>
        <w:spacing w:before="120" w:beforeLines="50" w:after="120" w:afterLines="50" w:line="300" w:lineRule="auto"/>
        <w:ind w:left="426" w:leftChars="0" w:right="103" w:rightChars="0" w:hanging="19" w:firstLineChars="0"/>
        <w:rPr>
          <w:rFonts w:hint="eastAsia" w:ascii="Times New Roman" w:hAnsi="Times New Roman" w:eastAsia="宋体" w:cs="Times New Roman"/>
          <w:b w:val="0"/>
          <w:i w:val="0"/>
          <w:strike w:val="0"/>
          <w:dstrike w:val="0"/>
          <w:color w:val="000000"/>
          <w:sz w:val="21"/>
          <w:szCs w:val="21"/>
          <w:u w:val="none" w:color="000000"/>
          <w:shd w:val="clear" w:color="auto" w:fill="auto"/>
          <w:vertAlign w:val="baseline"/>
          <w:lang w:val="en-US" w:eastAsia="zh-CN" w:bidi="ar-SA"/>
        </w:rPr>
      </w:pPr>
      <w:r>
        <w:rPr>
          <w:rFonts w:hint="eastAsia" w:ascii="Times New Roman" w:hAnsi="Times New Roman" w:eastAsia="宋体" w:cs="Times New Roman"/>
          <w:b w:val="0"/>
          <w:i w:val="0"/>
          <w:strike w:val="0"/>
          <w:dstrike w:val="0"/>
          <w:color w:val="000000"/>
          <w:sz w:val="21"/>
          <w:szCs w:val="21"/>
          <w:u w:val="none" w:color="000000"/>
          <w:shd w:val="clear" w:color="auto" w:fill="auto"/>
          <w:vertAlign w:val="baseline"/>
          <w:lang w:val="en-US" w:eastAsia="zh-CN" w:bidi="ar-SA"/>
        </w:rPr>
        <w:t>6监理质量标准：符合国家及行业相关规范及标准。</w:t>
      </w:r>
    </w:p>
    <w:p w14:paraId="04ADB274">
      <w:pPr>
        <w:pStyle w:val="3"/>
        <w:spacing w:line="572" w:lineRule="exact"/>
        <w:ind w:left="2413" w:right="175"/>
        <w:jc w:val="left"/>
        <w:rPr>
          <w:rFonts w:hint="eastAsia" w:ascii="宋体" w:hAnsi="宋体" w:eastAsia="宋体" w:cs="宋体"/>
          <w:color w:val="auto"/>
          <w:highlight w:val="none"/>
          <w:lang w:eastAsia="zh-CN"/>
        </w:rPr>
      </w:pPr>
      <w:bookmarkStart w:id="154" w:name="_Toc4872"/>
    </w:p>
    <w:p w14:paraId="30E8765C">
      <w:pPr>
        <w:pStyle w:val="3"/>
        <w:spacing w:line="572" w:lineRule="exact"/>
        <w:ind w:left="2413" w:right="175"/>
        <w:jc w:val="left"/>
        <w:rPr>
          <w:rFonts w:hint="eastAsia" w:ascii="宋体" w:hAnsi="宋体" w:eastAsia="宋体" w:cs="宋体"/>
          <w:color w:val="auto"/>
          <w:highlight w:val="none"/>
          <w:lang w:eastAsia="zh-CN"/>
        </w:rPr>
      </w:pPr>
    </w:p>
    <w:p w14:paraId="52CAB799">
      <w:pPr>
        <w:pStyle w:val="3"/>
        <w:spacing w:line="572" w:lineRule="exact"/>
        <w:ind w:left="2413" w:right="175"/>
        <w:jc w:val="left"/>
        <w:rPr>
          <w:rFonts w:hint="eastAsia" w:ascii="宋体" w:hAnsi="宋体" w:eastAsia="宋体" w:cs="宋体"/>
          <w:color w:val="auto"/>
          <w:highlight w:val="none"/>
          <w:lang w:eastAsia="zh-CN"/>
        </w:rPr>
      </w:pPr>
    </w:p>
    <w:p w14:paraId="04D40761">
      <w:pPr>
        <w:pStyle w:val="3"/>
        <w:spacing w:line="572" w:lineRule="exact"/>
        <w:ind w:left="2413" w:right="175"/>
        <w:jc w:val="left"/>
        <w:rPr>
          <w:rFonts w:hint="eastAsia" w:ascii="宋体" w:hAnsi="宋体" w:eastAsia="宋体" w:cs="宋体"/>
          <w:color w:val="auto"/>
          <w:highlight w:val="none"/>
          <w:lang w:eastAsia="zh-CN"/>
        </w:rPr>
      </w:pPr>
    </w:p>
    <w:p w14:paraId="2E25EE45">
      <w:pPr>
        <w:pStyle w:val="3"/>
        <w:spacing w:line="572" w:lineRule="exact"/>
        <w:ind w:left="2413" w:right="175"/>
        <w:jc w:val="left"/>
        <w:rPr>
          <w:rFonts w:hint="eastAsia" w:ascii="宋体" w:hAnsi="宋体" w:eastAsia="宋体" w:cs="宋体"/>
          <w:color w:val="auto"/>
          <w:highlight w:val="none"/>
          <w:lang w:eastAsia="zh-CN"/>
        </w:rPr>
      </w:pPr>
    </w:p>
    <w:p w14:paraId="704C5D2F">
      <w:pPr>
        <w:pStyle w:val="3"/>
        <w:spacing w:line="572" w:lineRule="exact"/>
        <w:ind w:left="2413" w:right="175"/>
        <w:jc w:val="left"/>
        <w:rPr>
          <w:rFonts w:hint="eastAsia" w:ascii="宋体" w:hAnsi="宋体" w:eastAsia="宋体" w:cs="宋体"/>
          <w:color w:val="auto"/>
          <w:highlight w:val="none"/>
          <w:lang w:eastAsia="zh-CN"/>
        </w:rPr>
      </w:pPr>
    </w:p>
    <w:p w14:paraId="738EFF0A">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113B23EF">
      <w:pPr>
        <w:pStyle w:val="3"/>
        <w:spacing w:line="572" w:lineRule="exact"/>
        <w:ind w:left="2413" w:right="175"/>
        <w:jc w:val="left"/>
        <w:rPr>
          <w:rFonts w:ascii="宋体" w:hAnsi="宋体" w:eastAsia="宋体" w:cs="宋体"/>
          <w:color w:val="auto"/>
          <w:highlight w:val="none"/>
          <w:lang w:eastAsia="zh-CN"/>
        </w:rPr>
      </w:pPr>
      <w:r>
        <w:rPr>
          <w:rFonts w:hint="eastAsia" w:ascii="宋体" w:hAnsi="宋体" w:eastAsia="宋体" w:cs="宋体"/>
          <w:color w:val="auto"/>
          <w:highlight w:val="none"/>
          <w:lang w:eastAsia="zh-CN"/>
        </w:rPr>
        <w:t>第六章投标文件格式</w:t>
      </w:r>
      <w:bookmarkEnd w:id="154"/>
    </w:p>
    <w:p w14:paraId="29666870">
      <w:pPr>
        <w:spacing w:line="572" w:lineRule="exact"/>
        <w:rPr>
          <w:color w:val="auto"/>
          <w:highlight w:val="none"/>
          <w:lang w:eastAsia="zh-CN"/>
        </w:rPr>
        <w:sectPr>
          <w:footerReference r:id="rId17" w:type="default"/>
          <w:pgSz w:w="12240" w:h="15840"/>
          <w:pgMar w:top="1420" w:right="1720" w:bottom="1120" w:left="1720" w:header="0" w:footer="921" w:gutter="0"/>
          <w:pgNumType w:fmt="decimal"/>
          <w:cols w:space="720" w:num="1"/>
        </w:sectPr>
      </w:pPr>
    </w:p>
    <w:p w14:paraId="5D73ED83">
      <w:pPr>
        <w:pStyle w:val="10"/>
        <w:rPr>
          <w:b/>
          <w:color w:val="auto"/>
          <w:sz w:val="20"/>
          <w:highlight w:val="none"/>
          <w:lang w:eastAsia="zh-CN"/>
        </w:rPr>
      </w:pPr>
    </w:p>
    <w:p w14:paraId="1004D84C">
      <w:pPr>
        <w:pStyle w:val="10"/>
        <w:rPr>
          <w:b/>
          <w:color w:val="auto"/>
          <w:sz w:val="20"/>
          <w:highlight w:val="none"/>
          <w:lang w:eastAsia="zh-CN"/>
        </w:rPr>
      </w:pPr>
    </w:p>
    <w:p w14:paraId="1A629E1E">
      <w:pPr>
        <w:pStyle w:val="10"/>
        <w:rPr>
          <w:b/>
          <w:color w:val="auto"/>
          <w:sz w:val="22"/>
          <w:highlight w:val="none"/>
          <w:lang w:eastAsia="zh-CN"/>
        </w:rPr>
      </w:pPr>
    </w:p>
    <w:p w14:paraId="0BBBC320">
      <w:pPr>
        <w:tabs>
          <w:tab w:val="left" w:pos="3280"/>
        </w:tabs>
        <w:spacing w:before="15"/>
        <w:ind w:left="4009" w:right="175" w:hanging="4009" w:hangingChars="771"/>
        <w:jc w:val="center"/>
        <w:outlineLvl w:val="0"/>
        <w:rPr>
          <w:color w:val="auto"/>
          <w:sz w:val="52"/>
          <w:szCs w:val="52"/>
          <w:highlight w:val="none"/>
          <w:lang w:eastAsia="zh-CN"/>
        </w:rPr>
      </w:pPr>
      <w:bookmarkStart w:id="155" w:name="_Toc8959"/>
      <w:bookmarkStart w:id="156" w:name="_Toc4238"/>
      <w:bookmarkStart w:id="157" w:name="_Toc8294"/>
      <w:bookmarkStart w:id="158" w:name="_Toc21219"/>
      <w:bookmarkStart w:id="159" w:name="_Toc12297"/>
      <w:bookmarkStart w:id="160" w:name="_Toc88490535"/>
      <w:bookmarkStart w:id="161" w:name="_Toc4037"/>
      <w:bookmarkStart w:id="162" w:name="_Toc19119"/>
      <w:r>
        <w:rPr>
          <w:rFonts w:hint="eastAsia" w:ascii="Times New Roman"/>
          <w:color w:val="auto"/>
          <w:sz w:val="52"/>
          <w:szCs w:val="52"/>
          <w:highlight w:val="none"/>
          <w:u w:val="single"/>
          <w:lang w:eastAsia="zh-CN"/>
        </w:rPr>
        <w:t>XXXXX</w:t>
      </w:r>
      <w:r>
        <w:rPr>
          <w:rFonts w:ascii="Times New Roman" w:eastAsia="Times New Roman"/>
          <w:color w:val="auto"/>
          <w:sz w:val="52"/>
          <w:szCs w:val="52"/>
          <w:highlight w:val="none"/>
          <w:u w:val="single"/>
          <w:lang w:eastAsia="zh-CN"/>
        </w:rPr>
        <w:tab/>
      </w:r>
      <w:bookmarkStart w:id="163" w:name="_Toc27659"/>
      <w:r>
        <w:rPr>
          <w:rFonts w:hint="eastAsia" w:ascii="Times New Roman"/>
          <w:color w:val="auto"/>
          <w:sz w:val="52"/>
          <w:szCs w:val="52"/>
          <w:highlight w:val="none"/>
          <w:u w:val="single"/>
          <w:lang w:eastAsia="zh-CN"/>
        </w:rPr>
        <w:t xml:space="preserve">    </w:t>
      </w:r>
      <w:r>
        <w:rPr>
          <w:color w:val="auto"/>
          <w:sz w:val="52"/>
          <w:szCs w:val="52"/>
          <w:highlight w:val="none"/>
          <w:lang w:eastAsia="zh-CN"/>
        </w:rPr>
        <w:t>（项目名称）</w:t>
      </w:r>
      <w:bookmarkEnd w:id="155"/>
      <w:bookmarkEnd w:id="156"/>
      <w:bookmarkEnd w:id="157"/>
      <w:bookmarkEnd w:id="158"/>
      <w:bookmarkEnd w:id="159"/>
      <w:bookmarkEnd w:id="160"/>
      <w:bookmarkEnd w:id="161"/>
      <w:bookmarkEnd w:id="162"/>
    </w:p>
    <w:bookmarkEnd w:id="163"/>
    <w:p w14:paraId="082AB345">
      <w:pPr>
        <w:pStyle w:val="10"/>
        <w:rPr>
          <w:color w:val="auto"/>
          <w:sz w:val="20"/>
          <w:highlight w:val="none"/>
          <w:lang w:eastAsia="zh-CN"/>
        </w:rPr>
      </w:pPr>
    </w:p>
    <w:p w14:paraId="40AD1D0F">
      <w:pPr>
        <w:pStyle w:val="10"/>
        <w:rPr>
          <w:color w:val="auto"/>
          <w:sz w:val="20"/>
          <w:highlight w:val="none"/>
          <w:lang w:eastAsia="zh-CN"/>
        </w:rPr>
      </w:pPr>
    </w:p>
    <w:p w14:paraId="0F4B7B20">
      <w:pPr>
        <w:pStyle w:val="10"/>
        <w:spacing w:before="9"/>
        <w:rPr>
          <w:color w:val="auto"/>
          <w:sz w:val="15"/>
          <w:highlight w:val="none"/>
          <w:lang w:eastAsia="zh-CN"/>
        </w:rPr>
      </w:pPr>
    </w:p>
    <w:p w14:paraId="57C3EC3B">
      <w:pPr>
        <w:spacing w:line="1200" w:lineRule="exact"/>
        <w:ind w:left="6"/>
        <w:jc w:val="center"/>
        <w:outlineLvl w:val="0"/>
        <w:rPr>
          <w:b/>
          <w:bCs/>
          <w:color w:val="auto"/>
          <w:sz w:val="96"/>
          <w:szCs w:val="96"/>
          <w:highlight w:val="none"/>
          <w:lang w:eastAsia="zh-CN"/>
        </w:rPr>
      </w:pPr>
      <w:bookmarkStart w:id="164" w:name="_Toc6978"/>
      <w:bookmarkStart w:id="165" w:name="_Toc10421"/>
      <w:bookmarkStart w:id="166" w:name="_Toc5529"/>
      <w:bookmarkStart w:id="167" w:name="_Toc17755"/>
      <w:bookmarkStart w:id="168" w:name="_Toc833"/>
      <w:r>
        <w:rPr>
          <w:b/>
          <w:bCs/>
          <w:color w:val="auto"/>
          <w:sz w:val="96"/>
          <w:szCs w:val="96"/>
          <w:highlight w:val="none"/>
          <w:lang w:eastAsia="zh-CN"/>
        </w:rPr>
        <w:t>投 标 文 件</w:t>
      </w:r>
      <w:bookmarkEnd w:id="164"/>
      <w:bookmarkEnd w:id="165"/>
      <w:bookmarkEnd w:id="166"/>
      <w:bookmarkEnd w:id="167"/>
      <w:bookmarkEnd w:id="168"/>
    </w:p>
    <w:p w14:paraId="30A2F3F4">
      <w:pPr>
        <w:pStyle w:val="10"/>
        <w:rPr>
          <w:color w:val="auto"/>
          <w:sz w:val="44"/>
          <w:highlight w:val="none"/>
          <w:lang w:eastAsia="zh-CN"/>
        </w:rPr>
      </w:pPr>
    </w:p>
    <w:p w14:paraId="10F7AE77">
      <w:pPr>
        <w:pStyle w:val="10"/>
        <w:rPr>
          <w:color w:val="auto"/>
          <w:sz w:val="44"/>
          <w:highlight w:val="none"/>
          <w:lang w:eastAsia="zh-CN"/>
        </w:rPr>
      </w:pPr>
    </w:p>
    <w:p w14:paraId="3DBECEED">
      <w:pPr>
        <w:pStyle w:val="10"/>
        <w:rPr>
          <w:color w:val="auto"/>
          <w:sz w:val="44"/>
          <w:highlight w:val="none"/>
          <w:lang w:eastAsia="zh-CN"/>
        </w:rPr>
      </w:pPr>
    </w:p>
    <w:p w14:paraId="1D25CAC4">
      <w:pPr>
        <w:pStyle w:val="10"/>
        <w:rPr>
          <w:color w:val="auto"/>
          <w:sz w:val="44"/>
          <w:highlight w:val="none"/>
          <w:lang w:eastAsia="zh-CN"/>
        </w:rPr>
      </w:pPr>
    </w:p>
    <w:p w14:paraId="768C71AA">
      <w:pPr>
        <w:pStyle w:val="10"/>
        <w:rPr>
          <w:color w:val="auto"/>
          <w:sz w:val="44"/>
          <w:highlight w:val="none"/>
          <w:lang w:eastAsia="zh-CN"/>
        </w:rPr>
      </w:pPr>
    </w:p>
    <w:p w14:paraId="76961A58">
      <w:pPr>
        <w:pStyle w:val="10"/>
        <w:rPr>
          <w:color w:val="auto"/>
          <w:sz w:val="44"/>
          <w:highlight w:val="none"/>
          <w:lang w:eastAsia="zh-CN"/>
        </w:rPr>
      </w:pPr>
    </w:p>
    <w:p w14:paraId="1B43DEC4">
      <w:pPr>
        <w:pStyle w:val="10"/>
        <w:rPr>
          <w:color w:val="auto"/>
          <w:sz w:val="44"/>
          <w:highlight w:val="none"/>
          <w:lang w:eastAsia="zh-CN"/>
        </w:rPr>
      </w:pPr>
    </w:p>
    <w:p w14:paraId="52C13B5A">
      <w:pPr>
        <w:pStyle w:val="10"/>
        <w:rPr>
          <w:color w:val="auto"/>
          <w:sz w:val="44"/>
          <w:highlight w:val="none"/>
          <w:lang w:eastAsia="zh-CN"/>
        </w:rPr>
      </w:pPr>
    </w:p>
    <w:p w14:paraId="6802F082">
      <w:pPr>
        <w:pStyle w:val="10"/>
        <w:rPr>
          <w:color w:val="auto"/>
          <w:sz w:val="44"/>
          <w:highlight w:val="none"/>
          <w:lang w:eastAsia="zh-CN"/>
        </w:rPr>
      </w:pPr>
    </w:p>
    <w:p w14:paraId="1B5DDEE0">
      <w:pPr>
        <w:tabs>
          <w:tab w:val="left" w:pos="5577"/>
          <w:tab w:val="left" w:pos="6942"/>
        </w:tabs>
        <w:spacing w:before="378" w:line="357" w:lineRule="auto"/>
        <w:ind w:left="1201" w:right="-220"/>
        <w:outlineLvl w:val="0"/>
        <w:rPr>
          <w:color w:val="auto"/>
          <w:sz w:val="28"/>
          <w:highlight w:val="none"/>
          <w:lang w:eastAsia="zh-CN"/>
        </w:rPr>
      </w:pPr>
      <w:bookmarkStart w:id="169" w:name="_Toc23037"/>
      <w:bookmarkStart w:id="170" w:name="_Toc88490537"/>
      <w:bookmarkStart w:id="171" w:name="_Toc24541"/>
      <w:bookmarkStart w:id="172" w:name="_Toc30679"/>
      <w:bookmarkStart w:id="173" w:name="_Toc13972"/>
      <w:bookmarkStart w:id="174" w:name="_Toc5712"/>
      <w:bookmarkStart w:id="175" w:name="_Toc4560"/>
      <w:bookmarkStart w:id="176" w:name="_Toc30885"/>
      <w:bookmarkStart w:id="177" w:name="_Toc28870"/>
      <w:r>
        <w:rPr>
          <w:color w:val="auto"/>
          <w:sz w:val="28"/>
          <w:highlight w:val="none"/>
          <w:lang w:eastAsia="zh-CN"/>
        </w:rPr>
        <w:t>投标人：</w:t>
      </w:r>
      <w:r>
        <w:rPr>
          <w:rFonts w:ascii="Times New Roman" w:eastAsia="Times New Roman"/>
          <w:color w:val="auto"/>
          <w:sz w:val="28"/>
          <w:highlight w:val="none"/>
          <w:u w:val="single"/>
          <w:lang w:eastAsia="zh-CN"/>
        </w:rPr>
        <w:t xml:space="preserve"> </w:t>
      </w:r>
      <w:r>
        <w:rPr>
          <w:rFonts w:ascii="Times New Roman" w:eastAsia="Times New Roman"/>
          <w:color w:val="auto"/>
          <w:sz w:val="28"/>
          <w:highlight w:val="none"/>
          <w:u w:val="single"/>
          <w:lang w:eastAsia="zh-CN"/>
        </w:rPr>
        <w:tab/>
      </w:r>
      <w:r>
        <w:rPr>
          <w:rFonts w:ascii="Times New Roman" w:eastAsia="Times New Roman"/>
          <w:color w:val="auto"/>
          <w:sz w:val="28"/>
          <w:highlight w:val="none"/>
          <w:u w:val="single"/>
          <w:lang w:eastAsia="zh-CN"/>
        </w:rPr>
        <w:tab/>
      </w:r>
      <w:r>
        <w:rPr>
          <w:color w:val="auto"/>
          <w:spacing w:val="-1"/>
          <w:sz w:val="28"/>
          <w:highlight w:val="none"/>
          <w:lang w:eastAsia="zh-CN"/>
        </w:rPr>
        <w:t xml:space="preserve">（盖单位章） </w:t>
      </w:r>
      <w:r>
        <w:rPr>
          <w:color w:val="auto"/>
          <w:sz w:val="28"/>
          <w:highlight w:val="none"/>
          <w:lang w:eastAsia="zh-CN"/>
        </w:rPr>
        <w:t>法定代表人或其委托代理人：</w:t>
      </w:r>
      <w:r>
        <w:rPr>
          <w:rFonts w:ascii="Times New Roman" w:eastAsia="Times New Roman"/>
          <w:color w:val="auto"/>
          <w:sz w:val="28"/>
          <w:highlight w:val="none"/>
          <w:u w:val="single"/>
          <w:lang w:eastAsia="zh-CN"/>
        </w:rPr>
        <w:t xml:space="preserve"> </w:t>
      </w:r>
      <w:r>
        <w:rPr>
          <w:rFonts w:ascii="Times New Roman" w:eastAsia="Times New Roman"/>
          <w:color w:val="auto"/>
          <w:sz w:val="28"/>
          <w:highlight w:val="none"/>
          <w:u w:val="single"/>
          <w:lang w:eastAsia="zh-CN"/>
        </w:rPr>
        <w:tab/>
      </w:r>
      <w:r>
        <w:rPr>
          <w:rFonts w:hint="eastAsia" w:ascii="Times New Roman"/>
          <w:color w:val="auto"/>
          <w:sz w:val="28"/>
          <w:highlight w:val="none"/>
          <w:u w:val="single"/>
          <w:lang w:eastAsia="zh-CN"/>
        </w:rPr>
        <w:t xml:space="preserve">                    </w:t>
      </w:r>
      <w:r>
        <w:rPr>
          <w:color w:val="auto"/>
          <w:sz w:val="28"/>
          <w:highlight w:val="none"/>
          <w:lang w:eastAsia="zh-CN"/>
        </w:rPr>
        <w:t>（签</w:t>
      </w:r>
      <w:r>
        <w:rPr>
          <w:rFonts w:hint="eastAsia"/>
          <w:color w:val="auto"/>
          <w:sz w:val="28"/>
          <w:highlight w:val="none"/>
          <w:lang w:eastAsia="zh-CN"/>
        </w:rPr>
        <w:t xml:space="preserve">    </w:t>
      </w:r>
      <w:r>
        <w:rPr>
          <w:color w:val="auto"/>
          <w:sz w:val="28"/>
          <w:highlight w:val="none"/>
          <w:lang w:eastAsia="zh-CN"/>
        </w:rPr>
        <w:t>字）</w:t>
      </w:r>
      <w:bookmarkEnd w:id="169"/>
      <w:bookmarkEnd w:id="170"/>
      <w:bookmarkEnd w:id="171"/>
      <w:bookmarkEnd w:id="172"/>
      <w:bookmarkEnd w:id="173"/>
      <w:bookmarkEnd w:id="174"/>
      <w:bookmarkEnd w:id="175"/>
      <w:bookmarkEnd w:id="176"/>
      <w:bookmarkEnd w:id="177"/>
    </w:p>
    <w:p w14:paraId="3546BED4">
      <w:pPr>
        <w:pStyle w:val="10"/>
        <w:spacing w:before="9"/>
        <w:rPr>
          <w:color w:val="auto"/>
          <w:sz w:val="29"/>
          <w:highlight w:val="none"/>
          <w:lang w:eastAsia="zh-CN"/>
        </w:rPr>
      </w:pPr>
    </w:p>
    <w:p w14:paraId="7B299C66">
      <w:pPr>
        <w:tabs>
          <w:tab w:val="left" w:pos="3611"/>
          <w:tab w:val="left" w:pos="4626"/>
          <w:tab w:val="left" w:pos="5642"/>
        </w:tabs>
        <w:spacing w:before="15"/>
        <w:ind w:left="2877" w:right="175"/>
        <w:outlineLvl w:val="0"/>
        <w:rPr>
          <w:color w:val="auto"/>
          <w:sz w:val="28"/>
          <w:highlight w:val="none"/>
          <w:lang w:eastAsia="zh-CN"/>
        </w:rPr>
      </w:pPr>
      <w:r>
        <w:rPr>
          <w:rFonts w:ascii="Times New Roman" w:eastAsia="Times New Roman"/>
          <w:color w:val="auto"/>
          <w:sz w:val="28"/>
          <w:highlight w:val="none"/>
          <w:u w:val="single"/>
          <w:lang w:eastAsia="zh-CN"/>
        </w:rPr>
        <w:t xml:space="preserve"> </w:t>
      </w:r>
      <w:r>
        <w:rPr>
          <w:rFonts w:ascii="Times New Roman" w:eastAsia="Times New Roman"/>
          <w:color w:val="auto"/>
          <w:sz w:val="28"/>
          <w:highlight w:val="none"/>
          <w:u w:val="single"/>
          <w:lang w:eastAsia="zh-CN"/>
        </w:rPr>
        <w:tab/>
      </w:r>
      <w:bookmarkStart w:id="178" w:name="_Toc851"/>
      <w:bookmarkStart w:id="179" w:name="_Toc6497"/>
      <w:bookmarkStart w:id="180" w:name="_Toc88490538"/>
      <w:bookmarkStart w:id="181" w:name="_Toc15119"/>
      <w:bookmarkStart w:id="182" w:name="_Toc15912"/>
      <w:bookmarkStart w:id="183" w:name="_Toc20578"/>
      <w:bookmarkStart w:id="184" w:name="_Toc23138"/>
      <w:bookmarkStart w:id="185" w:name="_Toc3434"/>
      <w:bookmarkStart w:id="186" w:name="_Toc2682"/>
      <w:r>
        <w:rPr>
          <w:color w:val="auto"/>
          <w:sz w:val="28"/>
          <w:highlight w:val="none"/>
          <w:lang w:eastAsia="zh-CN"/>
        </w:rPr>
        <w:t>年</w:t>
      </w:r>
      <w:r>
        <w:rPr>
          <w:rFonts w:ascii="Times New Roman" w:eastAsia="Times New Roman"/>
          <w:color w:val="auto"/>
          <w:sz w:val="28"/>
          <w:highlight w:val="none"/>
          <w:u w:val="single"/>
          <w:lang w:eastAsia="zh-CN"/>
        </w:rPr>
        <w:t xml:space="preserve"> </w:t>
      </w:r>
      <w:r>
        <w:rPr>
          <w:rFonts w:ascii="Times New Roman" w:eastAsia="Times New Roman"/>
          <w:color w:val="auto"/>
          <w:sz w:val="28"/>
          <w:highlight w:val="none"/>
          <w:u w:val="single"/>
          <w:lang w:eastAsia="zh-CN"/>
        </w:rPr>
        <w:tab/>
      </w:r>
      <w:r>
        <w:rPr>
          <w:color w:val="auto"/>
          <w:sz w:val="28"/>
          <w:highlight w:val="none"/>
          <w:lang w:eastAsia="zh-CN"/>
        </w:rPr>
        <w:t>月</w:t>
      </w:r>
      <w:r>
        <w:rPr>
          <w:rFonts w:ascii="Times New Roman" w:eastAsia="Times New Roman"/>
          <w:color w:val="auto"/>
          <w:sz w:val="28"/>
          <w:highlight w:val="none"/>
          <w:u w:val="single"/>
          <w:lang w:eastAsia="zh-CN"/>
        </w:rPr>
        <w:t xml:space="preserve"> </w:t>
      </w:r>
      <w:r>
        <w:rPr>
          <w:rFonts w:ascii="Times New Roman" w:eastAsia="Times New Roman"/>
          <w:color w:val="auto"/>
          <w:sz w:val="28"/>
          <w:highlight w:val="none"/>
          <w:u w:val="single"/>
          <w:lang w:eastAsia="zh-CN"/>
        </w:rPr>
        <w:tab/>
      </w:r>
      <w:r>
        <w:rPr>
          <w:color w:val="auto"/>
          <w:sz w:val="28"/>
          <w:highlight w:val="none"/>
          <w:lang w:eastAsia="zh-CN"/>
        </w:rPr>
        <w:t>日</w:t>
      </w:r>
      <w:bookmarkEnd w:id="178"/>
      <w:bookmarkEnd w:id="179"/>
      <w:bookmarkEnd w:id="180"/>
      <w:bookmarkEnd w:id="181"/>
      <w:bookmarkEnd w:id="182"/>
      <w:bookmarkEnd w:id="183"/>
      <w:bookmarkEnd w:id="184"/>
      <w:bookmarkEnd w:id="185"/>
      <w:bookmarkEnd w:id="186"/>
    </w:p>
    <w:p w14:paraId="71706824">
      <w:pPr>
        <w:rPr>
          <w:color w:val="auto"/>
          <w:sz w:val="28"/>
          <w:highlight w:val="none"/>
          <w:lang w:eastAsia="zh-CN"/>
        </w:rPr>
        <w:sectPr>
          <w:pgSz w:w="12240" w:h="15840"/>
          <w:pgMar w:top="1500" w:right="1720" w:bottom="1120" w:left="1720" w:header="0" w:footer="921" w:gutter="0"/>
          <w:pgNumType w:fmt="decimal"/>
          <w:cols w:space="720" w:num="1"/>
        </w:sectPr>
      </w:pPr>
    </w:p>
    <w:p w14:paraId="5837C103">
      <w:pPr>
        <w:spacing w:before="64" w:line="227" w:lineRule="auto"/>
        <w:ind w:left="4163"/>
        <w:rPr>
          <w:rFonts w:ascii="黑体" w:hAnsi="黑体" w:eastAsia="黑体" w:cs="黑体"/>
          <w:sz w:val="31"/>
          <w:szCs w:val="31"/>
        </w:rPr>
      </w:pPr>
      <w:r>
        <w:rPr>
          <w:rFonts w:ascii="黑体" w:hAnsi="黑体" w:eastAsia="黑体" w:cs="黑体"/>
          <w:b/>
          <w:bCs/>
          <w:spacing w:val="-25"/>
          <w:sz w:val="31"/>
          <w:szCs w:val="31"/>
        </w:rPr>
        <w:t>目</w:t>
      </w:r>
      <w:r>
        <w:rPr>
          <w:rFonts w:ascii="黑体" w:hAnsi="黑体" w:eastAsia="黑体" w:cs="黑体"/>
          <w:spacing w:val="10"/>
          <w:sz w:val="31"/>
          <w:szCs w:val="31"/>
        </w:rPr>
        <w:t xml:space="preserve">   </w:t>
      </w:r>
      <w:r>
        <w:rPr>
          <w:rFonts w:ascii="黑体" w:hAnsi="黑体" w:eastAsia="黑体" w:cs="黑体"/>
          <w:b/>
          <w:bCs/>
          <w:spacing w:val="-25"/>
          <w:sz w:val="31"/>
          <w:szCs w:val="31"/>
        </w:rPr>
        <w:t>录</w:t>
      </w:r>
    </w:p>
    <w:p w14:paraId="03CB77E3">
      <w:pPr>
        <w:pStyle w:val="10"/>
        <w:spacing w:line="268" w:lineRule="auto"/>
      </w:pPr>
    </w:p>
    <w:p w14:paraId="016B1B4D">
      <w:pPr>
        <w:pStyle w:val="10"/>
        <w:spacing w:line="268" w:lineRule="auto"/>
      </w:pPr>
    </w:p>
    <w:p w14:paraId="776D669F">
      <w:pPr>
        <w:pStyle w:val="10"/>
        <w:spacing w:line="268" w:lineRule="auto"/>
      </w:pPr>
    </w:p>
    <w:p w14:paraId="54FC3D6C">
      <w:pPr>
        <w:pStyle w:val="10"/>
        <w:spacing w:line="268" w:lineRule="auto"/>
      </w:pPr>
    </w:p>
    <w:p w14:paraId="75B9E0DD">
      <w:pPr>
        <w:spacing w:before="65" w:line="228" w:lineRule="auto"/>
        <w:ind w:left="4"/>
        <w:outlineLvl w:val="0"/>
        <w:rPr>
          <w:rFonts w:ascii="宋体" w:hAnsi="宋体" w:eastAsia="宋体" w:cs="宋体"/>
          <w:sz w:val="20"/>
          <w:szCs w:val="20"/>
        </w:rPr>
      </w:pPr>
      <w:r>
        <w:rPr>
          <w:rFonts w:ascii="宋体" w:hAnsi="宋体" w:eastAsia="宋体" w:cs="宋体"/>
          <w:spacing w:val="8"/>
          <w:sz w:val="20"/>
          <w:szCs w:val="20"/>
        </w:rPr>
        <w:t>一、投标函及开标一览表</w:t>
      </w:r>
    </w:p>
    <w:p w14:paraId="02249269">
      <w:pPr>
        <w:spacing w:before="292" w:line="228" w:lineRule="auto"/>
        <w:ind w:left="4"/>
        <w:rPr>
          <w:rFonts w:ascii="宋体" w:hAnsi="宋体" w:eastAsia="宋体" w:cs="宋体"/>
          <w:sz w:val="20"/>
          <w:szCs w:val="20"/>
        </w:rPr>
      </w:pPr>
      <w:r>
        <w:rPr>
          <w:rFonts w:ascii="宋体" w:hAnsi="宋体" w:eastAsia="宋体" w:cs="宋体"/>
          <w:spacing w:val="8"/>
          <w:sz w:val="20"/>
          <w:szCs w:val="20"/>
        </w:rPr>
        <w:t>二、法定代表人身份证明</w:t>
      </w:r>
    </w:p>
    <w:p w14:paraId="2F37D32D">
      <w:pPr>
        <w:spacing w:before="293" w:line="227" w:lineRule="auto"/>
        <w:ind w:left="4"/>
        <w:rPr>
          <w:rFonts w:ascii="宋体" w:hAnsi="宋体" w:eastAsia="宋体" w:cs="宋体"/>
          <w:sz w:val="20"/>
          <w:szCs w:val="20"/>
        </w:rPr>
      </w:pPr>
      <w:r>
        <w:rPr>
          <w:rFonts w:ascii="宋体" w:hAnsi="宋体" w:eastAsia="宋体" w:cs="宋体"/>
          <w:spacing w:val="8"/>
          <w:sz w:val="20"/>
          <w:szCs w:val="20"/>
        </w:rPr>
        <w:t>二、授权委托书</w:t>
      </w:r>
    </w:p>
    <w:p w14:paraId="50EC0767">
      <w:pPr>
        <w:spacing w:before="296" w:line="228" w:lineRule="auto"/>
        <w:rPr>
          <w:rFonts w:ascii="宋体" w:hAnsi="宋体" w:eastAsia="宋体" w:cs="宋体"/>
          <w:sz w:val="20"/>
          <w:szCs w:val="20"/>
        </w:rPr>
      </w:pPr>
      <w:r>
        <w:rPr>
          <w:rFonts w:ascii="宋体" w:hAnsi="宋体" w:eastAsia="宋体" w:cs="宋体"/>
          <w:spacing w:val="8"/>
          <w:sz w:val="20"/>
          <w:szCs w:val="20"/>
        </w:rPr>
        <w:t>三、投标保证金</w:t>
      </w:r>
    </w:p>
    <w:p w14:paraId="12C06187">
      <w:pPr>
        <w:spacing w:before="293" w:line="226" w:lineRule="auto"/>
        <w:ind w:left="20"/>
        <w:rPr>
          <w:rFonts w:ascii="宋体" w:hAnsi="宋体" w:eastAsia="宋体" w:cs="宋体"/>
          <w:sz w:val="20"/>
          <w:szCs w:val="20"/>
        </w:rPr>
      </w:pPr>
      <w:r>
        <w:rPr>
          <w:rFonts w:ascii="宋体" w:hAnsi="宋体" w:eastAsia="宋体" w:cs="宋体"/>
          <w:spacing w:val="6"/>
          <w:sz w:val="20"/>
          <w:szCs w:val="20"/>
        </w:rPr>
        <w:t>四、监理服务费报价表</w:t>
      </w:r>
    </w:p>
    <w:p w14:paraId="68BDC5CF">
      <w:pPr>
        <w:spacing w:before="295" w:line="228" w:lineRule="auto"/>
        <w:ind w:left="4"/>
        <w:rPr>
          <w:rFonts w:ascii="宋体" w:hAnsi="宋体" w:eastAsia="宋体" w:cs="宋体"/>
          <w:sz w:val="20"/>
          <w:szCs w:val="20"/>
        </w:rPr>
      </w:pPr>
      <w:r>
        <w:rPr>
          <w:rFonts w:ascii="宋体" w:hAnsi="宋体" w:eastAsia="宋体" w:cs="宋体"/>
          <w:spacing w:val="8"/>
          <w:sz w:val="20"/>
          <w:szCs w:val="20"/>
        </w:rPr>
        <w:t>五、资格审查资料</w:t>
      </w:r>
    </w:p>
    <w:p w14:paraId="169007B2">
      <w:pPr>
        <w:spacing w:before="293" w:line="228" w:lineRule="auto"/>
        <w:ind w:left="2"/>
        <w:rPr>
          <w:rFonts w:ascii="宋体" w:hAnsi="宋体" w:eastAsia="宋体" w:cs="宋体"/>
          <w:sz w:val="20"/>
          <w:szCs w:val="20"/>
        </w:rPr>
      </w:pPr>
      <w:r>
        <w:rPr>
          <w:rFonts w:ascii="宋体" w:hAnsi="宋体" w:eastAsia="宋体" w:cs="宋体"/>
          <w:spacing w:val="7"/>
          <w:sz w:val="20"/>
          <w:szCs w:val="20"/>
        </w:rPr>
        <w:t>六、监理大纲</w:t>
      </w:r>
    </w:p>
    <w:p w14:paraId="4A62D1A0">
      <w:pPr>
        <w:spacing w:before="293" w:line="228" w:lineRule="auto"/>
        <w:rPr>
          <w:rFonts w:ascii="宋体" w:hAnsi="宋体" w:eastAsia="宋体" w:cs="宋体"/>
          <w:sz w:val="20"/>
          <w:szCs w:val="20"/>
        </w:rPr>
      </w:pPr>
      <w:r>
        <w:rPr>
          <w:rFonts w:ascii="宋体" w:hAnsi="宋体" w:eastAsia="宋体" w:cs="宋体"/>
          <w:spacing w:val="8"/>
          <w:sz w:val="20"/>
          <w:szCs w:val="20"/>
        </w:rPr>
        <w:t>七、其他资料</w:t>
      </w:r>
    </w:p>
    <w:p w14:paraId="7CDF9306">
      <w:pPr>
        <w:spacing w:line="228" w:lineRule="auto"/>
        <w:rPr>
          <w:rFonts w:ascii="宋体" w:hAnsi="宋体" w:eastAsia="宋体" w:cs="宋体"/>
          <w:sz w:val="20"/>
          <w:szCs w:val="20"/>
        </w:rPr>
        <w:sectPr>
          <w:footerReference r:id="rId18" w:type="default"/>
          <w:pgSz w:w="12240" w:h="15840"/>
          <w:pgMar w:top="1090" w:right="1836" w:bottom="1072" w:left="1447" w:header="0" w:footer="910" w:gutter="0"/>
          <w:cols w:space="720" w:num="1"/>
        </w:sectPr>
      </w:pPr>
    </w:p>
    <w:p w14:paraId="104ED076">
      <w:pPr>
        <w:spacing w:before="72" w:line="225" w:lineRule="auto"/>
        <w:ind w:left="3061"/>
        <w:rPr>
          <w:rFonts w:ascii="宋体" w:hAnsi="宋体" w:eastAsia="宋体" w:cs="宋体"/>
          <w:sz w:val="35"/>
          <w:szCs w:val="35"/>
        </w:rPr>
      </w:pPr>
      <w:r>
        <w:rPr>
          <w:rFonts w:ascii="宋体" w:hAnsi="宋体" w:eastAsia="宋体" w:cs="宋体"/>
          <w:b/>
          <w:bCs/>
          <w:spacing w:val="5"/>
          <w:sz w:val="35"/>
          <w:szCs w:val="35"/>
        </w:rPr>
        <w:t>一、投标函及开标一览表</w:t>
      </w:r>
    </w:p>
    <w:p w14:paraId="535C4D4D">
      <w:pPr>
        <w:pStyle w:val="10"/>
        <w:spacing w:line="298" w:lineRule="auto"/>
      </w:pPr>
    </w:p>
    <w:p w14:paraId="2D6A33D8">
      <w:pPr>
        <w:spacing w:before="91" w:line="221" w:lineRule="auto"/>
        <w:ind w:left="4388"/>
        <w:outlineLvl w:val="1"/>
        <w:rPr>
          <w:rFonts w:hint="eastAsia" w:ascii="宋体" w:hAnsi="宋体" w:eastAsia="宋体" w:cs="宋体"/>
          <w:sz w:val="24"/>
          <w:szCs w:val="24"/>
        </w:rPr>
      </w:pPr>
      <w:r>
        <w:rPr>
          <w:rFonts w:hint="eastAsia" w:ascii="宋体" w:hAnsi="宋体" w:eastAsia="宋体" w:cs="宋体"/>
          <w:spacing w:val="-10"/>
          <w:sz w:val="24"/>
          <w:szCs w:val="24"/>
        </w:rPr>
        <w:t>(一)投标函</w:t>
      </w:r>
    </w:p>
    <w:p w14:paraId="5D5DC017">
      <w:pPr>
        <w:pStyle w:val="10"/>
        <w:spacing w:line="340" w:lineRule="auto"/>
        <w:rPr>
          <w:rFonts w:hint="eastAsia" w:ascii="宋体" w:hAnsi="宋体" w:eastAsia="宋体" w:cs="宋体"/>
          <w:sz w:val="24"/>
          <w:szCs w:val="24"/>
        </w:rPr>
      </w:pPr>
    </w:p>
    <w:p w14:paraId="355D13A4">
      <w:pPr>
        <w:spacing w:before="78" w:line="220" w:lineRule="auto"/>
        <w:ind w:left="9"/>
        <w:rPr>
          <w:rFonts w:hint="eastAsia" w:ascii="宋体" w:hAnsi="宋体" w:eastAsia="宋体" w:cs="宋体"/>
          <w:sz w:val="24"/>
          <w:szCs w:val="24"/>
        </w:rPr>
      </w:pPr>
      <w:r>
        <w:rPr>
          <w:rFonts w:hint="eastAsia" w:ascii="宋体" w:hAnsi="宋体" w:eastAsia="宋体" w:cs="宋体"/>
          <w:spacing w:val="-3"/>
          <w:sz w:val="24"/>
          <w:szCs w:val="24"/>
        </w:rPr>
        <w:t>（招标人名称）</w:t>
      </w:r>
    </w:p>
    <w:p w14:paraId="3774DCC9">
      <w:pPr>
        <w:spacing w:before="73" w:line="263" w:lineRule="auto"/>
        <w:ind w:firstLine="720"/>
        <w:rPr>
          <w:rFonts w:hint="eastAsia" w:ascii="宋体" w:hAnsi="宋体" w:eastAsia="宋体" w:cs="宋体"/>
          <w:sz w:val="24"/>
          <w:szCs w:val="24"/>
        </w:rPr>
      </w:pPr>
      <w:r>
        <w:rPr>
          <w:rFonts w:hint="eastAsia" w:ascii="宋体" w:hAnsi="宋体" w:eastAsia="宋体" w:cs="宋体"/>
          <w:spacing w:val="-1"/>
          <w:sz w:val="24"/>
          <w:szCs w:val="24"/>
        </w:rPr>
        <w:t>我方已仔细研究了</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（项目名称</w:t>
      </w:r>
      <w:r>
        <w:rPr>
          <w:rFonts w:hint="eastAsia" w:ascii="宋体" w:hAnsi="宋体" w:eastAsia="宋体" w:cs="宋体"/>
          <w:spacing w:val="-17"/>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7"/>
          <w:sz w:val="24"/>
          <w:szCs w:val="24"/>
        </w:rPr>
        <w:t>（</w:t>
      </w:r>
      <w:r>
        <w:rPr>
          <w:rFonts w:hint="eastAsia" w:ascii="宋体" w:hAnsi="宋体" w:eastAsia="宋体" w:cs="宋体"/>
          <w:spacing w:val="-1"/>
          <w:sz w:val="24"/>
          <w:szCs w:val="24"/>
        </w:rPr>
        <w:t>标段）监理招标项目招标文件的全部内容，</w:t>
      </w:r>
      <w:r>
        <w:rPr>
          <w:rFonts w:hint="eastAsia" w:ascii="宋体" w:hAnsi="宋体" w:eastAsia="宋体" w:cs="宋体"/>
          <w:sz w:val="24"/>
          <w:szCs w:val="24"/>
        </w:rPr>
        <w:t xml:space="preserve"> </w:t>
      </w:r>
      <w:r>
        <w:rPr>
          <w:rFonts w:hint="eastAsia" w:ascii="宋体" w:hAnsi="宋体" w:eastAsia="宋体" w:cs="宋体"/>
          <w:spacing w:val="-1"/>
          <w:sz w:val="24"/>
          <w:szCs w:val="24"/>
        </w:rPr>
        <w:t>我方愿意以人民币（大写）</w:t>
      </w:r>
      <w:r>
        <w:rPr>
          <w:rFonts w:hint="eastAsia" w:ascii="宋体" w:hAnsi="宋体" w:eastAsia="宋体" w:cs="宋体"/>
          <w:spacing w:val="-1"/>
          <w:sz w:val="24"/>
          <w:szCs w:val="24"/>
          <w:u w:val="single" w:color="auto"/>
        </w:rPr>
        <w:t xml:space="preserve">            </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的投标总报价收取监理服务费（其中增值税税率</w:t>
      </w:r>
    </w:p>
    <w:p w14:paraId="67FFF09B">
      <w:pPr>
        <w:spacing w:before="37" w:line="219" w:lineRule="auto"/>
        <w:rPr>
          <w:rFonts w:hint="eastAsia" w:ascii="宋体" w:hAnsi="宋体" w:eastAsia="宋体" w:cs="宋体"/>
          <w:sz w:val="24"/>
          <w:szCs w:val="24"/>
        </w:rPr>
      </w:pPr>
      <w:r>
        <w:rPr>
          <w:rFonts w:hint="eastAsia" w:ascii="宋体" w:hAnsi="宋体" w:eastAsia="宋体" w:cs="宋体"/>
          <w:spacing w:val="-2"/>
          <w:sz w:val="24"/>
          <w:szCs w:val="24"/>
        </w:rPr>
        <w:t>为</w:t>
      </w:r>
      <w:r>
        <w:rPr>
          <w:rFonts w:hint="eastAsia" w:ascii="宋体" w:hAnsi="宋体" w:eastAsia="宋体" w:cs="宋体"/>
          <w:spacing w:val="20"/>
          <w:sz w:val="24"/>
          <w:szCs w:val="24"/>
          <w:u w:val="single" w:color="auto"/>
        </w:rPr>
        <w:t xml:space="preserve">   </w:t>
      </w:r>
      <w:r>
        <w:rPr>
          <w:rFonts w:hint="eastAsia" w:ascii="宋体" w:hAnsi="宋体" w:eastAsia="宋体" w:cs="宋体"/>
          <w:spacing w:val="-85"/>
          <w:sz w:val="24"/>
          <w:szCs w:val="24"/>
        </w:rPr>
        <w:t xml:space="preserve"> </w:t>
      </w:r>
      <w:r>
        <w:rPr>
          <w:rFonts w:hint="eastAsia" w:ascii="宋体" w:hAnsi="宋体" w:eastAsia="宋体" w:cs="宋体"/>
          <w:spacing w:val="-10"/>
          <w:sz w:val="24"/>
          <w:szCs w:val="24"/>
        </w:rPr>
        <w:t>），</w:t>
      </w:r>
      <w:r>
        <w:rPr>
          <w:rFonts w:hint="eastAsia" w:ascii="宋体" w:hAnsi="宋体" w:eastAsia="宋体" w:cs="宋体"/>
          <w:spacing w:val="-2"/>
          <w:sz w:val="24"/>
          <w:szCs w:val="24"/>
        </w:rPr>
        <w:t>监理服务期限</w:t>
      </w:r>
      <w:r>
        <w:rPr>
          <w:rFonts w:hint="eastAsia" w:ascii="宋体" w:hAnsi="宋体" w:eastAsia="宋体" w:cs="宋体"/>
          <w:spacing w:val="-10"/>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10"/>
          <w:sz w:val="24"/>
          <w:szCs w:val="24"/>
        </w:rPr>
        <w:t>，</w:t>
      </w:r>
      <w:r>
        <w:rPr>
          <w:rFonts w:hint="eastAsia" w:ascii="宋体" w:hAnsi="宋体" w:eastAsia="宋体" w:cs="宋体"/>
          <w:spacing w:val="-2"/>
          <w:sz w:val="24"/>
          <w:szCs w:val="24"/>
        </w:rPr>
        <w:t>按合同约定完成监理工作。</w:t>
      </w:r>
    </w:p>
    <w:p w14:paraId="47637AEB">
      <w:pPr>
        <w:spacing w:before="75" w:line="219" w:lineRule="auto"/>
        <w:ind w:left="413"/>
        <w:rPr>
          <w:rFonts w:hint="eastAsia" w:ascii="宋体" w:hAnsi="宋体" w:eastAsia="宋体" w:cs="宋体"/>
          <w:sz w:val="24"/>
          <w:szCs w:val="24"/>
        </w:rPr>
      </w:pPr>
      <w:r>
        <w:rPr>
          <w:rFonts w:hint="eastAsia" w:ascii="宋体" w:hAnsi="宋体" w:eastAsia="宋体" w:cs="宋体"/>
          <w:spacing w:val="-1"/>
          <w:sz w:val="24"/>
          <w:szCs w:val="24"/>
        </w:rPr>
        <w:t>2. 我方的投标文件包括下列内容：</w:t>
      </w:r>
    </w:p>
    <w:p w14:paraId="38183DB2">
      <w:pPr>
        <w:spacing w:before="74" w:line="219" w:lineRule="auto"/>
        <w:ind w:left="410"/>
        <w:rPr>
          <w:rFonts w:hint="eastAsia" w:ascii="宋体" w:hAnsi="宋体" w:eastAsia="宋体" w:cs="宋体"/>
          <w:sz w:val="24"/>
          <w:szCs w:val="24"/>
        </w:rPr>
      </w:pPr>
      <w:r>
        <w:rPr>
          <w:rFonts w:hint="eastAsia" w:ascii="宋体" w:hAnsi="宋体" w:eastAsia="宋体" w:cs="宋体"/>
          <w:spacing w:val="-2"/>
          <w:sz w:val="24"/>
          <w:szCs w:val="24"/>
        </w:rPr>
        <w:t>（1）投标函及投标函附录；</w:t>
      </w:r>
    </w:p>
    <w:p w14:paraId="708DDDDB">
      <w:pPr>
        <w:spacing w:before="76" w:line="219" w:lineRule="auto"/>
        <w:ind w:left="410"/>
        <w:rPr>
          <w:rFonts w:hint="eastAsia" w:ascii="宋体" w:hAnsi="宋体" w:eastAsia="宋体" w:cs="宋体"/>
          <w:sz w:val="24"/>
          <w:szCs w:val="24"/>
        </w:rPr>
      </w:pPr>
      <w:r>
        <w:rPr>
          <w:rFonts w:hint="eastAsia" w:ascii="宋体" w:hAnsi="宋体" w:eastAsia="宋体" w:cs="宋体"/>
          <w:spacing w:val="-2"/>
          <w:sz w:val="24"/>
          <w:szCs w:val="24"/>
        </w:rPr>
        <w:t>（2）法定代表人身份证明或授权委托书；</w:t>
      </w:r>
    </w:p>
    <w:p w14:paraId="1852805C">
      <w:pPr>
        <w:spacing w:before="75" w:line="219" w:lineRule="auto"/>
        <w:ind w:left="410"/>
        <w:rPr>
          <w:rFonts w:hint="eastAsia" w:ascii="宋体" w:hAnsi="宋体" w:eastAsia="宋体" w:cs="宋体"/>
          <w:sz w:val="24"/>
          <w:szCs w:val="24"/>
        </w:rPr>
      </w:pPr>
      <w:r>
        <w:rPr>
          <w:rFonts w:hint="eastAsia" w:ascii="宋体" w:hAnsi="宋体" w:eastAsia="宋体" w:cs="宋体"/>
          <w:spacing w:val="-2"/>
          <w:sz w:val="24"/>
          <w:szCs w:val="24"/>
        </w:rPr>
        <w:t>（3）联合体协议书（如有</w:t>
      </w:r>
      <w:r>
        <w:rPr>
          <w:rFonts w:hint="eastAsia" w:ascii="宋体" w:hAnsi="宋体" w:eastAsia="宋体" w:cs="宋体"/>
          <w:spacing w:val="1"/>
          <w:sz w:val="24"/>
          <w:szCs w:val="24"/>
        </w:rPr>
        <w:t>）；</w:t>
      </w:r>
    </w:p>
    <w:p w14:paraId="6BE641F9">
      <w:pPr>
        <w:spacing w:before="76" w:line="220" w:lineRule="auto"/>
        <w:ind w:left="410"/>
        <w:rPr>
          <w:rFonts w:hint="eastAsia" w:ascii="宋体" w:hAnsi="宋体" w:eastAsia="宋体" w:cs="宋体"/>
          <w:sz w:val="24"/>
          <w:szCs w:val="24"/>
        </w:rPr>
      </w:pPr>
      <w:r>
        <w:rPr>
          <w:rFonts w:hint="eastAsia" w:ascii="宋体" w:hAnsi="宋体" w:eastAsia="宋体" w:cs="宋体"/>
          <w:spacing w:val="-2"/>
          <w:sz w:val="24"/>
          <w:szCs w:val="24"/>
        </w:rPr>
        <w:t>（4）投标保证金（如有</w:t>
      </w:r>
      <w:r>
        <w:rPr>
          <w:rFonts w:hint="eastAsia" w:ascii="宋体" w:hAnsi="宋体" w:eastAsia="宋体" w:cs="宋体"/>
          <w:sz w:val="24"/>
          <w:szCs w:val="24"/>
        </w:rPr>
        <w:t>）；</w:t>
      </w:r>
    </w:p>
    <w:p w14:paraId="2C52C53D">
      <w:pPr>
        <w:spacing w:before="74" w:line="219" w:lineRule="auto"/>
        <w:ind w:left="410"/>
        <w:rPr>
          <w:rFonts w:hint="eastAsia" w:ascii="宋体" w:hAnsi="宋体" w:eastAsia="宋体" w:cs="宋体"/>
          <w:sz w:val="24"/>
          <w:szCs w:val="24"/>
        </w:rPr>
      </w:pPr>
      <w:r>
        <w:rPr>
          <w:rFonts w:hint="eastAsia" w:ascii="宋体" w:hAnsi="宋体" w:eastAsia="宋体" w:cs="宋体"/>
          <w:spacing w:val="-3"/>
          <w:sz w:val="24"/>
          <w:szCs w:val="24"/>
        </w:rPr>
        <w:t>（5）监理报酬清单；</w:t>
      </w:r>
    </w:p>
    <w:p w14:paraId="6D1E2C4F">
      <w:pPr>
        <w:spacing w:before="75" w:line="219" w:lineRule="auto"/>
        <w:ind w:left="410"/>
        <w:rPr>
          <w:rFonts w:hint="eastAsia" w:ascii="宋体" w:hAnsi="宋体" w:eastAsia="宋体" w:cs="宋体"/>
          <w:sz w:val="24"/>
          <w:szCs w:val="24"/>
        </w:rPr>
      </w:pPr>
      <w:r>
        <w:rPr>
          <w:rFonts w:hint="eastAsia" w:ascii="宋体" w:hAnsi="宋体" w:eastAsia="宋体" w:cs="宋体"/>
          <w:spacing w:val="-3"/>
          <w:sz w:val="24"/>
          <w:szCs w:val="24"/>
        </w:rPr>
        <w:t>（6）资格审查资料；</w:t>
      </w:r>
    </w:p>
    <w:p w14:paraId="2C39F4C6">
      <w:pPr>
        <w:spacing w:before="75" w:line="220" w:lineRule="auto"/>
        <w:ind w:left="410"/>
        <w:rPr>
          <w:rFonts w:hint="eastAsia" w:ascii="宋体" w:hAnsi="宋体" w:eastAsia="宋体" w:cs="宋体"/>
          <w:sz w:val="24"/>
          <w:szCs w:val="24"/>
        </w:rPr>
      </w:pPr>
      <w:r>
        <w:rPr>
          <w:rFonts w:hint="eastAsia" w:ascii="宋体" w:hAnsi="宋体" w:eastAsia="宋体" w:cs="宋体"/>
          <w:spacing w:val="-3"/>
          <w:sz w:val="24"/>
          <w:szCs w:val="24"/>
        </w:rPr>
        <w:t>（7）监理大纲；</w:t>
      </w:r>
    </w:p>
    <w:p w14:paraId="78C365D9">
      <w:pPr>
        <w:spacing w:before="257" w:line="75" w:lineRule="exact"/>
        <w:ind w:left="416"/>
        <w:rPr>
          <w:rFonts w:hint="eastAsia" w:ascii="宋体" w:hAnsi="宋体" w:eastAsia="宋体" w:cs="宋体"/>
          <w:sz w:val="24"/>
          <w:szCs w:val="24"/>
        </w:rPr>
      </w:pPr>
      <w:r>
        <w:rPr>
          <w:rFonts w:hint="eastAsia" w:ascii="宋体" w:hAnsi="宋体" w:eastAsia="宋体" w:cs="宋体"/>
          <w:position w:val="1"/>
          <w:sz w:val="24"/>
          <w:szCs w:val="24"/>
        </w:rPr>
        <w:t>……</w:t>
      </w:r>
    </w:p>
    <w:p w14:paraId="1258865C">
      <w:pPr>
        <w:spacing w:before="103" w:line="219" w:lineRule="auto"/>
        <w:ind w:left="420"/>
        <w:rPr>
          <w:rFonts w:hint="eastAsia" w:ascii="宋体" w:hAnsi="宋体" w:eastAsia="宋体" w:cs="宋体"/>
          <w:sz w:val="24"/>
          <w:szCs w:val="24"/>
        </w:rPr>
      </w:pPr>
      <w:r>
        <w:rPr>
          <w:rFonts w:hint="eastAsia" w:ascii="宋体" w:hAnsi="宋体" w:eastAsia="宋体" w:cs="宋体"/>
          <w:spacing w:val="-1"/>
          <w:sz w:val="24"/>
          <w:szCs w:val="24"/>
        </w:rPr>
        <w:t>投标文件的上述组成部分如存在内容不一致的，以投标函为准。</w:t>
      </w:r>
    </w:p>
    <w:p w14:paraId="06909ACA">
      <w:pPr>
        <w:spacing w:before="75" w:line="219" w:lineRule="auto"/>
        <w:ind w:left="418"/>
        <w:rPr>
          <w:rFonts w:hint="eastAsia" w:ascii="宋体" w:hAnsi="宋体" w:eastAsia="宋体" w:cs="宋体"/>
          <w:sz w:val="24"/>
          <w:szCs w:val="24"/>
        </w:rPr>
      </w:pPr>
      <w:r>
        <w:rPr>
          <w:rFonts w:hint="eastAsia" w:ascii="宋体" w:hAnsi="宋体" w:eastAsia="宋体" w:cs="宋体"/>
          <w:spacing w:val="-2"/>
          <w:sz w:val="24"/>
          <w:szCs w:val="24"/>
        </w:rPr>
        <w:t>3</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．我方承诺在招标文件规定的投标有效期内不撤销投标文件。</w:t>
      </w:r>
    </w:p>
    <w:p w14:paraId="5D8AE467">
      <w:pPr>
        <w:spacing w:before="75" w:line="219" w:lineRule="auto"/>
        <w:ind w:left="412"/>
        <w:rPr>
          <w:rFonts w:hint="eastAsia" w:ascii="宋体" w:hAnsi="宋体" w:eastAsia="宋体" w:cs="宋体"/>
          <w:sz w:val="24"/>
          <w:szCs w:val="24"/>
        </w:rPr>
      </w:pPr>
      <w:r>
        <w:rPr>
          <w:rFonts w:hint="eastAsia" w:ascii="宋体" w:hAnsi="宋体" w:eastAsia="宋体" w:cs="宋体"/>
          <w:spacing w:val="-3"/>
          <w:sz w:val="24"/>
          <w:szCs w:val="24"/>
        </w:rPr>
        <w:t>4</w:t>
      </w:r>
      <w:r>
        <w:rPr>
          <w:rFonts w:hint="eastAsia" w:ascii="宋体" w:hAnsi="宋体" w:eastAsia="宋体" w:cs="宋体"/>
          <w:spacing w:val="-26"/>
          <w:sz w:val="24"/>
          <w:szCs w:val="24"/>
        </w:rPr>
        <w:t xml:space="preserve"> </w:t>
      </w:r>
      <w:r>
        <w:rPr>
          <w:rFonts w:hint="eastAsia" w:ascii="宋体" w:hAnsi="宋体" w:eastAsia="宋体" w:cs="宋体"/>
          <w:spacing w:val="-3"/>
          <w:sz w:val="24"/>
          <w:szCs w:val="24"/>
        </w:rPr>
        <w:t>．如我方中标，我方承诺：</w:t>
      </w:r>
    </w:p>
    <w:p w14:paraId="3C7C9988">
      <w:pPr>
        <w:spacing w:before="75" w:line="219" w:lineRule="auto"/>
        <w:ind w:left="849"/>
        <w:rPr>
          <w:rFonts w:hint="eastAsia" w:ascii="宋体" w:hAnsi="宋体" w:eastAsia="宋体" w:cs="宋体"/>
          <w:sz w:val="24"/>
          <w:szCs w:val="24"/>
        </w:rPr>
      </w:pPr>
      <w:r>
        <w:rPr>
          <w:rFonts w:hint="eastAsia" w:ascii="宋体" w:hAnsi="宋体" w:eastAsia="宋体" w:cs="宋体"/>
          <w:spacing w:val="-1"/>
          <w:sz w:val="24"/>
          <w:szCs w:val="24"/>
        </w:rPr>
        <w:t>（1）在收到中标通知书后，在中标通知书规定的期限内与你方签订合同；</w:t>
      </w:r>
    </w:p>
    <w:p w14:paraId="286F95D4">
      <w:pPr>
        <w:spacing w:before="75" w:line="219" w:lineRule="auto"/>
        <w:ind w:left="849"/>
        <w:rPr>
          <w:rFonts w:hint="eastAsia" w:ascii="宋体" w:hAnsi="宋体" w:eastAsia="宋体" w:cs="宋体"/>
          <w:sz w:val="24"/>
          <w:szCs w:val="24"/>
        </w:rPr>
      </w:pPr>
      <w:r>
        <w:rPr>
          <w:rFonts w:hint="eastAsia" w:ascii="宋体" w:hAnsi="宋体" w:eastAsia="宋体" w:cs="宋体"/>
          <w:spacing w:val="-2"/>
          <w:sz w:val="24"/>
          <w:szCs w:val="24"/>
        </w:rPr>
        <w:t>（2）在签订合同时不向你方提出附加条件；</w:t>
      </w:r>
    </w:p>
    <w:p w14:paraId="781353E2">
      <w:pPr>
        <w:spacing w:before="76" w:line="219" w:lineRule="auto"/>
        <w:ind w:left="849"/>
        <w:rPr>
          <w:rFonts w:hint="eastAsia" w:ascii="宋体" w:hAnsi="宋体" w:eastAsia="宋体" w:cs="宋体"/>
          <w:sz w:val="24"/>
          <w:szCs w:val="24"/>
        </w:rPr>
      </w:pPr>
      <w:r>
        <w:rPr>
          <w:rFonts w:hint="eastAsia" w:ascii="宋体" w:hAnsi="宋体" w:eastAsia="宋体" w:cs="宋体"/>
          <w:spacing w:val="-2"/>
          <w:sz w:val="24"/>
          <w:szCs w:val="24"/>
        </w:rPr>
        <w:t>（3）按照招标文件要求提交履约保证金；</w:t>
      </w:r>
    </w:p>
    <w:p w14:paraId="0F4D7530">
      <w:pPr>
        <w:spacing w:before="76" w:line="219" w:lineRule="auto"/>
        <w:ind w:left="849"/>
        <w:rPr>
          <w:rFonts w:hint="eastAsia" w:ascii="宋体" w:hAnsi="宋体" w:eastAsia="宋体" w:cs="宋体"/>
          <w:sz w:val="24"/>
          <w:szCs w:val="24"/>
        </w:rPr>
      </w:pPr>
      <w:r>
        <w:rPr>
          <w:rFonts w:hint="eastAsia" w:ascii="宋体" w:hAnsi="宋体" w:eastAsia="宋体" w:cs="宋体"/>
          <w:spacing w:val="-1"/>
          <w:sz w:val="24"/>
          <w:szCs w:val="24"/>
        </w:rPr>
        <w:t>（4）在合同约定的期限内完成合同规定的全部义务。</w:t>
      </w:r>
    </w:p>
    <w:p w14:paraId="2811EC0A">
      <w:pPr>
        <w:spacing w:before="75" w:line="248" w:lineRule="auto"/>
        <w:ind w:left="365" w:right="1" w:firstLine="54"/>
        <w:rPr>
          <w:rFonts w:hint="eastAsia" w:ascii="宋体" w:hAnsi="宋体" w:eastAsia="宋体" w:cs="宋体"/>
          <w:sz w:val="24"/>
          <w:szCs w:val="24"/>
        </w:rPr>
      </w:pPr>
      <w:r>
        <w:rPr>
          <w:rFonts w:hint="eastAsia" w:ascii="宋体" w:hAnsi="宋体" w:eastAsia="宋体" w:cs="宋体"/>
          <w:spacing w:val="-1"/>
          <w:sz w:val="24"/>
          <w:szCs w:val="24"/>
        </w:rPr>
        <w:t>5</w:t>
      </w:r>
      <w:r>
        <w:rPr>
          <w:rFonts w:hint="eastAsia" w:ascii="宋体" w:hAnsi="宋体" w:eastAsia="宋体" w:cs="宋体"/>
          <w:spacing w:val="-28"/>
          <w:sz w:val="24"/>
          <w:szCs w:val="24"/>
        </w:rPr>
        <w:t xml:space="preserve"> </w:t>
      </w:r>
      <w:r>
        <w:rPr>
          <w:rFonts w:hint="eastAsia" w:ascii="宋体" w:hAnsi="宋体" w:eastAsia="宋体" w:cs="宋体"/>
          <w:spacing w:val="-1"/>
          <w:sz w:val="24"/>
          <w:szCs w:val="24"/>
        </w:rPr>
        <w:t>．我方在此声明，所递交的投标文件及有关资料内容完整、真实和准确，且不</w:t>
      </w:r>
      <w:r>
        <w:rPr>
          <w:rFonts w:hint="eastAsia" w:ascii="宋体" w:hAnsi="宋体" w:eastAsia="宋体" w:cs="宋体"/>
          <w:spacing w:val="-2"/>
          <w:sz w:val="24"/>
          <w:szCs w:val="24"/>
        </w:rPr>
        <w:t>存在第二章</w:t>
      </w:r>
      <w:r>
        <w:rPr>
          <w:rFonts w:hint="eastAsia" w:ascii="宋体" w:hAnsi="宋体" w:eastAsia="宋体" w:cs="宋体"/>
          <w:sz w:val="24"/>
          <w:szCs w:val="24"/>
        </w:rPr>
        <w:t xml:space="preserve"> “投标人须知”第</w:t>
      </w:r>
      <w:r>
        <w:rPr>
          <w:rFonts w:hint="eastAsia" w:ascii="宋体" w:hAnsi="宋体" w:eastAsia="宋体" w:cs="宋体"/>
          <w:spacing w:val="-18"/>
          <w:sz w:val="24"/>
          <w:szCs w:val="24"/>
        </w:rPr>
        <w:t xml:space="preserve"> </w:t>
      </w:r>
      <w:r>
        <w:rPr>
          <w:rFonts w:hint="eastAsia" w:ascii="宋体" w:hAnsi="宋体" w:eastAsia="宋体" w:cs="宋体"/>
          <w:sz w:val="24"/>
          <w:szCs w:val="24"/>
        </w:rPr>
        <w:t>1.4.3 项规定的任何一种情形。</w:t>
      </w:r>
    </w:p>
    <w:p w14:paraId="44EDD1D2">
      <w:pPr>
        <w:spacing w:before="75" w:line="219" w:lineRule="auto"/>
        <w:ind w:left="42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u w:val="single" w:color="auto"/>
        </w:rPr>
        <w:t xml:space="preserve">          （其他补充说明）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w:t>
      </w:r>
    </w:p>
    <w:p w14:paraId="051918A5">
      <w:pPr>
        <w:tabs>
          <w:tab w:val="left" w:pos="8750"/>
        </w:tabs>
        <w:spacing w:before="223" w:line="345" w:lineRule="auto"/>
        <w:ind w:left="2876" w:right="1042" w:firstLine="4"/>
        <w:jc w:val="both"/>
        <w:rPr>
          <w:rFonts w:hint="eastAsia" w:ascii="宋体" w:hAnsi="宋体" w:eastAsia="宋体" w:cs="宋体"/>
          <w:sz w:val="24"/>
          <w:szCs w:val="24"/>
        </w:rPr>
      </w:pPr>
      <w:r>
        <w:rPr>
          <w:rFonts w:hint="eastAsia" w:ascii="宋体" w:hAnsi="宋体" w:eastAsia="宋体" w:cs="宋体"/>
          <w:spacing w:val="2"/>
          <w:sz w:val="24"/>
          <w:szCs w:val="24"/>
        </w:rPr>
        <w:t>投 标</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人</w:t>
      </w:r>
      <w:r>
        <w:rPr>
          <w:rFonts w:hint="eastAsia" w:ascii="宋体" w:hAnsi="宋体" w:eastAsia="宋体" w:cs="宋体"/>
          <w:spacing w:val="-29"/>
          <w:sz w:val="24"/>
          <w:szCs w:val="24"/>
        </w:rPr>
        <w:t>：</w:t>
      </w:r>
      <w:r>
        <w:rPr>
          <w:rFonts w:hint="eastAsia" w:ascii="宋体" w:hAnsi="宋体" w:eastAsia="宋体" w:cs="宋体"/>
          <w:spacing w:val="3"/>
          <w:sz w:val="24"/>
          <w:szCs w:val="24"/>
          <w:u w:val="single" w:color="auto"/>
        </w:rPr>
        <w:t xml:space="preserve">                           </w:t>
      </w:r>
      <w:r>
        <w:rPr>
          <w:rFonts w:hint="eastAsia" w:ascii="宋体" w:hAnsi="宋体" w:eastAsia="宋体" w:cs="宋体"/>
          <w:spacing w:val="-29"/>
          <w:sz w:val="24"/>
          <w:szCs w:val="24"/>
        </w:rPr>
        <w:t>（</w:t>
      </w:r>
      <w:r>
        <w:rPr>
          <w:rFonts w:hint="eastAsia" w:ascii="宋体" w:hAnsi="宋体" w:eastAsia="宋体" w:cs="宋体"/>
          <w:spacing w:val="2"/>
          <w:sz w:val="24"/>
          <w:szCs w:val="24"/>
        </w:rPr>
        <w:t>盖单位章）</w:t>
      </w:r>
      <w:r>
        <w:rPr>
          <w:rFonts w:hint="eastAsia" w:ascii="宋体" w:hAnsi="宋体" w:eastAsia="宋体" w:cs="宋体"/>
          <w:spacing w:val="19"/>
          <w:sz w:val="24"/>
          <w:szCs w:val="24"/>
        </w:rPr>
        <w:t xml:space="preserve"> </w:t>
      </w:r>
      <w:r>
        <w:rPr>
          <w:rFonts w:hint="eastAsia" w:ascii="宋体" w:hAnsi="宋体" w:eastAsia="宋体" w:cs="宋体"/>
          <w:sz w:val="24"/>
          <w:szCs w:val="24"/>
        </w:rPr>
        <w:t>法定代表人或其委托代理人</w:t>
      </w:r>
      <w:r>
        <w:rPr>
          <w:rFonts w:hint="eastAsia" w:ascii="宋体" w:hAnsi="宋体" w:eastAsia="宋体" w:cs="宋体"/>
          <w:spacing w:val="-15"/>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5"/>
          <w:sz w:val="24"/>
          <w:szCs w:val="24"/>
        </w:rPr>
        <w:t>（</w:t>
      </w:r>
      <w:r>
        <w:rPr>
          <w:rFonts w:hint="eastAsia" w:ascii="宋体" w:hAnsi="宋体" w:eastAsia="宋体" w:cs="宋体"/>
          <w:sz w:val="24"/>
          <w:szCs w:val="24"/>
        </w:rPr>
        <w:t xml:space="preserve">签字） </w:t>
      </w:r>
      <w:r>
        <w:rPr>
          <w:rFonts w:hint="eastAsia" w:ascii="宋体" w:hAnsi="宋体" w:eastAsia="宋体" w:cs="宋体"/>
          <w:spacing w:val="-22"/>
          <w:sz w:val="24"/>
          <w:szCs w:val="24"/>
        </w:rPr>
        <w:t>地</w:t>
      </w:r>
      <w:r>
        <w:rPr>
          <w:rFonts w:hint="eastAsia" w:ascii="宋体" w:hAnsi="宋体" w:eastAsia="宋体" w:cs="宋体"/>
          <w:spacing w:val="9"/>
          <w:sz w:val="24"/>
          <w:szCs w:val="24"/>
        </w:rPr>
        <w:t xml:space="preserve">   </w:t>
      </w:r>
      <w:r>
        <w:rPr>
          <w:rFonts w:hint="eastAsia" w:ascii="宋体" w:hAnsi="宋体" w:eastAsia="宋体" w:cs="宋体"/>
          <w:spacing w:val="-22"/>
          <w:sz w:val="24"/>
          <w:szCs w:val="24"/>
        </w:rPr>
        <w:t>址：</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22"/>
          <w:sz w:val="24"/>
          <w:szCs w:val="24"/>
        </w:rPr>
        <w:t>网</w:t>
      </w:r>
      <w:r>
        <w:rPr>
          <w:rFonts w:hint="eastAsia" w:ascii="宋体" w:hAnsi="宋体" w:eastAsia="宋体" w:cs="宋体"/>
          <w:spacing w:val="9"/>
          <w:sz w:val="24"/>
          <w:szCs w:val="24"/>
        </w:rPr>
        <w:t xml:space="preserve">   </w:t>
      </w:r>
      <w:r>
        <w:rPr>
          <w:rFonts w:hint="eastAsia" w:ascii="宋体" w:hAnsi="宋体" w:eastAsia="宋体" w:cs="宋体"/>
          <w:spacing w:val="-22"/>
          <w:sz w:val="24"/>
          <w:szCs w:val="24"/>
        </w:rPr>
        <w:t>址：</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22"/>
          <w:sz w:val="24"/>
          <w:szCs w:val="24"/>
        </w:rPr>
        <w:t>电</w:t>
      </w:r>
      <w:r>
        <w:rPr>
          <w:rFonts w:hint="eastAsia" w:ascii="宋体" w:hAnsi="宋体" w:eastAsia="宋体" w:cs="宋体"/>
          <w:spacing w:val="9"/>
          <w:sz w:val="24"/>
          <w:szCs w:val="24"/>
        </w:rPr>
        <w:t xml:space="preserve">   </w:t>
      </w:r>
      <w:r>
        <w:rPr>
          <w:rFonts w:hint="eastAsia" w:ascii="宋体" w:hAnsi="宋体" w:eastAsia="宋体" w:cs="宋体"/>
          <w:spacing w:val="-22"/>
          <w:sz w:val="24"/>
          <w:szCs w:val="24"/>
        </w:rPr>
        <w:t>话：</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23"/>
          <w:sz w:val="24"/>
          <w:szCs w:val="24"/>
        </w:rPr>
        <w:t>传</w:t>
      </w:r>
      <w:r>
        <w:rPr>
          <w:rFonts w:hint="eastAsia" w:ascii="宋体" w:hAnsi="宋体" w:eastAsia="宋体" w:cs="宋体"/>
          <w:spacing w:val="10"/>
          <w:sz w:val="24"/>
          <w:szCs w:val="24"/>
        </w:rPr>
        <w:t xml:space="preserve">   </w:t>
      </w:r>
      <w:r>
        <w:rPr>
          <w:rFonts w:hint="eastAsia" w:ascii="宋体" w:hAnsi="宋体" w:eastAsia="宋体" w:cs="宋体"/>
          <w:spacing w:val="-23"/>
          <w:sz w:val="24"/>
          <w:szCs w:val="24"/>
        </w:rPr>
        <w:t>真：</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28"/>
          <w:w w:val="98"/>
          <w:sz w:val="24"/>
          <w:szCs w:val="24"/>
        </w:rPr>
        <w:t>邮政编码：</w:t>
      </w:r>
      <w:r>
        <w:rPr>
          <w:rFonts w:hint="eastAsia" w:ascii="宋体" w:hAnsi="宋体" w:eastAsia="宋体" w:cs="宋体"/>
          <w:sz w:val="24"/>
          <w:szCs w:val="24"/>
          <w:u w:val="single" w:color="auto"/>
        </w:rPr>
        <w:t xml:space="preserve">                                         </w:t>
      </w:r>
    </w:p>
    <w:p w14:paraId="725ADDE3">
      <w:pPr>
        <w:tabs>
          <w:tab w:val="left" w:pos="7467"/>
        </w:tabs>
        <w:spacing w:before="82" w:line="219" w:lineRule="auto"/>
        <w:ind w:left="7108"/>
        <w:outlineLvl w:val="1"/>
        <w:rPr>
          <w:rFonts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08"/>
          <w:sz w:val="24"/>
          <w:szCs w:val="24"/>
        </w:rPr>
        <w:t xml:space="preserve"> </w:t>
      </w:r>
      <w:r>
        <w:rPr>
          <w:rFonts w:hint="eastAsia" w:ascii="宋体" w:hAnsi="宋体" w:eastAsia="宋体" w:cs="宋体"/>
          <w:spacing w:val="-9"/>
          <w:sz w:val="24"/>
          <w:szCs w:val="24"/>
        </w:rPr>
        <w:t>年</w:t>
      </w:r>
      <w:r>
        <w:rPr>
          <w:rFonts w:hint="eastAsia" w:ascii="宋体" w:hAnsi="宋体" w:eastAsia="宋体" w:cs="宋体"/>
          <w:spacing w:val="19"/>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30"/>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9"/>
          <w:sz w:val="24"/>
          <w:szCs w:val="24"/>
        </w:rPr>
        <w:t>日</w:t>
      </w:r>
    </w:p>
    <w:p w14:paraId="6DC662DE">
      <w:pPr>
        <w:spacing w:line="219" w:lineRule="auto"/>
        <w:rPr>
          <w:rFonts w:ascii="宋体" w:hAnsi="宋体" w:eastAsia="宋体" w:cs="宋体"/>
          <w:sz w:val="24"/>
          <w:szCs w:val="24"/>
        </w:rPr>
        <w:sectPr>
          <w:footerReference r:id="rId19" w:type="default"/>
          <w:pgSz w:w="12240" w:h="15840"/>
          <w:pgMar w:top="1153" w:right="1258" w:bottom="1072" w:left="1091" w:header="0" w:footer="910" w:gutter="0"/>
          <w:cols w:space="720" w:num="1"/>
        </w:sectPr>
      </w:pPr>
    </w:p>
    <w:p w14:paraId="4A934C03">
      <w:pPr>
        <w:spacing w:before="55" w:line="221" w:lineRule="auto"/>
        <w:ind w:left="4413"/>
        <w:rPr>
          <w:rFonts w:ascii="宋体" w:hAnsi="宋体" w:eastAsia="宋体" w:cs="宋体"/>
          <w:sz w:val="28"/>
          <w:szCs w:val="28"/>
        </w:rPr>
      </w:pPr>
      <w:r>
        <w:rPr>
          <w:rFonts w:ascii="宋体" w:hAnsi="宋体" w:eastAsia="宋体" w:cs="宋体"/>
          <w:spacing w:val="-8"/>
          <w:sz w:val="28"/>
          <w:szCs w:val="28"/>
        </w:rPr>
        <w:t>(二)开标一览表</w:t>
      </w:r>
    </w:p>
    <w:p w14:paraId="24C6EBB9">
      <w:pPr>
        <w:spacing w:before="101" w:line="220" w:lineRule="auto"/>
        <w:ind w:left="305"/>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rPr>
        <w:t xml:space="preserve">                                      </w:t>
      </w:r>
      <w:r>
        <w:rPr>
          <w:rFonts w:ascii="宋体" w:hAnsi="宋体" w:eastAsia="宋体" w:cs="宋体"/>
          <w:spacing w:val="-3"/>
          <w:sz w:val="24"/>
          <w:szCs w:val="24"/>
        </w:rPr>
        <w:t>标段：</w:t>
      </w:r>
    </w:p>
    <w:p w14:paraId="25E9DC30">
      <w:pPr>
        <w:spacing w:before="115" w:line="219" w:lineRule="auto"/>
        <w:ind w:left="302"/>
        <w:rPr>
          <w:rFonts w:ascii="宋体" w:hAnsi="宋体" w:eastAsia="宋体" w:cs="宋体"/>
          <w:sz w:val="24"/>
          <w:szCs w:val="24"/>
        </w:rPr>
      </w:pPr>
      <w:r>
        <w:rPr>
          <w:rFonts w:ascii="宋体" w:hAnsi="宋体" w:eastAsia="宋体" w:cs="宋体"/>
          <w:spacing w:val="-3"/>
          <w:sz w:val="24"/>
          <w:szCs w:val="24"/>
        </w:rPr>
        <w:t xml:space="preserve">标段编号：                </w:t>
      </w:r>
      <w:r>
        <w:rPr>
          <w:rFonts w:ascii="宋体" w:hAnsi="宋体" w:eastAsia="宋体" w:cs="宋体"/>
          <w:spacing w:val="-4"/>
          <w:sz w:val="24"/>
          <w:szCs w:val="24"/>
        </w:rPr>
        <w:t xml:space="preserve">                       开标时间：  年  月    日  时</w:t>
      </w:r>
    </w:p>
    <w:tbl>
      <w:tblPr>
        <w:tblStyle w:val="35"/>
        <w:tblW w:w="106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6"/>
        <w:gridCol w:w="1276"/>
        <w:gridCol w:w="1841"/>
        <w:gridCol w:w="1559"/>
        <w:gridCol w:w="1558"/>
        <w:gridCol w:w="1429"/>
        <w:gridCol w:w="1409"/>
      </w:tblGrid>
      <w:tr w14:paraId="66EF1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586" w:type="dxa"/>
            <w:vAlign w:val="top"/>
          </w:tcPr>
          <w:p w14:paraId="301F0ACC">
            <w:pPr>
              <w:pStyle w:val="51"/>
              <w:spacing w:before="195" w:line="229" w:lineRule="auto"/>
              <w:ind w:left="301"/>
            </w:pPr>
            <w:r>
              <w:rPr>
                <w:spacing w:val="7"/>
              </w:rPr>
              <w:t>投标人名称</w:t>
            </w:r>
          </w:p>
        </w:tc>
        <w:tc>
          <w:tcPr>
            <w:tcW w:w="1276" w:type="dxa"/>
            <w:vAlign w:val="top"/>
          </w:tcPr>
          <w:p w14:paraId="6DFA9D9F">
            <w:pPr>
              <w:pStyle w:val="51"/>
              <w:spacing w:before="35" w:line="297" w:lineRule="auto"/>
              <w:ind w:left="249" w:right="237" w:hanging="7"/>
            </w:pPr>
            <w:r>
              <w:rPr>
                <w:spacing w:val="-1"/>
              </w:rPr>
              <w:t>监</w:t>
            </w:r>
            <w:r>
              <w:rPr>
                <w:spacing w:val="7"/>
              </w:rPr>
              <w:t xml:space="preserve">    </w:t>
            </w:r>
            <w:r>
              <w:rPr>
                <w:spacing w:val="-1"/>
              </w:rPr>
              <w:t>理</w:t>
            </w:r>
            <w:r>
              <w:rPr>
                <w:spacing w:val="3"/>
              </w:rPr>
              <w:t xml:space="preserve"> </w:t>
            </w:r>
            <w:r>
              <w:rPr>
                <w:spacing w:val="5"/>
              </w:rPr>
              <w:t>资质等级</w:t>
            </w:r>
          </w:p>
        </w:tc>
        <w:tc>
          <w:tcPr>
            <w:tcW w:w="1841" w:type="dxa"/>
            <w:vAlign w:val="top"/>
          </w:tcPr>
          <w:p w14:paraId="225CD9F1">
            <w:pPr>
              <w:pStyle w:val="51"/>
              <w:spacing w:before="35" w:line="297" w:lineRule="auto"/>
              <w:ind w:left="634" w:right="521" w:hanging="108"/>
            </w:pPr>
            <w:r>
              <w:rPr>
                <w:spacing w:val="7"/>
              </w:rPr>
              <w:t>投标报价</w:t>
            </w:r>
            <w:r>
              <w:t xml:space="preserve"> （元）</w:t>
            </w:r>
          </w:p>
        </w:tc>
        <w:tc>
          <w:tcPr>
            <w:tcW w:w="1559" w:type="dxa"/>
            <w:vAlign w:val="top"/>
          </w:tcPr>
          <w:p w14:paraId="0CCB7F60">
            <w:pPr>
              <w:pStyle w:val="51"/>
              <w:spacing w:before="35" w:line="297" w:lineRule="auto"/>
              <w:ind w:left="342" w:right="280" w:hanging="57"/>
            </w:pPr>
            <w:r>
              <w:rPr>
                <w:spacing w:val="7"/>
              </w:rPr>
              <w:t>投标保证金</w:t>
            </w:r>
            <w:r>
              <w:rPr>
                <w:spacing w:val="2"/>
              </w:rPr>
              <w:t xml:space="preserve"> </w:t>
            </w:r>
            <w:r>
              <w:rPr>
                <w:spacing w:val="3"/>
              </w:rPr>
              <w:t>（有/无）</w:t>
            </w:r>
          </w:p>
        </w:tc>
        <w:tc>
          <w:tcPr>
            <w:tcW w:w="1558" w:type="dxa"/>
            <w:vAlign w:val="top"/>
          </w:tcPr>
          <w:p w14:paraId="44674362">
            <w:pPr>
              <w:pStyle w:val="51"/>
              <w:spacing w:before="195" w:line="228" w:lineRule="auto"/>
              <w:ind w:left="189"/>
            </w:pPr>
            <w:r>
              <w:rPr>
                <w:spacing w:val="7"/>
              </w:rPr>
              <w:t>总监理工程师</w:t>
            </w:r>
          </w:p>
        </w:tc>
        <w:tc>
          <w:tcPr>
            <w:tcW w:w="1429" w:type="dxa"/>
            <w:vAlign w:val="top"/>
          </w:tcPr>
          <w:p w14:paraId="258F4F18">
            <w:pPr>
              <w:pStyle w:val="51"/>
              <w:spacing w:before="195" w:line="228" w:lineRule="auto"/>
              <w:ind w:left="322"/>
            </w:pPr>
            <w:r>
              <w:rPr>
                <w:spacing w:val="7"/>
              </w:rPr>
              <w:t>服务期限</w:t>
            </w:r>
          </w:p>
        </w:tc>
        <w:tc>
          <w:tcPr>
            <w:tcW w:w="1409" w:type="dxa"/>
            <w:vAlign w:val="top"/>
          </w:tcPr>
          <w:p w14:paraId="1D83F897">
            <w:pPr>
              <w:pStyle w:val="51"/>
              <w:spacing w:before="195" w:line="229" w:lineRule="auto"/>
              <w:ind w:left="310"/>
            </w:pPr>
            <w:r>
              <w:rPr>
                <w:spacing w:val="7"/>
              </w:rPr>
              <w:t>质量标准</w:t>
            </w:r>
          </w:p>
        </w:tc>
      </w:tr>
      <w:tr w14:paraId="131A1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1" w:hRule="atLeast"/>
        </w:trPr>
        <w:tc>
          <w:tcPr>
            <w:tcW w:w="1586" w:type="dxa"/>
            <w:vAlign w:val="top"/>
          </w:tcPr>
          <w:p w14:paraId="5CDC8C58">
            <w:pPr>
              <w:rPr>
                <w:rFonts w:ascii="Arial"/>
                <w:sz w:val="21"/>
              </w:rPr>
            </w:pPr>
          </w:p>
        </w:tc>
        <w:tc>
          <w:tcPr>
            <w:tcW w:w="1276" w:type="dxa"/>
            <w:vAlign w:val="top"/>
          </w:tcPr>
          <w:p w14:paraId="14981F6C">
            <w:pPr>
              <w:rPr>
                <w:rFonts w:ascii="Arial"/>
                <w:sz w:val="21"/>
              </w:rPr>
            </w:pPr>
          </w:p>
        </w:tc>
        <w:tc>
          <w:tcPr>
            <w:tcW w:w="1841" w:type="dxa"/>
            <w:vAlign w:val="top"/>
          </w:tcPr>
          <w:p w14:paraId="5EEE3224">
            <w:pPr>
              <w:rPr>
                <w:rFonts w:ascii="Arial"/>
                <w:sz w:val="21"/>
              </w:rPr>
            </w:pPr>
          </w:p>
        </w:tc>
        <w:tc>
          <w:tcPr>
            <w:tcW w:w="1559" w:type="dxa"/>
            <w:vAlign w:val="top"/>
          </w:tcPr>
          <w:p w14:paraId="43F03DFB">
            <w:pPr>
              <w:rPr>
                <w:rFonts w:ascii="Arial"/>
                <w:sz w:val="21"/>
              </w:rPr>
            </w:pPr>
          </w:p>
        </w:tc>
        <w:tc>
          <w:tcPr>
            <w:tcW w:w="1558" w:type="dxa"/>
            <w:vAlign w:val="top"/>
          </w:tcPr>
          <w:p w14:paraId="2789417D">
            <w:pPr>
              <w:rPr>
                <w:rFonts w:ascii="Arial"/>
                <w:sz w:val="21"/>
              </w:rPr>
            </w:pPr>
          </w:p>
        </w:tc>
        <w:tc>
          <w:tcPr>
            <w:tcW w:w="1429" w:type="dxa"/>
            <w:vAlign w:val="top"/>
          </w:tcPr>
          <w:p w14:paraId="09E023CB">
            <w:pPr>
              <w:rPr>
                <w:rFonts w:ascii="Arial"/>
                <w:sz w:val="21"/>
              </w:rPr>
            </w:pPr>
          </w:p>
        </w:tc>
        <w:tc>
          <w:tcPr>
            <w:tcW w:w="1409" w:type="dxa"/>
            <w:vAlign w:val="top"/>
          </w:tcPr>
          <w:p w14:paraId="49EE81C4">
            <w:pPr>
              <w:rPr>
                <w:rFonts w:ascii="Arial"/>
                <w:sz w:val="21"/>
              </w:rPr>
            </w:pPr>
          </w:p>
        </w:tc>
      </w:tr>
    </w:tbl>
    <w:p w14:paraId="31F0BED2">
      <w:pPr>
        <w:pStyle w:val="10"/>
        <w:spacing w:line="289" w:lineRule="auto"/>
      </w:pPr>
    </w:p>
    <w:p w14:paraId="44B024E7">
      <w:pPr>
        <w:spacing w:before="62" w:line="227" w:lineRule="auto"/>
        <w:ind w:left="316"/>
        <w:rPr>
          <w:rFonts w:ascii="宋体" w:hAnsi="宋体" w:eastAsia="宋体" w:cs="宋体"/>
          <w:sz w:val="19"/>
          <w:szCs w:val="19"/>
        </w:rPr>
      </w:pPr>
      <w:r>
        <w:rPr>
          <w:rFonts w:ascii="宋体" w:hAnsi="宋体" w:eastAsia="宋体" w:cs="宋体"/>
          <w:spacing w:val="7"/>
          <w:sz w:val="19"/>
          <w:szCs w:val="19"/>
        </w:rPr>
        <w:t>※※注：</w:t>
      </w:r>
      <w:r>
        <w:rPr>
          <w:rFonts w:ascii="宋体" w:hAnsi="宋体" w:eastAsia="宋体" w:cs="宋体"/>
          <w:spacing w:val="38"/>
          <w:sz w:val="19"/>
          <w:szCs w:val="19"/>
        </w:rPr>
        <w:t xml:space="preserve"> </w:t>
      </w:r>
      <w:r>
        <w:rPr>
          <w:rFonts w:ascii="宋体" w:hAnsi="宋体" w:eastAsia="宋体" w:cs="宋体"/>
          <w:spacing w:val="7"/>
          <w:sz w:val="19"/>
          <w:szCs w:val="19"/>
        </w:rPr>
        <w:t>1、本表只作唱标用，投标报价以元为单位，保留</w:t>
      </w:r>
      <w:r>
        <w:rPr>
          <w:rFonts w:ascii="宋体" w:hAnsi="宋体" w:eastAsia="宋体" w:cs="宋体"/>
          <w:spacing w:val="-43"/>
          <w:sz w:val="19"/>
          <w:szCs w:val="19"/>
        </w:rPr>
        <w:t xml:space="preserve"> </w:t>
      </w:r>
      <w:r>
        <w:rPr>
          <w:rFonts w:ascii="Times New Roman" w:hAnsi="Times New Roman" w:eastAsia="Times New Roman" w:cs="Times New Roman"/>
          <w:spacing w:val="7"/>
          <w:sz w:val="19"/>
          <w:szCs w:val="19"/>
        </w:rPr>
        <w:t xml:space="preserve">2 </w:t>
      </w:r>
      <w:r>
        <w:rPr>
          <w:rFonts w:ascii="宋体" w:hAnsi="宋体" w:eastAsia="宋体" w:cs="宋体"/>
          <w:spacing w:val="7"/>
          <w:sz w:val="19"/>
          <w:szCs w:val="19"/>
        </w:rPr>
        <w:t>位</w:t>
      </w:r>
      <w:r>
        <w:rPr>
          <w:rFonts w:ascii="宋体" w:hAnsi="宋体" w:eastAsia="宋体" w:cs="宋体"/>
          <w:spacing w:val="6"/>
          <w:sz w:val="19"/>
          <w:szCs w:val="19"/>
        </w:rPr>
        <w:t>小数。</w:t>
      </w:r>
    </w:p>
    <w:p w14:paraId="3C941925">
      <w:pPr>
        <w:spacing w:before="92" w:line="227" w:lineRule="auto"/>
        <w:ind w:left="301"/>
        <w:rPr>
          <w:rFonts w:ascii="宋体" w:hAnsi="宋体" w:eastAsia="宋体" w:cs="宋体"/>
          <w:sz w:val="19"/>
          <w:szCs w:val="19"/>
        </w:rPr>
      </w:pPr>
      <w:r>
        <w:rPr>
          <w:rFonts w:ascii="宋体" w:hAnsi="宋体" w:eastAsia="宋体" w:cs="宋体"/>
          <w:spacing w:val="10"/>
          <w:sz w:val="19"/>
          <w:szCs w:val="19"/>
        </w:rPr>
        <w:t>2、本表填写内容必须和投标文件中投标函及投</w:t>
      </w:r>
      <w:r>
        <w:rPr>
          <w:rFonts w:ascii="宋体" w:hAnsi="宋体" w:eastAsia="宋体" w:cs="宋体"/>
          <w:spacing w:val="9"/>
          <w:sz w:val="19"/>
          <w:szCs w:val="19"/>
        </w:rPr>
        <w:t>标报价表的内容一致，如有不一致以开标一览表内容为准。</w:t>
      </w:r>
    </w:p>
    <w:p w14:paraId="720ED7EE">
      <w:pPr>
        <w:spacing w:before="92" w:line="271" w:lineRule="auto"/>
        <w:ind w:left="323" w:right="472" w:hanging="20"/>
        <w:rPr>
          <w:rFonts w:ascii="宋体" w:hAnsi="宋体" w:eastAsia="宋体" w:cs="宋体"/>
          <w:sz w:val="19"/>
          <w:szCs w:val="19"/>
        </w:rPr>
      </w:pPr>
      <w:r>
        <w:rPr>
          <w:rFonts w:ascii="宋体" w:hAnsi="宋体" w:eastAsia="宋体" w:cs="宋体"/>
          <w:spacing w:val="10"/>
          <w:sz w:val="19"/>
          <w:szCs w:val="19"/>
        </w:rPr>
        <w:t>3、本表格须装订在投标文件内。然后再将此开标一览表单独打印一份</w:t>
      </w:r>
      <w:r>
        <w:rPr>
          <w:rFonts w:ascii="宋体" w:hAnsi="宋体" w:eastAsia="宋体" w:cs="宋体"/>
          <w:spacing w:val="9"/>
          <w:sz w:val="19"/>
          <w:szCs w:val="19"/>
        </w:rPr>
        <w:t>签字和加盖印章后，单独密封在一个小信封</w:t>
      </w:r>
      <w:r>
        <w:rPr>
          <w:rFonts w:ascii="宋体" w:hAnsi="宋体" w:eastAsia="宋体" w:cs="宋体"/>
          <w:sz w:val="19"/>
          <w:szCs w:val="19"/>
        </w:rPr>
        <w:t xml:space="preserve"> </w:t>
      </w:r>
      <w:r>
        <w:rPr>
          <w:rFonts w:ascii="宋体" w:hAnsi="宋体" w:eastAsia="宋体" w:cs="宋体"/>
          <w:spacing w:val="7"/>
          <w:sz w:val="19"/>
          <w:szCs w:val="19"/>
        </w:rPr>
        <w:t>内，随投标文件一同递交，以便开标时唱标用。</w:t>
      </w:r>
    </w:p>
    <w:p w14:paraId="32D45B7A">
      <w:pPr>
        <w:pStyle w:val="10"/>
        <w:spacing w:line="242" w:lineRule="auto"/>
      </w:pPr>
    </w:p>
    <w:p w14:paraId="79F7B797">
      <w:pPr>
        <w:pStyle w:val="10"/>
        <w:spacing w:line="242" w:lineRule="auto"/>
      </w:pPr>
    </w:p>
    <w:p w14:paraId="73DF20CE">
      <w:pPr>
        <w:pStyle w:val="10"/>
        <w:spacing w:line="242" w:lineRule="auto"/>
      </w:pPr>
    </w:p>
    <w:p w14:paraId="29EDF336">
      <w:pPr>
        <w:pStyle w:val="10"/>
        <w:spacing w:line="242" w:lineRule="auto"/>
      </w:pPr>
    </w:p>
    <w:p w14:paraId="2BD2153D">
      <w:pPr>
        <w:pStyle w:val="10"/>
        <w:spacing w:line="242" w:lineRule="auto"/>
      </w:pPr>
    </w:p>
    <w:p w14:paraId="29D07655">
      <w:pPr>
        <w:pStyle w:val="10"/>
        <w:spacing w:line="242" w:lineRule="auto"/>
      </w:pPr>
    </w:p>
    <w:p w14:paraId="29643001">
      <w:pPr>
        <w:pStyle w:val="10"/>
        <w:spacing w:line="242" w:lineRule="auto"/>
      </w:pPr>
    </w:p>
    <w:p w14:paraId="00236FA4">
      <w:pPr>
        <w:pStyle w:val="10"/>
        <w:spacing w:line="242" w:lineRule="auto"/>
      </w:pPr>
    </w:p>
    <w:p w14:paraId="1F594656">
      <w:pPr>
        <w:pStyle w:val="10"/>
        <w:spacing w:line="242" w:lineRule="auto"/>
      </w:pPr>
    </w:p>
    <w:p w14:paraId="02C0686E">
      <w:pPr>
        <w:pStyle w:val="10"/>
        <w:spacing w:line="242" w:lineRule="auto"/>
      </w:pPr>
    </w:p>
    <w:p w14:paraId="113423E9">
      <w:pPr>
        <w:pStyle w:val="10"/>
        <w:spacing w:line="243" w:lineRule="auto"/>
      </w:pPr>
    </w:p>
    <w:p w14:paraId="33FCCE81">
      <w:pPr>
        <w:spacing w:before="79" w:line="219" w:lineRule="auto"/>
        <w:ind w:left="3904"/>
        <w:rPr>
          <w:rFonts w:ascii="宋体" w:hAnsi="宋体" w:eastAsia="宋体" w:cs="宋体"/>
          <w:sz w:val="24"/>
          <w:szCs w:val="24"/>
        </w:rPr>
      </w:pPr>
      <w:r>
        <w:rPr>
          <w:rFonts w:ascii="宋体" w:hAnsi="宋体" w:eastAsia="宋体" w:cs="宋体"/>
          <w:spacing w:val="3"/>
          <w:sz w:val="24"/>
          <w:szCs w:val="24"/>
        </w:rPr>
        <w:t>投标人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3"/>
          <w:sz w:val="24"/>
          <w:szCs w:val="24"/>
        </w:rPr>
        <w:t>公章）</w:t>
      </w:r>
    </w:p>
    <w:p w14:paraId="7FC2B547">
      <w:pPr>
        <w:pStyle w:val="10"/>
        <w:spacing w:line="436" w:lineRule="auto"/>
      </w:pPr>
    </w:p>
    <w:p w14:paraId="3D2203F6">
      <w:pPr>
        <w:spacing w:before="78" w:line="219" w:lineRule="auto"/>
        <w:ind w:left="3902"/>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签字或盖章）</w:t>
      </w:r>
    </w:p>
    <w:p w14:paraId="4374D6E9">
      <w:pPr>
        <w:pStyle w:val="10"/>
        <w:spacing w:line="434" w:lineRule="auto"/>
      </w:pPr>
    </w:p>
    <w:p w14:paraId="6A0F8CAD">
      <w:pPr>
        <w:spacing w:before="79" w:line="219" w:lineRule="auto"/>
        <w:ind w:left="3901"/>
        <w:rPr>
          <w:rFonts w:ascii="宋体" w:hAnsi="宋体" w:eastAsia="宋体" w:cs="宋体"/>
          <w:sz w:val="24"/>
          <w:szCs w:val="24"/>
        </w:rPr>
      </w:pPr>
      <w:r>
        <w:rPr>
          <w:rFonts w:ascii="宋体" w:hAnsi="宋体" w:eastAsia="宋体" w:cs="宋体"/>
          <w:spacing w:val="3"/>
          <w:sz w:val="24"/>
          <w:szCs w:val="24"/>
        </w:rPr>
        <w:t>被授权代表</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签字）</w:t>
      </w:r>
    </w:p>
    <w:p w14:paraId="0A9F294F">
      <w:pPr>
        <w:pStyle w:val="10"/>
        <w:spacing w:line="345" w:lineRule="auto"/>
      </w:pPr>
    </w:p>
    <w:p w14:paraId="35B348A9">
      <w:pPr>
        <w:spacing w:before="78" w:line="219" w:lineRule="auto"/>
        <w:ind w:left="6822"/>
        <w:outlineLvl w:val="0"/>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6"/>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5"/>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5"/>
          <w:sz w:val="24"/>
          <w:szCs w:val="24"/>
        </w:rPr>
        <w:t>日</w:t>
      </w:r>
    </w:p>
    <w:p w14:paraId="6FBBAD19">
      <w:pPr>
        <w:spacing w:line="219" w:lineRule="auto"/>
        <w:rPr>
          <w:rFonts w:ascii="宋体" w:hAnsi="宋体" w:eastAsia="宋体" w:cs="宋体"/>
          <w:sz w:val="24"/>
          <w:szCs w:val="24"/>
        </w:rPr>
        <w:sectPr>
          <w:footerReference r:id="rId20" w:type="default"/>
          <w:pgSz w:w="12240" w:h="15840"/>
          <w:pgMar w:top="1119" w:right="788" w:bottom="1072" w:left="788" w:header="0" w:footer="910" w:gutter="0"/>
          <w:cols w:space="720" w:num="1"/>
        </w:sectPr>
      </w:pPr>
    </w:p>
    <w:p w14:paraId="0532ED72">
      <w:pPr>
        <w:spacing w:before="71" w:line="225" w:lineRule="auto"/>
        <w:ind w:left="3063"/>
        <w:rPr>
          <w:rFonts w:ascii="宋体" w:hAnsi="宋体" w:eastAsia="宋体" w:cs="宋体"/>
          <w:sz w:val="35"/>
          <w:szCs w:val="35"/>
        </w:rPr>
      </w:pPr>
      <w:r>
        <w:rPr>
          <w:rFonts w:ascii="宋体" w:hAnsi="宋体" w:eastAsia="宋体" w:cs="宋体"/>
          <w:b/>
          <w:bCs/>
          <w:spacing w:val="5"/>
          <w:sz w:val="35"/>
          <w:szCs w:val="35"/>
        </w:rPr>
        <w:t>二、法定代表人身份证明</w:t>
      </w:r>
    </w:p>
    <w:p w14:paraId="307082F6">
      <w:pPr>
        <w:pStyle w:val="10"/>
        <w:spacing w:line="416" w:lineRule="auto"/>
      </w:pPr>
    </w:p>
    <w:p w14:paraId="7AC1A979">
      <w:pPr>
        <w:spacing w:before="78" w:line="269" w:lineRule="auto"/>
        <w:ind w:right="5961" w:firstLine="2"/>
        <w:jc w:val="both"/>
        <w:rPr>
          <w:rFonts w:ascii="宋体" w:hAnsi="宋体" w:eastAsia="宋体" w:cs="宋体"/>
          <w:sz w:val="24"/>
          <w:szCs w:val="24"/>
        </w:rPr>
      </w:pPr>
      <w:r>
        <w:rPr>
          <w:rFonts w:ascii="宋体" w:hAnsi="宋体" w:eastAsia="宋体" w:cs="宋体"/>
          <w:sz w:val="24"/>
          <w:szCs w:val="24"/>
        </w:rPr>
        <w:t>投标人名称：</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1"/>
          <w:sz w:val="24"/>
          <w:szCs w:val="24"/>
          <w:u w:val="single" w:color="auto"/>
        </w:rPr>
        <w:t xml:space="preserve">           _</w:t>
      </w:r>
      <w:r>
        <w:rPr>
          <w:rFonts w:ascii="Times New Roman" w:hAnsi="Times New Roman" w:eastAsia="Times New Roman" w:cs="Times New Roman"/>
          <w:sz w:val="24"/>
          <w:szCs w:val="24"/>
        </w:rPr>
        <w:t xml:space="preserve"> </w:t>
      </w:r>
      <w:r>
        <w:rPr>
          <w:rFonts w:ascii="宋体" w:hAnsi="宋体" w:eastAsia="宋体" w:cs="宋体"/>
          <w:sz w:val="24"/>
          <w:szCs w:val="24"/>
        </w:rPr>
        <w:t>单位性质：</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1"/>
          <w:sz w:val="24"/>
          <w:szCs w:val="24"/>
          <w:u w:val="single" w:color="auto"/>
        </w:rPr>
        <w:t xml:space="preserve">        _</w:t>
      </w:r>
      <w:r>
        <w:rPr>
          <w:rFonts w:ascii="Times New Roman" w:hAnsi="Times New Roman" w:eastAsia="Times New Roman" w:cs="Times New Roman"/>
          <w:sz w:val="24"/>
          <w:szCs w:val="24"/>
        </w:rPr>
        <w:t xml:space="preserve">   </w:t>
      </w:r>
      <w:r>
        <w:rPr>
          <w:rFonts w:ascii="宋体" w:hAnsi="宋体" w:eastAsia="宋体" w:cs="宋体"/>
          <w:spacing w:val="-4"/>
          <w:sz w:val="24"/>
          <w:szCs w:val="24"/>
        </w:rPr>
        <w:t>地址：</w:t>
      </w:r>
      <w:r>
        <w:rPr>
          <w:rFonts w:ascii="宋体" w:hAnsi="宋体" w:eastAsia="宋体" w:cs="宋体"/>
          <w:sz w:val="24"/>
          <w:szCs w:val="24"/>
          <w:u w:val="single" w:color="auto"/>
        </w:rPr>
        <w:t xml:space="preserve">                   </w:t>
      </w:r>
    </w:p>
    <w:p w14:paraId="0C44A0EA">
      <w:pPr>
        <w:spacing w:line="9" w:lineRule="exact"/>
        <w:ind w:left="2868"/>
        <w:rPr>
          <w:rFonts w:ascii="Times New Roman" w:hAnsi="Times New Roman" w:eastAsia="Times New Roman" w:cs="Times New Roman"/>
          <w:sz w:val="24"/>
          <w:szCs w:val="24"/>
        </w:rPr>
      </w:pPr>
      <w:r>
        <w:rPr>
          <w:rFonts w:ascii="Times New Roman" w:hAnsi="Times New Roman" w:eastAsia="Times New Roman" w:cs="Times New Roman"/>
          <w:spacing w:val="3"/>
          <w:position w:val="5"/>
          <w:sz w:val="24"/>
          <w:szCs w:val="24"/>
        </w:rPr>
        <w:t>_</w:t>
      </w:r>
    </w:p>
    <w:p w14:paraId="47EE6648">
      <w:pPr>
        <w:spacing w:before="144" w:line="291" w:lineRule="auto"/>
        <w:ind w:left="1" w:right="5724"/>
        <w:rPr>
          <w:rFonts w:ascii="Times New Roman" w:hAnsi="Times New Roman" w:eastAsia="Times New Roman" w:cs="Times New Roman"/>
          <w:sz w:val="24"/>
          <w:szCs w:val="24"/>
        </w:rPr>
      </w:pPr>
      <w:r>
        <w:rPr>
          <w:rFonts w:ascii="宋体" w:hAnsi="宋体" w:eastAsia="宋体" w:cs="宋体"/>
          <w:spacing w:val="-8"/>
          <w:sz w:val="24"/>
          <w:szCs w:val="24"/>
        </w:rPr>
        <w:t>成立时间</w:t>
      </w:r>
      <w:r>
        <w:rPr>
          <w:rFonts w:ascii="宋体" w:hAnsi="宋体" w:eastAsia="宋体" w:cs="宋体"/>
          <w:spacing w:val="-8"/>
          <w:sz w:val="24"/>
          <w:szCs w:val="24"/>
          <w:u w:val="single" w:color="auto"/>
        </w:rPr>
        <w:t>：</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8"/>
          <w:sz w:val="24"/>
          <w:szCs w:val="24"/>
        </w:rPr>
        <w:t>年</w:t>
      </w:r>
      <w:r>
        <w:rPr>
          <w:rFonts w:ascii="宋体" w:hAnsi="宋体" w:eastAsia="宋体" w:cs="宋体"/>
          <w:spacing w:val="-8"/>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8"/>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8"/>
          <w:sz w:val="24"/>
          <w:szCs w:val="24"/>
        </w:rPr>
        <w:t>日</w:t>
      </w:r>
      <w:r>
        <w:rPr>
          <w:rFonts w:ascii="宋体" w:hAnsi="宋体" w:eastAsia="宋体" w:cs="宋体"/>
          <w:sz w:val="24"/>
          <w:szCs w:val="24"/>
        </w:rPr>
        <w:t xml:space="preserve"> 经营期限：</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1"/>
          <w:sz w:val="24"/>
          <w:szCs w:val="24"/>
          <w:u w:val="single" w:color="auto"/>
        </w:rPr>
        <w:t xml:space="preserve">          _</w:t>
      </w:r>
    </w:p>
    <w:p w14:paraId="3BB6BB69">
      <w:pPr>
        <w:spacing w:before="44" w:line="219" w:lineRule="auto"/>
        <w:rPr>
          <w:rFonts w:ascii="宋体" w:hAnsi="宋体" w:eastAsia="宋体" w:cs="宋体"/>
          <w:sz w:val="24"/>
          <w:szCs w:val="24"/>
        </w:rPr>
      </w:pPr>
      <w:r>
        <w:rPr>
          <w:rFonts w:ascii="宋体" w:hAnsi="宋体" w:eastAsia="宋体" w:cs="宋体"/>
          <w:spacing w:val="-3"/>
          <w:sz w:val="24"/>
          <w:szCs w:val="24"/>
        </w:rPr>
        <w:t>姓名：</w:t>
      </w:r>
      <w:r>
        <w:rPr>
          <w:rFonts w:ascii="宋体" w:hAnsi="宋体" w:eastAsia="宋体" w:cs="宋体"/>
          <w:spacing w:val="19"/>
          <w:sz w:val="24"/>
          <w:szCs w:val="24"/>
          <w:u w:val="single" w:color="auto"/>
        </w:rPr>
        <w:t xml:space="preserve">    </w:t>
      </w:r>
      <w:r>
        <w:rPr>
          <w:rFonts w:ascii="宋体" w:hAnsi="宋体" w:eastAsia="宋体" w:cs="宋体"/>
          <w:spacing w:val="-48"/>
          <w:sz w:val="24"/>
          <w:szCs w:val="24"/>
        </w:rPr>
        <w:t xml:space="preserve"> </w:t>
      </w:r>
      <w:r>
        <w:rPr>
          <w:rFonts w:ascii="宋体" w:hAnsi="宋体" w:eastAsia="宋体" w:cs="宋体"/>
          <w:spacing w:val="-3"/>
          <w:sz w:val="24"/>
          <w:szCs w:val="24"/>
        </w:rPr>
        <w:t>性别：</w:t>
      </w:r>
      <w:r>
        <w:rPr>
          <w:rFonts w:ascii="宋体" w:hAnsi="宋体" w:eastAsia="宋体" w:cs="宋体"/>
          <w:spacing w:val="-3"/>
          <w:sz w:val="24"/>
          <w:szCs w:val="24"/>
          <w:u w:val="single" w:color="auto"/>
        </w:rPr>
        <w:t xml:space="preserve">    </w:t>
      </w:r>
      <w:r>
        <w:rPr>
          <w:rFonts w:ascii="宋体" w:hAnsi="宋体" w:eastAsia="宋体" w:cs="宋体"/>
          <w:spacing w:val="-49"/>
          <w:sz w:val="24"/>
          <w:szCs w:val="24"/>
        </w:rPr>
        <w:t xml:space="preserve"> </w:t>
      </w:r>
      <w:r>
        <w:rPr>
          <w:rFonts w:ascii="宋体" w:hAnsi="宋体" w:eastAsia="宋体" w:cs="宋体"/>
          <w:spacing w:val="-3"/>
          <w:sz w:val="24"/>
          <w:szCs w:val="24"/>
        </w:rPr>
        <w:t>年龄：</w:t>
      </w:r>
      <w:r>
        <w:rPr>
          <w:rFonts w:ascii="宋体" w:hAnsi="宋体" w:eastAsia="宋体" w:cs="宋体"/>
          <w:spacing w:val="-3"/>
          <w:sz w:val="24"/>
          <w:szCs w:val="24"/>
          <w:u w:val="single" w:color="auto"/>
        </w:rPr>
        <w:t xml:space="preserve">    </w:t>
      </w:r>
      <w:r>
        <w:rPr>
          <w:rFonts w:ascii="宋体" w:hAnsi="宋体" w:eastAsia="宋体" w:cs="宋体"/>
          <w:spacing w:val="-50"/>
          <w:sz w:val="24"/>
          <w:szCs w:val="24"/>
        </w:rPr>
        <w:t xml:space="preserve"> </w:t>
      </w:r>
      <w:r>
        <w:rPr>
          <w:rFonts w:ascii="宋体" w:hAnsi="宋体" w:eastAsia="宋体" w:cs="宋体"/>
          <w:spacing w:val="-3"/>
          <w:sz w:val="24"/>
          <w:szCs w:val="24"/>
        </w:rPr>
        <w:t>职务：</w:t>
      </w:r>
    </w:p>
    <w:p w14:paraId="1329FA1A">
      <w:pPr>
        <w:spacing w:before="112" w:line="286" w:lineRule="auto"/>
        <w:ind w:left="239" w:right="4765" w:hanging="235"/>
        <w:rPr>
          <w:rFonts w:ascii="宋体" w:hAnsi="宋体" w:eastAsia="宋体" w:cs="宋体"/>
          <w:sz w:val="24"/>
          <w:szCs w:val="24"/>
        </w:rPr>
      </w:pPr>
      <w:r>
        <w:rPr>
          <w:rFonts w:ascii="宋体" w:hAnsi="宋体" w:eastAsia="宋体" w:cs="宋体"/>
          <w:spacing w:val="-3"/>
          <w:sz w:val="24"/>
          <w:szCs w:val="24"/>
        </w:rPr>
        <w:t>系</w:t>
      </w:r>
      <w:r>
        <w:rPr>
          <w:rFonts w:ascii="宋体" w:hAnsi="宋体" w:eastAsia="宋体" w:cs="宋体"/>
          <w:spacing w:val="-3"/>
          <w:sz w:val="24"/>
          <w:szCs w:val="24"/>
          <w:u w:val="single" w:color="auto"/>
        </w:rPr>
        <w:t xml:space="preserve">           </w:t>
      </w:r>
      <w:r>
        <w:rPr>
          <w:rFonts w:ascii="宋体" w:hAnsi="宋体" w:eastAsia="宋体" w:cs="宋体"/>
          <w:spacing w:val="-99"/>
          <w:sz w:val="24"/>
          <w:szCs w:val="24"/>
        </w:rPr>
        <w:t xml:space="preserve"> </w:t>
      </w:r>
      <w:r>
        <w:rPr>
          <w:rFonts w:ascii="Times New Roman" w:hAnsi="Times New Roman" w:eastAsia="Times New Roman" w:cs="Times New Roman"/>
          <w:spacing w:val="-3"/>
          <w:sz w:val="24"/>
          <w:szCs w:val="24"/>
        </w:rPr>
        <w:t>(</w:t>
      </w:r>
      <w:r>
        <w:rPr>
          <w:rFonts w:ascii="宋体" w:hAnsi="宋体" w:eastAsia="宋体" w:cs="宋体"/>
          <w:spacing w:val="-3"/>
          <w:sz w:val="24"/>
          <w:szCs w:val="24"/>
        </w:rPr>
        <w:t>投标人名称</w:t>
      </w:r>
      <w:r>
        <w:rPr>
          <w:rFonts w:ascii="Times New Roman" w:hAnsi="Times New Roman" w:eastAsia="Times New Roman" w:cs="Times New Roman"/>
          <w:spacing w:val="-3"/>
          <w:sz w:val="24"/>
          <w:szCs w:val="24"/>
        </w:rPr>
        <w:t>)</w:t>
      </w:r>
      <w:r>
        <w:rPr>
          <w:rFonts w:ascii="宋体" w:hAnsi="宋体" w:eastAsia="宋体" w:cs="宋体"/>
          <w:spacing w:val="-3"/>
          <w:sz w:val="24"/>
          <w:szCs w:val="24"/>
        </w:rPr>
        <w:t>的法定代表人。</w:t>
      </w:r>
      <w:r>
        <w:rPr>
          <w:rFonts w:ascii="宋体" w:hAnsi="宋体" w:eastAsia="宋体" w:cs="宋体"/>
          <w:sz w:val="24"/>
          <w:szCs w:val="24"/>
        </w:rPr>
        <w:t xml:space="preserve"> </w:t>
      </w:r>
      <w:r>
        <w:rPr>
          <w:rFonts w:ascii="宋体" w:hAnsi="宋体" w:eastAsia="宋体" w:cs="宋体"/>
          <w:spacing w:val="-2"/>
          <w:sz w:val="24"/>
          <w:szCs w:val="24"/>
        </w:rPr>
        <w:t>特此证明。</w:t>
      </w:r>
    </w:p>
    <w:p w14:paraId="522AF1C1">
      <w:pPr>
        <w:spacing w:before="237"/>
      </w:pPr>
    </w:p>
    <w:tbl>
      <w:tblPr>
        <w:tblStyle w:val="35"/>
        <w:tblW w:w="4864" w:type="dxa"/>
        <w:tblInd w:w="16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864"/>
      </w:tblGrid>
      <w:tr w14:paraId="68182BE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22" w:hRule="atLeast"/>
        </w:trPr>
        <w:tc>
          <w:tcPr>
            <w:tcW w:w="4864" w:type="dxa"/>
            <w:vAlign w:val="top"/>
          </w:tcPr>
          <w:p w14:paraId="2FC8F1DB">
            <w:pPr>
              <w:spacing w:line="319" w:lineRule="auto"/>
              <w:rPr>
                <w:rFonts w:ascii="Arial"/>
                <w:sz w:val="21"/>
              </w:rPr>
            </w:pPr>
          </w:p>
          <w:p w14:paraId="11F997EA">
            <w:pPr>
              <w:spacing w:line="319" w:lineRule="auto"/>
              <w:rPr>
                <w:rFonts w:ascii="Arial"/>
                <w:sz w:val="21"/>
              </w:rPr>
            </w:pPr>
          </w:p>
          <w:p w14:paraId="5DAE4DE8">
            <w:pPr>
              <w:spacing w:line="320" w:lineRule="auto"/>
              <w:rPr>
                <w:rFonts w:ascii="Arial"/>
                <w:sz w:val="21"/>
              </w:rPr>
            </w:pPr>
          </w:p>
          <w:p w14:paraId="469D3BD4">
            <w:pPr>
              <w:pStyle w:val="51"/>
              <w:spacing w:before="62" w:line="228" w:lineRule="auto"/>
              <w:ind w:left="157"/>
            </w:pPr>
            <w:r>
              <w:rPr>
                <w:spacing w:val="9"/>
              </w:rPr>
              <w:t>法定代表人身份证复印件</w:t>
            </w:r>
          </w:p>
        </w:tc>
      </w:tr>
    </w:tbl>
    <w:p w14:paraId="62C1B08C">
      <w:pPr>
        <w:pStyle w:val="10"/>
        <w:spacing w:line="336" w:lineRule="auto"/>
      </w:pPr>
    </w:p>
    <w:p w14:paraId="11890B3C">
      <w:pPr>
        <w:spacing w:before="78" w:line="282" w:lineRule="auto"/>
        <w:ind w:left="2460" w:right="4124" w:firstLine="61"/>
        <w:rPr>
          <w:rFonts w:ascii="Times New Roman" w:hAnsi="Times New Roman" w:eastAsia="Times New Roman" w:cs="Times New Roman"/>
          <w:sz w:val="24"/>
          <w:szCs w:val="24"/>
        </w:rPr>
      </w:pPr>
      <w:r>
        <w:rPr>
          <w:rFonts w:ascii="宋体" w:hAnsi="宋体" w:eastAsia="宋体" w:cs="宋体"/>
          <w:spacing w:val="-2"/>
          <w:sz w:val="24"/>
          <w:szCs w:val="24"/>
        </w:rPr>
        <w:t>投标人：</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Times New Roman" w:hAnsi="Times New Roman" w:eastAsia="Times New Roman" w:cs="Times New Roman"/>
          <w:spacing w:val="-2"/>
          <w:sz w:val="24"/>
          <w:szCs w:val="24"/>
        </w:rPr>
        <w:t>(</w:t>
      </w:r>
      <w:r>
        <w:rPr>
          <w:rFonts w:ascii="宋体" w:hAnsi="宋体" w:eastAsia="宋体" w:cs="宋体"/>
          <w:spacing w:val="-2"/>
          <w:sz w:val="24"/>
          <w:szCs w:val="24"/>
        </w:rPr>
        <w:t>盖单位章</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 xml:space="preserve"> </w:t>
      </w:r>
      <w:r>
        <w:rPr>
          <w:rFonts w:ascii="宋体" w:hAnsi="宋体" w:eastAsia="宋体" w:cs="宋体"/>
          <w:spacing w:val="-2"/>
          <w:sz w:val="24"/>
          <w:szCs w:val="24"/>
        </w:rPr>
        <w:t>法定代表人：</w:t>
      </w:r>
      <w:r>
        <w:rPr>
          <w:rFonts w:ascii="宋体" w:hAnsi="宋体" w:eastAsia="宋体" w:cs="宋体"/>
          <w:spacing w:val="-2"/>
          <w:sz w:val="24"/>
          <w:szCs w:val="24"/>
          <w:u w:val="single" w:color="auto"/>
        </w:rPr>
        <w:t xml:space="preserve">     </w:t>
      </w:r>
      <w:r>
        <w:rPr>
          <w:rFonts w:ascii="宋体" w:hAnsi="宋体" w:eastAsia="宋体" w:cs="宋体"/>
          <w:spacing w:val="-103"/>
          <w:sz w:val="24"/>
          <w:szCs w:val="24"/>
        </w:rPr>
        <w:t xml:space="preserve"> </w:t>
      </w:r>
      <w:r>
        <w:rPr>
          <w:rFonts w:ascii="Times New Roman" w:hAnsi="Times New Roman" w:eastAsia="Times New Roman" w:cs="Times New Roman"/>
          <w:spacing w:val="-2"/>
          <w:sz w:val="24"/>
          <w:szCs w:val="24"/>
        </w:rPr>
        <w:t>(</w:t>
      </w:r>
      <w:r>
        <w:rPr>
          <w:rFonts w:ascii="宋体" w:hAnsi="宋体" w:eastAsia="宋体" w:cs="宋体"/>
          <w:spacing w:val="-2"/>
          <w:sz w:val="24"/>
          <w:szCs w:val="24"/>
        </w:rPr>
        <w:t>签字</w:t>
      </w:r>
      <w:r>
        <w:rPr>
          <w:rFonts w:ascii="Times New Roman" w:hAnsi="Times New Roman" w:eastAsia="Times New Roman" w:cs="Times New Roman"/>
          <w:spacing w:val="-2"/>
          <w:sz w:val="24"/>
          <w:szCs w:val="24"/>
        </w:rPr>
        <w:t>)</w:t>
      </w:r>
    </w:p>
    <w:p w14:paraId="753FA7FF">
      <w:pPr>
        <w:pStyle w:val="10"/>
        <w:spacing w:line="385" w:lineRule="auto"/>
      </w:pPr>
    </w:p>
    <w:p w14:paraId="29FF78A0">
      <w:pPr>
        <w:tabs>
          <w:tab w:val="left" w:pos="3050"/>
        </w:tabs>
        <w:spacing w:before="78" w:line="219" w:lineRule="auto"/>
        <w:ind w:left="2690"/>
        <w:outlineLvl w:val="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6"/>
          <w:sz w:val="24"/>
          <w:szCs w:val="24"/>
        </w:rPr>
        <w:t xml:space="preserve"> </w:t>
      </w:r>
      <w:r>
        <w:rPr>
          <w:rFonts w:ascii="宋体" w:hAnsi="宋体" w:eastAsia="宋体" w:cs="宋体"/>
          <w:spacing w:val="-6"/>
          <w:sz w:val="24"/>
          <w:szCs w:val="24"/>
        </w:rPr>
        <w:t>年</w:t>
      </w:r>
      <w:r>
        <w:rPr>
          <w:rFonts w:ascii="宋体" w:hAnsi="宋体" w:eastAsia="宋体" w:cs="宋体"/>
          <w:spacing w:val="-6"/>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6"/>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6"/>
          <w:sz w:val="24"/>
          <w:szCs w:val="24"/>
        </w:rPr>
        <w:t>日</w:t>
      </w:r>
    </w:p>
    <w:p w14:paraId="3CA8C9D9">
      <w:pPr>
        <w:spacing w:line="219" w:lineRule="auto"/>
        <w:rPr>
          <w:rFonts w:ascii="宋体" w:hAnsi="宋体" w:eastAsia="宋体" w:cs="宋体"/>
          <w:sz w:val="24"/>
          <w:szCs w:val="24"/>
        </w:rPr>
        <w:sectPr>
          <w:footerReference r:id="rId21" w:type="default"/>
          <w:pgSz w:w="12240" w:h="15840"/>
          <w:pgMar w:top="1153" w:right="1836" w:bottom="1072" w:left="1089" w:header="0" w:footer="910" w:gutter="0"/>
          <w:cols w:space="720" w:num="1"/>
        </w:sectPr>
      </w:pPr>
    </w:p>
    <w:p w14:paraId="71CBFC16">
      <w:pPr>
        <w:spacing w:before="71" w:line="224" w:lineRule="auto"/>
        <w:ind w:left="3785"/>
        <w:rPr>
          <w:rFonts w:ascii="宋体" w:hAnsi="宋体" w:eastAsia="宋体" w:cs="宋体"/>
          <w:sz w:val="35"/>
          <w:szCs w:val="35"/>
        </w:rPr>
      </w:pPr>
      <w:r>
        <w:rPr>
          <w:rFonts w:hint="eastAsia" w:ascii="宋体" w:hAnsi="宋体" w:eastAsia="宋体" w:cs="宋体"/>
          <w:b/>
          <w:bCs/>
          <w:spacing w:val="4"/>
          <w:sz w:val="35"/>
          <w:szCs w:val="35"/>
          <w:lang w:val="en-US" w:eastAsia="zh-CN"/>
        </w:rPr>
        <w:t>三</w:t>
      </w:r>
      <w:r>
        <w:rPr>
          <w:rFonts w:ascii="宋体" w:hAnsi="宋体" w:eastAsia="宋体" w:cs="宋体"/>
          <w:b/>
          <w:bCs/>
          <w:spacing w:val="4"/>
          <w:sz w:val="35"/>
          <w:szCs w:val="35"/>
        </w:rPr>
        <w:t>、授权委托书</w:t>
      </w:r>
    </w:p>
    <w:p w14:paraId="49D52158">
      <w:pPr>
        <w:pStyle w:val="10"/>
        <w:spacing w:line="272" w:lineRule="auto"/>
      </w:pPr>
    </w:p>
    <w:p w14:paraId="5F2AFE04">
      <w:pPr>
        <w:pStyle w:val="10"/>
        <w:spacing w:line="272" w:lineRule="auto"/>
      </w:pPr>
    </w:p>
    <w:p w14:paraId="1A41C416">
      <w:pPr>
        <w:pStyle w:val="10"/>
        <w:spacing w:line="272" w:lineRule="auto"/>
      </w:pPr>
    </w:p>
    <w:p w14:paraId="22E771DF">
      <w:pPr>
        <w:spacing w:before="78" w:line="283" w:lineRule="auto"/>
        <w:ind w:firstLine="291"/>
        <w:rPr>
          <w:rFonts w:ascii="Times New Roman" w:hAnsi="Times New Roman" w:eastAsia="Times New Roman" w:cs="Times New Roman"/>
          <w:sz w:val="24"/>
          <w:szCs w:val="24"/>
        </w:rPr>
      </w:pPr>
      <w:r>
        <w:rPr>
          <w:rFonts w:ascii="宋体" w:hAnsi="宋体" w:eastAsia="宋体" w:cs="宋体"/>
          <w:spacing w:val="1"/>
          <w:sz w:val="24"/>
          <w:szCs w:val="24"/>
        </w:rPr>
        <w:t>本人</w:t>
      </w:r>
      <w:r>
        <w:rPr>
          <w:rFonts w:ascii="Times New Roman" w:hAnsi="Times New Roman" w:eastAsia="Times New Roman" w:cs="Times New Roman"/>
          <w:spacing w:val="1"/>
          <w:sz w:val="24"/>
          <w:szCs w:val="24"/>
          <w:u w:val="single" w:color="auto"/>
        </w:rPr>
        <w:t xml:space="preserve">      (</w:t>
      </w:r>
      <w:r>
        <w:rPr>
          <w:rFonts w:ascii="宋体" w:hAnsi="宋体" w:eastAsia="宋体" w:cs="宋体"/>
          <w:spacing w:val="1"/>
          <w:sz w:val="24"/>
          <w:szCs w:val="24"/>
        </w:rPr>
        <w:t>姓名</w:t>
      </w:r>
      <w:r>
        <w:rPr>
          <w:rFonts w:ascii="Times New Roman" w:hAnsi="Times New Roman" w:eastAsia="Times New Roman" w:cs="Times New Roman"/>
          <w:spacing w:val="1"/>
          <w:sz w:val="24"/>
          <w:szCs w:val="24"/>
        </w:rPr>
        <w:t>)</w:t>
      </w: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Times New Roman" w:hAnsi="Times New Roman" w:eastAsia="Times New Roman" w:cs="Times New Roman"/>
          <w:spacing w:val="1"/>
          <w:sz w:val="24"/>
          <w:szCs w:val="24"/>
        </w:rPr>
        <w:t>(</w:t>
      </w:r>
      <w:r>
        <w:rPr>
          <w:rFonts w:ascii="宋体" w:hAnsi="宋体" w:eastAsia="宋体" w:cs="宋体"/>
          <w:spacing w:val="1"/>
          <w:sz w:val="24"/>
          <w:szCs w:val="24"/>
        </w:rPr>
        <w:t>投标人名称</w:t>
      </w:r>
      <w:r>
        <w:rPr>
          <w:rFonts w:ascii="Times New Roman" w:hAnsi="Times New Roman" w:eastAsia="Times New Roman" w:cs="Times New Roman"/>
          <w:sz w:val="24"/>
          <w:szCs w:val="24"/>
        </w:rPr>
        <w:t>)</w:t>
      </w:r>
      <w:r>
        <w:rPr>
          <w:rFonts w:ascii="宋体" w:hAnsi="宋体" w:eastAsia="宋体" w:cs="宋体"/>
          <w:sz w:val="24"/>
          <w:szCs w:val="24"/>
        </w:rPr>
        <w:t>的法定代表人，现委托</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Times New Roman" w:hAnsi="Times New Roman" w:eastAsia="Times New Roman" w:cs="Times New Roman"/>
          <w:sz w:val="24"/>
          <w:szCs w:val="24"/>
        </w:rPr>
        <w:t>(</w:t>
      </w:r>
      <w:r>
        <w:rPr>
          <w:rFonts w:ascii="宋体" w:hAnsi="宋体" w:eastAsia="宋体" w:cs="宋体"/>
          <w:sz w:val="24"/>
          <w:szCs w:val="24"/>
        </w:rPr>
        <w:t>姓名</w:t>
      </w:r>
      <w:r>
        <w:rPr>
          <w:rFonts w:ascii="Times New Roman" w:hAnsi="Times New Roman" w:eastAsia="Times New Roman" w:cs="Times New Roman"/>
          <w:sz w:val="24"/>
          <w:szCs w:val="24"/>
        </w:rPr>
        <w:t>)</w:t>
      </w:r>
      <w:r>
        <w:rPr>
          <w:rFonts w:ascii="宋体" w:hAnsi="宋体" w:eastAsia="宋体" w:cs="宋体"/>
          <w:sz w:val="24"/>
          <w:szCs w:val="24"/>
        </w:rPr>
        <w:t xml:space="preserve">为我方代理人。代理人 </w:t>
      </w:r>
      <w:r>
        <w:rPr>
          <w:rFonts w:ascii="宋体" w:hAnsi="宋体" w:eastAsia="宋体" w:cs="宋体"/>
          <w:spacing w:val="-1"/>
          <w:sz w:val="24"/>
          <w:szCs w:val="24"/>
        </w:rPr>
        <w:t>根据授权，以我方名义签署、澄清、说明、补正、递交、撤回、修改</w:t>
      </w:r>
      <w:r>
        <w:rPr>
          <w:rFonts w:ascii="宋体" w:hAnsi="宋体" w:eastAsia="宋体" w:cs="宋体"/>
          <w:spacing w:val="-105"/>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06"/>
          <w:sz w:val="24"/>
          <w:szCs w:val="24"/>
        </w:rPr>
        <w:t xml:space="preserve"> </w:t>
      </w:r>
      <w:r>
        <w:rPr>
          <w:rFonts w:ascii="Times New Roman" w:hAnsi="Times New Roman" w:eastAsia="Times New Roman" w:cs="Times New Roman"/>
          <w:spacing w:val="-1"/>
          <w:sz w:val="24"/>
          <w:szCs w:val="24"/>
        </w:rPr>
        <w:t>(</w:t>
      </w:r>
      <w:r>
        <w:rPr>
          <w:rFonts w:ascii="宋体" w:hAnsi="宋体" w:eastAsia="宋体" w:cs="宋体"/>
          <w:spacing w:val="-1"/>
          <w:sz w:val="24"/>
          <w:szCs w:val="24"/>
        </w:rPr>
        <w:t>项目名称</w:t>
      </w:r>
      <w:r>
        <w:rPr>
          <w:rFonts w:ascii="Times New Roman" w:hAnsi="Times New Roman" w:eastAsia="Times New Roman" w:cs="Times New Roman"/>
          <w:spacing w:val="-1"/>
          <w:sz w:val="24"/>
          <w:szCs w:val="24"/>
        </w:rPr>
        <w:t>)</w:t>
      </w:r>
    </w:p>
    <w:p w14:paraId="216070F0">
      <w:pPr>
        <w:spacing w:before="64" w:line="219" w:lineRule="auto"/>
        <w:ind w:left="2"/>
        <w:rPr>
          <w:rFonts w:ascii="宋体" w:hAnsi="宋体" w:eastAsia="宋体" w:cs="宋体"/>
          <w:sz w:val="24"/>
          <w:szCs w:val="24"/>
        </w:rPr>
      </w:pPr>
      <w:r>
        <w:rPr>
          <w:rFonts w:ascii="宋体" w:hAnsi="宋体" w:eastAsia="宋体" w:cs="宋体"/>
          <w:spacing w:val="-1"/>
          <w:sz w:val="24"/>
          <w:szCs w:val="24"/>
        </w:rPr>
        <w:t>投标文件、签订合同和处理有关事宜，其法律后果由我方承担。</w:t>
      </w:r>
    </w:p>
    <w:p w14:paraId="50AF1576">
      <w:pPr>
        <w:spacing w:before="115" w:line="220" w:lineRule="auto"/>
        <w:ind w:left="239"/>
        <w:rPr>
          <w:rFonts w:ascii="宋体" w:hAnsi="宋体" w:eastAsia="宋体" w:cs="宋体"/>
          <w:sz w:val="24"/>
          <w:szCs w:val="24"/>
        </w:rPr>
      </w:pPr>
      <w:r>
        <w:rPr>
          <w:rFonts w:ascii="宋体" w:hAnsi="宋体" w:eastAsia="宋体" w:cs="宋体"/>
          <w:spacing w:val="-1"/>
          <w:sz w:val="24"/>
          <w:szCs w:val="24"/>
        </w:rPr>
        <w:t>委托期限：</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16A0DDA7">
      <w:pPr>
        <w:spacing w:before="115" w:line="219" w:lineRule="auto"/>
        <w:ind w:left="239"/>
        <w:rPr>
          <w:rFonts w:ascii="宋体" w:hAnsi="宋体" w:eastAsia="宋体" w:cs="宋体"/>
          <w:sz w:val="24"/>
          <w:szCs w:val="24"/>
        </w:rPr>
      </w:pPr>
      <w:r>
        <w:rPr>
          <w:rFonts w:ascii="宋体" w:hAnsi="宋体" w:eastAsia="宋体" w:cs="宋体"/>
          <w:spacing w:val="-1"/>
          <w:sz w:val="24"/>
          <w:szCs w:val="24"/>
        </w:rPr>
        <w:t>代理人无转委托权。</w:t>
      </w:r>
    </w:p>
    <w:p w14:paraId="4A49C1A6">
      <w:pPr>
        <w:spacing w:before="113" w:line="219" w:lineRule="auto"/>
        <w:ind w:left="258"/>
        <w:rPr>
          <w:rFonts w:ascii="宋体" w:hAnsi="宋体" w:eastAsia="宋体" w:cs="宋体"/>
          <w:sz w:val="24"/>
          <w:szCs w:val="24"/>
        </w:rPr>
      </w:pPr>
      <w:r>
        <mc:AlternateContent>
          <mc:Choice Requires="wps">
            <w:drawing>
              <wp:anchor distT="0" distB="0" distL="114300" distR="114300" simplePos="0" relativeHeight="251660288" behindDoc="0" locked="0" layoutInCell="1" allowOverlap="1">
                <wp:simplePos x="0" y="0"/>
                <wp:positionH relativeFrom="column">
                  <wp:posOffset>3062605</wp:posOffset>
                </wp:positionH>
                <wp:positionV relativeFrom="paragraph">
                  <wp:posOffset>566420</wp:posOffset>
                </wp:positionV>
                <wp:extent cx="2663825" cy="18186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63825" cy="1818640"/>
                        </a:xfrm>
                        <a:prstGeom prst="rect">
                          <a:avLst/>
                        </a:prstGeom>
                        <a:noFill/>
                        <a:ln>
                          <a:noFill/>
                        </a:ln>
                      </wps:spPr>
                      <wps:txbx>
                        <w:txbxContent>
                          <w:p w14:paraId="573EA76C">
                            <w:pPr>
                              <w:spacing w:line="20" w:lineRule="exact"/>
                            </w:pPr>
                          </w:p>
                          <w:tbl>
                            <w:tblPr>
                              <w:tblStyle w:val="35"/>
                              <w:tblW w:w="414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45"/>
                            </w:tblGrid>
                            <w:tr w14:paraId="3559660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3" w:hRule="atLeast"/>
                              </w:trPr>
                              <w:tc>
                                <w:tcPr>
                                  <w:tcW w:w="4145" w:type="dxa"/>
                                  <w:vAlign w:val="top"/>
                                </w:tcPr>
                                <w:p w14:paraId="2A43D9A6">
                                  <w:pPr>
                                    <w:rPr>
                                      <w:rFonts w:ascii="Arial"/>
                                      <w:sz w:val="21"/>
                                    </w:rPr>
                                  </w:pPr>
                                </w:p>
                                <w:p w14:paraId="6006EBA5">
                                  <w:pPr>
                                    <w:rPr>
                                      <w:rFonts w:ascii="Arial"/>
                                      <w:sz w:val="21"/>
                                    </w:rPr>
                                  </w:pPr>
                                </w:p>
                                <w:p w14:paraId="7C66D995">
                                  <w:pPr>
                                    <w:rPr>
                                      <w:rFonts w:ascii="Arial"/>
                                      <w:sz w:val="21"/>
                                    </w:rPr>
                                  </w:pPr>
                                </w:p>
                                <w:p w14:paraId="71E20AB7">
                                  <w:pPr>
                                    <w:rPr>
                                      <w:rFonts w:ascii="Arial"/>
                                      <w:sz w:val="21"/>
                                    </w:rPr>
                                  </w:pPr>
                                </w:p>
                                <w:p w14:paraId="557BBC3F">
                                  <w:pPr>
                                    <w:pStyle w:val="51"/>
                                    <w:spacing w:before="62" w:line="228" w:lineRule="auto"/>
                                    <w:ind w:left="155"/>
                                  </w:pPr>
                                  <w:r>
                                    <w:rPr>
                                      <w:spacing w:val="9"/>
                                    </w:rPr>
                                    <w:t>授权委托人身份证复印件</w:t>
                                  </w:r>
                                </w:p>
                              </w:tc>
                            </w:tr>
                          </w:tbl>
                          <w:p w14:paraId="70B009ED">
                            <w:pPr>
                              <w:pStyle w:val="10"/>
                            </w:pPr>
                          </w:p>
                        </w:txbxContent>
                      </wps:txbx>
                      <wps:bodyPr lIns="0" tIns="0" rIns="0" bIns="0" upright="1"/>
                    </wps:wsp>
                  </a:graphicData>
                </a:graphic>
              </wp:anchor>
            </w:drawing>
          </mc:Choice>
          <mc:Fallback>
            <w:pict>
              <v:shape id="_x0000_s1026" o:spid="_x0000_s1026" o:spt="202" type="#_x0000_t202" style="position:absolute;left:0pt;margin-left:241.15pt;margin-top:44.6pt;height:143.2pt;width:209.75pt;z-index:251660288;mso-width-relative:page;mso-height-relative:page;" filled="f" stroked="f" coordsize="21600,21600" o:gfxdata="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85dxbZAAAACgEAAA8AAAAAAAAAAQAgAAAAIgAAAGRycy9kb3ducmV2LnhtbFBL&#10;AQIUABQAAAAIAIdO4kDJqAqvvAEAAHMDAAAOAAAAAAAAAAEAIAAAACgBAABkcnMvZTJvRG9jLnht&#10;bFBLBQYAAAAABgAGAFkBAABWBQAAAAA=&#10;">
                <v:fill on="f" focussize="0,0"/>
                <v:stroke on="f"/>
                <v:imagedata o:title=""/>
                <o:lock v:ext="edit" aspectratio="f"/>
                <v:textbox inset="0mm,0mm,0mm,0mm">
                  <w:txbxContent>
                    <w:p w14:paraId="573EA76C">
                      <w:pPr>
                        <w:spacing w:line="20" w:lineRule="exact"/>
                      </w:pPr>
                    </w:p>
                    <w:tbl>
                      <w:tblPr>
                        <w:tblStyle w:val="35"/>
                        <w:tblW w:w="414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45"/>
                      </w:tblGrid>
                      <w:tr w14:paraId="3559660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3" w:hRule="atLeast"/>
                        </w:trPr>
                        <w:tc>
                          <w:tcPr>
                            <w:tcW w:w="4145" w:type="dxa"/>
                            <w:vAlign w:val="top"/>
                          </w:tcPr>
                          <w:p w14:paraId="2A43D9A6">
                            <w:pPr>
                              <w:rPr>
                                <w:rFonts w:ascii="Arial"/>
                                <w:sz w:val="21"/>
                              </w:rPr>
                            </w:pPr>
                          </w:p>
                          <w:p w14:paraId="6006EBA5">
                            <w:pPr>
                              <w:rPr>
                                <w:rFonts w:ascii="Arial"/>
                                <w:sz w:val="21"/>
                              </w:rPr>
                            </w:pPr>
                          </w:p>
                          <w:p w14:paraId="7C66D995">
                            <w:pPr>
                              <w:rPr>
                                <w:rFonts w:ascii="Arial"/>
                                <w:sz w:val="21"/>
                              </w:rPr>
                            </w:pPr>
                          </w:p>
                          <w:p w14:paraId="71E20AB7">
                            <w:pPr>
                              <w:rPr>
                                <w:rFonts w:ascii="Arial"/>
                                <w:sz w:val="21"/>
                              </w:rPr>
                            </w:pPr>
                          </w:p>
                          <w:p w14:paraId="557BBC3F">
                            <w:pPr>
                              <w:pStyle w:val="51"/>
                              <w:spacing w:before="62" w:line="228" w:lineRule="auto"/>
                              <w:ind w:left="155"/>
                            </w:pPr>
                            <w:r>
                              <w:rPr>
                                <w:spacing w:val="9"/>
                              </w:rPr>
                              <w:t>授权委托人身份证复印件</w:t>
                            </w:r>
                          </w:p>
                        </w:tc>
                      </w:tr>
                    </w:tbl>
                    <w:p w14:paraId="70B009ED">
                      <w:pPr>
                        <w:pStyle w:val="10"/>
                      </w:pPr>
                    </w:p>
                  </w:txbxContent>
                </v:textbox>
              </v:shape>
            </w:pict>
          </mc:Fallback>
        </mc:AlternateContent>
      </w:r>
      <w:r>
        <w:rPr>
          <w:rFonts w:ascii="宋体" w:hAnsi="宋体" w:eastAsia="宋体" w:cs="宋体"/>
          <w:spacing w:val="-2"/>
          <w:sz w:val="24"/>
          <w:szCs w:val="24"/>
        </w:rPr>
        <w:t>附：法定代表人及授权委托人身份证明</w:t>
      </w:r>
    </w:p>
    <w:p w14:paraId="2C958060">
      <w:pPr>
        <w:spacing w:before="16"/>
      </w:pPr>
    </w:p>
    <w:p w14:paraId="1C30772E">
      <w:pPr>
        <w:spacing w:before="16"/>
      </w:pPr>
    </w:p>
    <w:tbl>
      <w:tblPr>
        <w:tblStyle w:val="35"/>
        <w:tblW w:w="4145" w:type="dxa"/>
        <w:tblInd w:w="34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45"/>
      </w:tblGrid>
      <w:tr w14:paraId="224293A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3" w:hRule="atLeast"/>
        </w:trPr>
        <w:tc>
          <w:tcPr>
            <w:tcW w:w="4145" w:type="dxa"/>
            <w:vAlign w:val="top"/>
          </w:tcPr>
          <w:p w14:paraId="3913B402">
            <w:pPr>
              <w:rPr>
                <w:rFonts w:ascii="Arial"/>
                <w:sz w:val="21"/>
              </w:rPr>
            </w:pPr>
          </w:p>
          <w:p w14:paraId="493E1525">
            <w:pPr>
              <w:rPr>
                <w:rFonts w:ascii="Arial"/>
                <w:sz w:val="21"/>
              </w:rPr>
            </w:pPr>
          </w:p>
          <w:p w14:paraId="59A40598">
            <w:pPr>
              <w:rPr>
                <w:rFonts w:ascii="Arial"/>
                <w:sz w:val="21"/>
              </w:rPr>
            </w:pPr>
          </w:p>
          <w:p w14:paraId="0E4824FF">
            <w:pPr>
              <w:rPr>
                <w:rFonts w:ascii="Arial"/>
                <w:sz w:val="21"/>
              </w:rPr>
            </w:pPr>
          </w:p>
          <w:p w14:paraId="04C9DF83">
            <w:pPr>
              <w:pStyle w:val="51"/>
              <w:spacing w:before="62" w:line="228" w:lineRule="auto"/>
              <w:ind w:left="157"/>
            </w:pPr>
            <w:r>
              <w:rPr>
                <w:spacing w:val="9"/>
              </w:rPr>
              <w:t>法定代表人身份证复印件</w:t>
            </w:r>
          </w:p>
        </w:tc>
      </w:tr>
    </w:tbl>
    <w:p w14:paraId="19A72584">
      <w:pPr>
        <w:pStyle w:val="10"/>
        <w:spacing w:line="273" w:lineRule="auto"/>
      </w:pPr>
    </w:p>
    <w:p w14:paraId="06BB1B7F">
      <w:pPr>
        <w:pStyle w:val="10"/>
        <w:spacing w:line="273" w:lineRule="auto"/>
      </w:pPr>
    </w:p>
    <w:p w14:paraId="0ECFA213">
      <w:pPr>
        <w:pStyle w:val="10"/>
        <w:spacing w:line="273" w:lineRule="auto"/>
      </w:pPr>
    </w:p>
    <w:p w14:paraId="22177821">
      <w:pPr>
        <w:pStyle w:val="10"/>
        <w:spacing w:line="273" w:lineRule="auto"/>
      </w:pPr>
    </w:p>
    <w:p w14:paraId="40DD2256">
      <w:pPr>
        <w:spacing w:before="79" w:line="286" w:lineRule="auto"/>
        <w:ind w:left="3482" w:right="2408"/>
        <w:rPr>
          <w:rFonts w:ascii="宋体" w:hAnsi="宋体" w:eastAsia="宋体" w:cs="宋体"/>
          <w:sz w:val="24"/>
          <w:szCs w:val="24"/>
        </w:rPr>
      </w:pPr>
      <w:r>
        <w:rPr>
          <w:rFonts w:ascii="宋体" w:hAnsi="宋体" w:eastAsia="宋体" w:cs="宋体"/>
          <w:spacing w:val="-3"/>
          <w:sz w:val="24"/>
          <w:szCs w:val="24"/>
        </w:rPr>
        <w:t>投标人：</w:t>
      </w:r>
      <w:r>
        <w:rPr>
          <w:rFonts w:ascii="宋体" w:hAnsi="宋体" w:eastAsia="宋体" w:cs="宋体"/>
          <w:spacing w:val="3"/>
          <w:sz w:val="24"/>
          <w:szCs w:val="24"/>
          <w:u w:val="single" w:color="auto"/>
        </w:rPr>
        <w:t xml:space="preserve">                 </w:t>
      </w:r>
      <w:r>
        <w:rPr>
          <w:rFonts w:ascii="宋体" w:hAnsi="宋体" w:eastAsia="宋体" w:cs="宋体"/>
          <w:spacing w:val="-95"/>
          <w:sz w:val="24"/>
          <w:szCs w:val="24"/>
        </w:rPr>
        <w:t xml:space="preserve"> </w:t>
      </w:r>
      <w:r>
        <w:rPr>
          <w:rFonts w:ascii="Times New Roman" w:hAnsi="Times New Roman" w:eastAsia="Times New Roman" w:cs="Times New Roman"/>
          <w:spacing w:val="-3"/>
          <w:sz w:val="24"/>
          <w:szCs w:val="24"/>
        </w:rPr>
        <w:t>(</w:t>
      </w:r>
      <w:r>
        <w:rPr>
          <w:rFonts w:ascii="宋体" w:hAnsi="宋体" w:eastAsia="宋体" w:cs="宋体"/>
          <w:spacing w:val="-3"/>
          <w:sz w:val="24"/>
          <w:szCs w:val="24"/>
        </w:rPr>
        <w:t>盖单位章</w:t>
      </w:r>
      <w:r>
        <w:rPr>
          <w:rFonts w:ascii="Times New Roman" w:hAnsi="Times New Roman" w:eastAsia="Times New Roman" w:cs="Times New Roman"/>
          <w:spacing w:val="-3"/>
          <w:sz w:val="24"/>
          <w:szCs w:val="24"/>
        </w:rPr>
        <w:t>)</w:t>
      </w:r>
      <w:r>
        <w:rPr>
          <w:rFonts w:ascii="Times New Roman" w:hAnsi="Times New Roman" w:eastAsia="Times New Roman" w:cs="Times New Roman"/>
          <w:sz w:val="24"/>
          <w:szCs w:val="24"/>
        </w:rPr>
        <w:t xml:space="preserve"> </w:t>
      </w:r>
      <w:r>
        <w:rPr>
          <w:rFonts w:ascii="宋体" w:hAnsi="宋体" w:eastAsia="宋体" w:cs="宋体"/>
          <w:spacing w:val="-3"/>
          <w:sz w:val="24"/>
          <w:szCs w:val="24"/>
        </w:rPr>
        <w:t>投标人地址：</w:t>
      </w:r>
    </w:p>
    <w:p w14:paraId="574EB650">
      <w:pPr>
        <w:spacing w:before="58" w:line="285" w:lineRule="auto"/>
        <w:ind w:left="3485" w:right="2888" w:hanging="5"/>
        <w:rPr>
          <w:rFonts w:ascii="宋体" w:hAnsi="宋体" w:eastAsia="宋体" w:cs="宋体"/>
          <w:sz w:val="24"/>
          <w:szCs w:val="24"/>
        </w:rPr>
      </w:pPr>
      <w:r>
        <w:rPr>
          <w:rFonts w:ascii="宋体" w:hAnsi="宋体" w:eastAsia="宋体" w:cs="宋体"/>
          <w:spacing w:val="-3"/>
          <w:sz w:val="24"/>
          <w:szCs w:val="24"/>
        </w:rPr>
        <w:t>法定代表人：</w:t>
      </w:r>
      <w:r>
        <w:rPr>
          <w:rFonts w:ascii="宋体" w:hAnsi="宋体" w:eastAsia="宋体" w:cs="宋体"/>
          <w:spacing w:val="5"/>
          <w:sz w:val="24"/>
          <w:szCs w:val="24"/>
          <w:u w:val="single" w:color="auto"/>
        </w:rPr>
        <w:t xml:space="preserve">             </w:t>
      </w:r>
      <w:r>
        <w:rPr>
          <w:rFonts w:ascii="宋体" w:hAnsi="宋体" w:eastAsia="宋体" w:cs="宋体"/>
          <w:spacing w:val="-108"/>
          <w:sz w:val="24"/>
          <w:szCs w:val="24"/>
        </w:rPr>
        <w:t xml:space="preserve"> </w:t>
      </w:r>
      <w:r>
        <w:rPr>
          <w:rFonts w:ascii="Times New Roman" w:hAnsi="Times New Roman" w:eastAsia="Times New Roman" w:cs="Times New Roman"/>
          <w:spacing w:val="-3"/>
          <w:sz w:val="24"/>
          <w:szCs w:val="24"/>
        </w:rPr>
        <w:t>(</w:t>
      </w:r>
      <w:r>
        <w:rPr>
          <w:rFonts w:ascii="宋体" w:hAnsi="宋体" w:eastAsia="宋体" w:cs="宋体"/>
          <w:spacing w:val="-3"/>
          <w:sz w:val="24"/>
          <w:szCs w:val="24"/>
        </w:rPr>
        <w:t>签字</w:t>
      </w:r>
      <w:r>
        <w:rPr>
          <w:rFonts w:ascii="Times New Roman" w:hAnsi="Times New Roman" w:eastAsia="Times New Roman" w:cs="Times New Roman"/>
          <w:spacing w:val="-3"/>
          <w:sz w:val="24"/>
          <w:szCs w:val="24"/>
        </w:rPr>
        <w:t>)</w:t>
      </w:r>
      <w:r>
        <w:rPr>
          <w:rFonts w:ascii="Times New Roman" w:hAnsi="Times New Roman" w:eastAsia="Times New Roman" w:cs="Times New Roman"/>
          <w:sz w:val="24"/>
          <w:szCs w:val="24"/>
        </w:rPr>
        <w:t xml:space="preserve"> </w:t>
      </w:r>
      <w:r>
        <w:rPr>
          <w:rFonts w:ascii="宋体" w:hAnsi="宋体" w:eastAsia="宋体" w:cs="宋体"/>
          <w:spacing w:val="-3"/>
          <w:sz w:val="24"/>
          <w:szCs w:val="24"/>
        </w:rPr>
        <w:t>身份证号码：</w:t>
      </w:r>
    </w:p>
    <w:p w14:paraId="2FDF2EFF">
      <w:pPr>
        <w:spacing w:before="58" w:line="287" w:lineRule="auto"/>
        <w:ind w:left="3486" w:right="2888" w:hanging="7"/>
        <w:rPr>
          <w:rFonts w:ascii="宋体" w:hAnsi="宋体" w:eastAsia="宋体" w:cs="宋体"/>
          <w:sz w:val="24"/>
          <w:szCs w:val="24"/>
        </w:rPr>
      </w:pPr>
      <w:r>
        <w:rPr>
          <w:rFonts w:ascii="宋体" w:hAnsi="宋体" w:eastAsia="宋体" w:cs="宋体"/>
          <w:spacing w:val="-2"/>
          <w:sz w:val="24"/>
          <w:szCs w:val="24"/>
        </w:rPr>
        <w:t>委托代理人：</w:t>
      </w:r>
      <w:r>
        <w:rPr>
          <w:rFonts w:ascii="宋体" w:hAnsi="宋体" w:eastAsia="宋体" w:cs="宋体"/>
          <w:spacing w:val="4"/>
          <w:sz w:val="24"/>
          <w:szCs w:val="24"/>
          <w:u w:val="single" w:color="auto"/>
        </w:rPr>
        <w:t xml:space="preserve">             </w:t>
      </w:r>
      <w:r>
        <w:rPr>
          <w:rFonts w:ascii="宋体" w:hAnsi="宋体" w:eastAsia="宋体" w:cs="宋体"/>
          <w:spacing w:val="-103"/>
          <w:sz w:val="24"/>
          <w:szCs w:val="24"/>
        </w:rPr>
        <w:t xml:space="preserve"> </w:t>
      </w:r>
      <w:r>
        <w:rPr>
          <w:rFonts w:ascii="Times New Roman" w:hAnsi="Times New Roman" w:eastAsia="Times New Roman" w:cs="Times New Roman"/>
          <w:spacing w:val="-2"/>
          <w:sz w:val="24"/>
          <w:szCs w:val="24"/>
        </w:rPr>
        <w:t>(</w:t>
      </w:r>
      <w:r>
        <w:rPr>
          <w:rFonts w:ascii="宋体" w:hAnsi="宋体" w:eastAsia="宋体" w:cs="宋体"/>
          <w:spacing w:val="-2"/>
          <w:sz w:val="24"/>
          <w:szCs w:val="24"/>
        </w:rPr>
        <w:t>签字</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 xml:space="preserve"> </w:t>
      </w:r>
      <w:r>
        <w:rPr>
          <w:rFonts w:ascii="宋体" w:hAnsi="宋体" w:eastAsia="宋体" w:cs="宋体"/>
          <w:spacing w:val="-3"/>
          <w:sz w:val="24"/>
          <w:szCs w:val="24"/>
        </w:rPr>
        <w:t>身份证号码：</w:t>
      </w:r>
    </w:p>
    <w:p w14:paraId="482DC6AB">
      <w:pPr>
        <w:pStyle w:val="10"/>
        <w:spacing w:line="374" w:lineRule="auto"/>
      </w:pPr>
    </w:p>
    <w:p w14:paraId="50DE0158">
      <w:pPr>
        <w:tabs>
          <w:tab w:val="left" w:pos="6290"/>
        </w:tabs>
        <w:spacing w:before="78" w:line="219" w:lineRule="auto"/>
        <w:ind w:left="587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6"/>
          <w:sz w:val="24"/>
          <w:szCs w:val="24"/>
        </w:rPr>
        <w:t xml:space="preserve"> </w:t>
      </w:r>
      <w:r>
        <w:rPr>
          <w:rFonts w:ascii="宋体" w:hAnsi="宋体" w:eastAsia="宋体" w:cs="宋体"/>
          <w:spacing w:val="-6"/>
          <w:sz w:val="24"/>
          <w:szCs w:val="24"/>
        </w:rPr>
        <w:t>年</w:t>
      </w:r>
      <w:r>
        <w:rPr>
          <w:rFonts w:ascii="宋体" w:hAnsi="宋体" w:eastAsia="宋体" w:cs="宋体"/>
          <w:spacing w:val="-6"/>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6"/>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6"/>
          <w:sz w:val="24"/>
          <w:szCs w:val="24"/>
        </w:rPr>
        <w:t>日</w:t>
      </w:r>
    </w:p>
    <w:p w14:paraId="7E8620AE">
      <w:pPr>
        <w:spacing w:line="219" w:lineRule="auto"/>
        <w:rPr>
          <w:rFonts w:ascii="宋体" w:hAnsi="宋体" w:eastAsia="宋体" w:cs="宋体"/>
          <w:sz w:val="24"/>
          <w:szCs w:val="24"/>
        </w:rPr>
        <w:sectPr>
          <w:footerReference r:id="rId22" w:type="default"/>
          <w:pgSz w:w="12240" w:h="15840"/>
          <w:pgMar w:top="1153" w:right="1092" w:bottom="1072" w:left="1089" w:header="0" w:footer="910" w:gutter="0"/>
          <w:cols w:space="720" w:num="1"/>
        </w:sectPr>
      </w:pPr>
    </w:p>
    <w:p w14:paraId="33CE4724">
      <w:pPr>
        <w:pStyle w:val="10"/>
        <w:spacing w:line="263" w:lineRule="auto"/>
      </w:pPr>
    </w:p>
    <w:p w14:paraId="255DD4B7">
      <w:pPr>
        <w:spacing w:before="114" w:line="225" w:lineRule="auto"/>
        <w:ind w:left="3813"/>
        <w:outlineLvl w:val="0"/>
        <w:rPr>
          <w:rFonts w:ascii="宋体" w:hAnsi="宋体" w:eastAsia="宋体" w:cs="宋体"/>
          <w:sz w:val="35"/>
          <w:szCs w:val="35"/>
        </w:rPr>
      </w:pPr>
      <w:r>
        <w:rPr>
          <w:rFonts w:ascii="宋体" w:hAnsi="宋体" w:eastAsia="宋体" w:cs="宋体"/>
          <w:b/>
          <w:bCs/>
          <w:sz w:val="35"/>
          <w:szCs w:val="35"/>
        </w:rPr>
        <w:t>四、投标保证金</w:t>
      </w:r>
    </w:p>
    <w:p w14:paraId="0EE281F1">
      <w:pPr>
        <w:jc w:val="center"/>
        <w:rPr>
          <w:rFonts w:hint="eastAsia" w:ascii="宋体" w:hAnsi="宋体" w:eastAsia="宋体" w:cs="宋体"/>
          <w:spacing w:val="8"/>
          <w:sz w:val="35"/>
          <w:szCs w:val="35"/>
          <w:lang w:val="en-US" w:eastAsia="zh-CN"/>
        </w:rPr>
      </w:pPr>
    </w:p>
    <w:p w14:paraId="347A1BE7">
      <w:pPr>
        <w:jc w:val="center"/>
        <w:rPr>
          <w:rFonts w:hint="eastAsia" w:ascii="宋体" w:hAnsi="宋体" w:eastAsia="宋体" w:cs="宋体"/>
          <w:spacing w:val="8"/>
          <w:sz w:val="35"/>
          <w:szCs w:val="35"/>
          <w:lang w:val="en-US" w:eastAsia="zh-CN"/>
        </w:rPr>
      </w:pPr>
      <w:r>
        <w:rPr>
          <w:rFonts w:hint="eastAsia" w:ascii="宋体" w:hAnsi="宋体" w:eastAsia="宋体" w:cs="宋体"/>
          <w:spacing w:val="8"/>
          <w:sz w:val="35"/>
          <w:szCs w:val="35"/>
          <w:lang w:val="en-US" w:eastAsia="zh-CN"/>
        </w:rPr>
        <w:t>不涉及</w:t>
      </w:r>
    </w:p>
    <w:p w14:paraId="5614E7E0">
      <w:pPr>
        <w:rPr>
          <w:rFonts w:ascii="宋体" w:hAnsi="宋体" w:eastAsia="宋体" w:cs="宋体"/>
          <w:spacing w:val="8"/>
          <w:sz w:val="35"/>
          <w:szCs w:val="35"/>
        </w:rPr>
      </w:pPr>
      <w:r>
        <w:rPr>
          <w:rFonts w:ascii="宋体" w:hAnsi="宋体" w:eastAsia="宋体" w:cs="宋体"/>
          <w:spacing w:val="8"/>
          <w:sz w:val="35"/>
          <w:szCs w:val="35"/>
        </w:rPr>
        <w:br w:type="page"/>
      </w:r>
    </w:p>
    <w:p w14:paraId="1A0FD5DE">
      <w:pPr>
        <w:spacing w:before="72" w:line="223" w:lineRule="auto"/>
        <w:ind w:left="3249"/>
        <w:rPr>
          <w:rFonts w:ascii="宋体" w:hAnsi="宋体" w:eastAsia="宋体" w:cs="宋体"/>
          <w:sz w:val="35"/>
          <w:szCs w:val="35"/>
        </w:rPr>
      </w:pPr>
      <w:r>
        <w:rPr>
          <w:rFonts w:ascii="宋体" w:hAnsi="宋体" w:eastAsia="宋体" w:cs="宋体"/>
          <w:spacing w:val="8"/>
          <w:sz w:val="35"/>
          <w:szCs w:val="35"/>
        </w:rPr>
        <w:t>五、监理服务费报价表</w:t>
      </w:r>
    </w:p>
    <w:p w14:paraId="54FE9E25">
      <w:pPr>
        <w:pStyle w:val="10"/>
        <w:spacing w:line="467" w:lineRule="auto"/>
      </w:pPr>
    </w:p>
    <w:p w14:paraId="6F94AD71">
      <w:pPr>
        <w:spacing w:before="78" w:line="371" w:lineRule="auto"/>
        <w:ind w:right="8460"/>
        <w:rPr>
          <w:rFonts w:ascii="宋体" w:hAnsi="宋体" w:eastAsia="宋体" w:cs="宋体"/>
          <w:sz w:val="24"/>
          <w:szCs w:val="24"/>
        </w:rPr>
      </w:pPr>
      <w:r>
        <w:rPr>
          <w:rFonts w:ascii="宋体" w:hAnsi="宋体" w:eastAsia="宋体" w:cs="宋体"/>
          <w:spacing w:val="-11"/>
          <w:sz w:val="24"/>
          <w:szCs w:val="24"/>
        </w:rPr>
        <w:t>招标项目名称：</w:t>
      </w:r>
      <w:r>
        <w:rPr>
          <w:rFonts w:ascii="宋体" w:hAnsi="宋体" w:eastAsia="宋体" w:cs="宋体"/>
          <w:spacing w:val="5"/>
          <w:sz w:val="24"/>
          <w:szCs w:val="24"/>
        </w:rPr>
        <w:t xml:space="preserve"> </w:t>
      </w:r>
      <w:r>
        <w:rPr>
          <w:rFonts w:ascii="宋体" w:hAnsi="宋体" w:eastAsia="宋体" w:cs="宋体"/>
          <w:spacing w:val="-3"/>
          <w:sz w:val="24"/>
          <w:szCs w:val="24"/>
        </w:rPr>
        <w:t>标段编号：</w:t>
      </w:r>
    </w:p>
    <w:p w14:paraId="2DE24E3B">
      <w:pPr>
        <w:spacing w:before="69"/>
      </w:pPr>
    </w:p>
    <w:tbl>
      <w:tblPr>
        <w:tblStyle w:val="35"/>
        <w:tblW w:w="9612" w:type="dxa"/>
        <w:tblInd w:w="2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10"/>
        <w:gridCol w:w="1525"/>
        <w:gridCol w:w="2293"/>
        <w:gridCol w:w="1484"/>
      </w:tblGrid>
      <w:tr w14:paraId="33A26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2" w:hRule="atLeast"/>
        </w:trPr>
        <w:tc>
          <w:tcPr>
            <w:tcW w:w="4310" w:type="dxa"/>
            <w:vAlign w:val="top"/>
          </w:tcPr>
          <w:p w14:paraId="1E5A4D01">
            <w:pPr>
              <w:spacing w:line="242" w:lineRule="auto"/>
              <w:rPr>
                <w:rFonts w:ascii="Arial"/>
                <w:sz w:val="21"/>
              </w:rPr>
            </w:pPr>
          </w:p>
          <w:p w14:paraId="47E1C487">
            <w:pPr>
              <w:spacing w:line="242" w:lineRule="auto"/>
              <w:rPr>
                <w:rFonts w:ascii="Arial"/>
                <w:sz w:val="21"/>
              </w:rPr>
            </w:pPr>
          </w:p>
          <w:p w14:paraId="5704093B">
            <w:pPr>
              <w:spacing w:line="243" w:lineRule="auto"/>
              <w:rPr>
                <w:rFonts w:ascii="Arial"/>
                <w:sz w:val="21"/>
              </w:rPr>
            </w:pPr>
          </w:p>
          <w:p w14:paraId="48C299F0">
            <w:pPr>
              <w:pStyle w:val="51"/>
              <w:spacing w:before="78" w:line="220" w:lineRule="auto"/>
              <w:ind w:left="1806"/>
              <w:rPr>
                <w:sz w:val="24"/>
                <w:szCs w:val="24"/>
              </w:rPr>
            </w:pPr>
            <w:r>
              <w:rPr>
                <w:spacing w:val="-5"/>
                <w:sz w:val="24"/>
                <w:szCs w:val="24"/>
              </w:rPr>
              <w:t>投标人</w:t>
            </w:r>
          </w:p>
        </w:tc>
        <w:tc>
          <w:tcPr>
            <w:tcW w:w="1525" w:type="dxa"/>
            <w:vAlign w:val="top"/>
          </w:tcPr>
          <w:p w14:paraId="439AA0B3">
            <w:pPr>
              <w:spacing w:line="242" w:lineRule="auto"/>
              <w:rPr>
                <w:rFonts w:ascii="Arial"/>
                <w:sz w:val="21"/>
              </w:rPr>
            </w:pPr>
          </w:p>
          <w:p w14:paraId="686F30DD">
            <w:pPr>
              <w:spacing w:line="243" w:lineRule="auto"/>
              <w:rPr>
                <w:rFonts w:ascii="Arial"/>
                <w:sz w:val="21"/>
              </w:rPr>
            </w:pPr>
          </w:p>
          <w:p w14:paraId="469C0933">
            <w:pPr>
              <w:spacing w:line="243" w:lineRule="auto"/>
              <w:rPr>
                <w:rFonts w:ascii="Arial"/>
                <w:sz w:val="21"/>
              </w:rPr>
            </w:pPr>
          </w:p>
          <w:p w14:paraId="1328985E">
            <w:pPr>
              <w:pStyle w:val="51"/>
              <w:spacing w:before="78" w:line="219" w:lineRule="auto"/>
              <w:ind w:left="170"/>
              <w:rPr>
                <w:sz w:val="24"/>
                <w:szCs w:val="24"/>
              </w:rPr>
            </w:pPr>
            <w:r>
              <w:rPr>
                <w:spacing w:val="-3"/>
                <w:sz w:val="24"/>
                <w:szCs w:val="24"/>
              </w:rPr>
              <w:t>监理服务期</w:t>
            </w:r>
          </w:p>
        </w:tc>
        <w:tc>
          <w:tcPr>
            <w:tcW w:w="2293" w:type="dxa"/>
            <w:vAlign w:val="top"/>
          </w:tcPr>
          <w:p w14:paraId="76D84BB6">
            <w:pPr>
              <w:spacing w:line="257" w:lineRule="auto"/>
              <w:rPr>
                <w:rFonts w:ascii="Arial"/>
                <w:sz w:val="21"/>
              </w:rPr>
            </w:pPr>
          </w:p>
          <w:p w14:paraId="4D6529BB">
            <w:pPr>
              <w:spacing w:line="258" w:lineRule="auto"/>
              <w:rPr>
                <w:rFonts w:ascii="Arial"/>
                <w:sz w:val="21"/>
              </w:rPr>
            </w:pPr>
          </w:p>
          <w:p w14:paraId="623D477B">
            <w:pPr>
              <w:pStyle w:val="51"/>
              <w:spacing w:before="78" w:line="229" w:lineRule="auto"/>
              <w:ind w:left="805" w:right="662" w:hanging="128"/>
              <w:rPr>
                <w:sz w:val="24"/>
                <w:szCs w:val="24"/>
              </w:rPr>
            </w:pPr>
            <w:r>
              <w:rPr>
                <w:spacing w:val="-4"/>
                <w:sz w:val="24"/>
                <w:szCs w:val="24"/>
              </w:rPr>
              <w:t>投标报价</w:t>
            </w:r>
            <w:r>
              <w:rPr>
                <w:spacing w:val="2"/>
                <w:sz w:val="24"/>
                <w:szCs w:val="24"/>
              </w:rPr>
              <w:t xml:space="preserve"> </w:t>
            </w:r>
            <w:r>
              <w:rPr>
                <w:spacing w:val="-7"/>
                <w:sz w:val="24"/>
                <w:szCs w:val="24"/>
              </w:rPr>
              <w:t>（元）</w:t>
            </w:r>
          </w:p>
        </w:tc>
        <w:tc>
          <w:tcPr>
            <w:tcW w:w="1484" w:type="dxa"/>
            <w:vAlign w:val="top"/>
          </w:tcPr>
          <w:p w14:paraId="7C7829C4">
            <w:pPr>
              <w:spacing w:line="242" w:lineRule="auto"/>
              <w:rPr>
                <w:rFonts w:ascii="Arial"/>
                <w:sz w:val="21"/>
              </w:rPr>
            </w:pPr>
          </w:p>
          <w:p w14:paraId="1C8B554A">
            <w:pPr>
              <w:spacing w:line="242" w:lineRule="auto"/>
              <w:rPr>
                <w:rFonts w:ascii="Arial"/>
                <w:sz w:val="21"/>
              </w:rPr>
            </w:pPr>
          </w:p>
          <w:p w14:paraId="0F499377">
            <w:pPr>
              <w:spacing w:line="243" w:lineRule="auto"/>
              <w:rPr>
                <w:rFonts w:ascii="Arial"/>
                <w:sz w:val="21"/>
              </w:rPr>
            </w:pPr>
          </w:p>
          <w:p w14:paraId="45EA38EC">
            <w:pPr>
              <w:pStyle w:val="51"/>
              <w:spacing w:before="78" w:line="221" w:lineRule="auto"/>
              <w:ind w:left="511"/>
              <w:rPr>
                <w:sz w:val="24"/>
                <w:szCs w:val="24"/>
              </w:rPr>
            </w:pPr>
            <w:r>
              <w:rPr>
                <w:spacing w:val="-7"/>
                <w:sz w:val="24"/>
                <w:szCs w:val="24"/>
              </w:rPr>
              <w:t>备注</w:t>
            </w:r>
          </w:p>
        </w:tc>
      </w:tr>
      <w:tr w14:paraId="50258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6" w:hRule="atLeast"/>
        </w:trPr>
        <w:tc>
          <w:tcPr>
            <w:tcW w:w="4310" w:type="dxa"/>
            <w:vAlign w:val="top"/>
          </w:tcPr>
          <w:p w14:paraId="61B5C77B">
            <w:pPr>
              <w:rPr>
                <w:rFonts w:ascii="Arial"/>
                <w:sz w:val="21"/>
              </w:rPr>
            </w:pPr>
          </w:p>
        </w:tc>
        <w:tc>
          <w:tcPr>
            <w:tcW w:w="1525" w:type="dxa"/>
            <w:vAlign w:val="top"/>
          </w:tcPr>
          <w:p w14:paraId="46365468">
            <w:pPr>
              <w:rPr>
                <w:rFonts w:ascii="Arial"/>
                <w:sz w:val="21"/>
              </w:rPr>
            </w:pPr>
          </w:p>
        </w:tc>
        <w:tc>
          <w:tcPr>
            <w:tcW w:w="2293" w:type="dxa"/>
            <w:vAlign w:val="top"/>
          </w:tcPr>
          <w:p w14:paraId="5313EA13">
            <w:pPr>
              <w:rPr>
                <w:rFonts w:ascii="Arial"/>
                <w:sz w:val="21"/>
              </w:rPr>
            </w:pPr>
          </w:p>
        </w:tc>
        <w:tc>
          <w:tcPr>
            <w:tcW w:w="1484" w:type="dxa"/>
            <w:vAlign w:val="top"/>
          </w:tcPr>
          <w:p w14:paraId="53F30B42">
            <w:pPr>
              <w:rPr>
                <w:rFonts w:ascii="Arial"/>
                <w:sz w:val="21"/>
              </w:rPr>
            </w:pPr>
          </w:p>
        </w:tc>
      </w:tr>
    </w:tbl>
    <w:p w14:paraId="5C2D7F0F">
      <w:pPr>
        <w:pStyle w:val="10"/>
        <w:spacing w:line="261" w:lineRule="auto"/>
      </w:pPr>
    </w:p>
    <w:p w14:paraId="4945446B">
      <w:pPr>
        <w:pStyle w:val="10"/>
        <w:spacing w:line="261" w:lineRule="auto"/>
      </w:pPr>
    </w:p>
    <w:p w14:paraId="409607D5">
      <w:pPr>
        <w:spacing w:before="78" w:line="212" w:lineRule="auto"/>
        <w:ind w:left="1"/>
        <w:rPr>
          <w:rFonts w:ascii="Times New Roman" w:hAnsi="Times New Roman" w:eastAsia="Times New Roman" w:cs="Times New Roman"/>
          <w:sz w:val="24"/>
          <w:szCs w:val="24"/>
        </w:rPr>
      </w:pPr>
      <w:r>
        <w:rPr>
          <w:rFonts w:ascii="宋体" w:hAnsi="宋体" w:eastAsia="宋体" w:cs="宋体"/>
          <w:spacing w:val="-2"/>
          <w:sz w:val="24"/>
          <w:szCs w:val="24"/>
        </w:rPr>
        <w:t>投标人：</w:t>
      </w:r>
      <w:r>
        <w:rPr>
          <w:rFonts w:ascii="Times New Roman" w:hAnsi="Times New Roman" w:eastAsia="Times New Roman" w:cs="Times New Roman"/>
          <w:spacing w:val="-2"/>
          <w:sz w:val="24"/>
          <w:szCs w:val="24"/>
        </w:rPr>
        <w:t>(</w:t>
      </w:r>
      <w:r>
        <w:rPr>
          <w:rFonts w:ascii="宋体" w:hAnsi="宋体" w:eastAsia="宋体" w:cs="宋体"/>
          <w:spacing w:val="-2"/>
          <w:sz w:val="24"/>
          <w:szCs w:val="24"/>
        </w:rPr>
        <w:t>盖公章</w:t>
      </w:r>
      <w:r>
        <w:rPr>
          <w:rFonts w:ascii="Times New Roman" w:hAnsi="Times New Roman" w:eastAsia="Times New Roman" w:cs="Times New Roman"/>
          <w:spacing w:val="-2"/>
          <w:sz w:val="24"/>
          <w:szCs w:val="24"/>
        </w:rPr>
        <w:t>)</w:t>
      </w:r>
    </w:p>
    <w:p w14:paraId="56E1FCDD">
      <w:pPr>
        <w:pStyle w:val="10"/>
        <w:spacing w:line="261" w:lineRule="auto"/>
      </w:pPr>
    </w:p>
    <w:p w14:paraId="5D684FEF">
      <w:pPr>
        <w:pStyle w:val="10"/>
        <w:spacing w:line="262" w:lineRule="auto"/>
      </w:pPr>
    </w:p>
    <w:p w14:paraId="2A1B66C2">
      <w:pPr>
        <w:spacing w:before="78" w:line="219" w:lineRule="auto"/>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60"/>
          <w:w w:val="94"/>
          <w:sz w:val="24"/>
          <w:szCs w:val="24"/>
        </w:rPr>
        <w:t>：（</w:t>
      </w:r>
      <w:r>
        <w:rPr>
          <w:rFonts w:ascii="宋体" w:hAnsi="宋体" w:eastAsia="宋体" w:cs="宋体"/>
          <w:spacing w:val="1"/>
          <w:sz w:val="24"/>
          <w:szCs w:val="24"/>
        </w:rPr>
        <w:t>签字或盖章）</w:t>
      </w:r>
    </w:p>
    <w:p w14:paraId="405798F3">
      <w:pPr>
        <w:pStyle w:val="10"/>
        <w:spacing w:line="387" w:lineRule="auto"/>
      </w:pPr>
    </w:p>
    <w:p w14:paraId="36D8ABFE">
      <w:pPr>
        <w:spacing w:before="78" w:line="219"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14"/>
          <w:sz w:val="24"/>
          <w:szCs w:val="24"/>
        </w:rPr>
        <w:t xml:space="preserve"> </w:t>
      </w:r>
      <w:r>
        <w:rPr>
          <w:rFonts w:ascii="宋体" w:hAnsi="宋体" w:eastAsia="宋体" w:cs="宋体"/>
          <w:spacing w:val="-22"/>
          <w:sz w:val="24"/>
          <w:szCs w:val="24"/>
        </w:rPr>
        <w:t>年</w:t>
      </w:r>
      <w:r>
        <w:rPr>
          <w:rFonts w:ascii="宋体" w:hAnsi="宋体" w:eastAsia="宋体" w:cs="宋体"/>
          <w:spacing w:val="75"/>
          <w:sz w:val="24"/>
          <w:szCs w:val="24"/>
        </w:rPr>
        <w:t xml:space="preserve"> </w:t>
      </w:r>
      <w:r>
        <w:rPr>
          <w:rFonts w:ascii="宋体" w:hAnsi="宋体" w:eastAsia="宋体" w:cs="宋体"/>
          <w:spacing w:val="-22"/>
          <w:sz w:val="24"/>
          <w:szCs w:val="24"/>
        </w:rPr>
        <w:t>月</w:t>
      </w:r>
      <w:r>
        <w:rPr>
          <w:rFonts w:ascii="宋体" w:hAnsi="宋体" w:eastAsia="宋体" w:cs="宋体"/>
          <w:spacing w:val="25"/>
          <w:sz w:val="24"/>
          <w:szCs w:val="24"/>
        </w:rPr>
        <w:t xml:space="preserve">  </w:t>
      </w:r>
      <w:r>
        <w:rPr>
          <w:rFonts w:ascii="宋体" w:hAnsi="宋体" w:eastAsia="宋体" w:cs="宋体"/>
          <w:spacing w:val="-22"/>
          <w:sz w:val="24"/>
          <w:szCs w:val="24"/>
        </w:rPr>
        <w:t>日</w:t>
      </w:r>
    </w:p>
    <w:p w14:paraId="5254DA4B">
      <w:pPr>
        <w:spacing w:line="219" w:lineRule="auto"/>
        <w:rPr>
          <w:rFonts w:ascii="宋体" w:hAnsi="宋体" w:eastAsia="宋体" w:cs="宋体"/>
          <w:sz w:val="24"/>
          <w:szCs w:val="24"/>
        </w:rPr>
        <w:sectPr>
          <w:footerReference r:id="rId23" w:type="default"/>
          <w:pgSz w:w="12240" w:h="15840"/>
          <w:pgMar w:top="1115" w:right="1080" w:bottom="1070" w:left="1090" w:header="0" w:footer="910" w:gutter="0"/>
          <w:cols w:space="720" w:num="1"/>
        </w:sectPr>
      </w:pPr>
    </w:p>
    <w:p w14:paraId="72910641">
      <w:pPr>
        <w:spacing w:before="71" w:line="225" w:lineRule="auto"/>
        <w:ind w:left="3622"/>
        <w:rPr>
          <w:rFonts w:ascii="宋体" w:hAnsi="宋体" w:eastAsia="宋体" w:cs="宋体"/>
          <w:sz w:val="35"/>
          <w:szCs w:val="35"/>
        </w:rPr>
      </w:pPr>
      <w:r>
        <w:rPr>
          <w:rFonts w:ascii="宋体" w:hAnsi="宋体" w:eastAsia="宋体" w:cs="宋体"/>
          <w:spacing w:val="7"/>
          <w:sz w:val="35"/>
          <w:szCs w:val="35"/>
        </w:rPr>
        <w:t>六、资格审查资料</w:t>
      </w:r>
    </w:p>
    <w:p w14:paraId="1D2965CD">
      <w:pPr>
        <w:spacing w:before="31" w:line="219" w:lineRule="auto"/>
        <w:ind w:left="3944"/>
        <w:rPr>
          <w:rFonts w:ascii="宋体" w:hAnsi="宋体" w:eastAsia="宋体" w:cs="宋体"/>
          <w:sz w:val="28"/>
          <w:szCs w:val="28"/>
        </w:rPr>
      </w:pPr>
      <w:r>
        <w:rPr>
          <w:rFonts w:ascii="宋体" w:hAnsi="宋体" w:eastAsia="宋体" w:cs="宋体"/>
          <w:spacing w:val="-3"/>
          <w:sz w:val="28"/>
          <w:szCs w:val="28"/>
        </w:rPr>
        <w:t>（一）基本情况表</w:t>
      </w:r>
    </w:p>
    <w:p w14:paraId="2BCB9415">
      <w:pPr>
        <w:spacing w:line="170" w:lineRule="exact"/>
      </w:pPr>
    </w:p>
    <w:tbl>
      <w:tblPr>
        <w:tblStyle w:val="35"/>
        <w:tblW w:w="100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17"/>
        <w:gridCol w:w="1022"/>
        <w:gridCol w:w="1456"/>
        <w:gridCol w:w="874"/>
        <w:gridCol w:w="205"/>
        <w:gridCol w:w="412"/>
        <w:gridCol w:w="800"/>
        <w:gridCol w:w="1273"/>
        <w:gridCol w:w="189"/>
        <w:gridCol w:w="1238"/>
      </w:tblGrid>
      <w:tr w14:paraId="7A7A9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617" w:type="dxa"/>
            <w:vAlign w:val="top"/>
          </w:tcPr>
          <w:p w14:paraId="13545562">
            <w:pPr>
              <w:pStyle w:val="51"/>
              <w:spacing w:before="165" w:line="220" w:lineRule="auto"/>
              <w:ind w:left="718"/>
              <w:rPr>
                <w:sz w:val="24"/>
                <w:szCs w:val="24"/>
              </w:rPr>
            </w:pPr>
            <w:r>
              <w:rPr>
                <w:spacing w:val="-3"/>
                <w:sz w:val="24"/>
                <w:szCs w:val="24"/>
              </w:rPr>
              <w:t>投标人名称</w:t>
            </w:r>
          </w:p>
        </w:tc>
        <w:tc>
          <w:tcPr>
            <w:tcW w:w="7469" w:type="dxa"/>
            <w:gridSpan w:val="9"/>
            <w:vAlign w:val="top"/>
          </w:tcPr>
          <w:p w14:paraId="1ABF345A">
            <w:pPr>
              <w:rPr>
                <w:rFonts w:ascii="Arial"/>
                <w:sz w:val="21"/>
              </w:rPr>
            </w:pPr>
          </w:p>
        </w:tc>
      </w:tr>
      <w:tr w14:paraId="5D0F5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617" w:type="dxa"/>
            <w:vAlign w:val="top"/>
          </w:tcPr>
          <w:p w14:paraId="6C8DD897">
            <w:pPr>
              <w:pStyle w:val="51"/>
              <w:spacing w:before="160" w:line="221" w:lineRule="auto"/>
              <w:ind w:left="835"/>
              <w:rPr>
                <w:sz w:val="24"/>
                <w:szCs w:val="24"/>
              </w:rPr>
            </w:pPr>
            <w:r>
              <w:rPr>
                <w:spacing w:val="-3"/>
                <w:sz w:val="24"/>
                <w:szCs w:val="24"/>
              </w:rPr>
              <w:t>注册地址</w:t>
            </w:r>
          </w:p>
        </w:tc>
        <w:tc>
          <w:tcPr>
            <w:tcW w:w="3557" w:type="dxa"/>
            <w:gridSpan w:val="4"/>
            <w:vAlign w:val="top"/>
          </w:tcPr>
          <w:p w14:paraId="1036F9EE">
            <w:pPr>
              <w:rPr>
                <w:rFonts w:ascii="Arial"/>
                <w:sz w:val="21"/>
              </w:rPr>
            </w:pPr>
          </w:p>
        </w:tc>
        <w:tc>
          <w:tcPr>
            <w:tcW w:w="1212" w:type="dxa"/>
            <w:gridSpan w:val="2"/>
            <w:vAlign w:val="top"/>
          </w:tcPr>
          <w:p w14:paraId="6FD87778">
            <w:pPr>
              <w:pStyle w:val="51"/>
              <w:spacing w:before="160" w:line="219" w:lineRule="auto"/>
              <w:ind w:left="151"/>
              <w:rPr>
                <w:sz w:val="24"/>
                <w:szCs w:val="24"/>
              </w:rPr>
            </w:pPr>
            <w:r>
              <w:rPr>
                <w:spacing w:val="-7"/>
                <w:sz w:val="24"/>
                <w:szCs w:val="24"/>
              </w:rPr>
              <w:t>邮政编码</w:t>
            </w:r>
          </w:p>
        </w:tc>
        <w:tc>
          <w:tcPr>
            <w:tcW w:w="2700" w:type="dxa"/>
            <w:gridSpan w:val="3"/>
            <w:vAlign w:val="top"/>
          </w:tcPr>
          <w:p w14:paraId="6E9EA702">
            <w:pPr>
              <w:rPr>
                <w:rFonts w:ascii="Arial"/>
                <w:sz w:val="21"/>
              </w:rPr>
            </w:pPr>
          </w:p>
        </w:tc>
      </w:tr>
      <w:tr w14:paraId="16406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617" w:type="dxa"/>
            <w:vMerge w:val="restart"/>
            <w:tcBorders>
              <w:bottom w:val="nil"/>
            </w:tcBorders>
            <w:vAlign w:val="top"/>
          </w:tcPr>
          <w:p w14:paraId="2D0527FB">
            <w:pPr>
              <w:spacing w:line="360" w:lineRule="auto"/>
              <w:rPr>
                <w:rFonts w:ascii="Arial"/>
                <w:sz w:val="21"/>
              </w:rPr>
            </w:pPr>
          </w:p>
          <w:p w14:paraId="59B82578">
            <w:pPr>
              <w:pStyle w:val="51"/>
              <w:spacing w:before="78" w:line="221" w:lineRule="auto"/>
              <w:ind w:left="836"/>
              <w:rPr>
                <w:sz w:val="24"/>
                <w:szCs w:val="24"/>
              </w:rPr>
            </w:pPr>
            <w:r>
              <w:rPr>
                <w:spacing w:val="-3"/>
                <w:sz w:val="24"/>
                <w:szCs w:val="24"/>
              </w:rPr>
              <w:t>联系方式</w:t>
            </w:r>
          </w:p>
        </w:tc>
        <w:tc>
          <w:tcPr>
            <w:tcW w:w="1022" w:type="dxa"/>
            <w:vAlign w:val="top"/>
          </w:tcPr>
          <w:p w14:paraId="569371E2">
            <w:pPr>
              <w:pStyle w:val="51"/>
              <w:spacing w:before="161" w:line="221" w:lineRule="auto"/>
              <w:ind w:left="158"/>
              <w:rPr>
                <w:sz w:val="24"/>
                <w:szCs w:val="24"/>
              </w:rPr>
            </w:pPr>
            <w:r>
              <w:rPr>
                <w:spacing w:val="-4"/>
                <w:sz w:val="24"/>
                <w:szCs w:val="24"/>
              </w:rPr>
              <w:t>联系人</w:t>
            </w:r>
          </w:p>
        </w:tc>
        <w:tc>
          <w:tcPr>
            <w:tcW w:w="2535" w:type="dxa"/>
            <w:gridSpan w:val="3"/>
            <w:vAlign w:val="top"/>
          </w:tcPr>
          <w:p w14:paraId="659B1537">
            <w:pPr>
              <w:rPr>
                <w:rFonts w:ascii="Arial"/>
                <w:sz w:val="21"/>
              </w:rPr>
            </w:pPr>
          </w:p>
        </w:tc>
        <w:tc>
          <w:tcPr>
            <w:tcW w:w="1212" w:type="dxa"/>
            <w:gridSpan w:val="2"/>
            <w:vAlign w:val="top"/>
          </w:tcPr>
          <w:p w14:paraId="20958643">
            <w:pPr>
              <w:pStyle w:val="51"/>
              <w:spacing w:before="161" w:line="221" w:lineRule="auto"/>
              <w:ind w:left="401"/>
              <w:rPr>
                <w:sz w:val="24"/>
                <w:szCs w:val="24"/>
              </w:rPr>
            </w:pPr>
            <w:r>
              <w:rPr>
                <w:spacing w:val="-19"/>
                <w:sz w:val="24"/>
                <w:szCs w:val="24"/>
              </w:rPr>
              <w:t>电话</w:t>
            </w:r>
          </w:p>
        </w:tc>
        <w:tc>
          <w:tcPr>
            <w:tcW w:w="2700" w:type="dxa"/>
            <w:gridSpan w:val="3"/>
            <w:vAlign w:val="top"/>
          </w:tcPr>
          <w:p w14:paraId="396D2B71">
            <w:pPr>
              <w:rPr>
                <w:rFonts w:ascii="Arial"/>
                <w:sz w:val="21"/>
              </w:rPr>
            </w:pPr>
          </w:p>
        </w:tc>
      </w:tr>
      <w:tr w14:paraId="7F1AC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2617" w:type="dxa"/>
            <w:vMerge w:val="continue"/>
            <w:tcBorders>
              <w:top w:val="nil"/>
            </w:tcBorders>
            <w:vAlign w:val="top"/>
          </w:tcPr>
          <w:p w14:paraId="2AF84A48">
            <w:pPr>
              <w:rPr>
                <w:rFonts w:ascii="Arial"/>
                <w:sz w:val="21"/>
              </w:rPr>
            </w:pPr>
          </w:p>
        </w:tc>
        <w:tc>
          <w:tcPr>
            <w:tcW w:w="1022" w:type="dxa"/>
            <w:vAlign w:val="top"/>
          </w:tcPr>
          <w:p w14:paraId="6FB378F0">
            <w:pPr>
              <w:pStyle w:val="51"/>
              <w:spacing w:before="162" w:line="219" w:lineRule="auto"/>
              <w:ind w:left="276"/>
              <w:rPr>
                <w:sz w:val="24"/>
                <w:szCs w:val="24"/>
              </w:rPr>
            </w:pPr>
            <w:r>
              <w:rPr>
                <w:spacing w:val="-4"/>
                <w:sz w:val="24"/>
                <w:szCs w:val="24"/>
              </w:rPr>
              <w:t>传真</w:t>
            </w:r>
          </w:p>
        </w:tc>
        <w:tc>
          <w:tcPr>
            <w:tcW w:w="2535" w:type="dxa"/>
            <w:gridSpan w:val="3"/>
            <w:vAlign w:val="top"/>
          </w:tcPr>
          <w:p w14:paraId="13CF3B67">
            <w:pPr>
              <w:rPr>
                <w:rFonts w:ascii="Arial"/>
                <w:sz w:val="21"/>
              </w:rPr>
            </w:pPr>
          </w:p>
        </w:tc>
        <w:tc>
          <w:tcPr>
            <w:tcW w:w="1212" w:type="dxa"/>
            <w:gridSpan w:val="2"/>
            <w:vAlign w:val="top"/>
          </w:tcPr>
          <w:p w14:paraId="3C959B64">
            <w:pPr>
              <w:pStyle w:val="51"/>
              <w:spacing w:before="163" w:line="224" w:lineRule="auto"/>
              <w:ind w:left="392"/>
              <w:rPr>
                <w:sz w:val="24"/>
                <w:szCs w:val="24"/>
              </w:rPr>
            </w:pPr>
            <w:r>
              <w:rPr>
                <w:spacing w:val="-15"/>
                <w:sz w:val="24"/>
                <w:szCs w:val="24"/>
              </w:rPr>
              <w:t>网址</w:t>
            </w:r>
          </w:p>
        </w:tc>
        <w:tc>
          <w:tcPr>
            <w:tcW w:w="2700" w:type="dxa"/>
            <w:gridSpan w:val="3"/>
            <w:vAlign w:val="top"/>
          </w:tcPr>
          <w:p w14:paraId="07FFC990">
            <w:pPr>
              <w:rPr>
                <w:rFonts w:ascii="Arial"/>
                <w:sz w:val="21"/>
              </w:rPr>
            </w:pPr>
          </w:p>
        </w:tc>
      </w:tr>
      <w:tr w14:paraId="3E3A5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2617" w:type="dxa"/>
            <w:vAlign w:val="top"/>
          </w:tcPr>
          <w:p w14:paraId="03811118">
            <w:pPr>
              <w:pStyle w:val="51"/>
              <w:spacing w:before="162" w:line="219" w:lineRule="auto"/>
              <w:ind w:left="716"/>
              <w:rPr>
                <w:sz w:val="24"/>
                <w:szCs w:val="24"/>
              </w:rPr>
            </w:pPr>
            <w:r>
              <w:rPr>
                <w:spacing w:val="-3"/>
                <w:sz w:val="24"/>
                <w:szCs w:val="24"/>
              </w:rPr>
              <w:t>法定代表人</w:t>
            </w:r>
          </w:p>
        </w:tc>
        <w:tc>
          <w:tcPr>
            <w:tcW w:w="1022" w:type="dxa"/>
            <w:vAlign w:val="top"/>
          </w:tcPr>
          <w:p w14:paraId="00E27B9D">
            <w:pPr>
              <w:pStyle w:val="51"/>
              <w:spacing w:before="162" w:line="219" w:lineRule="auto"/>
              <w:ind w:left="277"/>
              <w:rPr>
                <w:sz w:val="24"/>
                <w:szCs w:val="24"/>
              </w:rPr>
            </w:pPr>
            <w:r>
              <w:rPr>
                <w:spacing w:val="-5"/>
                <w:sz w:val="24"/>
                <w:szCs w:val="24"/>
              </w:rPr>
              <w:t>姓名</w:t>
            </w:r>
          </w:p>
        </w:tc>
        <w:tc>
          <w:tcPr>
            <w:tcW w:w="1456" w:type="dxa"/>
            <w:vAlign w:val="top"/>
          </w:tcPr>
          <w:p w14:paraId="75C8F7D4">
            <w:pPr>
              <w:rPr>
                <w:rFonts w:ascii="Arial"/>
                <w:sz w:val="21"/>
              </w:rPr>
            </w:pPr>
          </w:p>
        </w:tc>
        <w:tc>
          <w:tcPr>
            <w:tcW w:w="1079" w:type="dxa"/>
            <w:gridSpan w:val="2"/>
            <w:vAlign w:val="top"/>
          </w:tcPr>
          <w:p w14:paraId="43508B16">
            <w:pPr>
              <w:pStyle w:val="51"/>
              <w:spacing w:before="162" w:line="219" w:lineRule="auto"/>
              <w:ind w:left="68"/>
              <w:rPr>
                <w:sz w:val="24"/>
                <w:szCs w:val="24"/>
              </w:rPr>
            </w:pPr>
            <w:r>
              <w:rPr>
                <w:spacing w:val="-3"/>
                <w:sz w:val="24"/>
                <w:szCs w:val="24"/>
              </w:rPr>
              <w:t>技术职称</w:t>
            </w:r>
          </w:p>
        </w:tc>
        <w:tc>
          <w:tcPr>
            <w:tcW w:w="1212" w:type="dxa"/>
            <w:gridSpan w:val="2"/>
            <w:vAlign w:val="top"/>
          </w:tcPr>
          <w:p w14:paraId="7851CEA0">
            <w:pPr>
              <w:rPr>
                <w:rFonts w:ascii="Arial"/>
                <w:sz w:val="21"/>
              </w:rPr>
            </w:pPr>
          </w:p>
        </w:tc>
        <w:tc>
          <w:tcPr>
            <w:tcW w:w="1273" w:type="dxa"/>
            <w:vAlign w:val="top"/>
          </w:tcPr>
          <w:p w14:paraId="30D25112">
            <w:pPr>
              <w:pStyle w:val="51"/>
              <w:spacing w:before="163" w:line="221" w:lineRule="auto"/>
              <w:ind w:left="433"/>
              <w:rPr>
                <w:sz w:val="24"/>
                <w:szCs w:val="24"/>
              </w:rPr>
            </w:pPr>
            <w:r>
              <w:rPr>
                <w:spacing w:val="-19"/>
                <w:sz w:val="24"/>
                <w:szCs w:val="24"/>
              </w:rPr>
              <w:t>电话</w:t>
            </w:r>
          </w:p>
        </w:tc>
        <w:tc>
          <w:tcPr>
            <w:tcW w:w="1427" w:type="dxa"/>
            <w:gridSpan w:val="2"/>
            <w:vAlign w:val="top"/>
          </w:tcPr>
          <w:p w14:paraId="0EE39313">
            <w:pPr>
              <w:rPr>
                <w:rFonts w:ascii="Arial"/>
                <w:sz w:val="21"/>
              </w:rPr>
            </w:pPr>
          </w:p>
        </w:tc>
      </w:tr>
      <w:tr w14:paraId="27139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2617" w:type="dxa"/>
            <w:vAlign w:val="top"/>
          </w:tcPr>
          <w:p w14:paraId="0AE35DEC">
            <w:pPr>
              <w:pStyle w:val="51"/>
              <w:spacing w:before="162" w:line="219" w:lineRule="auto"/>
              <w:ind w:left="716"/>
              <w:rPr>
                <w:sz w:val="24"/>
                <w:szCs w:val="24"/>
              </w:rPr>
            </w:pPr>
            <w:r>
              <w:rPr>
                <w:spacing w:val="-3"/>
                <w:sz w:val="24"/>
                <w:szCs w:val="24"/>
              </w:rPr>
              <w:t>技术负责人</w:t>
            </w:r>
          </w:p>
        </w:tc>
        <w:tc>
          <w:tcPr>
            <w:tcW w:w="1022" w:type="dxa"/>
            <w:vAlign w:val="top"/>
          </w:tcPr>
          <w:p w14:paraId="55697F6D">
            <w:pPr>
              <w:pStyle w:val="51"/>
              <w:spacing w:before="162" w:line="219" w:lineRule="auto"/>
              <w:ind w:left="277"/>
              <w:rPr>
                <w:sz w:val="24"/>
                <w:szCs w:val="24"/>
              </w:rPr>
            </w:pPr>
            <w:r>
              <w:rPr>
                <w:spacing w:val="-5"/>
                <w:sz w:val="24"/>
                <w:szCs w:val="24"/>
              </w:rPr>
              <w:t>姓名</w:t>
            </w:r>
          </w:p>
        </w:tc>
        <w:tc>
          <w:tcPr>
            <w:tcW w:w="1456" w:type="dxa"/>
            <w:vAlign w:val="top"/>
          </w:tcPr>
          <w:p w14:paraId="442D9AC7">
            <w:pPr>
              <w:rPr>
                <w:rFonts w:ascii="Arial"/>
                <w:sz w:val="21"/>
              </w:rPr>
            </w:pPr>
          </w:p>
        </w:tc>
        <w:tc>
          <w:tcPr>
            <w:tcW w:w="1079" w:type="dxa"/>
            <w:gridSpan w:val="2"/>
            <w:vAlign w:val="top"/>
          </w:tcPr>
          <w:p w14:paraId="3604A6B3">
            <w:pPr>
              <w:pStyle w:val="51"/>
              <w:spacing w:before="162" w:line="219" w:lineRule="auto"/>
              <w:ind w:left="68"/>
              <w:rPr>
                <w:sz w:val="24"/>
                <w:szCs w:val="24"/>
              </w:rPr>
            </w:pPr>
            <w:r>
              <w:rPr>
                <w:spacing w:val="-3"/>
                <w:sz w:val="24"/>
                <w:szCs w:val="24"/>
              </w:rPr>
              <w:t>技术职称</w:t>
            </w:r>
          </w:p>
        </w:tc>
        <w:tc>
          <w:tcPr>
            <w:tcW w:w="1212" w:type="dxa"/>
            <w:gridSpan w:val="2"/>
            <w:vAlign w:val="top"/>
          </w:tcPr>
          <w:p w14:paraId="651B7E1A">
            <w:pPr>
              <w:rPr>
                <w:rFonts w:ascii="Arial"/>
                <w:sz w:val="21"/>
              </w:rPr>
            </w:pPr>
          </w:p>
        </w:tc>
        <w:tc>
          <w:tcPr>
            <w:tcW w:w="1273" w:type="dxa"/>
            <w:vAlign w:val="top"/>
          </w:tcPr>
          <w:p w14:paraId="060617BD">
            <w:pPr>
              <w:pStyle w:val="51"/>
              <w:spacing w:before="162" w:line="221" w:lineRule="auto"/>
              <w:ind w:left="433"/>
              <w:rPr>
                <w:sz w:val="24"/>
                <w:szCs w:val="24"/>
              </w:rPr>
            </w:pPr>
            <w:r>
              <w:rPr>
                <w:spacing w:val="-19"/>
                <w:sz w:val="24"/>
                <w:szCs w:val="24"/>
              </w:rPr>
              <w:t>电话</w:t>
            </w:r>
          </w:p>
        </w:tc>
        <w:tc>
          <w:tcPr>
            <w:tcW w:w="1427" w:type="dxa"/>
            <w:gridSpan w:val="2"/>
            <w:vAlign w:val="top"/>
          </w:tcPr>
          <w:p w14:paraId="23A11E5A">
            <w:pPr>
              <w:rPr>
                <w:rFonts w:ascii="Arial"/>
                <w:sz w:val="21"/>
              </w:rPr>
            </w:pPr>
          </w:p>
        </w:tc>
      </w:tr>
      <w:tr w14:paraId="68ED2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2617" w:type="dxa"/>
            <w:vAlign w:val="top"/>
          </w:tcPr>
          <w:p w14:paraId="33D4FEEB">
            <w:pPr>
              <w:pStyle w:val="51"/>
              <w:spacing w:before="162" w:line="219" w:lineRule="auto"/>
              <w:ind w:left="359"/>
              <w:rPr>
                <w:sz w:val="24"/>
                <w:szCs w:val="24"/>
              </w:rPr>
            </w:pPr>
            <w:r>
              <w:rPr>
                <w:spacing w:val="-2"/>
                <w:sz w:val="24"/>
                <w:szCs w:val="24"/>
              </w:rPr>
              <w:t>企业监理资质证书</w:t>
            </w:r>
          </w:p>
        </w:tc>
        <w:tc>
          <w:tcPr>
            <w:tcW w:w="7469" w:type="dxa"/>
            <w:gridSpan w:val="9"/>
            <w:vAlign w:val="top"/>
          </w:tcPr>
          <w:p w14:paraId="394B717D">
            <w:pPr>
              <w:pStyle w:val="51"/>
              <w:spacing w:before="162" w:line="219" w:lineRule="auto"/>
              <w:ind w:left="1821"/>
              <w:rPr>
                <w:sz w:val="24"/>
                <w:szCs w:val="24"/>
              </w:rPr>
            </w:pPr>
            <w:r>
              <w:rPr>
                <w:spacing w:val="-2"/>
                <w:sz w:val="24"/>
                <w:szCs w:val="24"/>
              </w:rPr>
              <w:t>类型：      等级：</w:t>
            </w:r>
            <w:r>
              <w:rPr>
                <w:spacing w:val="3"/>
                <w:sz w:val="24"/>
                <w:szCs w:val="24"/>
              </w:rPr>
              <w:t xml:space="preserve">      </w:t>
            </w:r>
            <w:r>
              <w:rPr>
                <w:spacing w:val="-2"/>
                <w:sz w:val="24"/>
                <w:szCs w:val="24"/>
              </w:rPr>
              <w:t>证书号：</w:t>
            </w:r>
          </w:p>
        </w:tc>
      </w:tr>
      <w:tr w14:paraId="02975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617" w:type="dxa"/>
            <w:vAlign w:val="top"/>
          </w:tcPr>
          <w:p w14:paraId="7BD414E9">
            <w:pPr>
              <w:pStyle w:val="51"/>
              <w:spacing w:before="39" w:line="219" w:lineRule="auto"/>
              <w:ind w:left="356"/>
              <w:rPr>
                <w:sz w:val="24"/>
                <w:szCs w:val="24"/>
              </w:rPr>
            </w:pPr>
            <w:r>
              <w:rPr>
                <w:spacing w:val="-2"/>
                <w:sz w:val="24"/>
                <w:szCs w:val="24"/>
              </w:rPr>
              <w:t>质量管理体系证书</w:t>
            </w:r>
          </w:p>
          <w:p w14:paraId="657D8C22">
            <w:pPr>
              <w:pStyle w:val="51"/>
              <w:spacing w:before="21" w:line="199" w:lineRule="auto"/>
              <w:ind w:left="847"/>
              <w:rPr>
                <w:sz w:val="24"/>
                <w:szCs w:val="24"/>
              </w:rPr>
            </w:pPr>
            <w:r>
              <w:rPr>
                <w:spacing w:val="-6"/>
                <w:sz w:val="24"/>
                <w:szCs w:val="24"/>
              </w:rPr>
              <w:t>（如有）</w:t>
            </w:r>
          </w:p>
        </w:tc>
        <w:tc>
          <w:tcPr>
            <w:tcW w:w="7469" w:type="dxa"/>
            <w:gridSpan w:val="9"/>
            <w:vAlign w:val="top"/>
          </w:tcPr>
          <w:p w14:paraId="148D94D8">
            <w:pPr>
              <w:rPr>
                <w:rFonts w:ascii="Arial"/>
                <w:sz w:val="21"/>
              </w:rPr>
            </w:pPr>
          </w:p>
        </w:tc>
      </w:tr>
      <w:tr w14:paraId="7EE56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2617" w:type="dxa"/>
            <w:vAlign w:val="top"/>
          </w:tcPr>
          <w:p w14:paraId="602CDB30">
            <w:pPr>
              <w:pStyle w:val="51"/>
              <w:spacing w:before="163" w:line="219" w:lineRule="auto"/>
              <w:ind w:left="723"/>
              <w:rPr>
                <w:sz w:val="24"/>
                <w:szCs w:val="24"/>
              </w:rPr>
            </w:pPr>
            <w:r>
              <w:rPr>
                <w:spacing w:val="-4"/>
                <w:sz w:val="24"/>
                <w:szCs w:val="24"/>
              </w:rPr>
              <w:t>营业执照号</w:t>
            </w:r>
          </w:p>
        </w:tc>
        <w:tc>
          <w:tcPr>
            <w:tcW w:w="3352" w:type="dxa"/>
            <w:gridSpan w:val="3"/>
            <w:vAlign w:val="top"/>
          </w:tcPr>
          <w:p w14:paraId="02138A2F">
            <w:pPr>
              <w:rPr>
                <w:rFonts w:ascii="Arial"/>
                <w:sz w:val="21"/>
              </w:rPr>
            </w:pPr>
          </w:p>
        </w:tc>
        <w:tc>
          <w:tcPr>
            <w:tcW w:w="4117" w:type="dxa"/>
            <w:gridSpan w:val="6"/>
            <w:vAlign w:val="top"/>
          </w:tcPr>
          <w:p w14:paraId="1C77B8A9">
            <w:pPr>
              <w:pStyle w:val="51"/>
              <w:spacing w:before="163" w:line="219" w:lineRule="auto"/>
              <w:ind w:left="1353"/>
              <w:rPr>
                <w:sz w:val="24"/>
                <w:szCs w:val="24"/>
              </w:rPr>
            </w:pPr>
            <w:r>
              <w:rPr>
                <w:spacing w:val="-4"/>
                <w:sz w:val="24"/>
                <w:szCs w:val="24"/>
              </w:rPr>
              <w:t>员工总人数：</w:t>
            </w:r>
          </w:p>
        </w:tc>
      </w:tr>
      <w:tr w14:paraId="3587A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2617" w:type="dxa"/>
            <w:vAlign w:val="top"/>
          </w:tcPr>
          <w:p w14:paraId="45115421">
            <w:pPr>
              <w:pStyle w:val="51"/>
              <w:spacing w:before="163" w:line="219" w:lineRule="auto"/>
              <w:ind w:left="835"/>
              <w:rPr>
                <w:sz w:val="24"/>
                <w:szCs w:val="24"/>
              </w:rPr>
            </w:pPr>
            <w:r>
              <w:rPr>
                <w:spacing w:val="-3"/>
                <w:sz w:val="24"/>
                <w:szCs w:val="24"/>
              </w:rPr>
              <w:t>注册资本</w:t>
            </w:r>
          </w:p>
        </w:tc>
        <w:tc>
          <w:tcPr>
            <w:tcW w:w="3352" w:type="dxa"/>
            <w:gridSpan w:val="3"/>
            <w:vAlign w:val="top"/>
          </w:tcPr>
          <w:p w14:paraId="303CECC4">
            <w:pPr>
              <w:rPr>
                <w:rFonts w:ascii="Arial"/>
                <w:sz w:val="21"/>
              </w:rPr>
            </w:pPr>
          </w:p>
        </w:tc>
        <w:tc>
          <w:tcPr>
            <w:tcW w:w="617" w:type="dxa"/>
            <w:gridSpan w:val="2"/>
            <w:vMerge w:val="restart"/>
            <w:tcBorders>
              <w:bottom w:val="nil"/>
            </w:tcBorders>
            <w:textDirection w:val="tbRlV"/>
            <w:vAlign w:val="top"/>
          </w:tcPr>
          <w:p w14:paraId="1A5699C5">
            <w:pPr>
              <w:pStyle w:val="51"/>
              <w:spacing w:before="183" w:line="208" w:lineRule="auto"/>
              <w:ind w:left="850"/>
              <w:rPr>
                <w:sz w:val="24"/>
                <w:szCs w:val="24"/>
              </w:rPr>
            </w:pPr>
            <w:r>
              <w:rPr>
                <w:spacing w:val="33"/>
                <w:sz w:val="24"/>
                <w:szCs w:val="24"/>
              </w:rPr>
              <w:t>其中</w:t>
            </w:r>
          </w:p>
        </w:tc>
        <w:tc>
          <w:tcPr>
            <w:tcW w:w="2262" w:type="dxa"/>
            <w:gridSpan w:val="3"/>
            <w:vAlign w:val="top"/>
          </w:tcPr>
          <w:p w14:paraId="6CFC54E9">
            <w:pPr>
              <w:pStyle w:val="51"/>
              <w:spacing w:before="164" w:line="219" w:lineRule="auto"/>
              <w:ind w:left="426"/>
              <w:rPr>
                <w:sz w:val="24"/>
                <w:szCs w:val="24"/>
              </w:rPr>
            </w:pPr>
            <w:r>
              <w:rPr>
                <w:spacing w:val="-3"/>
                <w:sz w:val="24"/>
                <w:szCs w:val="24"/>
              </w:rPr>
              <w:t>高级职称人员</w:t>
            </w:r>
          </w:p>
        </w:tc>
        <w:tc>
          <w:tcPr>
            <w:tcW w:w="1238" w:type="dxa"/>
            <w:vAlign w:val="top"/>
          </w:tcPr>
          <w:p w14:paraId="43A29D64">
            <w:pPr>
              <w:rPr>
                <w:rFonts w:ascii="Arial"/>
                <w:sz w:val="21"/>
              </w:rPr>
            </w:pPr>
          </w:p>
        </w:tc>
      </w:tr>
      <w:tr w14:paraId="2AECC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2617" w:type="dxa"/>
            <w:vAlign w:val="top"/>
          </w:tcPr>
          <w:p w14:paraId="6411F98A">
            <w:pPr>
              <w:pStyle w:val="51"/>
              <w:spacing w:before="163" w:line="220" w:lineRule="auto"/>
              <w:ind w:left="837"/>
              <w:rPr>
                <w:sz w:val="24"/>
                <w:szCs w:val="24"/>
              </w:rPr>
            </w:pPr>
            <w:r>
              <w:rPr>
                <w:spacing w:val="-3"/>
                <w:sz w:val="24"/>
                <w:szCs w:val="24"/>
              </w:rPr>
              <w:t>成立日期</w:t>
            </w:r>
          </w:p>
        </w:tc>
        <w:tc>
          <w:tcPr>
            <w:tcW w:w="3352" w:type="dxa"/>
            <w:gridSpan w:val="3"/>
            <w:vAlign w:val="top"/>
          </w:tcPr>
          <w:p w14:paraId="67B3BF0E">
            <w:pPr>
              <w:rPr>
                <w:rFonts w:ascii="Arial"/>
                <w:sz w:val="21"/>
              </w:rPr>
            </w:pPr>
          </w:p>
        </w:tc>
        <w:tc>
          <w:tcPr>
            <w:tcW w:w="617" w:type="dxa"/>
            <w:gridSpan w:val="2"/>
            <w:vMerge w:val="continue"/>
            <w:tcBorders>
              <w:top w:val="nil"/>
              <w:bottom w:val="nil"/>
            </w:tcBorders>
            <w:textDirection w:val="tbRlV"/>
            <w:vAlign w:val="top"/>
          </w:tcPr>
          <w:p w14:paraId="2C02FA85">
            <w:pPr>
              <w:rPr>
                <w:rFonts w:ascii="Arial"/>
                <w:sz w:val="21"/>
              </w:rPr>
            </w:pPr>
          </w:p>
        </w:tc>
        <w:tc>
          <w:tcPr>
            <w:tcW w:w="2262" w:type="dxa"/>
            <w:gridSpan w:val="3"/>
            <w:vAlign w:val="top"/>
          </w:tcPr>
          <w:p w14:paraId="3E82C038">
            <w:pPr>
              <w:pStyle w:val="51"/>
              <w:spacing w:before="163" w:line="220" w:lineRule="auto"/>
              <w:ind w:left="442"/>
              <w:rPr>
                <w:sz w:val="24"/>
                <w:szCs w:val="24"/>
              </w:rPr>
            </w:pPr>
            <w:r>
              <w:rPr>
                <w:spacing w:val="-6"/>
                <w:sz w:val="24"/>
                <w:szCs w:val="24"/>
              </w:rPr>
              <w:t>中级职称人员</w:t>
            </w:r>
          </w:p>
        </w:tc>
        <w:tc>
          <w:tcPr>
            <w:tcW w:w="1238" w:type="dxa"/>
            <w:vAlign w:val="top"/>
          </w:tcPr>
          <w:p w14:paraId="507DCF09">
            <w:pPr>
              <w:rPr>
                <w:rFonts w:ascii="Arial"/>
                <w:sz w:val="21"/>
              </w:rPr>
            </w:pPr>
          </w:p>
        </w:tc>
      </w:tr>
      <w:tr w14:paraId="559FF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2617" w:type="dxa"/>
            <w:vAlign w:val="top"/>
          </w:tcPr>
          <w:p w14:paraId="7C64EE0E">
            <w:pPr>
              <w:pStyle w:val="51"/>
              <w:spacing w:before="162" w:line="219" w:lineRule="auto"/>
              <w:ind w:left="355"/>
              <w:rPr>
                <w:sz w:val="24"/>
                <w:szCs w:val="24"/>
              </w:rPr>
            </w:pPr>
            <w:r>
              <w:rPr>
                <w:spacing w:val="-2"/>
                <w:sz w:val="24"/>
                <w:szCs w:val="24"/>
              </w:rPr>
              <w:t>基本账户开户银行</w:t>
            </w:r>
          </w:p>
        </w:tc>
        <w:tc>
          <w:tcPr>
            <w:tcW w:w="3352" w:type="dxa"/>
            <w:gridSpan w:val="3"/>
            <w:vAlign w:val="top"/>
          </w:tcPr>
          <w:p w14:paraId="3A9BE1AA">
            <w:pPr>
              <w:rPr>
                <w:rFonts w:ascii="Arial"/>
                <w:sz w:val="21"/>
              </w:rPr>
            </w:pPr>
          </w:p>
        </w:tc>
        <w:tc>
          <w:tcPr>
            <w:tcW w:w="617" w:type="dxa"/>
            <w:gridSpan w:val="2"/>
            <w:vMerge w:val="continue"/>
            <w:tcBorders>
              <w:top w:val="nil"/>
              <w:bottom w:val="nil"/>
            </w:tcBorders>
            <w:textDirection w:val="tbRlV"/>
            <w:vAlign w:val="top"/>
          </w:tcPr>
          <w:p w14:paraId="1BE549C8">
            <w:pPr>
              <w:rPr>
                <w:rFonts w:ascii="Arial"/>
                <w:sz w:val="21"/>
              </w:rPr>
            </w:pPr>
          </w:p>
        </w:tc>
        <w:tc>
          <w:tcPr>
            <w:tcW w:w="2262" w:type="dxa"/>
            <w:gridSpan w:val="3"/>
            <w:vAlign w:val="top"/>
          </w:tcPr>
          <w:p w14:paraId="153CA8A6">
            <w:pPr>
              <w:pStyle w:val="51"/>
              <w:spacing w:before="163" w:line="219" w:lineRule="auto"/>
              <w:ind w:left="421"/>
              <w:rPr>
                <w:sz w:val="24"/>
                <w:szCs w:val="24"/>
              </w:rPr>
            </w:pPr>
            <w:r>
              <w:rPr>
                <w:spacing w:val="-2"/>
                <w:sz w:val="24"/>
                <w:szCs w:val="24"/>
              </w:rPr>
              <w:t>技术人员数量</w:t>
            </w:r>
          </w:p>
        </w:tc>
        <w:tc>
          <w:tcPr>
            <w:tcW w:w="1238" w:type="dxa"/>
            <w:vAlign w:val="top"/>
          </w:tcPr>
          <w:p w14:paraId="08928891">
            <w:pPr>
              <w:rPr>
                <w:rFonts w:ascii="Arial"/>
                <w:sz w:val="21"/>
              </w:rPr>
            </w:pPr>
          </w:p>
        </w:tc>
      </w:tr>
      <w:tr w14:paraId="7FFF5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2617" w:type="dxa"/>
            <w:vAlign w:val="top"/>
          </w:tcPr>
          <w:p w14:paraId="667A4251">
            <w:pPr>
              <w:pStyle w:val="51"/>
              <w:spacing w:before="163" w:line="219" w:lineRule="auto"/>
              <w:ind w:left="355"/>
              <w:rPr>
                <w:sz w:val="24"/>
                <w:szCs w:val="24"/>
              </w:rPr>
            </w:pPr>
            <w:r>
              <w:rPr>
                <w:spacing w:val="-2"/>
                <w:sz w:val="24"/>
                <w:szCs w:val="24"/>
              </w:rPr>
              <w:t>基本账户银行账号</w:t>
            </w:r>
          </w:p>
        </w:tc>
        <w:tc>
          <w:tcPr>
            <w:tcW w:w="3352" w:type="dxa"/>
            <w:gridSpan w:val="3"/>
            <w:vAlign w:val="top"/>
          </w:tcPr>
          <w:p w14:paraId="10248A9A">
            <w:pPr>
              <w:rPr>
                <w:rFonts w:ascii="Arial"/>
                <w:sz w:val="21"/>
              </w:rPr>
            </w:pPr>
          </w:p>
        </w:tc>
        <w:tc>
          <w:tcPr>
            <w:tcW w:w="617" w:type="dxa"/>
            <w:gridSpan w:val="2"/>
            <w:vMerge w:val="continue"/>
            <w:tcBorders>
              <w:top w:val="nil"/>
            </w:tcBorders>
            <w:textDirection w:val="tbRlV"/>
            <w:vAlign w:val="top"/>
          </w:tcPr>
          <w:p w14:paraId="0CFB3288">
            <w:pPr>
              <w:rPr>
                <w:rFonts w:ascii="Arial"/>
                <w:sz w:val="21"/>
              </w:rPr>
            </w:pPr>
          </w:p>
        </w:tc>
        <w:tc>
          <w:tcPr>
            <w:tcW w:w="2262" w:type="dxa"/>
            <w:gridSpan w:val="3"/>
            <w:vAlign w:val="top"/>
          </w:tcPr>
          <w:p w14:paraId="29A7073E">
            <w:pPr>
              <w:pStyle w:val="51"/>
              <w:spacing w:before="164" w:line="219" w:lineRule="auto"/>
              <w:ind w:left="423"/>
              <w:rPr>
                <w:sz w:val="24"/>
                <w:szCs w:val="24"/>
              </w:rPr>
            </w:pPr>
            <w:r>
              <w:rPr>
                <w:spacing w:val="-3"/>
                <w:sz w:val="24"/>
                <w:szCs w:val="24"/>
              </w:rPr>
              <w:t>各类注册人员</w:t>
            </w:r>
          </w:p>
        </w:tc>
        <w:tc>
          <w:tcPr>
            <w:tcW w:w="1238" w:type="dxa"/>
            <w:vAlign w:val="top"/>
          </w:tcPr>
          <w:p w14:paraId="64E52B54">
            <w:pPr>
              <w:rPr>
                <w:rFonts w:ascii="Arial"/>
                <w:sz w:val="21"/>
              </w:rPr>
            </w:pPr>
          </w:p>
        </w:tc>
      </w:tr>
      <w:tr w14:paraId="4A4FB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2617" w:type="dxa"/>
            <w:vAlign w:val="top"/>
          </w:tcPr>
          <w:p w14:paraId="5BA82D54">
            <w:pPr>
              <w:pStyle w:val="51"/>
              <w:spacing w:before="163" w:line="220" w:lineRule="auto"/>
              <w:ind w:left="837"/>
              <w:rPr>
                <w:sz w:val="24"/>
                <w:szCs w:val="24"/>
              </w:rPr>
            </w:pPr>
            <w:r>
              <w:rPr>
                <w:spacing w:val="-3"/>
                <w:sz w:val="24"/>
                <w:szCs w:val="24"/>
              </w:rPr>
              <w:t>经营范围</w:t>
            </w:r>
          </w:p>
        </w:tc>
        <w:tc>
          <w:tcPr>
            <w:tcW w:w="7469" w:type="dxa"/>
            <w:gridSpan w:val="9"/>
            <w:vAlign w:val="top"/>
          </w:tcPr>
          <w:p w14:paraId="18452A4F">
            <w:pPr>
              <w:rPr>
                <w:rFonts w:ascii="Arial"/>
                <w:sz w:val="21"/>
              </w:rPr>
            </w:pPr>
          </w:p>
        </w:tc>
      </w:tr>
      <w:tr w14:paraId="32F74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2617" w:type="dxa"/>
            <w:vAlign w:val="top"/>
          </w:tcPr>
          <w:p w14:paraId="762F0D5A">
            <w:pPr>
              <w:pStyle w:val="51"/>
              <w:spacing w:before="42" w:line="220" w:lineRule="auto"/>
              <w:ind w:left="358"/>
              <w:rPr>
                <w:sz w:val="24"/>
                <w:szCs w:val="24"/>
              </w:rPr>
            </w:pPr>
            <w:r>
              <w:rPr>
                <w:spacing w:val="-2"/>
                <w:sz w:val="24"/>
                <w:szCs w:val="24"/>
              </w:rPr>
              <w:t>投标人关联企业情</w:t>
            </w:r>
          </w:p>
          <w:p w14:paraId="18E49BCA">
            <w:pPr>
              <w:pStyle w:val="51"/>
              <w:spacing w:before="18" w:line="220" w:lineRule="auto"/>
              <w:ind w:left="237"/>
              <w:rPr>
                <w:sz w:val="24"/>
                <w:szCs w:val="24"/>
              </w:rPr>
            </w:pPr>
            <w:r>
              <w:rPr>
                <w:spacing w:val="-2"/>
                <w:sz w:val="24"/>
                <w:szCs w:val="24"/>
              </w:rPr>
              <w:t>况（包括但不限于与</w:t>
            </w:r>
          </w:p>
          <w:p w14:paraId="57323804">
            <w:pPr>
              <w:pStyle w:val="51"/>
              <w:spacing w:before="19" w:line="219" w:lineRule="auto"/>
              <w:ind w:left="358"/>
              <w:rPr>
                <w:sz w:val="24"/>
                <w:szCs w:val="24"/>
              </w:rPr>
            </w:pPr>
            <w:r>
              <w:rPr>
                <w:spacing w:val="-2"/>
                <w:sz w:val="24"/>
                <w:szCs w:val="24"/>
              </w:rPr>
              <w:t>投标人法定代表人</w:t>
            </w:r>
          </w:p>
          <w:p w14:paraId="3B2C5080">
            <w:pPr>
              <w:pStyle w:val="51"/>
              <w:spacing w:before="20" w:line="219" w:lineRule="auto"/>
              <w:ind w:left="358"/>
              <w:rPr>
                <w:sz w:val="24"/>
                <w:szCs w:val="24"/>
              </w:rPr>
            </w:pPr>
            <w:r>
              <w:rPr>
                <w:spacing w:val="-2"/>
                <w:sz w:val="24"/>
                <w:szCs w:val="24"/>
              </w:rPr>
              <w:t>为同一人或者存在</w:t>
            </w:r>
          </w:p>
          <w:p w14:paraId="46A47ADF">
            <w:pPr>
              <w:pStyle w:val="51"/>
              <w:spacing w:before="20" w:line="219" w:lineRule="auto"/>
              <w:ind w:left="234"/>
              <w:rPr>
                <w:sz w:val="24"/>
                <w:szCs w:val="24"/>
              </w:rPr>
            </w:pPr>
            <w:r>
              <w:rPr>
                <w:spacing w:val="-1"/>
                <w:sz w:val="24"/>
                <w:szCs w:val="24"/>
              </w:rPr>
              <w:t>控股、管理关系的不</w:t>
            </w:r>
          </w:p>
          <w:p w14:paraId="30E2B83E">
            <w:pPr>
              <w:pStyle w:val="51"/>
              <w:spacing w:before="19" w:line="198" w:lineRule="auto"/>
              <w:ind w:left="859"/>
              <w:rPr>
                <w:sz w:val="24"/>
                <w:szCs w:val="24"/>
              </w:rPr>
            </w:pPr>
            <w:r>
              <w:rPr>
                <w:spacing w:val="-9"/>
                <w:sz w:val="24"/>
                <w:szCs w:val="24"/>
              </w:rPr>
              <w:t>同单位）</w:t>
            </w:r>
          </w:p>
        </w:tc>
        <w:tc>
          <w:tcPr>
            <w:tcW w:w="7469" w:type="dxa"/>
            <w:gridSpan w:val="9"/>
            <w:vAlign w:val="top"/>
          </w:tcPr>
          <w:p w14:paraId="76B8B9A7">
            <w:pPr>
              <w:rPr>
                <w:rFonts w:ascii="Arial"/>
                <w:sz w:val="21"/>
              </w:rPr>
            </w:pPr>
          </w:p>
        </w:tc>
      </w:tr>
      <w:tr w14:paraId="061AB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617" w:type="dxa"/>
            <w:vAlign w:val="top"/>
          </w:tcPr>
          <w:p w14:paraId="56FFBD96">
            <w:pPr>
              <w:pStyle w:val="51"/>
              <w:spacing w:before="142" w:line="221" w:lineRule="auto"/>
              <w:ind w:left="1078"/>
              <w:rPr>
                <w:sz w:val="24"/>
                <w:szCs w:val="24"/>
              </w:rPr>
            </w:pPr>
            <w:r>
              <w:rPr>
                <w:spacing w:val="-7"/>
                <w:sz w:val="24"/>
                <w:szCs w:val="24"/>
              </w:rPr>
              <w:t>备注</w:t>
            </w:r>
          </w:p>
        </w:tc>
        <w:tc>
          <w:tcPr>
            <w:tcW w:w="7469" w:type="dxa"/>
            <w:gridSpan w:val="9"/>
            <w:vAlign w:val="top"/>
          </w:tcPr>
          <w:p w14:paraId="417F5AAC">
            <w:pPr>
              <w:rPr>
                <w:rFonts w:ascii="Arial"/>
                <w:sz w:val="21"/>
              </w:rPr>
            </w:pPr>
          </w:p>
        </w:tc>
      </w:tr>
    </w:tbl>
    <w:p w14:paraId="68D74ACF">
      <w:pPr>
        <w:pStyle w:val="10"/>
        <w:spacing w:line="268" w:lineRule="auto"/>
      </w:pPr>
    </w:p>
    <w:p w14:paraId="48BF0C05">
      <w:pPr>
        <w:spacing w:before="65" w:line="239" w:lineRule="auto"/>
        <w:ind w:left="14" w:right="8" w:hanging="1"/>
        <w:rPr>
          <w:rFonts w:ascii="宋体" w:hAnsi="宋体" w:eastAsia="宋体" w:cs="宋体"/>
          <w:sz w:val="20"/>
          <w:szCs w:val="20"/>
        </w:rPr>
      </w:pPr>
      <w:r>
        <w:rPr>
          <w:rFonts w:ascii="宋体" w:hAnsi="宋体" w:eastAsia="宋体" w:cs="宋体"/>
          <w:spacing w:val="10"/>
          <w:sz w:val="20"/>
          <w:szCs w:val="20"/>
        </w:rPr>
        <w:t>注：附企业营业执照、基本账户证明、资质证书及其他相关证书复印件，复印件须</w:t>
      </w:r>
      <w:r>
        <w:rPr>
          <w:rFonts w:ascii="宋体" w:hAnsi="宋体" w:eastAsia="宋体" w:cs="宋体"/>
          <w:spacing w:val="9"/>
          <w:sz w:val="20"/>
          <w:szCs w:val="20"/>
        </w:rPr>
        <w:t>加盖企业公章后装订在投标</w:t>
      </w:r>
      <w:r>
        <w:rPr>
          <w:rFonts w:ascii="宋体" w:hAnsi="宋体" w:eastAsia="宋体" w:cs="宋体"/>
          <w:sz w:val="20"/>
          <w:szCs w:val="20"/>
        </w:rPr>
        <w:t xml:space="preserve"> </w:t>
      </w:r>
      <w:r>
        <w:rPr>
          <w:rFonts w:ascii="宋体" w:hAnsi="宋体" w:eastAsia="宋体" w:cs="宋体"/>
          <w:spacing w:val="9"/>
          <w:sz w:val="20"/>
          <w:szCs w:val="20"/>
        </w:rPr>
        <w:t>文件中。所有复印件必须要清晰、字迹清楚，否则评标不予以计分。</w:t>
      </w:r>
    </w:p>
    <w:p w14:paraId="4FE68356">
      <w:pPr>
        <w:spacing w:line="239" w:lineRule="auto"/>
        <w:rPr>
          <w:rFonts w:ascii="宋体" w:hAnsi="宋体" w:eastAsia="宋体" w:cs="宋体"/>
          <w:sz w:val="20"/>
          <w:szCs w:val="20"/>
        </w:rPr>
        <w:sectPr>
          <w:footerReference r:id="rId24" w:type="default"/>
          <w:pgSz w:w="12240" w:h="15840"/>
          <w:pgMar w:top="1115" w:right="1074" w:bottom="1072" w:left="1074" w:header="0" w:footer="910" w:gutter="0"/>
          <w:cols w:space="720" w:num="1"/>
        </w:sectPr>
      </w:pPr>
    </w:p>
    <w:p w14:paraId="6399A07B">
      <w:pPr>
        <w:spacing w:before="56" w:line="220" w:lineRule="auto"/>
        <w:ind w:left="2903"/>
        <w:rPr>
          <w:rFonts w:ascii="宋体" w:hAnsi="宋体" w:eastAsia="宋体" w:cs="宋体"/>
          <w:sz w:val="28"/>
          <w:szCs w:val="28"/>
        </w:rPr>
      </w:pPr>
      <w:r>
        <w:rPr>
          <w:rFonts w:ascii="宋体" w:hAnsi="宋体" w:eastAsia="宋体" w:cs="宋体"/>
          <w:spacing w:val="-2"/>
          <w:sz w:val="28"/>
          <w:szCs w:val="28"/>
        </w:rPr>
        <w:t>（二）近年财务状况表</w:t>
      </w:r>
    </w:p>
    <w:p w14:paraId="00C7C591">
      <w:pPr>
        <w:pStyle w:val="10"/>
        <w:spacing w:line="335" w:lineRule="auto"/>
      </w:pPr>
    </w:p>
    <w:p w14:paraId="29EBD447">
      <w:pPr>
        <w:spacing w:before="62" w:line="227" w:lineRule="auto"/>
        <w:ind w:left="1243"/>
        <w:rPr>
          <w:rFonts w:ascii="宋体" w:hAnsi="宋体" w:eastAsia="宋体" w:cs="宋体"/>
          <w:sz w:val="19"/>
          <w:szCs w:val="19"/>
        </w:rPr>
      </w:pPr>
      <w:r>
        <w:rPr>
          <w:rFonts w:ascii="宋体" w:hAnsi="宋体" w:eastAsia="宋体" w:cs="宋体"/>
          <w:spacing w:val="8"/>
          <w:sz w:val="19"/>
          <w:szCs w:val="19"/>
        </w:rPr>
        <w:t>投标人应根据投标人须知第</w:t>
      </w:r>
      <w:r>
        <w:rPr>
          <w:rFonts w:ascii="宋体" w:hAnsi="宋体" w:eastAsia="宋体" w:cs="宋体"/>
          <w:spacing w:val="-37"/>
          <w:sz w:val="19"/>
          <w:szCs w:val="19"/>
        </w:rPr>
        <w:t xml:space="preserve"> </w:t>
      </w:r>
      <w:r>
        <w:rPr>
          <w:rFonts w:ascii="Times New Roman" w:hAnsi="Times New Roman" w:eastAsia="Times New Roman" w:cs="Times New Roman"/>
          <w:spacing w:val="8"/>
          <w:sz w:val="19"/>
          <w:szCs w:val="19"/>
        </w:rPr>
        <w:t xml:space="preserve">3.5.2 </w:t>
      </w:r>
      <w:r>
        <w:rPr>
          <w:rFonts w:ascii="宋体" w:hAnsi="宋体" w:eastAsia="宋体" w:cs="宋体"/>
          <w:spacing w:val="8"/>
          <w:sz w:val="19"/>
          <w:szCs w:val="19"/>
        </w:rPr>
        <w:t>项的要求在本表后附相关证明材料。</w:t>
      </w:r>
    </w:p>
    <w:p w14:paraId="438BA11D">
      <w:pPr>
        <w:spacing w:line="227" w:lineRule="auto"/>
        <w:rPr>
          <w:rFonts w:ascii="宋体" w:hAnsi="宋体" w:eastAsia="宋体" w:cs="宋体"/>
          <w:sz w:val="19"/>
          <w:szCs w:val="19"/>
        </w:rPr>
        <w:sectPr>
          <w:footerReference r:id="rId25" w:type="default"/>
          <w:pgSz w:w="12240" w:h="15840"/>
          <w:pgMar w:top="1119" w:right="1836" w:bottom="1072" w:left="1836" w:header="0" w:footer="910" w:gutter="0"/>
          <w:cols w:space="720" w:num="1"/>
        </w:sectPr>
      </w:pPr>
    </w:p>
    <w:p w14:paraId="3505FA88">
      <w:pPr>
        <w:spacing w:before="56" w:line="220" w:lineRule="auto"/>
        <w:ind w:left="2802"/>
        <w:rPr>
          <w:rFonts w:ascii="宋体" w:hAnsi="宋体" w:eastAsia="宋体" w:cs="宋体"/>
          <w:sz w:val="28"/>
          <w:szCs w:val="28"/>
        </w:rPr>
      </w:pPr>
      <w:r>
        <w:rPr>
          <w:rFonts w:ascii="宋体" w:hAnsi="宋体" w:eastAsia="宋体" w:cs="宋体"/>
          <w:spacing w:val="-2"/>
          <w:sz w:val="28"/>
          <w:szCs w:val="28"/>
        </w:rPr>
        <w:t>（三）近年完成的类似项目情况表</w:t>
      </w:r>
    </w:p>
    <w:p w14:paraId="7712DB99">
      <w:pPr>
        <w:spacing w:line="187" w:lineRule="exact"/>
      </w:pPr>
    </w:p>
    <w:tbl>
      <w:tblPr>
        <w:tblStyle w:val="35"/>
        <w:tblW w:w="9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7"/>
        <w:gridCol w:w="7634"/>
      </w:tblGrid>
      <w:tr w14:paraId="0D8F9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9" w:hRule="atLeast"/>
        </w:trPr>
        <w:tc>
          <w:tcPr>
            <w:tcW w:w="1987" w:type="dxa"/>
            <w:vAlign w:val="top"/>
          </w:tcPr>
          <w:p w14:paraId="4DD07D3F">
            <w:pPr>
              <w:pStyle w:val="51"/>
              <w:spacing w:before="259" w:line="229" w:lineRule="auto"/>
              <w:ind w:left="602"/>
            </w:pPr>
            <w:r>
              <w:rPr>
                <w:spacing w:val="7"/>
              </w:rPr>
              <w:t>项目名称</w:t>
            </w:r>
          </w:p>
        </w:tc>
        <w:tc>
          <w:tcPr>
            <w:tcW w:w="7634" w:type="dxa"/>
            <w:vAlign w:val="top"/>
          </w:tcPr>
          <w:p w14:paraId="6324A4BE">
            <w:pPr>
              <w:rPr>
                <w:rFonts w:ascii="Arial"/>
                <w:sz w:val="21"/>
              </w:rPr>
            </w:pPr>
          </w:p>
        </w:tc>
      </w:tr>
      <w:tr w14:paraId="46F94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987" w:type="dxa"/>
            <w:vAlign w:val="top"/>
          </w:tcPr>
          <w:p w14:paraId="3BD191AF">
            <w:pPr>
              <w:pStyle w:val="51"/>
              <w:spacing w:before="255" w:line="229" w:lineRule="auto"/>
              <w:ind w:left="502"/>
            </w:pPr>
            <w:r>
              <w:rPr>
                <w:spacing w:val="7"/>
              </w:rPr>
              <w:t>项目所在地</w:t>
            </w:r>
          </w:p>
        </w:tc>
        <w:tc>
          <w:tcPr>
            <w:tcW w:w="7634" w:type="dxa"/>
            <w:vAlign w:val="top"/>
          </w:tcPr>
          <w:p w14:paraId="52DC986C">
            <w:pPr>
              <w:rPr>
                <w:rFonts w:ascii="Arial"/>
                <w:sz w:val="21"/>
              </w:rPr>
            </w:pPr>
          </w:p>
        </w:tc>
      </w:tr>
      <w:tr w14:paraId="66AC8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987" w:type="dxa"/>
            <w:vAlign w:val="top"/>
          </w:tcPr>
          <w:p w14:paraId="1C49EA33">
            <w:pPr>
              <w:pStyle w:val="51"/>
              <w:spacing w:before="255" w:line="230" w:lineRule="auto"/>
              <w:ind w:left="498"/>
            </w:pPr>
            <w:r>
              <w:rPr>
                <w:spacing w:val="8"/>
              </w:rPr>
              <w:t>委托人名称</w:t>
            </w:r>
          </w:p>
        </w:tc>
        <w:tc>
          <w:tcPr>
            <w:tcW w:w="7634" w:type="dxa"/>
            <w:vAlign w:val="top"/>
          </w:tcPr>
          <w:p w14:paraId="55939D7D">
            <w:pPr>
              <w:rPr>
                <w:rFonts w:ascii="Arial"/>
                <w:sz w:val="21"/>
              </w:rPr>
            </w:pPr>
          </w:p>
        </w:tc>
      </w:tr>
      <w:tr w14:paraId="6C2DE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987" w:type="dxa"/>
            <w:vAlign w:val="top"/>
          </w:tcPr>
          <w:p w14:paraId="5091049E">
            <w:pPr>
              <w:pStyle w:val="51"/>
              <w:spacing w:before="256" w:line="230" w:lineRule="auto"/>
              <w:ind w:left="498"/>
            </w:pPr>
            <w:r>
              <w:rPr>
                <w:spacing w:val="8"/>
              </w:rPr>
              <w:t>委托人地址</w:t>
            </w:r>
          </w:p>
        </w:tc>
        <w:tc>
          <w:tcPr>
            <w:tcW w:w="7634" w:type="dxa"/>
            <w:vAlign w:val="top"/>
          </w:tcPr>
          <w:p w14:paraId="74778DE6">
            <w:pPr>
              <w:rPr>
                <w:rFonts w:ascii="Arial"/>
                <w:sz w:val="21"/>
              </w:rPr>
            </w:pPr>
          </w:p>
        </w:tc>
      </w:tr>
      <w:tr w14:paraId="27985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987" w:type="dxa"/>
            <w:vAlign w:val="top"/>
          </w:tcPr>
          <w:p w14:paraId="32009139">
            <w:pPr>
              <w:pStyle w:val="51"/>
              <w:spacing w:before="256" w:line="230" w:lineRule="auto"/>
              <w:ind w:left="498"/>
            </w:pPr>
            <w:r>
              <w:rPr>
                <w:spacing w:val="8"/>
              </w:rPr>
              <w:t>委托人电话</w:t>
            </w:r>
          </w:p>
        </w:tc>
        <w:tc>
          <w:tcPr>
            <w:tcW w:w="7634" w:type="dxa"/>
            <w:vAlign w:val="top"/>
          </w:tcPr>
          <w:p w14:paraId="6B259F85">
            <w:pPr>
              <w:rPr>
                <w:rFonts w:ascii="Arial"/>
                <w:sz w:val="21"/>
              </w:rPr>
            </w:pPr>
          </w:p>
        </w:tc>
      </w:tr>
      <w:tr w14:paraId="2A41C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987" w:type="dxa"/>
            <w:vAlign w:val="top"/>
          </w:tcPr>
          <w:p w14:paraId="606C222D">
            <w:pPr>
              <w:pStyle w:val="51"/>
              <w:spacing w:before="256" w:line="227" w:lineRule="auto"/>
              <w:ind w:left="600"/>
            </w:pPr>
            <w:r>
              <w:rPr>
                <w:spacing w:val="7"/>
              </w:rPr>
              <w:t>合同价格</w:t>
            </w:r>
          </w:p>
        </w:tc>
        <w:tc>
          <w:tcPr>
            <w:tcW w:w="7634" w:type="dxa"/>
            <w:vAlign w:val="top"/>
          </w:tcPr>
          <w:p w14:paraId="54E64B53">
            <w:pPr>
              <w:rPr>
                <w:rFonts w:ascii="Arial"/>
                <w:sz w:val="21"/>
              </w:rPr>
            </w:pPr>
          </w:p>
        </w:tc>
      </w:tr>
      <w:tr w14:paraId="079D2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987" w:type="dxa"/>
            <w:vAlign w:val="top"/>
          </w:tcPr>
          <w:p w14:paraId="485C0459">
            <w:pPr>
              <w:pStyle w:val="51"/>
              <w:spacing w:before="257" w:line="228" w:lineRule="auto"/>
              <w:ind w:left="401"/>
            </w:pPr>
            <w:r>
              <w:rPr>
                <w:spacing w:val="8"/>
              </w:rPr>
              <w:t>监理服务期限</w:t>
            </w:r>
          </w:p>
        </w:tc>
        <w:tc>
          <w:tcPr>
            <w:tcW w:w="7634" w:type="dxa"/>
            <w:vAlign w:val="top"/>
          </w:tcPr>
          <w:p w14:paraId="5220A1A4">
            <w:pPr>
              <w:rPr>
                <w:rFonts w:ascii="Arial"/>
                <w:sz w:val="21"/>
              </w:rPr>
            </w:pPr>
          </w:p>
        </w:tc>
      </w:tr>
      <w:tr w14:paraId="67943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987" w:type="dxa"/>
            <w:vAlign w:val="top"/>
          </w:tcPr>
          <w:p w14:paraId="78CCE41D">
            <w:pPr>
              <w:pStyle w:val="51"/>
              <w:spacing w:before="257" w:line="228" w:lineRule="auto"/>
              <w:ind w:left="600"/>
            </w:pPr>
            <w:r>
              <w:rPr>
                <w:spacing w:val="7"/>
              </w:rPr>
              <w:t>监理内容</w:t>
            </w:r>
          </w:p>
        </w:tc>
        <w:tc>
          <w:tcPr>
            <w:tcW w:w="7634" w:type="dxa"/>
            <w:vAlign w:val="top"/>
          </w:tcPr>
          <w:p w14:paraId="2988EDE8">
            <w:pPr>
              <w:rPr>
                <w:rFonts w:ascii="Arial"/>
                <w:sz w:val="21"/>
              </w:rPr>
            </w:pPr>
          </w:p>
        </w:tc>
      </w:tr>
      <w:tr w14:paraId="2D97D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987" w:type="dxa"/>
            <w:vAlign w:val="top"/>
          </w:tcPr>
          <w:p w14:paraId="1D88AA98">
            <w:pPr>
              <w:pStyle w:val="51"/>
              <w:spacing w:before="257" w:line="228" w:lineRule="auto"/>
              <w:ind w:left="405"/>
            </w:pPr>
            <w:r>
              <w:rPr>
                <w:spacing w:val="7"/>
              </w:rPr>
              <w:t>总监理工程师</w:t>
            </w:r>
          </w:p>
        </w:tc>
        <w:tc>
          <w:tcPr>
            <w:tcW w:w="7634" w:type="dxa"/>
            <w:vAlign w:val="top"/>
          </w:tcPr>
          <w:p w14:paraId="43C19A02">
            <w:pPr>
              <w:rPr>
                <w:rFonts w:ascii="Arial"/>
                <w:sz w:val="21"/>
              </w:rPr>
            </w:pPr>
          </w:p>
        </w:tc>
      </w:tr>
      <w:tr w14:paraId="079D7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6" w:hRule="atLeast"/>
        </w:trPr>
        <w:tc>
          <w:tcPr>
            <w:tcW w:w="1987" w:type="dxa"/>
            <w:vAlign w:val="top"/>
          </w:tcPr>
          <w:p w14:paraId="50FB5A34">
            <w:pPr>
              <w:spacing w:line="261" w:lineRule="auto"/>
              <w:rPr>
                <w:rFonts w:ascii="Arial"/>
                <w:sz w:val="21"/>
              </w:rPr>
            </w:pPr>
          </w:p>
          <w:p w14:paraId="60BB6DEE">
            <w:pPr>
              <w:spacing w:line="261" w:lineRule="auto"/>
              <w:rPr>
                <w:rFonts w:ascii="Arial"/>
                <w:sz w:val="21"/>
              </w:rPr>
            </w:pPr>
          </w:p>
          <w:p w14:paraId="0393E86B">
            <w:pPr>
              <w:spacing w:line="262" w:lineRule="auto"/>
              <w:rPr>
                <w:rFonts w:ascii="Arial"/>
                <w:sz w:val="21"/>
              </w:rPr>
            </w:pPr>
          </w:p>
          <w:p w14:paraId="1C77A731">
            <w:pPr>
              <w:spacing w:line="262" w:lineRule="auto"/>
              <w:rPr>
                <w:rFonts w:ascii="Arial"/>
                <w:sz w:val="21"/>
              </w:rPr>
            </w:pPr>
          </w:p>
          <w:p w14:paraId="7F43D19C">
            <w:pPr>
              <w:spacing w:line="262" w:lineRule="auto"/>
              <w:rPr>
                <w:rFonts w:ascii="Arial"/>
                <w:sz w:val="21"/>
              </w:rPr>
            </w:pPr>
          </w:p>
          <w:p w14:paraId="1CC11C1A">
            <w:pPr>
              <w:pStyle w:val="51"/>
              <w:spacing w:before="61" w:line="229" w:lineRule="auto"/>
              <w:ind w:left="602"/>
            </w:pPr>
            <w:r>
              <w:rPr>
                <w:spacing w:val="7"/>
              </w:rPr>
              <w:t>项目描述</w:t>
            </w:r>
          </w:p>
        </w:tc>
        <w:tc>
          <w:tcPr>
            <w:tcW w:w="7634" w:type="dxa"/>
            <w:vAlign w:val="top"/>
          </w:tcPr>
          <w:p w14:paraId="1869D552">
            <w:pPr>
              <w:rPr>
                <w:rFonts w:ascii="Arial"/>
                <w:sz w:val="21"/>
              </w:rPr>
            </w:pPr>
          </w:p>
        </w:tc>
      </w:tr>
      <w:tr w14:paraId="4EFC8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987" w:type="dxa"/>
            <w:vAlign w:val="top"/>
          </w:tcPr>
          <w:p w14:paraId="4A40EC3B">
            <w:pPr>
              <w:pStyle w:val="51"/>
              <w:spacing w:before="242" w:line="230" w:lineRule="auto"/>
              <w:ind w:left="801"/>
            </w:pPr>
            <w:r>
              <w:rPr>
                <w:spacing w:val="4"/>
              </w:rPr>
              <w:t>备注</w:t>
            </w:r>
          </w:p>
        </w:tc>
        <w:tc>
          <w:tcPr>
            <w:tcW w:w="7634" w:type="dxa"/>
            <w:vAlign w:val="top"/>
          </w:tcPr>
          <w:p w14:paraId="0A559A41">
            <w:pPr>
              <w:rPr>
                <w:rFonts w:ascii="Arial"/>
                <w:sz w:val="21"/>
              </w:rPr>
            </w:pPr>
          </w:p>
        </w:tc>
      </w:tr>
    </w:tbl>
    <w:p w14:paraId="73C757A5">
      <w:pPr>
        <w:spacing w:before="230" w:line="227" w:lineRule="auto"/>
        <w:ind w:left="201"/>
        <w:rPr>
          <w:rFonts w:ascii="宋体" w:hAnsi="宋体" w:eastAsia="宋体" w:cs="宋体"/>
          <w:sz w:val="20"/>
          <w:szCs w:val="20"/>
        </w:rPr>
      </w:pPr>
      <w:r>
        <w:rPr>
          <w:rFonts w:ascii="宋体" w:hAnsi="宋体" w:eastAsia="宋体" w:cs="宋体"/>
          <w:spacing w:val="8"/>
          <w:sz w:val="20"/>
          <w:szCs w:val="20"/>
        </w:rPr>
        <w:t>注：1、投标人应根据投标人须知第</w:t>
      </w:r>
      <w:r>
        <w:rPr>
          <w:rFonts w:ascii="宋体" w:hAnsi="宋体" w:eastAsia="宋体" w:cs="宋体"/>
          <w:spacing w:val="-35"/>
          <w:sz w:val="20"/>
          <w:szCs w:val="20"/>
        </w:rPr>
        <w:t xml:space="preserve"> </w:t>
      </w:r>
      <w:r>
        <w:rPr>
          <w:rFonts w:ascii="Times New Roman" w:hAnsi="Times New Roman" w:eastAsia="Times New Roman" w:cs="Times New Roman"/>
          <w:spacing w:val="8"/>
          <w:sz w:val="20"/>
          <w:szCs w:val="20"/>
        </w:rPr>
        <w:t xml:space="preserve">3.5.3 </w:t>
      </w:r>
      <w:r>
        <w:rPr>
          <w:rFonts w:ascii="宋体" w:hAnsi="宋体" w:eastAsia="宋体" w:cs="宋体"/>
          <w:spacing w:val="8"/>
          <w:sz w:val="20"/>
          <w:szCs w:val="20"/>
        </w:rPr>
        <w:t>项的要求在本表后附相关证明材料。</w:t>
      </w:r>
    </w:p>
    <w:p w14:paraId="55A2068E">
      <w:pPr>
        <w:spacing w:before="161" w:line="228" w:lineRule="auto"/>
        <w:ind w:left="624"/>
        <w:rPr>
          <w:rFonts w:ascii="宋体" w:hAnsi="宋体" w:eastAsia="宋体" w:cs="宋体"/>
          <w:sz w:val="20"/>
          <w:szCs w:val="20"/>
        </w:rPr>
      </w:pPr>
      <w:r>
        <w:rPr>
          <w:rFonts w:ascii="宋体" w:hAnsi="宋体" w:eastAsia="宋体" w:cs="宋体"/>
          <w:spacing w:val="9"/>
          <w:sz w:val="20"/>
          <w:szCs w:val="20"/>
        </w:rPr>
        <w:t>2、所有复印件必须要清晰、字迹清楚，否则评标不予以计分。</w:t>
      </w:r>
    </w:p>
    <w:p w14:paraId="21F19BBF">
      <w:pPr>
        <w:spacing w:line="228" w:lineRule="auto"/>
        <w:rPr>
          <w:rFonts w:ascii="宋体" w:hAnsi="宋体" w:eastAsia="宋体" w:cs="宋体"/>
          <w:sz w:val="20"/>
          <w:szCs w:val="20"/>
        </w:rPr>
        <w:sectPr>
          <w:footerReference r:id="rId26" w:type="default"/>
          <w:pgSz w:w="12240" w:h="15840"/>
          <w:pgMar w:top="1119" w:right="1307" w:bottom="1072" w:left="1306" w:header="0" w:footer="910" w:gutter="0"/>
          <w:cols w:space="720" w:num="1"/>
        </w:sectPr>
      </w:pPr>
    </w:p>
    <w:p w14:paraId="02B3A82D">
      <w:pPr>
        <w:spacing w:before="56" w:line="220" w:lineRule="auto"/>
        <w:ind w:left="2379"/>
        <w:rPr>
          <w:rFonts w:ascii="宋体" w:hAnsi="宋体" w:eastAsia="宋体" w:cs="宋体"/>
          <w:sz w:val="28"/>
          <w:szCs w:val="28"/>
        </w:rPr>
      </w:pPr>
      <w:r>
        <w:rPr>
          <w:rFonts w:ascii="宋体" w:hAnsi="宋体" w:eastAsia="宋体" w:cs="宋体"/>
          <w:spacing w:val="-2"/>
          <w:sz w:val="28"/>
          <w:szCs w:val="28"/>
        </w:rPr>
        <w:t>（四）正在监理和新承接的项目情况表</w:t>
      </w:r>
    </w:p>
    <w:p w14:paraId="6D581E6B">
      <w:pPr>
        <w:spacing w:before="107"/>
      </w:pPr>
    </w:p>
    <w:tbl>
      <w:tblPr>
        <w:tblStyle w:val="35"/>
        <w:tblW w:w="93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4"/>
        <w:gridCol w:w="7513"/>
      </w:tblGrid>
      <w:tr w14:paraId="229A6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1824" w:type="dxa"/>
            <w:vAlign w:val="top"/>
          </w:tcPr>
          <w:p w14:paraId="49FA037E">
            <w:pPr>
              <w:pStyle w:val="51"/>
              <w:spacing w:before="261" w:line="229" w:lineRule="auto"/>
              <w:ind w:left="520"/>
            </w:pPr>
            <w:r>
              <w:rPr>
                <w:spacing w:val="7"/>
              </w:rPr>
              <w:t>项目名称</w:t>
            </w:r>
          </w:p>
        </w:tc>
        <w:tc>
          <w:tcPr>
            <w:tcW w:w="7513" w:type="dxa"/>
            <w:vAlign w:val="top"/>
          </w:tcPr>
          <w:p w14:paraId="02F3E838">
            <w:pPr>
              <w:rPr>
                <w:rFonts w:ascii="Arial"/>
                <w:sz w:val="21"/>
              </w:rPr>
            </w:pPr>
          </w:p>
        </w:tc>
      </w:tr>
      <w:tr w14:paraId="5A4D0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824" w:type="dxa"/>
            <w:vAlign w:val="top"/>
          </w:tcPr>
          <w:p w14:paraId="71C13294">
            <w:pPr>
              <w:pStyle w:val="51"/>
              <w:spacing w:before="257" w:line="229" w:lineRule="auto"/>
              <w:ind w:left="420"/>
            </w:pPr>
            <w:r>
              <w:rPr>
                <w:spacing w:val="7"/>
              </w:rPr>
              <w:t>项目所在地</w:t>
            </w:r>
          </w:p>
        </w:tc>
        <w:tc>
          <w:tcPr>
            <w:tcW w:w="7513" w:type="dxa"/>
            <w:vAlign w:val="top"/>
          </w:tcPr>
          <w:p w14:paraId="4A6D0858">
            <w:pPr>
              <w:rPr>
                <w:rFonts w:ascii="Arial"/>
                <w:sz w:val="21"/>
              </w:rPr>
            </w:pPr>
          </w:p>
        </w:tc>
      </w:tr>
      <w:tr w14:paraId="690A3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824" w:type="dxa"/>
            <w:vAlign w:val="top"/>
          </w:tcPr>
          <w:p w14:paraId="049C0F8F">
            <w:pPr>
              <w:pStyle w:val="51"/>
              <w:spacing w:before="257" w:line="230" w:lineRule="auto"/>
              <w:ind w:left="416"/>
            </w:pPr>
            <w:r>
              <w:rPr>
                <w:spacing w:val="8"/>
              </w:rPr>
              <w:t>委托人名称</w:t>
            </w:r>
          </w:p>
        </w:tc>
        <w:tc>
          <w:tcPr>
            <w:tcW w:w="7513" w:type="dxa"/>
            <w:vAlign w:val="top"/>
          </w:tcPr>
          <w:p w14:paraId="194F51C0">
            <w:pPr>
              <w:rPr>
                <w:rFonts w:ascii="Arial"/>
                <w:sz w:val="21"/>
              </w:rPr>
            </w:pPr>
          </w:p>
        </w:tc>
      </w:tr>
      <w:tr w14:paraId="29989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824" w:type="dxa"/>
            <w:vAlign w:val="top"/>
          </w:tcPr>
          <w:p w14:paraId="73655614">
            <w:pPr>
              <w:pStyle w:val="51"/>
              <w:spacing w:before="258" w:line="230" w:lineRule="auto"/>
              <w:ind w:left="416"/>
            </w:pPr>
            <w:r>
              <w:rPr>
                <w:spacing w:val="8"/>
              </w:rPr>
              <w:t>委托人地址</w:t>
            </w:r>
          </w:p>
        </w:tc>
        <w:tc>
          <w:tcPr>
            <w:tcW w:w="7513" w:type="dxa"/>
            <w:vAlign w:val="top"/>
          </w:tcPr>
          <w:p w14:paraId="5DC3E77F">
            <w:pPr>
              <w:rPr>
                <w:rFonts w:ascii="Arial"/>
                <w:sz w:val="21"/>
              </w:rPr>
            </w:pPr>
          </w:p>
        </w:tc>
      </w:tr>
      <w:tr w14:paraId="0DE43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824" w:type="dxa"/>
            <w:vAlign w:val="top"/>
          </w:tcPr>
          <w:p w14:paraId="225F3226">
            <w:pPr>
              <w:pStyle w:val="51"/>
              <w:spacing w:before="259" w:line="230" w:lineRule="auto"/>
              <w:ind w:left="416"/>
            </w:pPr>
            <w:r>
              <w:rPr>
                <w:spacing w:val="8"/>
              </w:rPr>
              <w:t>委托人电话</w:t>
            </w:r>
          </w:p>
        </w:tc>
        <w:tc>
          <w:tcPr>
            <w:tcW w:w="7513" w:type="dxa"/>
            <w:vAlign w:val="top"/>
          </w:tcPr>
          <w:p w14:paraId="58FDD98D">
            <w:pPr>
              <w:rPr>
                <w:rFonts w:ascii="Arial"/>
                <w:sz w:val="21"/>
              </w:rPr>
            </w:pPr>
          </w:p>
        </w:tc>
      </w:tr>
      <w:tr w14:paraId="03E9B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824" w:type="dxa"/>
            <w:vAlign w:val="top"/>
          </w:tcPr>
          <w:p w14:paraId="68076C06">
            <w:pPr>
              <w:pStyle w:val="51"/>
              <w:spacing w:before="260" w:line="227" w:lineRule="auto"/>
              <w:ind w:left="416"/>
            </w:pPr>
            <w:r>
              <w:rPr>
                <w:spacing w:val="8"/>
              </w:rPr>
              <w:t>签约合同价</w:t>
            </w:r>
          </w:p>
        </w:tc>
        <w:tc>
          <w:tcPr>
            <w:tcW w:w="7513" w:type="dxa"/>
            <w:vAlign w:val="top"/>
          </w:tcPr>
          <w:p w14:paraId="13F6D4D7">
            <w:pPr>
              <w:rPr>
                <w:rFonts w:ascii="Arial"/>
                <w:sz w:val="21"/>
              </w:rPr>
            </w:pPr>
          </w:p>
        </w:tc>
      </w:tr>
      <w:tr w14:paraId="08D7E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824" w:type="dxa"/>
            <w:vAlign w:val="top"/>
          </w:tcPr>
          <w:p w14:paraId="43D06A05">
            <w:pPr>
              <w:pStyle w:val="51"/>
              <w:spacing w:before="260" w:line="228" w:lineRule="auto"/>
              <w:ind w:left="319"/>
            </w:pPr>
            <w:r>
              <w:rPr>
                <w:spacing w:val="8"/>
              </w:rPr>
              <w:t>监理服务期限</w:t>
            </w:r>
          </w:p>
        </w:tc>
        <w:tc>
          <w:tcPr>
            <w:tcW w:w="7513" w:type="dxa"/>
            <w:vAlign w:val="top"/>
          </w:tcPr>
          <w:p w14:paraId="41132AB9">
            <w:pPr>
              <w:rPr>
                <w:rFonts w:ascii="Arial"/>
                <w:sz w:val="21"/>
              </w:rPr>
            </w:pPr>
          </w:p>
        </w:tc>
      </w:tr>
      <w:tr w14:paraId="6D273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824" w:type="dxa"/>
            <w:vAlign w:val="top"/>
          </w:tcPr>
          <w:p w14:paraId="2CD4A3D7">
            <w:pPr>
              <w:pStyle w:val="51"/>
              <w:spacing w:before="260" w:line="228" w:lineRule="auto"/>
              <w:ind w:left="518"/>
            </w:pPr>
            <w:r>
              <w:rPr>
                <w:spacing w:val="7"/>
              </w:rPr>
              <w:t>监理内容</w:t>
            </w:r>
          </w:p>
        </w:tc>
        <w:tc>
          <w:tcPr>
            <w:tcW w:w="7513" w:type="dxa"/>
            <w:vAlign w:val="top"/>
          </w:tcPr>
          <w:p w14:paraId="7EB86D84">
            <w:pPr>
              <w:rPr>
                <w:rFonts w:ascii="Arial"/>
                <w:sz w:val="21"/>
              </w:rPr>
            </w:pPr>
          </w:p>
        </w:tc>
      </w:tr>
      <w:tr w14:paraId="2835B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824" w:type="dxa"/>
            <w:vAlign w:val="top"/>
          </w:tcPr>
          <w:p w14:paraId="5A9C8CF0">
            <w:pPr>
              <w:pStyle w:val="51"/>
              <w:spacing w:before="258" w:line="228" w:lineRule="auto"/>
              <w:ind w:left="323"/>
            </w:pPr>
            <w:r>
              <w:rPr>
                <w:spacing w:val="7"/>
              </w:rPr>
              <w:t>总监理工程师</w:t>
            </w:r>
          </w:p>
        </w:tc>
        <w:tc>
          <w:tcPr>
            <w:tcW w:w="7513" w:type="dxa"/>
            <w:vAlign w:val="top"/>
          </w:tcPr>
          <w:p w14:paraId="725B6D34">
            <w:pPr>
              <w:rPr>
                <w:rFonts w:ascii="Arial"/>
                <w:sz w:val="21"/>
              </w:rPr>
            </w:pPr>
          </w:p>
        </w:tc>
      </w:tr>
      <w:tr w14:paraId="733E7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6" w:hRule="atLeast"/>
        </w:trPr>
        <w:tc>
          <w:tcPr>
            <w:tcW w:w="1824" w:type="dxa"/>
            <w:vAlign w:val="top"/>
          </w:tcPr>
          <w:p w14:paraId="40F781C6">
            <w:pPr>
              <w:spacing w:line="297" w:lineRule="auto"/>
              <w:rPr>
                <w:rFonts w:ascii="Arial"/>
                <w:sz w:val="21"/>
              </w:rPr>
            </w:pPr>
          </w:p>
          <w:p w14:paraId="048C5002">
            <w:pPr>
              <w:spacing w:line="298" w:lineRule="auto"/>
              <w:rPr>
                <w:rFonts w:ascii="Arial"/>
                <w:sz w:val="21"/>
              </w:rPr>
            </w:pPr>
          </w:p>
          <w:p w14:paraId="64892853">
            <w:pPr>
              <w:spacing w:line="298" w:lineRule="auto"/>
              <w:rPr>
                <w:rFonts w:ascii="Arial"/>
                <w:sz w:val="21"/>
              </w:rPr>
            </w:pPr>
          </w:p>
          <w:p w14:paraId="79AD2514">
            <w:pPr>
              <w:spacing w:line="298" w:lineRule="auto"/>
              <w:rPr>
                <w:rFonts w:ascii="Arial"/>
                <w:sz w:val="21"/>
              </w:rPr>
            </w:pPr>
          </w:p>
          <w:p w14:paraId="22B4F4A4">
            <w:pPr>
              <w:pStyle w:val="51"/>
              <w:spacing w:before="62" w:line="229" w:lineRule="auto"/>
              <w:ind w:left="520"/>
            </w:pPr>
            <w:r>
              <w:rPr>
                <w:spacing w:val="7"/>
              </w:rPr>
              <w:t>项目描述</w:t>
            </w:r>
          </w:p>
        </w:tc>
        <w:tc>
          <w:tcPr>
            <w:tcW w:w="7513" w:type="dxa"/>
            <w:vAlign w:val="top"/>
          </w:tcPr>
          <w:p w14:paraId="1A771675">
            <w:pPr>
              <w:rPr>
                <w:rFonts w:ascii="Arial"/>
                <w:sz w:val="21"/>
              </w:rPr>
            </w:pPr>
          </w:p>
        </w:tc>
      </w:tr>
      <w:tr w14:paraId="2EF6B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1824" w:type="dxa"/>
            <w:vAlign w:val="top"/>
          </w:tcPr>
          <w:p w14:paraId="10E6A7BE">
            <w:pPr>
              <w:spacing w:line="276" w:lineRule="auto"/>
              <w:rPr>
                <w:rFonts w:ascii="Arial"/>
                <w:sz w:val="21"/>
              </w:rPr>
            </w:pPr>
          </w:p>
          <w:p w14:paraId="15DF4817">
            <w:pPr>
              <w:pStyle w:val="51"/>
              <w:spacing w:before="62" w:line="230" w:lineRule="auto"/>
              <w:ind w:left="719"/>
            </w:pPr>
            <w:r>
              <w:rPr>
                <w:spacing w:val="4"/>
              </w:rPr>
              <w:t>备注</w:t>
            </w:r>
          </w:p>
        </w:tc>
        <w:tc>
          <w:tcPr>
            <w:tcW w:w="7513" w:type="dxa"/>
            <w:vAlign w:val="top"/>
          </w:tcPr>
          <w:p w14:paraId="6835DC2E">
            <w:pPr>
              <w:rPr>
                <w:rFonts w:ascii="Arial"/>
                <w:sz w:val="21"/>
              </w:rPr>
            </w:pPr>
          </w:p>
        </w:tc>
      </w:tr>
    </w:tbl>
    <w:p w14:paraId="0B9ACB62">
      <w:pPr>
        <w:pStyle w:val="10"/>
        <w:spacing w:line="372" w:lineRule="auto"/>
      </w:pPr>
    </w:p>
    <w:p w14:paraId="3162B6D8">
      <w:pPr>
        <w:spacing w:before="65" w:line="227" w:lineRule="auto"/>
        <w:ind w:left="59"/>
        <w:rPr>
          <w:rFonts w:ascii="宋体" w:hAnsi="宋体" w:eastAsia="宋体" w:cs="宋体"/>
          <w:sz w:val="20"/>
          <w:szCs w:val="20"/>
        </w:rPr>
      </w:pPr>
      <w:r>
        <w:rPr>
          <w:rFonts w:ascii="宋体" w:hAnsi="宋体" w:eastAsia="宋体" w:cs="宋体"/>
          <w:spacing w:val="8"/>
          <w:sz w:val="20"/>
          <w:szCs w:val="20"/>
        </w:rPr>
        <w:t>注：1、注：投标人应根据投标人须知第</w:t>
      </w:r>
      <w:r>
        <w:rPr>
          <w:rFonts w:ascii="宋体" w:hAnsi="宋体" w:eastAsia="宋体" w:cs="宋体"/>
          <w:spacing w:val="-31"/>
          <w:sz w:val="20"/>
          <w:szCs w:val="20"/>
        </w:rPr>
        <w:t xml:space="preserve"> </w:t>
      </w:r>
      <w:r>
        <w:rPr>
          <w:rFonts w:ascii="Times New Roman" w:hAnsi="Times New Roman" w:eastAsia="Times New Roman" w:cs="Times New Roman"/>
          <w:spacing w:val="8"/>
          <w:sz w:val="20"/>
          <w:szCs w:val="20"/>
        </w:rPr>
        <w:t xml:space="preserve">3.5.4 </w:t>
      </w:r>
      <w:r>
        <w:rPr>
          <w:rFonts w:ascii="宋体" w:hAnsi="宋体" w:eastAsia="宋体" w:cs="宋体"/>
          <w:spacing w:val="8"/>
          <w:sz w:val="20"/>
          <w:szCs w:val="20"/>
        </w:rPr>
        <w:t>项的要求在本表后附相关证明材料。</w:t>
      </w:r>
    </w:p>
    <w:p w14:paraId="1016026F">
      <w:pPr>
        <w:spacing w:before="161" w:line="228" w:lineRule="auto"/>
        <w:ind w:left="482"/>
        <w:rPr>
          <w:rFonts w:ascii="宋体" w:hAnsi="宋体" w:eastAsia="宋体" w:cs="宋体"/>
          <w:sz w:val="20"/>
          <w:szCs w:val="20"/>
        </w:rPr>
      </w:pPr>
      <w:r>
        <w:rPr>
          <w:rFonts w:ascii="宋体" w:hAnsi="宋体" w:eastAsia="宋体" w:cs="宋体"/>
          <w:spacing w:val="9"/>
          <w:sz w:val="20"/>
          <w:szCs w:val="20"/>
        </w:rPr>
        <w:t>2、所有复印件必须要清晰、字迹清楚，否则评标不予以计分。</w:t>
      </w:r>
    </w:p>
    <w:p w14:paraId="794309B9">
      <w:pPr>
        <w:spacing w:line="228" w:lineRule="auto"/>
        <w:rPr>
          <w:rFonts w:ascii="宋体" w:hAnsi="宋体" w:eastAsia="宋体" w:cs="宋体"/>
          <w:sz w:val="20"/>
          <w:szCs w:val="20"/>
        </w:rPr>
        <w:sectPr>
          <w:footerReference r:id="rId27" w:type="default"/>
          <w:pgSz w:w="12240" w:h="15840"/>
          <w:pgMar w:top="1119" w:right="1449" w:bottom="1072" w:left="1448" w:header="0" w:footer="910" w:gutter="0"/>
          <w:cols w:space="720" w:num="1"/>
        </w:sectPr>
      </w:pPr>
    </w:p>
    <w:p w14:paraId="0FEB3663">
      <w:pPr>
        <w:spacing w:before="56" w:line="220" w:lineRule="auto"/>
        <w:ind w:left="3151"/>
        <w:rPr>
          <w:rFonts w:ascii="宋体" w:hAnsi="宋体" w:eastAsia="宋体" w:cs="宋体"/>
          <w:sz w:val="28"/>
          <w:szCs w:val="28"/>
        </w:rPr>
      </w:pPr>
      <w:r>
        <w:rPr>
          <w:rFonts w:ascii="宋体" w:hAnsi="宋体" w:eastAsia="宋体" w:cs="宋体"/>
          <w:spacing w:val="-2"/>
          <w:sz w:val="28"/>
          <w:szCs w:val="28"/>
        </w:rPr>
        <w:t>（五）近年发生的诉讼及仲裁情况</w:t>
      </w:r>
    </w:p>
    <w:p w14:paraId="0EB60BCB">
      <w:pPr>
        <w:spacing w:before="57"/>
      </w:pPr>
    </w:p>
    <w:tbl>
      <w:tblPr>
        <w:tblStyle w:val="35"/>
        <w:tblW w:w="985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8"/>
        <w:gridCol w:w="2068"/>
        <w:gridCol w:w="2148"/>
        <w:gridCol w:w="1172"/>
        <w:gridCol w:w="1264"/>
        <w:gridCol w:w="1927"/>
      </w:tblGrid>
      <w:tr w14:paraId="5575D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278" w:type="dxa"/>
            <w:tcBorders>
              <w:top w:val="single" w:color="000000" w:sz="10" w:space="0"/>
              <w:left w:val="single" w:color="000000" w:sz="10" w:space="0"/>
            </w:tcBorders>
            <w:vAlign w:val="top"/>
          </w:tcPr>
          <w:p w14:paraId="4E4E5491">
            <w:pPr>
              <w:pStyle w:val="51"/>
              <w:spacing w:before="182" w:line="229" w:lineRule="auto"/>
              <w:ind w:left="423"/>
              <w:rPr>
                <w:sz w:val="20"/>
                <w:szCs w:val="20"/>
              </w:rPr>
            </w:pPr>
            <w:r>
              <w:rPr>
                <w:spacing w:val="5"/>
                <w:sz w:val="20"/>
                <w:szCs w:val="20"/>
              </w:rPr>
              <w:t>序号</w:t>
            </w:r>
          </w:p>
        </w:tc>
        <w:tc>
          <w:tcPr>
            <w:tcW w:w="2068" w:type="dxa"/>
            <w:tcBorders>
              <w:top w:val="single" w:color="000000" w:sz="10" w:space="0"/>
            </w:tcBorders>
            <w:vAlign w:val="top"/>
          </w:tcPr>
          <w:p w14:paraId="3C5214C8">
            <w:pPr>
              <w:pStyle w:val="51"/>
              <w:spacing w:before="181" w:line="228" w:lineRule="auto"/>
              <w:ind w:left="293"/>
              <w:rPr>
                <w:sz w:val="20"/>
                <w:szCs w:val="20"/>
              </w:rPr>
            </w:pPr>
            <w:r>
              <w:rPr>
                <w:spacing w:val="8"/>
                <w:sz w:val="20"/>
                <w:szCs w:val="20"/>
              </w:rPr>
              <w:t>诉讼或仲裁事项</w:t>
            </w:r>
          </w:p>
        </w:tc>
        <w:tc>
          <w:tcPr>
            <w:tcW w:w="2148" w:type="dxa"/>
            <w:tcBorders>
              <w:top w:val="single" w:color="000000" w:sz="10" w:space="0"/>
            </w:tcBorders>
            <w:vAlign w:val="top"/>
          </w:tcPr>
          <w:p w14:paraId="1EF22FB1">
            <w:pPr>
              <w:pStyle w:val="51"/>
              <w:spacing w:before="181" w:line="228" w:lineRule="auto"/>
              <w:ind w:left="131"/>
              <w:rPr>
                <w:sz w:val="20"/>
                <w:szCs w:val="20"/>
              </w:rPr>
            </w:pPr>
            <w:r>
              <w:rPr>
                <w:spacing w:val="9"/>
                <w:sz w:val="20"/>
                <w:szCs w:val="20"/>
              </w:rPr>
              <w:t>诉讼或仲裁中的地位</w:t>
            </w:r>
          </w:p>
        </w:tc>
        <w:tc>
          <w:tcPr>
            <w:tcW w:w="1172" w:type="dxa"/>
            <w:tcBorders>
              <w:top w:val="single" w:color="000000" w:sz="10" w:space="0"/>
            </w:tcBorders>
            <w:vAlign w:val="top"/>
          </w:tcPr>
          <w:p w14:paraId="527BB0EE">
            <w:pPr>
              <w:pStyle w:val="51"/>
              <w:spacing w:before="181" w:line="230" w:lineRule="auto"/>
              <w:ind w:left="382"/>
              <w:rPr>
                <w:sz w:val="20"/>
                <w:szCs w:val="20"/>
              </w:rPr>
            </w:pPr>
            <w:r>
              <w:rPr>
                <w:spacing w:val="4"/>
                <w:sz w:val="20"/>
                <w:szCs w:val="20"/>
              </w:rPr>
              <w:t>缘由</w:t>
            </w:r>
          </w:p>
        </w:tc>
        <w:tc>
          <w:tcPr>
            <w:tcW w:w="1264" w:type="dxa"/>
            <w:tcBorders>
              <w:top w:val="single" w:color="000000" w:sz="10" w:space="0"/>
            </w:tcBorders>
            <w:vAlign w:val="top"/>
          </w:tcPr>
          <w:p w14:paraId="047C7CE9">
            <w:pPr>
              <w:pStyle w:val="51"/>
              <w:spacing w:before="182" w:line="228" w:lineRule="auto"/>
              <w:ind w:left="436"/>
              <w:rPr>
                <w:sz w:val="20"/>
                <w:szCs w:val="20"/>
              </w:rPr>
            </w:pPr>
            <w:r>
              <w:rPr>
                <w:spacing w:val="2"/>
                <w:sz w:val="20"/>
                <w:szCs w:val="20"/>
              </w:rPr>
              <w:t>结果</w:t>
            </w:r>
          </w:p>
        </w:tc>
        <w:tc>
          <w:tcPr>
            <w:tcW w:w="1927" w:type="dxa"/>
            <w:tcBorders>
              <w:top w:val="single" w:color="000000" w:sz="10" w:space="0"/>
              <w:right w:val="single" w:color="000000" w:sz="10" w:space="0"/>
            </w:tcBorders>
            <w:vAlign w:val="top"/>
          </w:tcPr>
          <w:p w14:paraId="3AF35BDA">
            <w:pPr>
              <w:pStyle w:val="51"/>
              <w:spacing w:before="182" w:line="229" w:lineRule="auto"/>
              <w:ind w:left="758"/>
              <w:rPr>
                <w:sz w:val="20"/>
                <w:szCs w:val="20"/>
              </w:rPr>
            </w:pPr>
            <w:r>
              <w:rPr>
                <w:spacing w:val="3"/>
                <w:sz w:val="20"/>
                <w:szCs w:val="20"/>
              </w:rPr>
              <w:t>备注</w:t>
            </w:r>
          </w:p>
        </w:tc>
      </w:tr>
      <w:tr w14:paraId="496AF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278" w:type="dxa"/>
            <w:tcBorders>
              <w:left w:val="single" w:color="000000" w:sz="10" w:space="0"/>
            </w:tcBorders>
            <w:vAlign w:val="top"/>
          </w:tcPr>
          <w:p w14:paraId="0BF8CC19">
            <w:pPr>
              <w:pStyle w:val="51"/>
              <w:spacing w:before="261" w:line="156" w:lineRule="exact"/>
              <w:ind w:left="533"/>
              <w:rPr>
                <w:sz w:val="20"/>
                <w:szCs w:val="20"/>
              </w:rPr>
            </w:pPr>
            <w:r>
              <w:rPr>
                <w:position w:val="-4"/>
                <w:sz w:val="20"/>
                <w:szCs w:val="20"/>
              </w:rPr>
              <w:t>一</w:t>
            </w:r>
          </w:p>
        </w:tc>
        <w:tc>
          <w:tcPr>
            <w:tcW w:w="2068" w:type="dxa"/>
            <w:vAlign w:val="top"/>
          </w:tcPr>
          <w:p w14:paraId="5FFFDE89">
            <w:pPr>
              <w:pStyle w:val="51"/>
              <w:spacing w:before="183" w:line="228" w:lineRule="auto"/>
              <w:ind w:left="610"/>
              <w:rPr>
                <w:sz w:val="20"/>
                <w:szCs w:val="20"/>
              </w:rPr>
            </w:pPr>
            <w:r>
              <w:rPr>
                <w:spacing w:val="7"/>
                <w:sz w:val="20"/>
                <w:szCs w:val="20"/>
              </w:rPr>
              <w:t>诉讼事项</w:t>
            </w:r>
          </w:p>
        </w:tc>
        <w:tc>
          <w:tcPr>
            <w:tcW w:w="2148" w:type="dxa"/>
            <w:vAlign w:val="top"/>
          </w:tcPr>
          <w:p w14:paraId="086ED661">
            <w:pPr>
              <w:rPr>
                <w:rFonts w:ascii="Arial"/>
                <w:sz w:val="21"/>
              </w:rPr>
            </w:pPr>
          </w:p>
        </w:tc>
        <w:tc>
          <w:tcPr>
            <w:tcW w:w="1172" w:type="dxa"/>
            <w:vAlign w:val="top"/>
          </w:tcPr>
          <w:p w14:paraId="6CFF3186">
            <w:pPr>
              <w:rPr>
                <w:rFonts w:ascii="Arial"/>
                <w:sz w:val="21"/>
              </w:rPr>
            </w:pPr>
          </w:p>
        </w:tc>
        <w:tc>
          <w:tcPr>
            <w:tcW w:w="1264" w:type="dxa"/>
            <w:vAlign w:val="top"/>
          </w:tcPr>
          <w:p w14:paraId="6A11B766">
            <w:pPr>
              <w:rPr>
                <w:rFonts w:ascii="Arial"/>
                <w:sz w:val="21"/>
              </w:rPr>
            </w:pPr>
          </w:p>
        </w:tc>
        <w:tc>
          <w:tcPr>
            <w:tcW w:w="1927" w:type="dxa"/>
            <w:tcBorders>
              <w:right w:val="single" w:color="000000" w:sz="10" w:space="0"/>
            </w:tcBorders>
            <w:vAlign w:val="top"/>
          </w:tcPr>
          <w:p w14:paraId="10F4E0A4">
            <w:pPr>
              <w:rPr>
                <w:rFonts w:ascii="Arial"/>
                <w:sz w:val="21"/>
              </w:rPr>
            </w:pPr>
          </w:p>
        </w:tc>
      </w:tr>
      <w:tr w14:paraId="4A6CF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78" w:type="dxa"/>
            <w:tcBorders>
              <w:left w:val="single" w:color="000000" w:sz="10" w:space="0"/>
            </w:tcBorders>
            <w:vAlign w:val="top"/>
          </w:tcPr>
          <w:p w14:paraId="4114F026">
            <w:pPr>
              <w:rPr>
                <w:rFonts w:ascii="Arial"/>
                <w:sz w:val="21"/>
              </w:rPr>
            </w:pPr>
          </w:p>
        </w:tc>
        <w:tc>
          <w:tcPr>
            <w:tcW w:w="2068" w:type="dxa"/>
            <w:vAlign w:val="top"/>
          </w:tcPr>
          <w:p w14:paraId="59A80379">
            <w:pPr>
              <w:rPr>
                <w:rFonts w:ascii="Arial"/>
                <w:sz w:val="21"/>
              </w:rPr>
            </w:pPr>
          </w:p>
        </w:tc>
        <w:tc>
          <w:tcPr>
            <w:tcW w:w="2148" w:type="dxa"/>
            <w:vAlign w:val="top"/>
          </w:tcPr>
          <w:p w14:paraId="2CD7D496">
            <w:pPr>
              <w:rPr>
                <w:rFonts w:ascii="Arial"/>
                <w:sz w:val="21"/>
              </w:rPr>
            </w:pPr>
          </w:p>
        </w:tc>
        <w:tc>
          <w:tcPr>
            <w:tcW w:w="1172" w:type="dxa"/>
            <w:vAlign w:val="top"/>
          </w:tcPr>
          <w:p w14:paraId="1DA1F803">
            <w:pPr>
              <w:rPr>
                <w:rFonts w:ascii="Arial"/>
                <w:sz w:val="21"/>
              </w:rPr>
            </w:pPr>
          </w:p>
        </w:tc>
        <w:tc>
          <w:tcPr>
            <w:tcW w:w="1264" w:type="dxa"/>
            <w:vAlign w:val="top"/>
          </w:tcPr>
          <w:p w14:paraId="3A354B9C">
            <w:pPr>
              <w:rPr>
                <w:rFonts w:ascii="Arial"/>
                <w:sz w:val="21"/>
              </w:rPr>
            </w:pPr>
          </w:p>
        </w:tc>
        <w:tc>
          <w:tcPr>
            <w:tcW w:w="1927" w:type="dxa"/>
            <w:tcBorders>
              <w:right w:val="single" w:color="000000" w:sz="10" w:space="0"/>
            </w:tcBorders>
            <w:vAlign w:val="top"/>
          </w:tcPr>
          <w:p w14:paraId="78735898">
            <w:pPr>
              <w:rPr>
                <w:rFonts w:ascii="Arial"/>
                <w:sz w:val="21"/>
              </w:rPr>
            </w:pPr>
          </w:p>
        </w:tc>
      </w:tr>
      <w:tr w14:paraId="3B848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78" w:type="dxa"/>
            <w:tcBorders>
              <w:left w:val="single" w:color="000000" w:sz="10" w:space="0"/>
            </w:tcBorders>
            <w:vAlign w:val="top"/>
          </w:tcPr>
          <w:p w14:paraId="3C3E1931">
            <w:pPr>
              <w:rPr>
                <w:rFonts w:ascii="Arial"/>
                <w:sz w:val="21"/>
              </w:rPr>
            </w:pPr>
          </w:p>
        </w:tc>
        <w:tc>
          <w:tcPr>
            <w:tcW w:w="2068" w:type="dxa"/>
            <w:vAlign w:val="top"/>
          </w:tcPr>
          <w:p w14:paraId="3F174023">
            <w:pPr>
              <w:rPr>
                <w:rFonts w:ascii="Arial"/>
                <w:sz w:val="21"/>
              </w:rPr>
            </w:pPr>
          </w:p>
        </w:tc>
        <w:tc>
          <w:tcPr>
            <w:tcW w:w="2148" w:type="dxa"/>
            <w:vAlign w:val="top"/>
          </w:tcPr>
          <w:p w14:paraId="70BBBFB3">
            <w:pPr>
              <w:rPr>
                <w:rFonts w:ascii="Arial"/>
                <w:sz w:val="21"/>
              </w:rPr>
            </w:pPr>
          </w:p>
        </w:tc>
        <w:tc>
          <w:tcPr>
            <w:tcW w:w="1172" w:type="dxa"/>
            <w:vAlign w:val="top"/>
          </w:tcPr>
          <w:p w14:paraId="18CCECF5">
            <w:pPr>
              <w:rPr>
                <w:rFonts w:ascii="Arial"/>
                <w:sz w:val="21"/>
              </w:rPr>
            </w:pPr>
          </w:p>
        </w:tc>
        <w:tc>
          <w:tcPr>
            <w:tcW w:w="1264" w:type="dxa"/>
            <w:vAlign w:val="top"/>
          </w:tcPr>
          <w:p w14:paraId="3B92C9D0">
            <w:pPr>
              <w:rPr>
                <w:rFonts w:ascii="Arial"/>
                <w:sz w:val="21"/>
              </w:rPr>
            </w:pPr>
          </w:p>
        </w:tc>
        <w:tc>
          <w:tcPr>
            <w:tcW w:w="1927" w:type="dxa"/>
            <w:tcBorders>
              <w:right w:val="single" w:color="000000" w:sz="10" w:space="0"/>
            </w:tcBorders>
            <w:vAlign w:val="top"/>
          </w:tcPr>
          <w:p w14:paraId="3AEC9174">
            <w:pPr>
              <w:rPr>
                <w:rFonts w:ascii="Arial"/>
                <w:sz w:val="21"/>
              </w:rPr>
            </w:pPr>
          </w:p>
        </w:tc>
      </w:tr>
      <w:tr w14:paraId="20043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278" w:type="dxa"/>
            <w:tcBorders>
              <w:left w:val="single" w:color="000000" w:sz="10" w:space="0"/>
            </w:tcBorders>
            <w:vAlign w:val="top"/>
          </w:tcPr>
          <w:p w14:paraId="2093AF52">
            <w:pPr>
              <w:rPr>
                <w:rFonts w:ascii="Arial"/>
                <w:sz w:val="21"/>
              </w:rPr>
            </w:pPr>
          </w:p>
        </w:tc>
        <w:tc>
          <w:tcPr>
            <w:tcW w:w="2068" w:type="dxa"/>
            <w:vAlign w:val="top"/>
          </w:tcPr>
          <w:p w14:paraId="56C1EE3F">
            <w:pPr>
              <w:rPr>
                <w:rFonts w:ascii="Arial"/>
                <w:sz w:val="21"/>
              </w:rPr>
            </w:pPr>
          </w:p>
        </w:tc>
        <w:tc>
          <w:tcPr>
            <w:tcW w:w="2148" w:type="dxa"/>
            <w:vAlign w:val="top"/>
          </w:tcPr>
          <w:p w14:paraId="68D9A441">
            <w:pPr>
              <w:rPr>
                <w:rFonts w:ascii="Arial"/>
                <w:sz w:val="21"/>
              </w:rPr>
            </w:pPr>
          </w:p>
        </w:tc>
        <w:tc>
          <w:tcPr>
            <w:tcW w:w="1172" w:type="dxa"/>
            <w:vAlign w:val="top"/>
          </w:tcPr>
          <w:p w14:paraId="1CB221DA">
            <w:pPr>
              <w:rPr>
                <w:rFonts w:ascii="Arial"/>
                <w:sz w:val="21"/>
              </w:rPr>
            </w:pPr>
          </w:p>
        </w:tc>
        <w:tc>
          <w:tcPr>
            <w:tcW w:w="1264" w:type="dxa"/>
            <w:vAlign w:val="top"/>
          </w:tcPr>
          <w:p w14:paraId="6956FFFD">
            <w:pPr>
              <w:rPr>
                <w:rFonts w:ascii="Arial"/>
                <w:sz w:val="21"/>
              </w:rPr>
            </w:pPr>
          </w:p>
        </w:tc>
        <w:tc>
          <w:tcPr>
            <w:tcW w:w="1927" w:type="dxa"/>
            <w:tcBorders>
              <w:right w:val="single" w:color="000000" w:sz="10" w:space="0"/>
            </w:tcBorders>
            <w:vAlign w:val="top"/>
          </w:tcPr>
          <w:p w14:paraId="49635821">
            <w:pPr>
              <w:rPr>
                <w:rFonts w:ascii="Arial"/>
                <w:sz w:val="21"/>
              </w:rPr>
            </w:pPr>
          </w:p>
        </w:tc>
      </w:tr>
      <w:tr w14:paraId="775FE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278" w:type="dxa"/>
            <w:tcBorders>
              <w:left w:val="single" w:color="000000" w:sz="10" w:space="0"/>
            </w:tcBorders>
            <w:vAlign w:val="top"/>
          </w:tcPr>
          <w:p w14:paraId="0837D3E5">
            <w:pPr>
              <w:pStyle w:val="51"/>
              <w:spacing w:before="228" w:line="183" w:lineRule="auto"/>
              <w:ind w:left="533"/>
              <w:rPr>
                <w:sz w:val="20"/>
                <w:szCs w:val="20"/>
              </w:rPr>
            </w:pPr>
            <w:r>
              <w:rPr>
                <w:sz w:val="20"/>
                <w:szCs w:val="20"/>
              </w:rPr>
              <w:t>二</w:t>
            </w:r>
          </w:p>
        </w:tc>
        <w:tc>
          <w:tcPr>
            <w:tcW w:w="2068" w:type="dxa"/>
            <w:vAlign w:val="top"/>
          </w:tcPr>
          <w:p w14:paraId="36F7C195">
            <w:pPr>
              <w:pStyle w:val="51"/>
              <w:spacing w:before="188" w:line="228" w:lineRule="auto"/>
              <w:ind w:left="610"/>
              <w:rPr>
                <w:sz w:val="20"/>
                <w:szCs w:val="20"/>
              </w:rPr>
            </w:pPr>
            <w:r>
              <w:rPr>
                <w:spacing w:val="7"/>
                <w:sz w:val="20"/>
                <w:szCs w:val="20"/>
              </w:rPr>
              <w:t>仲裁事项</w:t>
            </w:r>
          </w:p>
        </w:tc>
        <w:tc>
          <w:tcPr>
            <w:tcW w:w="2148" w:type="dxa"/>
            <w:vAlign w:val="top"/>
          </w:tcPr>
          <w:p w14:paraId="48A06513">
            <w:pPr>
              <w:rPr>
                <w:rFonts w:ascii="Arial"/>
                <w:sz w:val="21"/>
              </w:rPr>
            </w:pPr>
          </w:p>
        </w:tc>
        <w:tc>
          <w:tcPr>
            <w:tcW w:w="1172" w:type="dxa"/>
            <w:vAlign w:val="top"/>
          </w:tcPr>
          <w:p w14:paraId="185C36CD">
            <w:pPr>
              <w:rPr>
                <w:rFonts w:ascii="Arial"/>
                <w:sz w:val="21"/>
              </w:rPr>
            </w:pPr>
          </w:p>
        </w:tc>
        <w:tc>
          <w:tcPr>
            <w:tcW w:w="1264" w:type="dxa"/>
            <w:vAlign w:val="top"/>
          </w:tcPr>
          <w:p w14:paraId="5C3D102B">
            <w:pPr>
              <w:rPr>
                <w:rFonts w:ascii="Arial"/>
                <w:sz w:val="21"/>
              </w:rPr>
            </w:pPr>
          </w:p>
        </w:tc>
        <w:tc>
          <w:tcPr>
            <w:tcW w:w="1927" w:type="dxa"/>
            <w:tcBorders>
              <w:right w:val="single" w:color="000000" w:sz="10" w:space="0"/>
            </w:tcBorders>
            <w:vAlign w:val="top"/>
          </w:tcPr>
          <w:p w14:paraId="0DEA268E">
            <w:pPr>
              <w:rPr>
                <w:rFonts w:ascii="Arial"/>
                <w:sz w:val="21"/>
              </w:rPr>
            </w:pPr>
          </w:p>
        </w:tc>
      </w:tr>
      <w:tr w14:paraId="51A99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78" w:type="dxa"/>
            <w:tcBorders>
              <w:left w:val="single" w:color="000000" w:sz="10" w:space="0"/>
            </w:tcBorders>
            <w:vAlign w:val="top"/>
          </w:tcPr>
          <w:p w14:paraId="69D8A9D6">
            <w:pPr>
              <w:rPr>
                <w:rFonts w:ascii="Arial"/>
                <w:sz w:val="21"/>
              </w:rPr>
            </w:pPr>
          </w:p>
        </w:tc>
        <w:tc>
          <w:tcPr>
            <w:tcW w:w="2068" w:type="dxa"/>
            <w:vAlign w:val="top"/>
          </w:tcPr>
          <w:p w14:paraId="6AABE249">
            <w:pPr>
              <w:rPr>
                <w:rFonts w:ascii="Arial"/>
                <w:sz w:val="21"/>
              </w:rPr>
            </w:pPr>
          </w:p>
        </w:tc>
        <w:tc>
          <w:tcPr>
            <w:tcW w:w="2148" w:type="dxa"/>
            <w:vAlign w:val="top"/>
          </w:tcPr>
          <w:p w14:paraId="0D701F23">
            <w:pPr>
              <w:rPr>
                <w:rFonts w:ascii="Arial"/>
                <w:sz w:val="21"/>
              </w:rPr>
            </w:pPr>
          </w:p>
        </w:tc>
        <w:tc>
          <w:tcPr>
            <w:tcW w:w="1172" w:type="dxa"/>
            <w:vAlign w:val="top"/>
          </w:tcPr>
          <w:p w14:paraId="5A36406A">
            <w:pPr>
              <w:rPr>
                <w:rFonts w:ascii="Arial"/>
                <w:sz w:val="21"/>
              </w:rPr>
            </w:pPr>
          </w:p>
        </w:tc>
        <w:tc>
          <w:tcPr>
            <w:tcW w:w="1264" w:type="dxa"/>
            <w:vAlign w:val="top"/>
          </w:tcPr>
          <w:p w14:paraId="28869108">
            <w:pPr>
              <w:rPr>
                <w:rFonts w:ascii="Arial"/>
                <w:sz w:val="21"/>
              </w:rPr>
            </w:pPr>
          </w:p>
        </w:tc>
        <w:tc>
          <w:tcPr>
            <w:tcW w:w="1927" w:type="dxa"/>
            <w:tcBorders>
              <w:right w:val="single" w:color="000000" w:sz="10" w:space="0"/>
            </w:tcBorders>
            <w:vAlign w:val="top"/>
          </w:tcPr>
          <w:p w14:paraId="2DDFF3E6">
            <w:pPr>
              <w:rPr>
                <w:rFonts w:ascii="Arial"/>
                <w:sz w:val="21"/>
              </w:rPr>
            </w:pPr>
          </w:p>
        </w:tc>
      </w:tr>
      <w:tr w14:paraId="1DA2E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278" w:type="dxa"/>
            <w:tcBorders>
              <w:left w:val="single" w:color="000000" w:sz="10" w:space="0"/>
            </w:tcBorders>
            <w:vAlign w:val="top"/>
          </w:tcPr>
          <w:p w14:paraId="20CE43BB">
            <w:pPr>
              <w:rPr>
                <w:rFonts w:ascii="Arial"/>
                <w:sz w:val="21"/>
              </w:rPr>
            </w:pPr>
          </w:p>
        </w:tc>
        <w:tc>
          <w:tcPr>
            <w:tcW w:w="2068" w:type="dxa"/>
            <w:vAlign w:val="top"/>
          </w:tcPr>
          <w:p w14:paraId="5D4E706E">
            <w:pPr>
              <w:rPr>
                <w:rFonts w:ascii="Arial"/>
                <w:sz w:val="21"/>
              </w:rPr>
            </w:pPr>
          </w:p>
        </w:tc>
        <w:tc>
          <w:tcPr>
            <w:tcW w:w="2148" w:type="dxa"/>
            <w:vAlign w:val="top"/>
          </w:tcPr>
          <w:p w14:paraId="5D67FB89">
            <w:pPr>
              <w:rPr>
                <w:rFonts w:ascii="Arial"/>
                <w:sz w:val="21"/>
              </w:rPr>
            </w:pPr>
          </w:p>
        </w:tc>
        <w:tc>
          <w:tcPr>
            <w:tcW w:w="1172" w:type="dxa"/>
            <w:vAlign w:val="top"/>
          </w:tcPr>
          <w:p w14:paraId="1E06DAFA">
            <w:pPr>
              <w:rPr>
                <w:rFonts w:ascii="Arial"/>
                <w:sz w:val="21"/>
              </w:rPr>
            </w:pPr>
          </w:p>
        </w:tc>
        <w:tc>
          <w:tcPr>
            <w:tcW w:w="1264" w:type="dxa"/>
            <w:vAlign w:val="top"/>
          </w:tcPr>
          <w:p w14:paraId="7E1A9CC5">
            <w:pPr>
              <w:rPr>
                <w:rFonts w:ascii="Arial"/>
                <w:sz w:val="21"/>
              </w:rPr>
            </w:pPr>
          </w:p>
        </w:tc>
        <w:tc>
          <w:tcPr>
            <w:tcW w:w="1927" w:type="dxa"/>
            <w:tcBorders>
              <w:right w:val="single" w:color="000000" w:sz="10" w:space="0"/>
            </w:tcBorders>
            <w:vAlign w:val="top"/>
          </w:tcPr>
          <w:p w14:paraId="4969C9EC">
            <w:pPr>
              <w:rPr>
                <w:rFonts w:ascii="Arial"/>
                <w:sz w:val="21"/>
              </w:rPr>
            </w:pPr>
          </w:p>
        </w:tc>
      </w:tr>
      <w:tr w14:paraId="66BF2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278" w:type="dxa"/>
            <w:tcBorders>
              <w:left w:val="single" w:color="000000" w:sz="10" w:space="0"/>
            </w:tcBorders>
            <w:vAlign w:val="top"/>
          </w:tcPr>
          <w:p w14:paraId="1EE70F71">
            <w:pPr>
              <w:rPr>
                <w:rFonts w:ascii="Arial"/>
                <w:sz w:val="21"/>
              </w:rPr>
            </w:pPr>
          </w:p>
        </w:tc>
        <w:tc>
          <w:tcPr>
            <w:tcW w:w="2068" w:type="dxa"/>
            <w:vAlign w:val="top"/>
          </w:tcPr>
          <w:p w14:paraId="0687FDFD">
            <w:pPr>
              <w:rPr>
                <w:rFonts w:ascii="Arial"/>
                <w:sz w:val="21"/>
              </w:rPr>
            </w:pPr>
          </w:p>
        </w:tc>
        <w:tc>
          <w:tcPr>
            <w:tcW w:w="2148" w:type="dxa"/>
            <w:vAlign w:val="top"/>
          </w:tcPr>
          <w:p w14:paraId="75168468">
            <w:pPr>
              <w:rPr>
                <w:rFonts w:ascii="Arial"/>
                <w:sz w:val="21"/>
              </w:rPr>
            </w:pPr>
          </w:p>
        </w:tc>
        <w:tc>
          <w:tcPr>
            <w:tcW w:w="1172" w:type="dxa"/>
            <w:vAlign w:val="top"/>
          </w:tcPr>
          <w:p w14:paraId="7ED07DA3">
            <w:pPr>
              <w:rPr>
                <w:rFonts w:ascii="Arial"/>
                <w:sz w:val="21"/>
              </w:rPr>
            </w:pPr>
          </w:p>
        </w:tc>
        <w:tc>
          <w:tcPr>
            <w:tcW w:w="1264" w:type="dxa"/>
            <w:vAlign w:val="top"/>
          </w:tcPr>
          <w:p w14:paraId="65EF779A">
            <w:pPr>
              <w:rPr>
                <w:rFonts w:ascii="Arial"/>
                <w:sz w:val="21"/>
              </w:rPr>
            </w:pPr>
          </w:p>
        </w:tc>
        <w:tc>
          <w:tcPr>
            <w:tcW w:w="1927" w:type="dxa"/>
            <w:tcBorders>
              <w:right w:val="single" w:color="000000" w:sz="10" w:space="0"/>
            </w:tcBorders>
            <w:vAlign w:val="top"/>
          </w:tcPr>
          <w:p w14:paraId="7C0D2D23">
            <w:pPr>
              <w:rPr>
                <w:rFonts w:ascii="Arial"/>
                <w:sz w:val="21"/>
              </w:rPr>
            </w:pPr>
          </w:p>
        </w:tc>
      </w:tr>
      <w:tr w14:paraId="44126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278" w:type="dxa"/>
            <w:tcBorders>
              <w:left w:val="single" w:color="000000" w:sz="10" w:space="0"/>
            </w:tcBorders>
            <w:vAlign w:val="top"/>
          </w:tcPr>
          <w:p w14:paraId="5A37111E">
            <w:pPr>
              <w:rPr>
                <w:rFonts w:ascii="Arial"/>
                <w:sz w:val="21"/>
              </w:rPr>
            </w:pPr>
          </w:p>
        </w:tc>
        <w:tc>
          <w:tcPr>
            <w:tcW w:w="2068" w:type="dxa"/>
            <w:vAlign w:val="top"/>
          </w:tcPr>
          <w:p w14:paraId="1EC84003">
            <w:pPr>
              <w:rPr>
                <w:rFonts w:ascii="Arial"/>
                <w:sz w:val="21"/>
              </w:rPr>
            </w:pPr>
          </w:p>
        </w:tc>
        <w:tc>
          <w:tcPr>
            <w:tcW w:w="2148" w:type="dxa"/>
            <w:vAlign w:val="top"/>
          </w:tcPr>
          <w:p w14:paraId="15C55011">
            <w:pPr>
              <w:rPr>
                <w:rFonts w:ascii="Arial"/>
                <w:sz w:val="21"/>
              </w:rPr>
            </w:pPr>
          </w:p>
        </w:tc>
        <w:tc>
          <w:tcPr>
            <w:tcW w:w="1172" w:type="dxa"/>
            <w:vAlign w:val="top"/>
          </w:tcPr>
          <w:p w14:paraId="4398904B">
            <w:pPr>
              <w:rPr>
                <w:rFonts w:ascii="Arial"/>
                <w:sz w:val="21"/>
              </w:rPr>
            </w:pPr>
          </w:p>
        </w:tc>
        <w:tc>
          <w:tcPr>
            <w:tcW w:w="1264" w:type="dxa"/>
            <w:vAlign w:val="top"/>
          </w:tcPr>
          <w:p w14:paraId="1267EE18">
            <w:pPr>
              <w:rPr>
                <w:rFonts w:ascii="Arial"/>
                <w:sz w:val="21"/>
              </w:rPr>
            </w:pPr>
          </w:p>
        </w:tc>
        <w:tc>
          <w:tcPr>
            <w:tcW w:w="1927" w:type="dxa"/>
            <w:tcBorders>
              <w:right w:val="single" w:color="000000" w:sz="10" w:space="0"/>
            </w:tcBorders>
            <w:vAlign w:val="top"/>
          </w:tcPr>
          <w:p w14:paraId="5BE15C2E">
            <w:pPr>
              <w:rPr>
                <w:rFonts w:ascii="Arial"/>
                <w:sz w:val="21"/>
              </w:rPr>
            </w:pPr>
          </w:p>
        </w:tc>
      </w:tr>
      <w:tr w14:paraId="391F8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278" w:type="dxa"/>
            <w:tcBorders>
              <w:left w:val="single" w:color="000000" w:sz="10" w:space="0"/>
            </w:tcBorders>
            <w:vAlign w:val="top"/>
          </w:tcPr>
          <w:p w14:paraId="1F68A74C">
            <w:pPr>
              <w:rPr>
                <w:rFonts w:ascii="Arial"/>
                <w:sz w:val="21"/>
              </w:rPr>
            </w:pPr>
          </w:p>
        </w:tc>
        <w:tc>
          <w:tcPr>
            <w:tcW w:w="2068" w:type="dxa"/>
            <w:vAlign w:val="top"/>
          </w:tcPr>
          <w:p w14:paraId="13DE3EDD">
            <w:pPr>
              <w:rPr>
                <w:rFonts w:ascii="Arial"/>
                <w:sz w:val="21"/>
              </w:rPr>
            </w:pPr>
          </w:p>
        </w:tc>
        <w:tc>
          <w:tcPr>
            <w:tcW w:w="2148" w:type="dxa"/>
            <w:vAlign w:val="top"/>
          </w:tcPr>
          <w:p w14:paraId="6F227623">
            <w:pPr>
              <w:rPr>
                <w:rFonts w:ascii="Arial"/>
                <w:sz w:val="21"/>
              </w:rPr>
            </w:pPr>
          </w:p>
        </w:tc>
        <w:tc>
          <w:tcPr>
            <w:tcW w:w="1172" w:type="dxa"/>
            <w:vAlign w:val="top"/>
          </w:tcPr>
          <w:p w14:paraId="4FD91696">
            <w:pPr>
              <w:rPr>
                <w:rFonts w:ascii="Arial"/>
                <w:sz w:val="21"/>
              </w:rPr>
            </w:pPr>
          </w:p>
        </w:tc>
        <w:tc>
          <w:tcPr>
            <w:tcW w:w="1264" w:type="dxa"/>
            <w:vAlign w:val="top"/>
          </w:tcPr>
          <w:p w14:paraId="4EC4A820">
            <w:pPr>
              <w:rPr>
                <w:rFonts w:ascii="Arial"/>
                <w:sz w:val="21"/>
              </w:rPr>
            </w:pPr>
          </w:p>
        </w:tc>
        <w:tc>
          <w:tcPr>
            <w:tcW w:w="1927" w:type="dxa"/>
            <w:tcBorders>
              <w:right w:val="single" w:color="000000" w:sz="10" w:space="0"/>
            </w:tcBorders>
            <w:vAlign w:val="top"/>
          </w:tcPr>
          <w:p w14:paraId="2150AA32">
            <w:pPr>
              <w:rPr>
                <w:rFonts w:ascii="Arial"/>
                <w:sz w:val="21"/>
              </w:rPr>
            </w:pPr>
          </w:p>
        </w:tc>
      </w:tr>
      <w:tr w14:paraId="77AA9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278" w:type="dxa"/>
            <w:tcBorders>
              <w:left w:val="single" w:color="000000" w:sz="10" w:space="0"/>
            </w:tcBorders>
            <w:vAlign w:val="top"/>
          </w:tcPr>
          <w:p w14:paraId="1BEC4422">
            <w:pPr>
              <w:rPr>
                <w:rFonts w:ascii="Arial"/>
                <w:sz w:val="21"/>
              </w:rPr>
            </w:pPr>
          </w:p>
        </w:tc>
        <w:tc>
          <w:tcPr>
            <w:tcW w:w="2068" w:type="dxa"/>
            <w:vAlign w:val="top"/>
          </w:tcPr>
          <w:p w14:paraId="4EDE487C">
            <w:pPr>
              <w:rPr>
                <w:rFonts w:ascii="Arial"/>
                <w:sz w:val="21"/>
              </w:rPr>
            </w:pPr>
          </w:p>
        </w:tc>
        <w:tc>
          <w:tcPr>
            <w:tcW w:w="2148" w:type="dxa"/>
            <w:vAlign w:val="top"/>
          </w:tcPr>
          <w:p w14:paraId="63AB5FB0">
            <w:pPr>
              <w:rPr>
                <w:rFonts w:ascii="Arial"/>
                <w:sz w:val="21"/>
              </w:rPr>
            </w:pPr>
          </w:p>
        </w:tc>
        <w:tc>
          <w:tcPr>
            <w:tcW w:w="1172" w:type="dxa"/>
            <w:vAlign w:val="top"/>
          </w:tcPr>
          <w:p w14:paraId="45FD967E">
            <w:pPr>
              <w:rPr>
                <w:rFonts w:ascii="Arial"/>
                <w:sz w:val="21"/>
              </w:rPr>
            </w:pPr>
          </w:p>
        </w:tc>
        <w:tc>
          <w:tcPr>
            <w:tcW w:w="1264" w:type="dxa"/>
            <w:vAlign w:val="top"/>
          </w:tcPr>
          <w:p w14:paraId="5A87B6C5">
            <w:pPr>
              <w:rPr>
                <w:rFonts w:ascii="Arial"/>
                <w:sz w:val="21"/>
              </w:rPr>
            </w:pPr>
          </w:p>
        </w:tc>
        <w:tc>
          <w:tcPr>
            <w:tcW w:w="1927" w:type="dxa"/>
            <w:tcBorders>
              <w:right w:val="single" w:color="000000" w:sz="10" w:space="0"/>
            </w:tcBorders>
            <w:vAlign w:val="top"/>
          </w:tcPr>
          <w:p w14:paraId="75D3028B">
            <w:pPr>
              <w:rPr>
                <w:rFonts w:ascii="Arial"/>
                <w:sz w:val="21"/>
              </w:rPr>
            </w:pPr>
          </w:p>
        </w:tc>
      </w:tr>
      <w:tr w14:paraId="16379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278" w:type="dxa"/>
            <w:tcBorders>
              <w:left w:val="single" w:color="000000" w:sz="10" w:space="0"/>
            </w:tcBorders>
            <w:vAlign w:val="top"/>
          </w:tcPr>
          <w:p w14:paraId="10B4AE29">
            <w:pPr>
              <w:rPr>
                <w:rFonts w:ascii="Arial"/>
                <w:sz w:val="21"/>
              </w:rPr>
            </w:pPr>
          </w:p>
        </w:tc>
        <w:tc>
          <w:tcPr>
            <w:tcW w:w="2068" w:type="dxa"/>
            <w:vAlign w:val="top"/>
          </w:tcPr>
          <w:p w14:paraId="688AF6B0">
            <w:pPr>
              <w:rPr>
                <w:rFonts w:ascii="Arial"/>
                <w:sz w:val="21"/>
              </w:rPr>
            </w:pPr>
          </w:p>
        </w:tc>
        <w:tc>
          <w:tcPr>
            <w:tcW w:w="2148" w:type="dxa"/>
            <w:vAlign w:val="top"/>
          </w:tcPr>
          <w:p w14:paraId="5E0E2433">
            <w:pPr>
              <w:rPr>
                <w:rFonts w:ascii="Arial"/>
                <w:sz w:val="21"/>
              </w:rPr>
            </w:pPr>
          </w:p>
        </w:tc>
        <w:tc>
          <w:tcPr>
            <w:tcW w:w="1172" w:type="dxa"/>
            <w:vAlign w:val="top"/>
          </w:tcPr>
          <w:p w14:paraId="4232199B">
            <w:pPr>
              <w:rPr>
                <w:rFonts w:ascii="Arial"/>
                <w:sz w:val="21"/>
              </w:rPr>
            </w:pPr>
          </w:p>
        </w:tc>
        <w:tc>
          <w:tcPr>
            <w:tcW w:w="1264" w:type="dxa"/>
            <w:vAlign w:val="top"/>
          </w:tcPr>
          <w:p w14:paraId="27E5B869">
            <w:pPr>
              <w:rPr>
                <w:rFonts w:ascii="Arial"/>
                <w:sz w:val="21"/>
              </w:rPr>
            </w:pPr>
          </w:p>
        </w:tc>
        <w:tc>
          <w:tcPr>
            <w:tcW w:w="1927" w:type="dxa"/>
            <w:tcBorders>
              <w:right w:val="single" w:color="000000" w:sz="10" w:space="0"/>
            </w:tcBorders>
            <w:vAlign w:val="top"/>
          </w:tcPr>
          <w:p w14:paraId="691FCF8E">
            <w:pPr>
              <w:rPr>
                <w:rFonts w:ascii="Arial"/>
                <w:sz w:val="21"/>
              </w:rPr>
            </w:pPr>
          </w:p>
        </w:tc>
      </w:tr>
      <w:tr w14:paraId="4B150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78" w:type="dxa"/>
            <w:tcBorders>
              <w:left w:val="single" w:color="000000" w:sz="10" w:space="0"/>
            </w:tcBorders>
            <w:vAlign w:val="top"/>
          </w:tcPr>
          <w:p w14:paraId="17DBECBE">
            <w:pPr>
              <w:rPr>
                <w:rFonts w:ascii="Arial"/>
                <w:sz w:val="21"/>
              </w:rPr>
            </w:pPr>
          </w:p>
        </w:tc>
        <w:tc>
          <w:tcPr>
            <w:tcW w:w="2068" w:type="dxa"/>
            <w:vAlign w:val="top"/>
          </w:tcPr>
          <w:p w14:paraId="2E8A2947">
            <w:pPr>
              <w:rPr>
                <w:rFonts w:ascii="Arial"/>
                <w:sz w:val="21"/>
              </w:rPr>
            </w:pPr>
          </w:p>
        </w:tc>
        <w:tc>
          <w:tcPr>
            <w:tcW w:w="2148" w:type="dxa"/>
            <w:vAlign w:val="top"/>
          </w:tcPr>
          <w:p w14:paraId="762933FF">
            <w:pPr>
              <w:rPr>
                <w:rFonts w:ascii="Arial"/>
                <w:sz w:val="21"/>
              </w:rPr>
            </w:pPr>
          </w:p>
        </w:tc>
        <w:tc>
          <w:tcPr>
            <w:tcW w:w="1172" w:type="dxa"/>
            <w:vAlign w:val="top"/>
          </w:tcPr>
          <w:p w14:paraId="3D8CB00D">
            <w:pPr>
              <w:rPr>
                <w:rFonts w:ascii="Arial"/>
                <w:sz w:val="21"/>
              </w:rPr>
            </w:pPr>
          </w:p>
        </w:tc>
        <w:tc>
          <w:tcPr>
            <w:tcW w:w="1264" w:type="dxa"/>
            <w:vAlign w:val="top"/>
          </w:tcPr>
          <w:p w14:paraId="53E6EA80">
            <w:pPr>
              <w:rPr>
                <w:rFonts w:ascii="Arial"/>
                <w:sz w:val="21"/>
              </w:rPr>
            </w:pPr>
          </w:p>
        </w:tc>
        <w:tc>
          <w:tcPr>
            <w:tcW w:w="1927" w:type="dxa"/>
            <w:tcBorders>
              <w:right w:val="single" w:color="000000" w:sz="10" w:space="0"/>
            </w:tcBorders>
            <w:vAlign w:val="top"/>
          </w:tcPr>
          <w:p w14:paraId="29B1AFC0">
            <w:pPr>
              <w:rPr>
                <w:rFonts w:ascii="Arial"/>
                <w:sz w:val="21"/>
              </w:rPr>
            </w:pPr>
          </w:p>
        </w:tc>
      </w:tr>
      <w:tr w14:paraId="378FB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78" w:type="dxa"/>
            <w:tcBorders>
              <w:left w:val="single" w:color="000000" w:sz="10" w:space="0"/>
            </w:tcBorders>
            <w:vAlign w:val="top"/>
          </w:tcPr>
          <w:p w14:paraId="4A9B7A61">
            <w:pPr>
              <w:rPr>
                <w:rFonts w:ascii="Arial"/>
                <w:sz w:val="21"/>
              </w:rPr>
            </w:pPr>
          </w:p>
        </w:tc>
        <w:tc>
          <w:tcPr>
            <w:tcW w:w="2068" w:type="dxa"/>
            <w:vAlign w:val="top"/>
          </w:tcPr>
          <w:p w14:paraId="1351E031">
            <w:pPr>
              <w:rPr>
                <w:rFonts w:ascii="Arial"/>
                <w:sz w:val="21"/>
              </w:rPr>
            </w:pPr>
          </w:p>
        </w:tc>
        <w:tc>
          <w:tcPr>
            <w:tcW w:w="2148" w:type="dxa"/>
            <w:vAlign w:val="top"/>
          </w:tcPr>
          <w:p w14:paraId="01888B27">
            <w:pPr>
              <w:rPr>
                <w:rFonts w:ascii="Arial"/>
                <w:sz w:val="21"/>
              </w:rPr>
            </w:pPr>
          </w:p>
        </w:tc>
        <w:tc>
          <w:tcPr>
            <w:tcW w:w="1172" w:type="dxa"/>
            <w:vAlign w:val="top"/>
          </w:tcPr>
          <w:p w14:paraId="69402CE1">
            <w:pPr>
              <w:rPr>
                <w:rFonts w:ascii="Arial"/>
                <w:sz w:val="21"/>
              </w:rPr>
            </w:pPr>
          </w:p>
        </w:tc>
        <w:tc>
          <w:tcPr>
            <w:tcW w:w="1264" w:type="dxa"/>
            <w:vAlign w:val="top"/>
          </w:tcPr>
          <w:p w14:paraId="17D5EC05">
            <w:pPr>
              <w:rPr>
                <w:rFonts w:ascii="Arial"/>
                <w:sz w:val="21"/>
              </w:rPr>
            </w:pPr>
          </w:p>
        </w:tc>
        <w:tc>
          <w:tcPr>
            <w:tcW w:w="1927" w:type="dxa"/>
            <w:tcBorders>
              <w:right w:val="single" w:color="000000" w:sz="10" w:space="0"/>
            </w:tcBorders>
            <w:vAlign w:val="top"/>
          </w:tcPr>
          <w:p w14:paraId="193E98DA">
            <w:pPr>
              <w:rPr>
                <w:rFonts w:ascii="Arial"/>
                <w:sz w:val="21"/>
              </w:rPr>
            </w:pPr>
          </w:p>
        </w:tc>
      </w:tr>
      <w:tr w14:paraId="2361D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278" w:type="dxa"/>
            <w:tcBorders>
              <w:left w:val="single" w:color="000000" w:sz="10" w:space="0"/>
              <w:bottom w:val="single" w:color="000000" w:sz="10" w:space="0"/>
            </w:tcBorders>
            <w:vAlign w:val="top"/>
          </w:tcPr>
          <w:p w14:paraId="70249C53">
            <w:pPr>
              <w:rPr>
                <w:rFonts w:ascii="Arial"/>
                <w:sz w:val="21"/>
              </w:rPr>
            </w:pPr>
          </w:p>
        </w:tc>
        <w:tc>
          <w:tcPr>
            <w:tcW w:w="2068" w:type="dxa"/>
            <w:tcBorders>
              <w:bottom w:val="single" w:color="000000" w:sz="10" w:space="0"/>
            </w:tcBorders>
            <w:vAlign w:val="top"/>
          </w:tcPr>
          <w:p w14:paraId="62E7EA55">
            <w:pPr>
              <w:rPr>
                <w:rFonts w:ascii="Arial"/>
                <w:sz w:val="21"/>
              </w:rPr>
            </w:pPr>
          </w:p>
        </w:tc>
        <w:tc>
          <w:tcPr>
            <w:tcW w:w="2148" w:type="dxa"/>
            <w:tcBorders>
              <w:bottom w:val="single" w:color="000000" w:sz="10" w:space="0"/>
            </w:tcBorders>
            <w:vAlign w:val="top"/>
          </w:tcPr>
          <w:p w14:paraId="744FD566">
            <w:pPr>
              <w:rPr>
                <w:rFonts w:ascii="Arial"/>
                <w:sz w:val="21"/>
              </w:rPr>
            </w:pPr>
          </w:p>
        </w:tc>
        <w:tc>
          <w:tcPr>
            <w:tcW w:w="1172" w:type="dxa"/>
            <w:tcBorders>
              <w:bottom w:val="single" w:color="000000" w:sz="10" w:space="0"/>
            </w:tcBorders>
            <w:vAlign w:val="top"/>
          </w:tcPr>
          <w:p w14:paraId="20025E2D">
            <w:pPr>
              <w:rPr>
                <w:rFonts w:ascii="Arial"/>
                <w:sz w:val="21"/>
              </w:rPr>
            </w:pPr>
          </w:p>
        </w:tc>
        <w:tc>
          <w:tcPr>
            <w:tcW w:w="1264" w:type="dxa"/>
            <w:tcBorders>
              <w:bottom w:val="single" w:color="000000" w:sz="10" w:space="0"/>
            </w:tcBorders>
            <w:vAlign w:val="top"/>
          </w:tcPr>
          <w:p w14:paraId="195B8D26">
            <w:pPr>
              <w:rPr>
                <w:rFonts w:ascii="Arial"/>
                <w:sz w:val="21"/>
              </w:rPr>
            </w:pPr>
          </w:p>
        </w:tc>
        <w:tc>
          <w:tcPr>
            <w:tcW w:w="1927" w:type="dxa"/>
            <w:tcBorders>
              <w:bottom w:val="single" w:color="000000" w:sz="10" w:space="0"/>
              <w:right w:val="single" w:color="000000" w:sz="10" w:space="0"/>
            </w:tcBorders>
            <w:vAlign w:val="top"/>
          </w:tcPr>
          <w:p w14:paraId="6D763985">
            <w:pPr>
              <w:rPr>
                <w:rFonts w:ascii="Arial"/>
                <w:sz w:val="21"/>
              </w:rPr>
            </w:pPr>
          </w:p>
        </w:tc>
      </w:tr>
    </w:tbl>
    <w:p w14:paraId="112518AE">
      <w:pPr>
        <w:pStyle w:val="10"/>
        <w:spacing w:line="353" w:lineRule="auto"/>
      </w:pPr>
    </w:p>
    <w:p w14:paraId="6198A35E">
      <w:pPr>
        <w:spacing w:before="65" w:line="227" w:lineRule="auto"/>
        <w:ind w:left="130"/>
        <w:rPr>
          <w:rFonts w:ascii="宋体" w:hAnsi="宋体" w:eastAsia="宋体" w:cs="宋体"/>
          <w:sz w:val="20"/>
          <w:szCs w:val="20"/>
        </w:rPr>
      </w:pPr>
      <w:r>
        <w:rPr>
          <w:rFonts w:ascii="宋体" w:hAnsi="宋体" w:eastAsia="宋体" w:cs="宋体"/>
          <w:spacing w:val="5"/>
          <w:sz w:val="20"/>
          <w:szCs w:val="20"/>
        </w:rPr>
        <w:t>注</w:t>
      </w:r>
      <w:r>
        <w:rPr>
          <w:rFonts w:ascii="宋体" w:hAnsi="宋体" w:eastAsia="宋体" w:cs="宋体"/>
          <w:spacing w:val="-14"/>
          <w:sz w:val="20"/>
          <w:szCs w:val="20"/>
        </w:rPr>
        <w:t xml:space="preserve"> </w:t>
      </w:r>
      <w:r>
        <w:rPr>
          <w:rFonts w:ascii="宋体" w:hAnsi="宋体" w:eastAsia="宋体" w:cs="宋体"/>
          <w:spacing w:val="5"/>
          <w:sz w:val="20"/>
          <w:szCs w:val="20"/>
        </w:rPr>
        <w:t>：附相关材料复印件。</w:t>
      </w:r>
    </w:p>
    <w:p w14:paraId="35C8BE8E">
      <w:pPr>
        <w:spacing w:line="227" w:lineRule="auto"/>
        <w:rPr>
          <w:rFonts w:ascii="宋体" w:hAnsi="宋体" w:eastAsia="宋体" w:cs="宋体"/>
          <w:sz w:val="20"/>
          <w:szCs w:val="20"/>
        </w:rPr>
        <w:sectPr>
          <w:footerReference r:id="rId28" w:type="default"/>
          <w:pgSz w:w="12240" w:h="15840"/>
          <w:pgMar w:top="1119" w:right="1399" w:bottom="1072" w:left="957" w:header="0" w:footer="910" w:gutter="0"/>
          <w:cols w:space="720" w:num="1"/>
        </w:sectPr>
      </w:pPr>
    </w:p>
    <w:p w14:paraId="183D9748">
      <w:pPr>
        <w:spacing w:before="56" w:line="219" w:lineRule="auto"/>
        <w:ind w:left="2896"/>
        <w:rPr>
          <w:rFonts w:ascii="宋体" w:hAnsi="宋体" w:eastAsia="宋体" w:cs="宋体"/>
          <w:sz w:val="28"/>
          <w:szCs w:val="28"/>
        </w:rPr>
      </w:pPr>
      <w:r>
        <w:rPr>
          <w:rFonts w:ascii="宋体" w:hAnsi="宋体" w:eastAsia="宋体" w:cs="宋体"/>
          <w:spacing w:val="-2"/>
          <w:sz w:val="28"/>
          <w:szCs w:val="28"/>
        </w:rPr>
        <w:t>（六）拟委任的主要人员汇总表</w:t>
      </w:r>
    </w:p>
    <w:p w14:paraId="60D1BC18">
      <w:pPr>
        <w:spacing w:line="189" w:lineRule="exact"/>
      </w:pPr>
    </w:p>
    <w:tbl>
      <w:tblPr>
        <w:tblStyle w:val="35"/>
        <w:tblW w:w="96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
        <w:gridCol w:w="1478"/>
        <w:gridCol w:w="995"/>
        <w:gridCol w:w="996"/>
        <w:gridCol w:w="995"/>
        <w:gridCol w:w="1291"/>
        <w:gridCol w:w="996"/>
        <w:gridCol w:w="996"/>
        <w:gridCol w:w="991"/>
      </w:tblGrid>
      <w:tr w14:paraId="4A946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931" w:type="dxa"/>
            <w:vMerge w:val="restart"/>
            <w:tcBorders>
              <w:bottom w:val="nil"/>
            </w:tcBorders>
            <w:vAlign w:val="top"/>
          </w:tcPr>
          <w:p w14:paraId="6A68E475">
            <w:pPr>
              <w:spacing w:line="325" w:lineRule="auto"/>
              <w:rPr>
                <w:rFonts w:ascii="Arial"/>
                <w:sz w:val="21"/>
              </w:rPr>
            </w:pPr>
          </w:p>
          <w:p w14:paraId="43A599A0">
            <w:pPr>
              <w:pStyle w:val="51"/>
              <w:spacing w:before="78" w:line="221" w:lineRule="auto"/>
              <w:ind w:left="230"/>
              <w:rPr>
                <w:sz w:val="24"/>
                <w:szCs w:val="24"/>
              </w:rPr>
            </w:pPr>
            <w:r>
              <w:rPr>
                <w:spacing w:val="-5"/>
                <w:sz w:val="24"/>
                <w:szCs w:val="24"/>
              </w:rPr>
              <w:t>序号</w:t>
            </w:r>
          </w:p>
        </w:tc>
        <w:tc>
          <w:tcPr>
            <w:tcW w:w="1478" w:type="dxa"/>
            <w:vMerge w:val="restart"/>
            <w:tcBorders>
              <w:bottom w:val="nil"/>
            </w:tcBorders>
            <w:vAlign w:val="top"/>
          </w:tcPr>
          <w:p w14:paraId="4724A3B0">
            <w:pPr>
              <w:spacing w:line="324" w:lineRule="auto"/>
              <w:rPr>
                <w:rFonts w:ascii="Arial"/>
                <w:sz w:val="21"/>
              </w:rPr>
            </w:pPr>
          </w:p>
          <w:p w14:paraId="5DC7C82D">
            <w:pPr>
              <w:pStyle w:val="51"/>
              <w:spacing w:before="78" w:line="219" w:lineRule="auto"/>
              <w:ind w:left="144"/>
              <w:rPr>
                <w:sz w:val="24"/>
                <w:szCs w:val="24"/>
              </w:rPr>
            </w:pPr>
            <w:r>
              <w:rPr>
                <w:spacing w:val="-3"/>
                <w:sz w:val="24"/>
                <w:szCs w:val="24"/>
              </w:rPr>
              <w:t>本项目任职</w:t>
            </w:r>
          </w:p>
        </w:tc>
        <w:tc>
          <w:tcPr>
            <w:tcW w:w="995" w:type="dxa"/>
            <w:vMerge w:val="restart"/>
            <w:tcBorders>
              <w:bottom w:val="nil"/>
            </w:tcBorders>
            <w:vAlign w:val="top"/>
          </w:tcPr>
          <w:p w14:paraId="5315B833">
            <w:pPr>
              <w:spacing w:line="325" w:lineRule="auto"/>
              <w:rPr>
                <w:rFonts w:ascii="Arial"/>
                <w:sz w:val="21"/>
              </w:rPr>
            </w:pPr>
          </w:p>
          <w:p w14:paraId="3E970753">
            <w:pPr>
              <w:pStyle w:val="51"/>
              <w:spacing w:before="78" w:line="219" w:lineRule="auto"/>
              <w:ind w:left="263"/>
              <w:rPr>
                <w:sz w:val="24"/>
                <w:szCs w:val="24"/>
              </w:rPr>
            </w:pPr>
            <w:r>
              <w:rPr>
                <w:spacing w:val="-5"/>
                <w:sz w:val="24"/>
                <w:szCs w:val="24"/>
              </w:rPr>
              <w:t>姓名</w:t>
            </w:r>
          </w:p>
        </w:tc>
        <w:tc>
          <w:tcPr>
            <w:tcW w:w="996" w:type="dxa"/>
            <w:vMerge w:val="restart"/>
            <w:tcBorders>
              <w:bottom w:val="nil"/>
            </w:tcBorders>
            <w:vAlign w:val="top"/>
          </w:tcPr>
          <w:p w14:paraId="753D84B1">
            <w:pPr>
              <w:spacing w:line="326" w:lineRule="auto"/>
              <w:rPr>
                <w:rFonts w:ascii="Arial"/>
                <w:sz w:val="21"/>
              </w:rPr>
            </w:pPr>
          </w:p>
          <w:p w14:paraId="57A2F689">
            <w:pPr>
              <w:pStyle w:val="51"/>
              <w:spacing w:before="78" w:line="221" w:lineRule="auto"/>
              <w:ind w:left="265"/>
              <w:rPr>
                <w:sz w:val="24"/>
                <w:szCs w:val="24"/>
              </w:rPr>
            </w:pPr>
            <w:r>
              <w:rPr>
                <w:spacing w:val="-6"/>
                <w:sz w:val="24"/>
                <w:szCs w:val="24"/>
              </w:rPr>
              <w:t>职称</w:t>
            </w:r>
          </w:p>
        </w:tc>
        <w:tc>
          <w:tcPr>
            <w:tcW w:w="995" w:type="dxa"/>
            <w:vMerge w:val="restart"/>
            <w:tcBorders>
              <w:bottom w:val="nil"/>
            </w:tcBorders>
            <w:vAlign w:val="top"/>
          </w:tcPr>
          <w:p w14:paraId="5015A4DD">
            <w:pPr>
              <w:spacing w:line="325" w:lineRule="auto"/>
              <w:rPr>
                <w:rFonts w:ascii="Arial"/>
                <w:sz w:val="21"/>
              </w:rPr>
            </w:pPr>
          </w:p>
          <w:p w14:paraId="7114D0A7">
            <w:pPr>
              <w:pStyle w:val="51"/>
              <w:spacing w:before="78" w:line="220" w:lineRule="auto"/>
              <w:ind w:left="265"/>
              <w:rPr>
                <w:sz w:val="24"/>
                <w:szCs w:val="24"/>
              </w:rPr>
            </w:pPr>
            <w:r>
              <w:rPr>
                <w:spacing w:val="-6"/>
                <w:sz w:val="24"/>
                <w:szCs w:val="24"/>
              </w:rPr>
              <w:t>专业</w:t>
            </w:r>
          </w:p>
        </w:tc>
        <w:tc>
          <w:tcPr>
            <w:tcW w:w="3283" w:type="dxa"/>
            <w:gridSpan w:val="3"/>
            <w:vAlign w:val="top"/>
          </w:tcPr>
          <w:p w14:paraId="1E3133F9">
            <w:pPr>
              <w:pStyle w:val="51"/>
              <w:spacing w:before="199" w:line="219" w:lineRule="auto"/>
              <w:ind w:left="570"/>
              <w:rPr>
                <w:sz w:val="24"/>
                <w:szCs w:val="24"/>
              </w:rPr>
            </w:pPr>
            <w:r>
              <w:rPr>
                <w:spacing w:val="-2"/>
                <w:sz w:val="24"/>
                <w:szCs w:val="24"/>
              </w:rPr>
              <w:t>执业或职业资格证明</w:t>
            </w:r>
          </w:p>
        </w:tc>
        <w:tc>
          <w:tcPr>
            <w:tcW w:w="991" w:type="dxa"/>
            <w:vMerge w:val="restart"/>
            <w:tcBorders>
              <w:bottom w:val="nil"/>
            </w:tcBorders>
            <w:vAlign w:val="top"/>
          </w:tcPr>
          <w:p w14:paraId="1233A4C1">
            <w:pPr>
              <w:spacing w:line="325" w:lineRule="auto"/>
              <w:rPr>
                <w:rFonts w:ascii="Arial"/>
                <w:sz w:val="21"/>
              </w:rPr>
            </w:pPr>
          </w:p>
          <w:p w14:paraId="20F82941">
            <w:pPr>
              <w:pStyle w:val="51"/>
              <w:spacing w:before="78" w:line="221" w:lineRule="auto"/>
              <w:ind w:left="263"/>
              <w:rPr>
                <w:sz w:val="24"/>
                <w:szCs w:val="24"/>
              </w:rPr>
            </w:pPr>
            <w:r>
              <w:rPr>
                <w:spacing w:val="-7"/>
                <w:sz w:val="24"/>
                <w:szCs w:val="24"/>
              </w:rPr>
              <w:t>备注</w:t>
            </w:r>
          </w:p>
        </w:tc>
      </w:tr>
      <w:tr w14:paraId="526FC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31" w:type="dxa"/>
            <w:vMerge w:val="continue"/>
            <w:tcBorders>
              <w:top w:val="nil"/>
            </w:tcBorders>
            <w:vAlign w:val="top"/>
          </w:tcPr>
          <w:p w14:paraId="2D203B07">
            <w:pPr>
              <w:rPr>
                <w:rFonts w:ascii="Arial"/>
                <w:sz w:val="21"/>
              </w:rPr>
            </w:pPr>
          </w:p>
        </w:tc>
        <w:tc>
          <w:tcPr>
            <w:tcW w:w="1478" w:type="dxa"/>
            <w:vMerge w:val="continue"/>
            <w:tcBorders>
              <w:top w:val="nil"/>
            </w:tcBorders>
            <w:vAlign w:val="top"/>
          </w:tcPr>
          <w:p w14:paraId="36260790">
            <w:pPr>
              <w:rPr>
                <w:rFonts w:ascii="Arial"/>
                <w:sz w:val="21"/>
              </w:rPr>
            </w:pPr>
          </w:p>
        </w:tc>
        <w:tc>
          <w:tcPr>
            <w:tcW w:w="995" w:type="dxa"/>
            <w:vMerge w:val="continue"/>
            <w:tcBorders>
              <w:top w:val="nil"/>
            </w:tcBorders>
            <w:vAlign w:val="top"/>
          </w:tcPr>
          <w:p w14:paraId="571EE66E">
            <w:pPr>
              <w:rPr>
                <w:rFonts w:ascii="Arial"/>
                <w:sz w:val="21"/>
              </w:rPr>
            </w:pPr>
          </w:p>
        </w:tc>
        <w:tc>
          <w:tcPr>
            <w:tcW w:w="996" w:type="dxa"/>
            <w:vMerge w:val="continue"/>
            <w:tcBorders>
              <w:top w:val="nil"/>
            </w:tcBorders>
            <w:vAlign w:val="top"/>
          </w:tcPr>
          <w:p w14:paraId="198F6F22">
            <w:pPr>
              <w:rPr>
                <w:rFonts w:ascii="Arial"/>
                <w:sz w:val="21"/>
              </w:rPr>
            </w:pPr>
          </w:p>
        </w:tc>
        <w:tc>
          <w:tcPr>
            <w:tcW w:w="995" w:type="dxa"/>
            <w:vMerge w:val="continue"/>
            <w:tcBorders>
              <w:top w:val="nil"/>
            </w:tcBorders>
            <w:vAlign w:val="top"/>
          </w:tcPr>
          <w:p w14:paraId="115E939D">
            <w:pPr>
              <w:rPr>
                <w:rFonts w:ascii="Arial"/>
                <w:sz w:val="21"/>
              </w:rPr>
            </w:pPr>
          </w:p>
        </w:tc>
        <w:tc>
          <w:tcPr>
            <w:tcW w:w="1291" w:type="dxa"/>
            <w:vAlign w:val="top"/>
          </w:tcPr>
          <w:p w14:paraId="1D4095CE">
            <w:pPr>
              <w:pStyle w:val="51"/>
              <w:spacing w:before="80" w:line="219" w:lineRule="auto"/>
              <w:ind w:left="174"/>
              <w:rPr>
                <w:sz w:val="24"/>
                <w:szCs w:val="24"/>
              </w:rPr>
            </w:pPr>
            <w:r>
              <w:rPr>
                <w:spacing w:val="-3"/>
                <w:sz w:val="24"/>
                <w:szCs w:val="24"/>
              </w:rPr>
              <w:t>证书名称</w:t>
            </w:r>
          </w:p>
        </w:tc>
        <w:tc>
          <w:tcPr>
            <w:tcW w:w="996" w:type="dxa"/>
            <w:vAlign w:val="top"/>
          </w:tcPr>
          <w:p w14:paraId="0677B9AB">
            <w:pPr>
              <w:pStyle w:val="51"/>
              <w:spacing w:before="80" w:line="220" w:lineRule="auto"/>
              <w:ind w:left="272"/>
              <w:rPr>
                <w:sz w:val="24"/>
                <w:szCs w:val="24"/>
              </w:rPr>
            </w:pPr>
            <w:r>
              <w:rPr>
                <w:spacing w:val="-7"/>
                <w:sz w:val="24"/>
                <w:szCs w:val="24"/>
              </w:rPr>
              <w:t>级别</w:t>
            </w:r>
          </w:p>
        </w:tc>
        <w:tc>
          <w:tcPr>
            <w:tcW w:w="996" w:type="dxa"/>
            <w:vAlign w:val="top"/>
          </w:tcPr>
          <w:p w14:paraId="12A28CBD">
            <w:pPr>
              <w:pStyle w:val="51"/>
              <w:spacing w:before="80" w:line="221" w:lineRule="auto"/>
              <w:ind w:left="268"/>
              <w:rPr>
                <w:sz w:val="24"/>
                <w:szCs w:val="24"/>
              </w:rPr>
            </w:pPr>
            <w:r>
              <w:rPr>
                <w:spacing w:val="-5"/>
                <w:sz w:val="24"/>
                <w:szCs w:val="24"/>
              </w:rPr>
              <w:t>证号</w:t>
            </w:r>
          </w:p>
        </w:tc>
        <w:tc>
          <w:tcPr>
            <w:tcW w:w="991" w:type="dxa"/>
            <w:vMerge w:val="continue"/>
            <w:tcBorders>
              <w:top w:val="nil"/>
            </w:tcBorders>
            <w:vAlign w:val="top"/>
          </w:tcPr>
          <w:p w14:paraId="42589FD4">
            <w:pPr>
              <w:rPr>
                <w:rFonts w:ascii="Arial"/>
                <w:sz w:val="21"/>
              </w:rPr>
            </w:pPr>
          </w:p>
        </w:tc>
      </w:tr>
      <w:tr w14:paraId="39D0B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931" w:type="dxa"/>
            <w:vAlign w:val="top"/>
          </w:tcPr>
          <w:p w14:paraId="1BF62FED">
            <w:pPr>
              <w:rPr>
                <w:rFonts w:ascii="Arial"/>
                <w:sz w:val="21"/>
              </w:rPr>
            </w:pPr>
          </w:p>
        </w:tc>
        <w:tc>
          <w:tcPr>
            <w:tcW w:w="1478" w:type="dxa"/>
            <w:vAlign w:val="top"/>
          </w:tcPr>
          <w:p w14:paraId="4467B19E">
            <w:pPr>
              <w:rPr>
                <w:rFonts w:ascii="Arial"/>
                <w:sz w:val="21"/>
              </w:rPr>
            </w:pPr>
          </w:p>
        </w:tc>
        <w:tc>
          <w:tcPr>
            <w:tcW w:w="995" w:type="dxa"/>
            <w:vAlign w:val="top"/>
          </w:tcPr>
          <w:p w14:paraId="5761DD93">
            <w:pPr>
              <w:rPr>
                <w:rFonts w:ascii="Arial"/>
                <w:sz w:val="21"/>
              </w:rPr>
            </w:pPr>
          </w:p>
        </w:tc>
        <w:tc>
          <w:tcPr>
            <w:tcW w:w="996" w:type="dxa"/>
            <w:vAlign w:val="top"/>
          </w:tcPr>
          <w:p w14:paraId="377144D3">
            <w:pPr>
              <w:rPr>
                <w:rFonts w:ascii="Arial"/>
                <w:sz w:val="21"/>
              </w:rPr>
            </w:pPr>
          </w:p>
        </w:tc>
        <w:tc>
          <w:tcPr>
            <w:tcW w:w="995" w:type="dxa"/>
            <w:vAlign w:val="top"/>
          </w:tcPr>
          <w:p w14:paraId="53B7A740">
            <w:pPr>
              <w:rPr>
                <w:rFonts w:ascii="Arial"/>
                <w:sz w:val="21"/>
              </w:rPr>
            </w:pPr>
          </w:p>
        </w:tc>
        <w:tc>
          <w:tcPr>
            <w:tcW w:w="1291" w:type="dxa"/>
            <w:vAlign w:val="top"/>
          </w:tcPr>
          <w:p w14:paraId="3D37D22D">
            <w:pPr>
              <w:rPr>
                <w:rFonts w:ascii="Arial"/>
                <w:sz w:val="21"/>
              </w:rPr>
            </w:pPr>
          </w:p>
        </w:tc>
        <w:tc>
          <w:tcPr>
            <w:tcW w:w="996" w:type="dxa"/>
            <w:vAlign w:val="top"/>
          </w:tcPr>
          <w:p w14:paraId="15C51C50">
            <w:pPr>
              <w:rPr>
                <w:rFonts w:ascii="Arial"/>
                <w:sz w:val="21"/>
              </w:rPr>
            </w:pPr>
          </w:p>
        </w:tc>
        <w:tc>
          <w:tcPr>
            <w:tcW w:w="996" w:type="dxa"/>
            <w:vAlign w:val="top"/>
          </w:tcPr>
          <w:p w14:paraId="175EBE0B">
            <w:pPr>
              <w:rPr>
                <w:rFonts w:ascii="Arial"/>
                <w:sz w:val="21"/>
              </w:rPr>
            </w:pPr>
          </w:p>
        </w:tc>
        <w:tc>
          <w:tcPr>
            <w:tcW w:w="991" w:type="dxa"/>
            <w:vAlign w:val="top"/>
          </w:tcPr>
          <w:p w14:paraId="2BDB9EFC">
            <w:pPr>
              <w:rPr>
                <w:rFonts w:ascii="Arial"/>
                <w:sz w:val="21"/>
              </w:rPr>
            </w:pPr>
          </w:p>
        </w:tc>
      </w:tr>
      <w:tr w14:paraId="7BA66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931" w:type="dxa"/>
            <w:vAlign w:val="top"/>
          </w:tcPr>
          <w:p w14:paraId="1D2C8058">
            <w:pPr>
              <w:rPr>
                <w:rFonts w:ascii="Arial"/>
                <w:sz w:val="21"/>
              </w:rPr>
            </w:pPr>
          </w:p>
        </w:tc>
        <w:tc>
          <w:tcPr>
            <w:tcW w:w="1478" w:type="dxa"/>
            <w:vAlign w:val="top"/>
          </w:tcPr>
          <w:p w14:paraId="05DFEA86">
            <w:pPr>
              <w:rPr>
                <w:rFonts w:ascii="Arial"/>
                <w:sz w:val="21"/>
              </w:rPr>
            </w:pPr>
          </w:p>
        </w:tc>
        <w:tc>
          <w:tcPr>
            <w:tcW w:w="995" w:type="dxa"/>
            <w:vAlign w:val="top"/>
          </w:tcPr>
          <w:p w14:paraId="216B9C3A">
            <w:pPr>
              <w:rPr>
                <w:rFonts w:ascii="Arial"/>
                <w:sz w:val="21"/>
              </w:rPr>
            </w:pPr>
          </w:p>
        </w:tc>
        <w:tc>
          <w:tcPr>
            <w:tcW w:w="996" w:type="dxa"/>
            <w:vAlign w:val="top"/>
          </w:tcPr>
          <w:p w14:paraId="58DDC6BE">
            <w:pPr>
              <w:rPr>
                <w:rFonts w:ascii="Arial"/>
                <w:sz w:val="21"/>
              </w:rPr>
            </w:pPr>
          </w:p>
        </w:tc>
        <w:tc>
          <w:tcPr>
            <w:tcW w:w="995" w:type="dxa"/>
            <w:vAlign w:val="top"/>
          </w:tcPr>
          <w:p w14:paraId="5B3DE998">
            <w:pPr>
              <w:rPr>
                <w:rFonts w:ascii="Arial"/>
                <w:sz w:val="21"/>
              </w:rPr>
            </w:pPr>
          </w:p>
        </w:tc>
        <w:tc>
          <w:tcPr>
            <w:tcW w:w="1291" w:type="dxa"/>
            <w:vAlign w:val="top"/>
          </w:tcPr>
          <w:p w14:paraId="4F3A275A">
            <w:pPr>
              <w:rPr>
                <w:rFonts w:ascii="Arial"/>
                <w:sz w:val="21"/>
              </w:rPr>
            </w:pPr>
          </w:p>
        </w:tc>
        <w:tc>
          <w:tcPr>
            <w:tcW w:w="996" w:type="dxa"/>
            <w:vAlign w:val="top"/>
          </w:tcPr>
          <w:p w14:paraId="2A2E919F">
            <w:pPr>
              <w:rPr>
                <w:rFonts w:ascii="Arial"/>
                <w:sz w:val="21"/>
              </w:rPr>
            </w:pPr>
          </w:p>
        </w:tc>
        <w:tc>
          <w:tcPr>
            <w:tcW w:w="996" w:type="dxa"/>
            <w:vAlign w:val="top"/>
          </w:tcPr>
          <w:p w14:paraId="6AFB1DFE">
            <w:pPr>
              <w:rPr>
                <w:rFonts w:ascii="Arial"/>
                <w:sz w:val="21"/>
              </w:rPr>
            </w:pPr>
          </w:p>
        </w:tc>
        <w:tc>
          <w:tcPr>
            <w:tcW w:w="991" w:type="dxa"/>
            <w:vAlign w:val="top"/>
          </w:tcPr>
          <w:p w14:paraId="389E0163">
            <w:pPr>
              <w:rPr>
                <w:rFonts w:ascii="Arial"/>
                <w:sz w:val="21"/>
              </w:rPr>
            </w:pPr>
          </w:p>
        </w:tc>
      </w:tr>
      <w:tr w14:paraId="475EC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931" w:type="dxa"/>
            <w:vAlign w:val="top"/>
          </w:tcPr>
          <w:p w14:paraId="6DB8DF70">
            <w:pPr>
              <w:rPr>
                <w:rFonts w:ascii="Arial"/>
                <w:sz w:val="21"/>
              </w:rPr>
            </w:pPr>
          </w:p>
        </w:tc>
        <w:tc>
          <w:tcPr>
            <w:tcW w:w="1478" w:type="dxa"/>
            <w:vAlign w:val="top"/>
          </w:tcPr>
          <w:p w14:paraId="55DE860B">
            <w:pPr>
              <w:rPr>
                <w:rFonts w:ascii="Arial"/>
                <w:sz w:val="21"/>
              </w:rPr>
            </w:pPr>
          </w:p>
        </w:tc>
        <w:tc>
          <w:tcPr>
            <w:tcW w:w="995" w:type="dxa"/>
            <w:vAlign w:val="top"/>
          </w:tcPr>
          <w:p w14:paraId="17162C38">
            <w:pPr>
              <w:rPr>
                <w:rFonts w:ascii="Arial"/>
                <w:sz w:val="21"/>
              </w:rPr>
            </w:pPr>
          </w:p>
        </w:tc>
        <w:tc>
          <w:tcPr>
            <w:tcW w:w="996" w:type="dxa"/>
            <w:vAlign w:val="top"/>
          </w:tcPr>
          <w:p w14:paraId="19384651">
            <w:pPr>
              <w:rPr>
                <w:rFonts w:ascii="Arial"/>
                <w:sz w:val="21"/>
              </w:rPr>
            </w:pPr>
          </w:p>
        </w:tc>
        <w:tc>
          <w:tcPr>
            <w:tcW w:w="995" w:type="dxa"/>
            <w:vAlign w:val="top"/>
          </w:tcPr>
          <w:p w14:paraId="0001329C">
            <w:pPr>
              <w:rPr>
                <w:rFonts w:ascii="Arial"/>
                <w:sz w:val="21"/>
              </w:rPr>
            </w:pPr>
          </w:p>
        </w:tc>
        <w:tc>
          <w:tcPr>
            <w:tcW w:w="1291" w:type="dxa"/>
            <w:vAlign w:val="top"/>
          </w:tcPr>
          <w:p w14:paraId="04962CDD">
            <w:pPr>
              <w:rPr>
                <w:rFonts w:ascii="Arial"/>
                <w:sz w:val="21"/>
              </w:rPr>
            </w:pPr>
          </w:p>
        </w:tc>
        <w:tc>
          <w:tcPr>
            <w:tcW w:w="996" w:type="dxa"/>
            <w:vAlign w:val="top"/>
          </w:tcPr>
          <w:p w14:paraId="65705CB3">
            <w:pPr>
              <w:rPr>
                <w:rFonts w:ascii="Arial"/>
                <w:sz w:val="21"/>
              </w:rPr>
            </w:pPr>
          </w:p>
        </w:tc>
        <w:tc>
          <w:tcPr>
            <w:tcW w:w="996" w:type="dxa"/>
            <w:vAlign w:val="top"/>
          </w:tcPr>
          <w:p w14:paraId="3DCD199E">
            <w:pPr>
              <w:rPr>
                <w:rFonts w:ascii="Arial"/>
                <w:sz w:val="21"/>
              </w:rPr>
            </w:pPr>
          </w:p>
        </w:tc>
        <w:tc>
          <w:tcPr>
            <w:tcW w:w="991" w:type="dxa"/>
            <w:vAlign w:val="top"/>
          </w:tcPr>
          <w:p w14:paraId="09E5B86D">
            <w:pPr>
              <w:rPr>
                <w:rFonts w:ascii="Arial"/>
                <w:sz w:val="21"/>
              </w:rPr>
            </w:pPr>
          </w:p>
        </w:tc>
      </w:tr>
      <w:tr w14:paraId="6CF12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931" w:type="dxa"/>
            <w:vAlign w:val="top"/>
          </w:tcPr>
          <w:p w14:paraId="7EF36532">
            <w:pPr>
              <w:rPr>
                <w:rFonts w:ascii="Arial"/>
                <w:sz w:val="21"/>
              </w:rPr>
            </w:pPr>
          </w:p>
        </w:tc>
        <w:tc>
          <w:tcPr>
            <w:tcW w:w="1478" w:type="dxa"/>
            <w:vAlign w:val="top"/>
          </w:tcPr>
          <w:p w14:paraId="729D1E63">
            <w:pPr>
              <w:rPr>
                <w:rFonts w:ascii="Arial"/>
                <w:sz w:val="21"/>
              </w:rPr>
            </w:pPr>
          </w:p>
        </w:tc>
        <w:tc>
          <w:tcPr>
            <w:tcW w:w="995" w:type="dxa"/>
            <w:vAlign w:val="top"/>
          </w:tcPr>
          <w:p w14:paraId="0AB58E6A">
            <w:pPr>
              <w:rPr>
                <w:rFonts w:ascii="Arial"/>
                <w:sz w:val="21"/>
              </w:rPr>
            </w:pPr>
          </w:p>
        </w:tc>
        <w:tc>
          <w:tcPr>
            <w:tcW w:w="996" w:type="dxa"/>
            <w:vAlign w:val="top"/>
          </w:tcPr>
          <w:p w14:paraId="36E85063">
            <w:pPr>
              <w:rPr>
                <w:rFonts w:ascii="Arial"/>
                <w:sz w:val="21"/>
              </w:rPr>
            </w:pPr>
          </w:p>
        </w:tc>
        <w:tc>
          <w:tcPr>
            <w:tcW w:w="995" w:type="dxa"/>
            <w:vAlign w:val="top"/>
          </w:tcPr>
          <w:p w14:paraId="67293300">
            <w:pPr>
              <w:rPr>
                <w:rFonts w:ascii="Arial"/>
                <w:sz w:val="21"/>
              </w:rPr>
            </w:pPr>
          </w:p>
        </w:tc>
        <w:tc>
          <w:tcPr>
            <w:tcW w:w="1291" w:type="dxa"/>
            <w:vAlign w:val="top"/>
          </w:tcPr>
          <w:p w14:paraId="0C18F5E2">
            <w:pPr>
              <w:rPr>
                <w:rFonts w:ascii="Arial"/>
                <w:sz w:val="21"/>
              </w:rPr>
            </w:pPr>
          </w:p>
        </w:tc>
        <w:tc>
          <w:tcPr>
            <w:tcW w:w="996" w:type="dxa"/>
            <w:vAlign w:val="top"/>
          </w:tcPr>
          <w:p w14:paraId="4AD208FB">
            <w:pPr>
              <w:rPr>
                <w:rFonts w:ascii="Arial"/>
                <w:sz w:val="21"/>
              </w:rPr>
            </w:pPr>
          </w:p>
        </w:tc>
        <w:tc>
          <w:tcPr>
            <w:tcW w:w="996" w:type="dxa"/>
            <w:vAlign w:val="top"/>
          </w:tcPr>
          <w:p w14:paraId="6A09EE8C">
            <w:pPr>
              <w:rPr>
                <w:rFonts w:ascii="Arial"/>
                <w:sz w:val="21"/>
              </w:rPr>
            </w:pPr>
          </w:p>
        </w:tc>
        <w:tc>
          <w:tcPr>
            <w:tcW w:w="991" w:type="dxa"/>
            <w:vAlign w:val="top"/>
          </w:tcPr>
          <w:p w14:paraId="46784B9C">
            <w:pPr>
              <w:rPr>
                <w:rFonts w:ascii="Arial"/>
                <w:sz w:val="21"/>
              </w:rPr>
            </w:pPr>
          </w:p>
        </w:tc>
      </w:tr>
      <w:tr w14:paraId="25F34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931" w:type="dxa"/>
            <w:vAlign w:val="top"/>
          </w:tcPr>
          <w:p w14:paraId="60FF944E">
            <w:pPr>
              <w:rPr>
                <w:rFonts w:ascii="Arial"/>
                <w:sz w:val="21"/>
              </w:rPr>
            </w:pPr>
          </w:p>
        </w:tc>
        <w:tc>
          <w:tcPr>
            <w:tcW w:w="1478" w:type="dxa"/>
            <w:vAlign w:val="top"/>
          </w:tcPr>
          <w:p w14:paraId="4FFEE5C6">
            <w:pPr>
              <w:rPr>
                <w:rFonts w:ascii="Arial"/>
                <w:sz w:val="21"/>
              </w:rPr>
            </w:pPr>
          </w:p>
        </w:tc>
        <w:tc>
          <w:tcPr>
            <w:tcW w:w="995" w:type="dxa"/>
            <w:vAlign w:val="top"/>
          </w:tcPr>
          <w:p w14:paraId="0FBEB18B">
            <w:pPr>
              <w:rPr>
                <w:rFonts w:ascii="Arial"/>
                <w:sz w:val="21"/>
              </w:rPr>
            </w:pPr>
          </w:p>
        </w:tc>
        <w:tc>
          <w:tcPr>
            <w:tcW w:w="996" w:type="dxa"/>
            <w:vAlign w:val="top"/>
          </w:tcPr>
          <w:p w14:paraId="1B2DE4B0">
            <w:pPr>
              <w:rPr>
                <w:rFonts w:ascii="Arial"/>
                <w:sz w:val="21"/>
              </w:rPr>
            </w:pPr>
          </w:p>
        </w:tc>
        <w:tc>
          <w:tcPr>
            <w:tcW w:w="995" w:type="dxa"/>
            <w:vAlign w:val="top"/>
          </w:tcPr>
          <w:p w14:paraId="409E4467">
            <w:pPr>
              <w:rPr>
                <w:rFonts w:ascii="Arial"/>
                <w:sz w:val="21"/>
              </w:rPr>
            </w:pPr>
          </w:p>
        </w:tc>
        <w:tc>
          <w:tcPr>
            <w:tcW w:w="1291" w:type="dxa"/>
            <w:vAlign w:val="top"/>
          </w:tcPr>
          <w:p w14:paraId="47E406A2">
            <w:pPr>
              <w:rPr>
                <w:rFonts w:ascii="Arial"/>
                <w:sz w:val="21"/>
              </w:rPr>
            </w:pPr>
          </w:p>
        </w:tc>
        <w:tc>
          <w:tcPr>
            <w:tcW w:w="996" w:type="dxa"/>
            <w:vAlign w:val="top"/>
          </w:tcPr>
          <w:p w14:paraId="64BE813D">
            <w:pPr>
              <w:rPr>
                <w:rFonts w:ascii="Arial"/>
                <w:sz w:val="21"/>
              </w:rPr>
            </w:pPr>
          </w:p>
        </w:tc>
        <w:tc>
          <w:tcPr>
            <w:tcW w:w="996" w:type="dxa"/>
            <w:vAlign w:val="top"/>
          </w:tcPr>
          <w:p w14:paraId="76C6DDF5">
            <w:pPr>
              <w:rPr>
                <w:rFonts w:ascii="Arial"/>
                <w:sz w:val="21"/>
              </w:rPr>
            </w:pPr>
          </w:p>
        </w:tc>
        <w:tc>
          <w:tcPr>
            <w:tcW w:w="991" w:type="dxa"/>
            <w:vAlign w:val="top"/>
          </w:tcPr>
          <w:p w14:paraId="4557AC86">
            <w:pPr>
              <w:rPr>
                <w:rFonts w:ascii="Arial"/>
                <w:sz w:val="21"/>
              </w:rPr>
            </w:pPr>
          </w:p>
        </w:tc>
      </w:tr>
      <w:tr w14:paraId="1648F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931" w:type="dxa"/>
            <w:vAlign w:val="top"/>
          </w:tcPr>
          <w:p w14:paraId="0A424654">
            <w:pPr>
              <w:rPr>
                <w:rFonts w:ascii="Arial"/>
                <w:sz w:val="21"/>
              </w:rPr>
            </w:pPr>
          </w:p>
        </w:tc>
        <w:tc>
          <w:tcPr>
            <w:tcW w:w="1478" w:type="dxa"/>
            <w:vAlign w:val="top"/>
          </w:tcPr>
          <w:p w14:paraId="2FBB3FF6">
            <w:pPr>
              <w:rPr>
                <w:rFonts w:ascii="Arial"/>
                <w:sz w:val="21"/>
              </w:rPr>
            </w:pPr>
          </w:p>
        </w:tc>
        <w:tc>
          <w:tcPr>
            <w:tcW w:w="995" w:type="dxa"/>
            <w:vAlign w:val="top"/>
          </w:tcPr>
          <w:p w14:paraId="2D081F41">
            <w:pPr>
              <w:rPr>
                <w:rFonts w:ascii="Arial"/>
                <w:sz w:val="21"/>
              </w:rPr>
            </w:pPr>
          </w:p>
        </w:tc>
        <w:tc>
          <w:tcPr>
            <w:tcW w:w="996" w:type="dxa"/>
            <w:vAlign w:val="top"/>
          </w:tcPr>
          <w:p w14:paraId="51216E46">
            <w:pPr>
              <w:rPr>
                <w:rFonts w:ascii="Arial"/>
                <w:sz w:val="21"/>
              </w:rPr>
            </w:pPr>
          </w:p>
        </w:tc>
        <w:tc>
          <w:tcPr>
            <w:tcW w:w="995" w:type="dxa"/>
            <w:vAlign w:val="top"/>
          </w:tcPr>
          <w:p w14:paraId="3D89D631">
            <w:pPr>
              <w:rPr>
                <w:rFonts w:ascii="Arial"/>
                <w:sz w:val="21"/>
              </w:rPr>
            </w:pPr>
          </w:p>
        </w:tc>
        <w:tc>
          <w:tcPr>
            <w:tcW w:w="1291" w:type="dxa"/>
            <w:vAlign w:val="top"/>
          </w:tcPr>
          <w:p w14:paraId="45F111D7">
            <w:pPr>
              <w:rPr>
                <w:rFonts w:ascii="Arial"/>
                <w:sz w:val="21"/>
              </w:rPr>
            </w:pPr>
          </w:p>
        </w:tc>
        <w:tc>
          <w:tcPr>
            <w:tcW w:w="996" w:type="dxa"/>
            <w:vAlign w:val="top"/>
          </w:tcPr>
          <w:p w14:paraId="2EE7711F">
            <w:pPr>
              <w:rPr>
                <w:rFonts w:ascii="Arial"/>
                <w:sz w:val="21"/>
              </w:rPr>
            </w:pPr>
          </w:p>
        </w:tc>
        <w:tc>
          <w:tcPr>
            <w:tcW w:w="996" w:type="dxa"/>
            <w:vAlign w:val="top"/>
          </w:tcPr>
          <w:p w14:paraId="7D7F039C">
            <w:pPr>
              <w:rPr>
                <w:rFonts w:ascii="Arial"/>
                <w:sz w:val="21"/>
              </w:rPr>
            </w:pPr>
          </w:p>
        </w:tc>
        <w:tc>
          <w:tcPr>
            <w:tcW w:w="991" w:type="dxa"/>
            <w:vAlign w:val="top"/>
          </w:tcPr>
          <w:p w14:paraId="44280797">
            <w:pPr>
              <w:rPr>
                <w:rFonts w:ascii="Arial"/>
                <w:sz w:val="21"/>
              </w:rPr>
            </w:pPr>
          </w:p>
        </w:tc>
      </w:tr>
      <w:tr w14:paraId="2364F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931" w:type="dxa"/>
            <w:vAlign w:val="top"/>
          </w:tcPr>
          <w:p w14:paraId="423C8543">
            <w:pPr>
              <w:rPr>
                <w:rFonts w:ascii="Arial"/>
                <w:sz w:val="21"/>
              </w:rPr>
            </w:pPr>
          </w:p>
        </w:tc>
        <w:tc>
          <w:tcPr>
            <w:tcW w:w="1478" w:type="dxa"/>
            <w:vAlign w:val="top"/>
          </w:tcPr>
          <w:p w14:paraId="2CBF5517">
            <w:pPr>
              <w:rPr>
                <w:rFonts w:ascii="Arial"/>
                <w:sz w:val="21"/>
              </w:rPr>
            </w:pPr>
          </w:p>
        </w:tc>
        <w:tc>
          <w:tcPr>
            <w:tcW w:w="995" w:type="dxa"/>
            <w:vAlign w:val="top"/>
          </w:tcPr>
          <w:p w14:paraId="672CEEBF">
            <w:pPr>
              <w:rPr>
                <w:rFonts w:ascii="Arial"/>
                <w:sz w:val="21"/>
              </w:rPr>
            </w:pPr>
          </w:p>
        </w:tc>
        <w:tc>
          <w:tcPr>
            <w:tcW w:w="996" w:type="dxa"/>
            <w:vAlign w:val="top"/>
          </w:tcPr>
          <w:p w14:paraId="225B29A3">
            <w:pPr>
              <w:rPr>
                <w:rFonts w:ascii="Arial"/>
                <w:sz w:val="21"/>
              </w:rPr>
            </w:pPr>
          </w:p>
        </w:tc>
        <w:tc>
          <w:tcPr>
            <w:tcW w:w="995" w:type="dxa"/>
            <w:vAlign w:val="top"/>
          </w:tcPr>
          <w:p w14:paraId="45091DEC">
            <w:pPr>
              <w:rPr>
                <w:rFonts w:ascii="Arial"/>
                <w:sz w:val="21"/>
              </w:rPr>
            </w:pPr>
          </w:p>
        </w:tc>
        <w:tc>
          <w:tcPr>
            <w:tcW w:w="1291" w:type="dxa"/>
            <w:vAlign w:val="top"/>
          </w:tcPr>
          <w:p w14:paraId="31E8AC5F">
            <w:pPr>
              <w:rPr>
                <w:rFonts w:ascii="Arial"/>
                <w:sz w:val="21"/>
              </w:rPr>
            </w:pPr>
          </w:p>
        </w:tc>
        <w:tc>
          <w:tcPr>
            <w:tcW w:w="996" w:type="dxa"/>
            <w:vAlign w:val="top"/>
          </w:tcPr>
          <w:p w14:paraId="54B20C40">
            <w:pPr>
              <w:rPr>
                <w:rFonts w:ascii="Arial"/>
                <w:sz w:val="21"/>
              </w:rPr>
            </w:pPr>
          </w:p>
        </w:tc>
        <w:tc>
          <w:tcPr>
            <w:tcW w:w="996" w:type="dxa"/>
            <w:vAlign w:val="top"/>
          </w:tcPr>
          <w:p w14:paraId="2DDEED20">
            <w:pPr>
              <w:rPr>
                <w:rFonts w:ascii="Arial"/>
                <w:sz w:val="21"/>
              </w:rPr>
            </w:pPr>
          </w:p>
        </w:tc>
        <w:tc>
          <w:tcPr>
            <w:tcW w:w="991" w:type="dxa"/>
            <w:vAlign w:val="top"/>
          </w:tcPr>
          <w:p w14:paraId="06792119">
            <w:pPr>
              <w:rPr>
                <w:rFonts w:ascii="Arial"/>
                <w:sz w:val="21"/>
              </w:rPr>
            </w:pPr>
          </w:p>
        </w:tc>
      </w:tr>
      <w:tr w14:paraId="0760F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931" w:type="dxa"/>
            <w:vAlign w:val="top"/>
          </w:tcPr>
          <w:p w14:paraId="69C9EF7B">
            <w:pPr>
              <w:rPr>
                <w:rFonts w:ascii="Arial"/>
                <w:sz w:val="21"/>
              </w:rPr>
            </w:pPr>
          </w:p>
        </w:tc>
        <w:tc>
          <w:tcPr>
            <w:tcW w:w="1478" w:type="dxa"/>
            <w:vAlign w:val="top"/>
          </w:tcPr>
          <w:p w14:paraId="74E1EEF1">
            <w:pPr>
              <w:rPr>
                <w:rFonts w:ascii="Arial"/>
                <w:sz w:val="21"/>
              </w:rPr>
            </w:pPr>
          </w:p>
        </w:tc>
        <w:tc>
          <w:tcPr>
            <w:tcW w:w="995" w:type="dxa"/>
            <w:vAlign w:val="top"/>
          </w:tcPr>
          <w:p w14:paraId="01D1F2CC">
            <w:pPr>
              <w:rPr>
                <w:rFonts w:ascii="Arial"/>
                <w:sz w:val="21"/>
              </w:rPr>
            </w:pPr>
          </w:p>
        </w:tc>
        <w:tc>
          <w:tcPr>
            <w:tcW w:w="996" w:type="dxa"/>
            <w:vAlign w:val="top"/>
          </w:tcPr>
          <w:p w14:paraId="13ED4767">
            <w:pPr>
              <w:rPr>
                <w:rFonts w:ascii="Arial"/>
                <w:sz w:val="21"/>
              </w:rPr>
            </w:pPr>
          </w:p>
        </w:tc>
        <w:tc>
          <w:tcPr>
            <w:tcW w:w="995" w:type="dxa"/>
            <w:vAlign w:val="top"/>
          </w:tcPr>
          <w:p w14:paraId="2DD2FB0F">
            <w:pPr>
              <w:rPr>
                <w:rFonts w:ascii="Arial"/>
                <w:sz w:val="21"/>
              </w:rPr>
            </w:pPr>
          </w:p>
        </w:tc>
        <w:tc>
          <w:tcPr>
            <w:tcW w:w="1291" w:type="dxa"/>
            <w:vAlign w:val="top"/>
          </w:tcPr>
          <w:p w14:paraId="1B6051BD">
            <w:pPr>
              <w:rPr>
                <w:rFonts w:ascii="Arial"/>
                <w:sz w:val="21"/>
              </w:rPr>
            </w:pPr>
          </w:p>
        </w:tc>
        <w:tc>
          <w:tcPr>
            <w:tcW w:w="996" w:type="dxa"/>
            <w:vAlign w:val="top"/>
          </w:tcPr>
          <w:p w14:paraId="493212BD">
            <w:pPr>
              <w:rPr>
                <w:rFonts w:ascii="Arial"/>
                <w:sz w:val="21"/>
              </w:rPr>
            </w:pPr>
          </w:p>
        </w:tc>
        <w:tc>
          <w:tcPr>
            <w:tcW w:w="996" w:type="dxa"/>
            <w:vAlign w:val="top"/>
          </w:tcPr>
          <w:p w14:paraId="429DB43A">
            <w:pPr>
              <w:rPr>
                <w:rFonts w:ascii="Arial"/>
                <w:sz w:val="21"/>
              </w:rPr>
            </w:pPr>
          </w:p>
        </w:tc>
        <w:tc>
          <w:tcPr>
            <w:tcW w:w="991" w:type="dxa"/>
            <w:vAlign w:val="top"/>
          </w:tcPr>
          <w:p w14:paraId="14BCA603">
            <w:pPr>
              <w:rPr>
                <w:rFonts w:ascii="Arial"/>
                <w:sz w:val="21"/>
              </w:rPr>
            </w:pPr>
          </w:p>
        </w:tc>
      </w:tr>
      <w:tr w14:paraId="1CFEF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931" w:type="dxa"/>
            <w:vAlign w:val="top"/>
          </w:tcPr>
          <w:p w14:paraId="56E29AA1">
            <w:pPr>
              <w:rPr>
                <w:rFonts w:ascii="Arial"/>
                <w:sz w:val="21"/>
              </w:rPr>
            </w:pPr>
          </w:p>
        </w:tc>
        <w:tc>
          <w:tcPr>
            <w:tcW w:w="1478" w:type="dxa"/>
            <w:vAlign w:val="top"/>
          </w:tcPr>
          <w:p w14:paraId="1E46D72B">
            <w:pPr>
              <w:rPr>
                <w:rFonts w:ascii="Arial"/>
                <w:sz w:val="21"/>
              </w:rPr>
            </w:pPr>
          </w:p>
        </w:tc>
        <w:tc>
          <w:tcPr>
            <w:tcW w:w="995" w:type="dxa"/>
            <w:vAlign w:val="top"/>
          </w:tcPr>
          <w:p w14:paraId="071DFD51">
            <w:pPr>
              <w:rPr>
                <w:rFonts w:ascii="Arial"/>
                <w:sz w:val="21"/>
              </w:rPr>
            </w:pPr>
          </w:p>
        </w:tc>
        <w:tc>
          <w:tcPr>
            <w:tcW w:w="996" w:type="dxa"/>
            <w:vAlign w:val="top"/>
          </w:tcPr>
          <w:p w14:paraId="2D277715">
            <w:pPr>
              <w:rPr>
                <w:rFonts w:ascii="Arial"/>
                <w:sz w:val="21"/>
              </w:rPr>
            </w:pPr>
          </w:p>
        </w:tc>
        <w:tc>
          <w:tcPr>
            <w:tcW w:w="995" w:type="dxa"/>
            <w:vAlign w:val="top"/>
          </w:tcPr>
          <w:p w14:paraId="40D08C7B">
            <w:pPr>
              <w:rPr>
                <w:rFonts w:ascii="Arial"/>
                <w:sz w:val="21"/>
              </w:rPr>
            </w:pPr>
          </w:p>
        </w:tc>
        <w:tc>
          <w:tcPr>
            <w:tcW w:w="1291" w:type="dxa"/>
            <w:vAlign w:val="top"/>
          </w:tcPr>
          <w:p w14:paraId="503C457B">
            <w:pPr>
              <w:rPr>
                <w:rFonts w:ascii="Arial"/>
                <w:sz w:val="21"/>
              </w:rPr>
            </w:pPr>
          </w:p>
        </w:tc>
        <w:tc>
          <w:tcPr>
            <w:tcW w:w="996" w:type="dxa"/>
            <w:vAlign w:val="top"/>
          </w:tcPr>
          <w:p w14:paraId="5ED36100">
            <w:pPr>
              <w:rPr>
                <w:rFonts w:ascii="Arial"/>
                <w:sz w:val="21"/>
              </w:rPr>
            </w:pPr>
          </w:p>
        </w:tc>
        <w:tc>
          <w:tcPr>
            <w:tcW w:w="996" w:type="dxa"/>
            <w:vAlign w:val="top"/>
          </w:tcPr>
          <w:p w14:paraId="71E6D963">
            <w:pPr>
              <w:rPr>
                <w:rFonts w:ascii="Arial"/>
                <w:sz w:val="21"/>
              </w:rPr>
            </w:pPr>
          </w:p>
        </w:tc>
        <w:tc>
          <w:tcPr>
            <w:tcW w:w="991" w:type="dxa"/>
            <w:vAlign w:val="top"/>
          </w:tcPr>
          <w:p w14:paraId="61F4D882">
            <w:pPr>
              <w:rPr>
                <w:rFonts w:ascii="Arial"/>
                <w:sz w:val="21"/>
              </w:rPr>
            </w:pPr>
          </w:p>
        </w:tc>
      </w:tr>
      <w:tr w14:paraId="0D1BE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931" w:type="dxa"/>
            <w:vAlign w:val="top"/>
          </w:tcPr>
          <w:p w14:paraId="7D9B324C">
            <w:pPr>
              <w:rPr>
                <w:rFonts w:ascii="Arial"/>
                <w:sz w:val="21"/>
              </w:rPr>
            </w:pPr>
          </w:p>
        </w:tc>
        <w:tc>
          <w:tcPr>
            <w:tcW w:w="1478" w:type="dxa"/>
            <w:vAlign w:val="top"/>
          </w:tcPr>
          <w:p w14:paraId="4BE6CEDD">
            <w:pPr>
              <w:rPr>
                <w:rFonts w:ascii="Arial"/>
                <w:sz w:val="21"/>
              </w:rPr>
            </w:pPr>
          </w:p>
        </w:tc>
        <w:tc>
          <w:tcPr>
            <w:tcW w:w="995" w:type="dxa"/>
            <w:vAlign w:val="top"/>
          </w:tcPr>
          <w:p w14:paraId="6763806E">
            <w:pPr>
              <w:rPr>
                <w:rFonts w:ascii="Arial"/>
                <w:sz w:val="21"/>
              </w:rPr>
            </w:pPr>
          </w:p>
        </w:tc>
        <w:tc>
          <w:tcPr>
            <w:tcW w:w="996" w:type="dxa"/>
            <w:vAlign w:val="top"/>
          </w:tcPr>
          <w:p w14:paraId="7A48275D">
            <w:pPr>
              <w:rPr>
                <w:rFonts w:ascii="Arial"/>
                <w:sz w:val="21"/>
              </w:rPr>
            </w:pPr>
          </w:p>
        </w:tc>
        <w:tc>
          <w:tcPr>
            <w:tcW w:w="995" w:type="dxa"/>
            <w:vAlign w:val="top"/>
          </w:tcPr>
          <w:p w14:paraId="13738B29">
            <w:pPr>
              <w:rPr>
                <w:rFonts w:ascii="Arial"/>
                <w:sz w:val="21"/>
              </w:rPr>
            </w:pPr>
          </w:p>
        </w:tc>
        <w:tc>
          <w:tcPr>
            <w:tcW w:w="1291" w:type="dxa"/>
            <w:vAlign w:val="top"/>
          </w:tcPr>
          <w:p w14:paraId="607DC001">
            <w:pPr>
              <w:rPr>
                <w:rFonts w:ascii="Arial"/>
                <w:sz w:val="21"/>
              </w:rPr>
            </w:pPr>
          </w:p>
        </w:tc>
        <w:tc>
          <w:tcPr>
            <w:tcW w:w="996" w:type="dxa"/>
            <w:vAlign w:val="top"/>
          </w:tcPr>
          <w:p w14:paraId="480A99C7">
            <w:pPr>
              <w:rPr>
                <w:rFonts w:ascii="Arial"/>
                <w:sz w:val="21"/>
              </w:rPr>
            </w:pPr>
          </w:p>
        </w:tc>
        <w:tc>
          <w:tcPr>
            <w:tcW w:w="996" w:type="dxa"/>
            <w:vAlign w:val="top"/>
          </w:tcPr>
          <w:p w14:paraId="0ABF2EB7">
            <w:pPr>
              <w:rPr>
                <w:rFonts w:ascii="Arial"/>
                <w:sz w:val="21"/>
              </w:rPr>
            </w:pPr>
          </w:p>
        </w:tc>
        <w:tc>
          <w:tcPr>
            <w:tcW w:w="991" w:type="dxa"/>
            <w:vAlign w:val="top"/>
          </w:tcPr>
          <w:p w14:paraId="74D0CC02">
            <w:pPr>
              <w:rPr>
                <w:rFonts w:ascii="Arial"/>
                <w:sz w:val="21"/>
              </w:rPr>
            </w:pPr>
          </w:p>
        </w:tc>
      </w:tr>
    </w:tbl>
    <w:p w14:paraId="6309E007">
      <w:pPr>
        <w:pStyle w:val="10"/>
      </w:pPr>
    </w:p>
    <w:p w14:paraId="7093E011">
      <w:pPr>
        <w:sectPr>
          <w:footerReference r:id="rId29" w:type="default"/>
          <w:pgSz w:w="12240" w:h="15840"/>
          <w:pgMar w:top="1119" w:right="1283" w:bottom="1072" w:left="1282" w:header="0" w:footer="910" w:gutter="0"/>
          <w:cols w:space="720" w:num="1"/>
        </w:sectPr>
      </w:pPr>
    </w:p>
    <w:p w14:paraId="4698B6C5">
      <w:pPr>
        <w:spacing w:before="55" w:line="231" w:lineRule="auto"/>
        <w:ind w:left="404" w:right="3558" w:firstLine="3245"/>
        <w:rPr>
          <w:rFonts w:ascii="宋体" w:hAnsi="宋体" w:eastAsia="宋体" w:cs="宋体"/>
          <w:sz w:val="19"/>
          <w:szCs w:val="19"/>
        </w:rPr>
      </w:pPr>
      <w:r>
        <w:rPr>
          <w:rFonts w:ascii="宋体" w:hAnsi="宋体" w:eastAsia="宋体" w:cs="宋体"/>
          <w:spacing w:val="-2"/>
          <w:sz w:val="28"/>
          <w:szCs w:val="28"/>
        </w:rPr>
        <w:t>（七）主要人员简历表</w:t>
      </w:r>
      <w:r>
        <w:rPr>
          <w:rFonts w:ascii="宋体" w:hAnsi="宋体" w:eastAsia="宋体" w:cs="宋体"/>
          <w:sz w:val="28"/>
          <w:szCs w:val="28"/>
        </w:rPr>
        <w:t xml:space="preserve"> </w:t>
      </w:r>
      <w:r>
        <w:rPr>
          <w:rFonts w:ascii="宋体" w:hAnsi="宋体" w:eastAsia="宋体" w:cs="宋体"/>
          <w:spacing w:val="8"/>
          <w:sz w:val="19"/>
          <w:szCs w:val="19"/>
        </w:rPr>
        <w:t>总监理工程师简历表</w:t>
      </w:r>
    </w:p>
    <w:p w14:paraId="23949BED">
      <w:pPr>
        <w:spacing w:before="154" w:line="363" w:lineRule="auto"/>
        <w:ind w:left="1" w:firstLine="402"/>
        <w:rPr>
          <w:rFonts w:ascii="宋体" w:hAnsi="宋体" w:eastAsia="宋体" w:cs="宋体"/>
          <w:sz w:val="19"/>
          <w:szCs w:val="19"/>
        </w:rPr>
      </w:pPr>
      <w:r>
        <w:rPr>
          <w:rFonts w:ascii="宋体" w:hAnsi="宋体" w:eastAsia="宋体" w:cs="宋体"/>
          <w:spacing w:val="10"/>
          <w:sz w:val="19"/>
          <w:szCs w:val="19"/>
        </w:rPr>
        <w:t>总监理工程师应附注册监理工程师执业资格证书、注册证书、身份证、职称</w:t>
      </w:r>
      <w:r>
        <w:rPr>
          <w:rFonts w:ascii="宋体" w:hAnsi="宋体" w:eastAsia="宋体" w:cs="宋体"/>
          <w:spacing w:val="9"/>
          <w:sz w:val="19"/>
          <w:szCs w:val="19"/>
        </w:rPr>
        <w:t>证、社保证明，监理过的项目业绩</w:t>
      </w:r>
      <w:r>
        <w:rPr>
          <w:rFonts w:ascii="宋体" w:hAnsi="宋体" w:eastAsia="宋体" w:cs="宋体"/>
          <w:sz w:val="19"/>
          <w:szCs w:val="19"/>
        </w:rPr>
        <w:t xml:space="preserve"> </w:t>
      </w:r>
      <w:r>
        <w:rPr>
          <w:rFonts w:ascii="宋体" w:hAnsi="宋体" w:eastAsia="宋体" w:cs="宋体"/>
          <w:spacing w:val="7"/>
          <w:sz w:val="19"/>
          <w:szCs w:val="19"/>
        </w:rPr>
        <w:t>须附相关证明材料。</w:t>
      </w:r>
    </w:p>
    <w:tbl>
      <w:tblPr>
        <w:tblStyle w:val="35"/>
        <w:tblW w:w="9705" w:type="dxa"/>
        <w:tblInd w:w="1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7"/>
        <w:gridCol w:w="822"/>
        <w:gridCol w:w="781"/>
        <w:gridCol w:w="1048"/>
        <w:gridCol w:w="595"/>
        <w:gridCol w:w="1033"/>
        <w:gridCol w:w="1390"/>
        <w:gridCol w:w="821"/>
        <w:gridCol w:w="1608"/>
      </w:tblGrid>
      <w:tr w14:paraId="09DFD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607" w:type="dxa"/>
            <w:vAlign w:val="top"/>
          </w:tcPr>
          <w:p w14:paraId="21A5423F">
            <w:pPr>
              <w:pStyle w:val="51"/>
              <w:spacing w:before="223" w:line="228" w:lineRule="auto"/>
              <w:ind w:left="598"/>
              <w:rPr>
                <w:sz w:val="20"/>
                <w:szCs w:val="20"/>
              </w:rPr>
            </w:pPr>
            <w:r>
              <w:rPr>
                <w:spacing w:val="4"/>
                <w:sz w:val="20"/>
                <w:szCs w:val="20"/>
              </w:rPr>
              <w:t>姓名</w:t>
            </w:r>
          </w:p>
        </w:tc>
        <w:tc>
          <w:tcPr>
            <w:tcW w:w="1603" w:type="dxa"/>
            <w:gridSpan w:val="2"/>
            <w:vAlign w:val="top"/>
          </w:tcPr>
          <w:p w14:paraId="136AA058">
            <w:pPr>
              <w:rPr>
                <w:rFonts w:ascii="Arial"/>
                <w:sz w:val="21"/>
              </w:rPr>
            </w:pPr>
          </w:p>
        </w:tc>
        <w:tc>
          <w:tcPr>
            <w:tcW w:w="1048" w:type="dxa"/>
            <w:vAlign w:val="top"/>
          </w:tcPr>
          <w:p w14:paraId="15384B53">
            <w:pPr>
              <w:pStyle w:val="51"/>
              <w:spacing w:before="223" w:line="228" w:lineRule="auto"/>
              <w:ind w:left="317"/>
              <w:rPr>
                <w:sz w:val="20"/>
                <w:szCs w:val="20"/>
              </w:rPr>
            </w:pPr>
            <w:r>
              <w:rPr>
                <w:spacing w:val="4"/>
                <w:sz w:val="20"/>
                <w:szCs w:val="20"/>
              </w:rPr>
              <w:t>年龄</w:t>
            </w:r>
          </w:p>
        </w:tc>
        <w:tc>
          <w:tcPr>
            <w:tcW w:w="1628" w:type="dxa"/>
            <w:gridSpan w:val="2"/>
            <w:vAlign w:val="top"/>
          </w:tcPr>
          <w:p w14:paraId="1F9D8932">
            <w:pPr>
              <w:rPr>
                <w:rFonts w:ascii="Arial"/>
                <w:sz w:val="21"/>
              </w:rPr>
            </w:pPr>
          </w:p>
        </w:tc>
        <w:tc>
          <w:tcPr>
            <w:tcW w:w="2211" w:type="dxa"/>
            <w:gridSpan w:val="2"/>
            <w:vAlign w:val="top"/>
          </w:tcPr>
          <w:p w14:paraId="6082B682">
            <w:pPr>
              <w:pStyle w:val="51"/>
              <w:spacing w:before="86"/>
              <w:ind w:left="585" w:right="53" w:hanging="523"/>
              <w:rPr>
                <w:sz w:val="20"/>
                <w:szCs w:val="20"/>
              </w:rPr>
            </w:pPr>
            <w:r>
              <w:rPr>
                <w:spacing w:val="8"/>
                <w:sz w:val="20"/>
                <w:szCs w:val="20"/>
              </w:rPr>
              <w:t>执业资格证书（或上岗 证书）名称</w:t>
            </w:r>
          </w:p>
        </w:tc>
        <w:tc>
          <w:tcPr>
            <w:tcW w:w="1608" w:type="dxa"/>
            <w:vAlign w:val="top"/>
          </w:tcPr>
          <w:p w14:paraId="57B7CBE7">
            <w:pPr>
              <w:rPr>
                <w:rFonts w:ascii="Arial"/>
                <w:sz w:val="21"/>
              </w:rPr>
            </w:pPr>
          </w:p>
        </w:tc>
      </w:tr>
      <w:tr w14:paraId="05373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607" w:type="dxa"/>
            <w:vAlign w:val="top"/>
          </w:tcPr>
          <w:p w14:paraId="36D3F6B8">
            <w:pPr>
              <w:pStyle w:val="51"/>
              <w:spacing w:before="219" w:line="230" w:lineRule="auto"/>
              <w:ind w:left="599"/>
              <w:rPr>
                <w:sz w:val="20"/>
                <w:szCs w:val="20"/>
              </w:rPr>
            </w:pPr>
            <w:r>
              <w:rPr>
                <w:spacing w:val="4"/>
                <w:sz w:val="20"/>
                <w:szCs w:val="20"/>
              </w:rPr>
              <w:t>职称</w:t>
            </w:r>
          </w:p>
        </w:tc>
        <w:tc>
          <w:tcPr>
            <w:tcW w:w="1603" w:type="dxa"/>
            <w:gridSpan w:val="2"/>
            <w:vAlign w:val="top"/>
          </w:tcPr>
          <w:p w14:paraId="04ED1920">
            <w:pPr>
              <w:rPr>
                <w:rFonts w:ascii="Arial"/>
                <w:sz w:val="21"/>
              </w:rPr>
            </w:pPr>
          </w:p>
        </w:tc>
        <w:tc>
          <w:tcPr>
            <w:tcW w:w="1048" w:type="dxa"/>
            <w:vAlign w:val="top"/>
          </w:tcPr>
          <w:p w14:paraId="7A105B46">
            <w:pPr>
              <w:pStyle w:val="51"/>
              <w:spacing w:before="220" w:line="229" w:lineRule="auto"/>
              <w:ind w:left="321"/>
              <w:rPr>
                <w:sz w:val="20"/>
                <w:szCs w:val="20"/>
              </w:rPr>
            </w:pPr>
            <w:r>
              <w:rPr>
                <w:spacing w:val="2"/>
                <w:sz w:val="20"/>
                <w:szCs w:val="20"/>
              </w:rPr>
              <w:t>学历</w:t>
            </w:r>
          </w:p>
        </w:tc>
        <w:tc>
          <w:tcPr>
            <w:tcW w:w="1628" w:type="dxa"/>
            <w:gridSpan w:val="2"/>
            <w:vAlign w:val="top"/>
          </w:tcPr>
          <w:p w14:paraId="02518E78">
            <w:pPr>
              <w:rPr>
                <w:rFonts w:ascii="Arial"/>
                <w:sz w:val="21"/>
              </w:rPr>
            </w:pPr>
          </w:p>
        </w:tc>
        <w:tc>
          <w:tcPr>
            <w:tcW w:w="2211" w:type="dxa"/>
            <w:gridSpan w:val="2"/>
            <w:vAlign w:val="top"/>
          </w:tcPr>
          <w:p w14:paraId="60DD54EE">
            <w:pPr>
              <w:pStyle w:val="51"/>
              <w:spacing w:before="219" w:line="227" w:lineRule="auto"/>
              <w:ind w:left="376"/>
              <w:rPr>
                <w:sz w:val="20"/>
                <w:szCs w:val="20"/>
              </w:rPr>
            </w:pPr>
            <w:r>
              <w:rPr>
                <w:spacing w:val="8"/>
                <w:sz w:val="20"/>
                <w:szCs w:val="20"/>
              </w:rPr>
              <w:t>拟在本项目任职</w:t>
            </w:r>
          </w:p>
        </w:tc>
        <w:tc>
          <w:tcPr>
            <w:tcW w:w="1608" w:type="dxa"/>
            <w:vAlign w:val="top"/>
          </w:tcPr>
          <w:p w14:paraId="616118CD">
            <w:pPr>
              <w:rPr>
                <w:rFonts w:ascii="Arial"/>
                <w:sz w:val="21"/>
              </w:rPr>
            </w:pPr>
          </w:p>
        </w:tc>
      </w:tr>
      <w:tr w14:paraId="19845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607" w:type="dxa"/>
            <w:vAlign w:val="top"/>
          </w:tcPr>
          <w:p w14:paraId="79828612">
            <w:pPr>
              <w:pStyle w:val="51"/>
              <w:spacing w:before="217" w:line="228" w:lineRule="auto"/>
              <w:ind w:left="390"/>
              <w:rPr>
                <w:sz w:val="20"/>
                <w:szCs w:val="20"/>
              </w:rPr>
            </w:pPr>
            <w:r>
              <w:rPr>
                <w:spacing w:val="6"/>
                <w:sz w:val="20"/>
                <w:szCs w:val="20"/>
              </w:rPr>
              <w:t>工作年限</w:t>
            </w:r>
          </w:p>
        </w:tc>
        <w:tc>
          <w:tcPr>
            <w:tcW w:w="1603" w:type="dxa"/>
            <w:gridSpan w:val="2"/>
            <w:vAlign w:val="top"/>
          </w:tcPr>
          <w:p w14:paraId="01DC83CA">
            <w:pPr>
              <w:rPr>
                <w:rFonts w:ascii="Arial"/>
                <w:sz w:val="21"/>
              </w:rPr>
            </w:pPr>
          </w:p>
        </w:tc>
        <w:tc>
          <w:tcPr>
            <w:tcW w:w="1048" w:type="dxa"/>
            <w:vAlign w:val="top"/>
          </w:tcPr>
          <w:p w14:paraId="6039D172">
            <w:pPr>
              <w:rPr>
                <w:rFonts w:ascii="Arial"/>
                <w:sz w:val="21"/>
              </w:rPr>
            </w:pPr>
          </w:p>
        </w:tc>
        <w:tc>
          <w:tcPr>
            <w:tcW w:w="1628" w:type="dxa"/>
            <w:gridSpan w:val="2"/>
            <w:vAlign w:val="top"/>
          </w:tcPr>
          <w:p w14:paraId="0183F33D">
            <w:pPr>
              <w:rPr>
                <w:rFonts w:ascii="Arial"/>
                <w:sz w:val="21"/>
              </w:rPr>
            </w:pPr>
          </w:p>
        </w:tc>
        <w:tc>
          <w:tcPr>
            <w:tcW w:w="2211" w:type="dxa"/>
            <w:gridSpan w:val="2"/>
            <w:vAlign w:val="top"/>
          </w:tcPr>
          <w:p w14:paraId="26E3992E">
            <w:pPr>
              <w:pStyle w:val="51"/>
              <w:spacing w:before="217" w:line="228" w:lineRule="auto"/>
              <w:ind w:left="273"/>
              <w:rPr>
                <w:sz w:val="20"/>
                <w:szCs w:val="20"/>
              </w:rPr>
            </w:pPr>
            <w:r>
              <w:rPr>
                <w:spacing w:val="8"/>
                <w:sz w:val="20"/>
                <w:szCs w:val="20"/>
              </w:rPr>
              <w:t>从事监理工作年限</w:t>
            </w:r>
          </w:p>
        </w:tc>
        <w:tc>
          <w:tcPr>
            <w:tcW w:w="1608" w:type="dxa"/>
            <w:vAlign w:val="top"/>
          </w:tcPr>
          <w:p w14:paraId="6F770DB6">
            <w:pPr>
              <w:rPr>
                <w:rFonts w:ascii="Arial"/>
                <w:sz w:val="21"/>
              </w:rPr>
            </w:pPr>
          </w:p>
        </w:tc>
      </w:tr>
      <w:tr w14:paraId="6026D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607" w:type="dxa"/>
            <w:vAlign w:val="top"/>
          </w:tcPr>
          <w:p w14:paraId="562FEA63">
            <w:pPr>
              <w:pStyle w:val="51"/>
              <w:spacing w:before="218" w:line="228" w:lineRule="auto"/>
              <w:ind w:left="391"/>
              <w:rPr>
                <w:sz w:val="20"/>
                <w:szCs w:val="20"/>
              </w:rPr>
            </w:pPr>
            <w:r>
              <w:rPr>
                <w:spacing w:val="6"/>
                <w:sz w:val="20"/>
                <w:szCs w:val="20"/>
              </w:rPr>
              <w:t>毕业学校</w:t>
            </w:r>
          </w:p>
        </w:tc>
        <w:tc>
          <w:tcPr>
            <w:tcW w:w="1603" w:type="dxa"/>
            <w:gridSpan w:val="2"/>
            <w:vAlign w:val="top"/>
          </w:tcPr>
          <w:p w14:paraId="686CF3DA">
            <w:pPr>
              <w:rPr>
                <w:rFonts w:ascii="Arial"/>
                <w:sz w:val="21"/>
              </w:rPr>
            </w:pPr>
          </w:p>
        </w:tc>
        <w:tc>
          <w:tcPr>
            <w:tcW w:w="1048" w:type="dxa"/>
            <w:vAlign w:val="top"/>
          </w:tcPr>
          <w:p w14:paraId="61F0141A">
            <w:pPr>
              <w:rPr>
                <w:rFonts w:ascii="Arial"/>
                <w:sz w:val="21"/>
              </w:rPr>
            </w:pPr>
          </w:p>
        </w:tc>
        <w:tc>
          <w:tcPr>
            <w:tcW w:w="1628" w:type="dxa"/>
            <w:gridSpan w:val="2"/>
            <w:vAlign w:val="top"/>
          </w:tcPr>
          <w:p w14:paraId="76381D4A">
            <w:pPr>
              <w:rPr>
                <w:rFonts w:ascii="Arial"/>
                <w:sz w:val="21"/>
              </w:rPr>
            </w:pPr>
          </w:p>
        </w:tc>
        <w:tc>
          <w:tcPr>
            <w:tcW w:w="2211" w:type="dxa"/>
            <w:gridSpan w:val="2"/>
            <w:vAlign w:val="top"/>
          </w:tcPr>
          <w:p w14:paraId="5898F4CC">
            <w:pPr>
              <w:rPr>
                <w:rFonts w:ascii="Arial"/>
                <w:sz w:val="21"/>
              </w:rPr>
            </w:pPr>
          </w:p>
        </w:tc>
        <w:tc>
          <w:tcPr>
            <w:tcW w:w="1608" w:type="dxa"/>
            <w:vAlign w:val="top"/>
          </w:tcPr>
          <w:p w14:paraId="1E6DFA9C">
            <w:pPr>
              <w:rPr>
                <w:rFonts w:ascii="Arial"/>
                <w:sz w:val="21"/>
              </w:rPr>
            </w:pPr>
          </w:p>
        </w:tc>
      </w:tr>
      <w:tr w14:paraId="4D8EE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9705" w:type="dxa"/>
            <w:gridSpan w:val="9"/>
            <w:vAlign w:val="top"/>
          </w:tcPr>
          <w:p w14:paraId="3807AA84">
            <w:pPr>
              <w:pStyle w:val="51"/>
              <w:spacing w:before="220" w:line="228" w:lineRule="auto"/>
              <w:ind w:left="223"/>
              <w:rPr>
                <w:sz w:val="20"/>
                <w:szCs w:val="20"/>
              </w:rPr>
            </w:pPr>
            <w:r>
              <w:rPr>
                <w:spacing w:val="7"/>
                <w:sz w:val="20"/>
                <w:szCs w:val="20"/>
              </w:rPr>
              <w:t>主要工作经验</w:t>
            </w:r>
          </w:p>
        </w:tc>
      </w:tr>
      <w:tr w14:paraId="2D4FB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429" w:type="dxa"/>
            <w:gridSpan w:val="2"/>
            <w:vAlign w:val="top"/>
          </w:tcPr>
          <w:p w14:paraId="31C50B93">
            <w:pPr>
              <w:pStyle w:val="51"/>
              <w:spacing w:before="221" w:line="230" w:lineRule="auto"/>
              <w:ind w:left="1019"/>
              <w:rPr>
                <w:sz w:val="20"/>
                <w:szCs w:val="20"/>
              </w:rPr>
            </w:pPr>
            <w:r>
              <w:rPr>
                <w:spacing w:val="-1"/>
                <w:sz w:val="20"/>
                <w:szCs w:val="20"/>
              </w:rPr>
              <w:t>时间</w:t>
            </w:r>
          </w:p>
        </w:tc>
        <w:tc>
          <w:tcPr>
            <w:tcW w:w="2424" w:type="dxa"/>
            <w:gridSpan w:val="3"/>
            <w:vAlign w:val="top"/>
          </w:tcPr>
          <w:p w14:paraId="7DA2BABD">
            <w:pPr>
              <w:pStyle w:val="51"/>
              <w:spacing w:before="221" w:line="228" w:lineRule="auto"/>
              <w:ind w:left="377"/>
              <w:rPr>
                <w:sz w:val="20"/>
                <w:szCs w:val="20"/>
              </w:rPr>
            </w:pPr>
            <w:r>
              <w:rPr>
                <w:spacing w:val="8"/>
                <w:sz w:val="20"/>
                <w:szCs w:val="20"/>
              </w:rPr>
              <w:t>参加过的类似项目</w:t>
            </w:r>
          </w:p>
        </w:tc>
        <w:tc>
          <w:tcPr>
            <w:tcW w:w="2423" w:type="dxa"/>
            <w:gridSpan w:val="2"/>
            <w:vAlign w:val="top"/>
          </w:tcPr>
          <w:p w14:paraId="0B9706E9">
            <w:pPr>
              <w:pStyle w:val="51"/>
              <w:spacing w:before="221" w:line="228" w:lineRule="auto"/>
              <w:ind w:left="798"/>
              <w:rPr>
                <w:sz w:val="20"/>
                <w:szCs w:val="20"/>
              </w:rPr>
            </w:pPr>
            <w:r>
              <w:rPr>
                <w:spacing w:val="7"/>
                <w:sz w:val="20"/>
                <w:szCs w:val="20"/>
              </w:rPr>
              <w:t>担任职务</w:t>
            </w:r>
          </w:p>
        </w:tc>
        <w:tc>
          <w:tcPr>
            <w:tcW w:w="2429" w:type="dxa"/>
            <w:gridSpan w:val="2"/>
            <w:vAlign w:val="top"/>
          </w:tcPr>
          <w:p w14:paraId="796F7833">
            <w:pPr>
              <w:pStyle w:val="51"/>
              <w:spacing w:before="222" w:line="229" w:lineRule="auto"/>
              <w:ind w:left="378"/>
              <w:rPr>
                <w:sz w:val="20"/>
                <w:szCs w:val="20"/>
              </w:rPr>
            </w:pPr>
            <w:r>
              <w:rPr>
                <w:spacing w:val="8"/>
                <w:sz w:val="20"/>
                <w:szCs w:val="20"/>
              </w:rPr>
              <w:t>委托人及联系电话</w:t>
            </w:r>
          </w:p>
        </w:tc>
      </w:tr>
      <w:tr w14:paraId="34046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429" w:type="dxa"/>
            <w:gridSpan w:val="2"/>
            <w:vAlign w:val="top"/>
          </w:tcPr>
          <w:p w14:paraId="2E8E4D7F">
            <w:pPr>
              <w:rPr>
                <w:rFonts w:ascii="Arial"/>
                <w:sz w:val="21"/>
              </w:rPr>
            </w:pPr>
          </w:p>
        </w:tc>
        <w:tc>
          <w:tcPr>
            <w:tcW w:w="2424" w:type="dxa"/>
            <w:gridSpan w:val="3"/>
            <w:vAlign w:val="top"/>
          </w:tcPr>
          <w:p w14:paraId="0A79B423">
            <w:pPr>
              <w:rPr>
                <w:rFonts w:ascii="Arial"/>
                <w:sz w:val="21"/>
              </w:rPr>
            </w:pPr>
          </w:p>
        </w:tc>
        <w:tc>
          <w:tcPr>
            <w:tcW w:w="2423" w:type="dxa"/>
            <w:gridSpan w:val="2"/>
            <w:vAlign w:val="top"/>
          </w:tcPr>
          <w:p w14:paraId="358614CC">
            <w:pPr>
              <w:rPr>
                <w:rFonts w:ascii="Arial"/>
                <w:sz w:val="21"/>
              </w:rPr>
            </w:pPr>
          </w:p>
        </w:tc>
        <w:tc>
          <w:tcPr>
            <w:tcW w:w="2429" w:type="dxa"/>
            <w:gridSpan w:val="2"/>
            <w:vAlign w:val="top"/>
          </w:tcPr>
          <w:p w14:paraId="7D7607CA">
            <w:pPr>
              <w:rPr>
                <w:rFonts w:ascii="Arial"/>
                <w:sz w:val="21"/>
              </w:rPr>
            </w:pPr>
          </w:p>
        </w:tc>
      </w:tr>
      <w:tr w14:paraId="51EC3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429" w:type="dxa"/>
            <w:gridSpan w:val="2"/>
            <w:vAlign w:val="top"/>
          </w:tcPr>
          <w:p w14:paraId="2420D658">
            <w:pPr>
              <w:rPr>
                <w:rFonts w:ascii="Arial"/>
                <w:sz w:val="21"/>
              </w:rPr>
            </w:pPr>
          </w:p>
        </w:tc>
        <w:tc>
          <w:tcPr>
            <w:tcW w:w="2424" w:type="dxa"/>
            <w:gridSpan w:val="3"/>
            <w:vAlign w:val="top"/>
          </w:tcPr>
          <w:p w14:paraId="612AAF50">
            <w:pPr>
              <w:rPr>
                <w:rFonts w:ascii="Arial"/>
                <w:sz w:val="21"/>
              </w:rPr>
            </w:pPr>
          </w:p>
        </w:tc>
        <w:tc>
          <w:tcPr>
            <w:tcW w:w="2423" w:type="dxa"/>
            <w:gridSpan w:val="2"/>
            <w:vAlign w:val="top"/>
          </w:tcPr>
          <w:p w14:paraId="6BD42126">
            <w:pPr>
              <w:rPr>
                <w:rFonts w:ascii="Arial"/>
                <w:sz w:val="21"/>
              </w:rPr>
            </w:pPr>
          </w:p>
        </w:tc>
        <w:tc>
          <w:tcPr>
            <w:tcW w:w="2429" w:type="dxa"/>
            <w:gridSpan w:val="2"/>
            <w:vAlign w:val="top"/>
          </w:tcPr>
          <w:p w14:paraId="40C311AF">
            <w:pPr>
              <w:rPr>
                <w:rFonts w:ascii="Arial"/>
                <w:sz w:val="21"/>
              </w:rPr>
            </w:pPr>
          </w:p>
        </w:tc>
      </w:tr>
      <w:tr w14:paraId="1622D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429" w:type="dxa"/>
            <w:gridSpan w:val="2"/>
            <w:vAlign w:val="top"/>
          </w:tcPr>
          <w:p w14:paraId="29957ACA">
            <w:pPr>
              <w:rPr>
                <w:rFonts w:ascii="Arial"/>
                <w:sz w:val="21"/>
              </w:rPr>
            </w:pPr>
          </w:p>
        </w:tc>
        <w:tc>
          <w:tcPr>
            <w:tcW w:w="2424" w:type="dxa"/>
            <w:gridSpan w:val="3"/>
            <w:vAlign w:val="top"/>
          </w:tcPr>
          <w:p w14:paraId="74CC0DB7">
            <w:pPr>
              <w:rPr>
                <w:rFonts w:ascii="Arial"/>
                <w:sz w:val="21"/>
              </w:rPr>
            </w:pPr>
          </w:p>
        </w:tc>
        <w:tc>
          <w:tcPr>
            <w:tcW w:w="2423" w:type="dxa"/>
            <w:gridSpan w:val="2"/>
            <w:vAlign w:val="top"/>
          </w:tcPr>
          <w:p w14:paraId="11FDBDC1">
            <w:pPr>
              <w:rPr>
                <w:rFonts w:ascii="Arial"/>
                <w:sz w:val="21"/>
              </w:rPr>
            </w:pPr>
          </w:p>
        </w:tc>
        <w:tc>
          <w:tcPr>
            <w:tcW w:w="2429" w:type="dxa"/>
            <w:gridSpan w:val="2"/>
            <w:vAlign w:val="top"/>
          </w:tcPr>
          <w:p w14:paraId="591F52B9">
            <w:pPr>
              <w:rPr>
                <w:rFonts w:ascii="Arial"/>
                <w:sz w:val="21"/>
              </w:rPr>
            </w:pPr>
          </w:p>
        </w:tc>
      </w:tr>
      <w:tr w14:paraId="5DC22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429" w:type="dxa"/>
            <w:gridSpan w:val="2"/>
            <w:vAlign w:val="top"/>
          </w:tcPr>
          <w:p w14:paraId="0F6B9549">
            <w:pPr>
              <w:rPr>
                <w:rFonts w:ascii="Arial"/>
                <w:sz w:val="21"/>
              </w:rPr>
            </w:pPr>
          </w:p>
        </w:tc>
        <w:tc>
          <w:tcPr>
            <w:tcW w:w="2424" w:type="dxa"/>
            <w:gridSpan w:val="3"/>
            <w:vAlign w:val="top"/>
          </w:tcPr>
          <w:p w14:paraId="542B1D86">
            <w:pPr>
              <w:rPr>
                <w:rFonts w:ascii="Arial"/>
                <w:sz w:val="21"/>
              </w:rPr>
            </w:pPr>
          </w:p>
        </w:tc>
        <w:tc>
          <w:tcPr>
            <w:tcW w:w="2423" w:type="dxa"/>
            <w:gridSpan w:val="2"/>
            <w:vAlign w:val="top"/>
          </w:tcPr>
          <w:p w14:paraId="1958AFC3">
            <w:pPr>
              <w:rPr>
                <w:rFonts w:ascii="Arial"/>
                <w:sz w:val="21"/>
              </w:rPr>
            </w:pPr>
          </w:p>
        </w:tc>
        <w:tc>
          <w:tcPr>
            <w:tcW w:w="2429" w:type="dxa"/>
            <w:gridSpan w:val="2"/>
            <w:vAlign w:val="top"/>
          </w:tcPr>
          <w:p w14:paraId="79BF3DA3">
            <w:pPr>
              <w:rPr>
                <w:rFonts w:ascii="Arial"/>
                <w:sz w:val="21"/>
              </w:rPr>
            </w:pPr>
          </w:p>
        </w:tc>
      </w:tr>
      <w:tr w14:paraId="44CAC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429" w:type="dxa"/>
            <w:gridSpan w:val="2"/>
            <w:vAlign w:val="top"/>
          </w:tcPr>
          <w:p w14:paraId="42688DD9">
            <w:pPr>
              <w:rPr>
                <w:rFonts w:ascii="Arial"/>
                <w:sz w:val="21"/>
              </w:rPr>
            </w:pPr>
          </w:p>
        </w:tc>
        <w:tc>
          <w:tcPr>
            <w:tcW w:w="2424" w:type="dxa"/>
            <w:gridSpan w:val="3"/>
            <w:vAlign w:val="top"/>
          </w:tcPr>
          <w:p w14:paraId="7E9830C1">
            <w:pPr>
              <w:rPr>
                <w:rFonts w:ascii="Arial"/>
                <w:sz w:val="21"/>
              </w:rPr>
            </w:pPr>
          </w:p>
        </w:tc>
        <w:tc>
          <w:tcPr>
            <w:tcW w:w="2423" w:type="dxa"/>
            <w:gridSpan w:val="2"/>
            <w:vAlign w:val="top"/>
          </w:tcPr>
          <w:p w14:paraId="2138A639">
            <w:pPr>
              <w:rPr>
                <w:rFonts w:ascii="Arial"/>
                <w:sz w:val="21"/>
              </w:rPr>
            </w:pPr>
          </w:p>
        </w:tc>
        <w:tc>
          <w:tcPr>
            <w:tcW w:w="2429" w:type="dxa"/>
            <w:gridSpan w:val="2"/>
            <w:vAlign w:val="top"/>
          </w:tcPr>
          <w:p w14:paraId="382BF182">
            <w:pPr>
              <w:rPr>
                <w:rFonts w:ascii="Arial"/>
                <w:sz w:val="21"/>
              </w:rPr>
            </w:pPr>
          </w:p>
        </w:tc>
      </w:tr>
      <w:tr w14:paraId="453C6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429" w:type="dxa"/>
            <w:gridSpan w:val="2"/>
            <w:vAlign w:val="top"/>
          </w:tcPr>
          <w:p w14:paraId="48664E3D">
            <w:pPr>
              <w:rPr>
                <w:rFonts w:ascii="Arial"/>
                <w:sz w:val="21"/>
              </w:rPr>
            </w:pPr>
          </w:p>
        </w:tc>
        <w:tc>
          <w:tcPr>
            <w:tcW w:w="2424" w:type="dxa"/>
            <w:gridSpan w:val="3"/>
            <w:vAlign w:val="top"/>
          </w:tcPr>
          <w:p w14:paraId="36BD49D1">
            <w:pPr>
              <w:rPr>
                <w:rFonts w:ascii="Arial"/>
                <w:sz w:val="21"/>
              </w:rPr>
            </w:pPr>
          </w:p>
        </w:tc>
        <w:tc>
          <w:tcPr>
            <w:tcW w:w="2423" w:type="dxa"/>
            <w:gridSpan w:val="2"/>
            <w:vAlign w:val="top"/>
          </w:tcPr>
          <w:p w14:paraId="13C03ADA">
            <w:pPr>
              <w:rPr>
                <w:rFonts w:ascii="Arial"/>
                <w:sz w:val="21"/>
              </w:rPr>
            </w:pPr>
          </w:p>
        </w:tc>
        <w:tc>
          <w:tcPr>
            <w:tcW w:w="2429" w:type="dxa"/>
            <w:gridSpan w:val="2"/>
            <w:vAlign w:val="top"/>
          </w:tcPr>
          <w:p w14:paraId="1A04D909">
            <w:pPr>
              <w:rPr>
                <w:rFonts w:ascii="Arial"/>
                <w:sz w:val="21"/>
              </w:rPr>
            </w:pPr>
          </w:p>
        </w:tc>
      </w:tr>
      <w:tr w14:paraId="72F43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429" w:type="dxa"/>
            <w:gridSpan w:val="2"/>
            <w:vAlign w:val="top"/>
          </w:tcPr>
          <w:p w14:paraId="0067BEA7">
            <w:pPr>
              <w:rPr>
                <w:rFonts w:ascii="Arial"/>
                <w:sz w:val="21"/>
              </w:rPr>
            </w:pPr>
          </w:p>
        </w:tc>
        <w:tc>
          <w:tcPr>
            <w:tcW w:w="2424" w:type="dxa"/>
            <w:gridSpan w:val="3"/>
            <w:vAlign w:val="top"/>
          </w:tcPr>
          <w:p w14:paraId="0E54F826">
            <w:pPr>
              <w:rPr>
                <w:rFonts w:ascii="Arial"/>
                <w:sz w:val="21"/>
              </w:rPr>
            </w:pPr>
          </w:p>
        </w:tc>
        <w:tc>
          <w:tcPr>
            <w:tcW w:w="2423" w:type="dxa"/>
            <w:gridSpan w:val="2"/>
            <w:vAlign w:val="top"/>
          </w:tcPr>
          <w:p w14:paraId="3E040D2D">
            <w:pPr>
              <w:rPr>
                <w:rFonts w:ascii="Arial"/>
                <w:sz w:val="21"/>
              </w:rPr>
            </w:pPr>
          </w:p>
        </w:tc>
        <w:tc>
          <w:tcPr>
            <w:tcW w:w="2429" w:type="dxa"/>
            <w:gridSpan w:val="2"/>
            <w:vAlign w:val="top"/>
          </w:tcPr>
          <w:p w14:paraId="25CE91DF">
            <w:pPr>
              <w:rPr>
                <w:rFonts w:ascii="Arial"/>
                <w:sz w:val="21"/>
              </w:rPr>
            </w:pPr>
          </w:p>
        </w:tc>
      </w:tr>
    </w:tbl>
    <w:p w14:paraId="7DD5EF27">
      <w:pPr>
        <w:pStyle w:val="10"/>
        <w:spacing w:line="382" w:lineRule="auto"/>
      </w:pPr>
    </w:p>
    <w:p w14:paraId="653C4C42">
      <w:pPr>
        <w:spacing w:before="61" w:line="489" w:lineRule="auto"/>
        <w:ind w:right="101" w:firstLine="399"/>
        <w:rPr>
          <w:rFonts w:ascii="宋体" w:hAnsi="宋体" w:eastAsia="宋体" w:cs="宋体"/>
          <w:sz w:val="19"/>
          <w:szCs w:val="19"/>
        </w:rPr>
      </w:pPr>
      <w:r>
        <w:rPr>
          <w:rFonts w:ascii="宋体" w:hAnsi="宋体" w:eastAsia="宋体" w:cs="宋体"/>
          <w:spacing w:val="10"/>
          <w:sz w:val="19"/>
          <w:szCs w:val="19"/>
        </w:rPr>
        <w:t>注：1、上述证书及相关资料复印件须加盖企业公章后装订在投标文件中</w:t>
      </w:r>
      <w:r>
        <w:rPr>
          <w:rFonts w:ascii="宋体" w:hAnsi="宋体" w:eastAsia="宋体" w:cs="宋体"/>
          <w:spacing w:val="9"/>
          <w:sz w:val="19"/>
          <w:szCs w:val="19"/>
        </w:rPr>
        <w:t>。上述内容中如某一证件正在年检或</w:t>
      </w:r>
      <w:r>
        <w:rPr>
          <w:rFonts w:ascii="宋体" w:hAnsi="宋体" w:eastAsia="宋体" w:cs="宋体"/>
          <w:sz w:val="19"/>
          <w:szCs w:val="19"/>
        </w:rPr>
        <w:t xml:space="preserve"> </w:t>
      </w:r>
      <w:r>
        <w:rPr>
          <w:rFonts w:ascii="宋体" w:hAnsi="宋体" w:eastAsia="宋体" w:cs="宋体"/>
          <w:spacing w:val="9"/>
          <w:sz w:val="19"/>
          <w:szCs w:val="19"/>
        </w:rPr>
        <w:t>换证，需年检部门及换证部门出具有效证明方可确认。</w:t>
      </w:r>
    </w:p>
    <w:p w14:paraId="4CD298C3">
      <w:pPr>
        <w:spacing w:before="30" w:line="228" w:lineRule="auto"/>
        <w:ind w:left="799"/>
        <w:rPr>
          <w:rFonts w:ascii="宋体" w:hAnsi="宋体" w:eastAsia="宋体" w:cs="宋体"/>
          <w:sz w:val="19"/>
          <w:szCs w:val="19"/>
        </w:rPr>
      </w:pPr>
      <w:r>
        <w:rPr>
          <w:rFonts w:ascii="宋体" w:hAnsi="宋体" w:eastAsia="宋体" w:cs="宋体"/>
          <w:spacing w:val="9"/>
          <w:sz w:val="19"/>
          <w:szCs w:val="19"/>
        </w:rPr>
        <w:t>2、所有复印件必须要清晰、字迹清楚，否则评标不予以计分。</w:t>
      </w:r>
    </w:p>
    <w:p w14:paraId="3A993ADF">
      <w:pPr>
        <w:spacing w:line="228" w:lineRule="auto"/>
        <w:rPr>
          <w:rFonts w:ascii="宋体" w:hAnsi="宋体" w:eastAsia="宋体" w:cs="宋体"/>
          <w:sz w:val="19"/>
          <w:szCs w:val="19"/>
        </w:rPr>
        <w:sectPr>
          <w:footerReference r:id="rId30" w:type="default"/>
          <w:pgSz w:w="12240" w:h="15840"/>
          <w:pgMar w:top="1119" w:right="1159" w:bottom="1072" w:left="1089" w:header="0" w:footer="910" w:gutter="0"/>
          <w:cols w:space="720" w:num="1"/>
        </w:sectPr>
      </w:pPr>
    </w:p>
    <w:p w14:paraId="67EE53E2">
      <w:pPr>
        <w:spacing w:before="40" w:line="227" w:lineRule="auto"/>
        <w:ind w:left="702"/>
        <w:rPr>
          <w:rFonts w:ascii="宋体" w:hAnsi="宋体" w:eastAsia="宋体" w:cs="宋体"/>
          <w:sz w:val="19"/>
          <w:szCs w:val="19"/>
        </w:rPr>
      </w:pPr>
      <w:r>
        <w:rPr>
          <w:rFonts w:ascii="宋体" w:hAnsi="宋体" w:eastAsia="宋体" w:cs="宋体"/>
          <w:spacing w:val="8"/>
          <w:sz w:val="19"/>
          <w:szCs w:val="19"/>
        </w:rPr>
        <w:t>主要监理人员简历表</w:t>
      </w:r>
    </w:p>
    <w:p w14:paraId="7E70AA69">
      <w:pPr>
        <w:spacing w:before="281" w:line="364" w:lineRule="auto"/>
        <w:ind w:firstLine="402"/>
        <w:rPr>
          <w:rFonts w:ascii="宋体" w:hAnsi="宋体" w:eastAsia="宋体" w:cs="宋体"/>
          <w:sz w:val="19"/>
          <w:szCs w:val="19"/>
        </w:rPr>
      </w:pPr>
      <w:r>
        <w:rPr>
          <w:rFonts w:ascii="宋体" w:hAnsi="宋体" w:eastAsia="宋体" w:cs="宋体"/>
          <w:spacing w:val="10"/>
          <w:sz w:val="19"/>
          <w:szCs w:val="19"/>
        </w:rPr>
        <w:t>主要监理人员指副总监理工程师、各专业监理工程师、监理员等岗位人员。应附注</w:t>
      </w:r>
      <w:r>
        <w:rPr>
          <w:rFonts w:ascii="宋体" w:hAnsi="宋体" w:eastAsia="宋体" w:cs="宋体"/>
          <w:spacing w:val="9"/>
          <w:sz w:val="19"/>
          <w:szCs w:val="19"/>
        </w:rPr>
        <w:t>册资格证书、身份证、职称</w:t>
      </w:r>
      <w:r>
        <w:rPr>
          <w:rFonts w:ascii="宋体" w:hAnsi="宋体" w:eastAsia="宋体" w:cs="宋体"/>
          <w:sz w:val="19"/>
          <w:szCs w:val="19"/>
        </w:rPr>
        <w:t xml:space="preserve"> </w:t>
      </w:r>
      <w:r>
        <w:rPr>
          <w:rFonts w:ascii="宋体" w:hAnsi="宋体" w:eastAsia="宋体" w:cs="宋体"/>
          <w:spacing w:val="9"/>
          <w:sz w:val="19"/>
          <w:szCs w:val="19"/>
        </w:rPr>
        <w:t>证复印件、社保证明，主要业绩须附合同协议书。</w:t>
      </w:r>
    </w:p>
    <w:tbl>
      <w:tblPr>
        <w:tblStyle w:val="35"/>
        <w:tblW w:w="8860" w:type="dxa"/>
        <w:tblInd w:w="6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3"/>
        <w:gridCol w:w="2407"/>
        <w:gridCol w:w="1475"/>
        <w:gridCol w:w="2955"/>
      </w:tblGrid>
      <w:tr w14:paraId="6ECD5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860" w:type="dxa"/>
            <w:gridSpan w:val="4"/>
            <w:vAlign w:val="top"/>
          </w:tcPr>
          <w:p w14:paraId="29AEC618">
            <w:pPr>
              <w:pStyle w:val="51"/>
              <w:spacing w:before="152" w:line="229" w:lineRule="auto"/>
              <w:ind w:left="34"/>
            </w:pPr>
            <w:r>
              <w:rPr>
                <w:spacing w:val="2"/>
              </w:rPr>
              <w:t>岗位名称</w:t>
            </w:r>
          </w:p>
        </w:tc>
      </w:tr>
      <w:tr w14:paraId="6B797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023" w:type="dxa"/>
            <w:vAlign w:val="top"/>
          </w:tcPr>
          <w:p w14:paraId="3623D0B9">
            <w:pPr>
              <w:pStyle w:val="51"/>
              <w:spacing w:before="149" w:line="228" w:lineRule="auto"/>
              <w:ind w:left="12"/>
            </w:pPr>
            <w:r>
              <w:rPr>
                <w:spacing w:val="5"/>
              </w:rPr>
              <w:t>姓名</w:t>
            </w:r>
          </w:p>
        </w:tc>
        <w:tc>
          <w:tcPr>
            <w:tcW w:w="2407" w:type="dxa"/>
            <w:vAlign w:val="top"/>
          </w:tcPr>
          <w:p w14:paraId="621E037E">
            <w:pPr>
              <w:rPr>
                <w:rFonts w:ascii="Arial"/>
                <w:sz w:val="21"/>
              </w:rPr>
            </w:pPr>
          </w:p>
        </w:tc>
        <w:tc>
          <w:tcPr>
            <w:tcW w:w="1475" w:type="dxa"/>
            <w:vAlign w:val="top"/>
          </w:tcPr>
          <w:p w14:paraId="40DF77E0">
            <w:pPr>
              <w:pStyle w:val="51"/>
              <w:spacing w:before="149" w:line="228" w:lineRule="auto"/>
              <w:ind w:left="11"/>
            </w:pPr>
            <w:r>
              <w:rPr>
                <w:spacing w:val="4"/>
              </w:rPr>
              <w:t>年龄</w:t>
            </w:r>
          </w:p>
        </w:tc>
        <w:tc>
          <w:tcPr>
            <w:tcW w:w="2955" w:type="dxa"/>
            <w:vAlign w:val="top"/>
          </w:tcPr>
          <w:p w14:paraId="6ED32F9F">
            <w:pPr>
              <w:rPr>
                <w:rFonts w:ascii="Arial"/>
                <w:sz w:val="21"/>
              </w:rPr>
            </w:pPr>
          </w:p>
        </w:tc>
      </w:tr>
      <w:tr w14:paraId="01049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023" w:type="dxa"/>
            <w:vAlign w:val="top"/>
          </w:tcPr>
          <w:p w14:paraId="1DBAA418">
            <w:pPr>
              <w:pStyle w:val="51"/>
              <w:spacing w:before="150" w:line="229" w:lineRule="auto"/>
              <w:ind w:left="14"/>
            </w:pPr>
            <w:r>
              <w:rPr>
                <w:spacing w:val="4"/>
              </w:rPr>
              <w:t>性别</w:t>
            </w:r>
          </w:p>
        </w:tc>
        <w:tc>
          <w:tcPr>
            <w:tcW w:w="2407" w:type="dxa"/>
            <w:vAlign w:val="top"/>
          </w:tcPr>
          <w:p w14:paraId="4E86306F">
            <w:pPr>
              <w:rPr>
                <w:rFonts w:ascii="Arial"/>
                <w:sz w:val="21"/>
              </w:rPr>
            </w:pPr>
          </w:p>
        </w:tc>
        <w:tc>
          <w:tcPr>
            <w:tcW w:w="1475" w:type="dxa"/>
            <w:vAlign w:val="top"/>
          </w:tcPr>
          <w:p w14:paraId="00669B9B">
            <w:pPr>
              <w:pStyle w:val="51"/>
              <w:spacing w:before="150" w:line="228" w:lineRule="auto"/>
              <w:ind w:left="14"/>
            </w:pPr>
            <w:r>
              <w:rPr>
                <w:spacing w:val="6"/>
              </w:rPr>
              <w:t>毕业学校</w:t>
            </w:r>
          </w:p>
        </w:tc>
        <w:tc>
          <w:tcPr>
            <w:tcW w:w="2955" w:type="dxa"/>
            <w:vAlign w:val="top"/>
          </w:tcPr>
          <w:p w14:paraId="196797E3">
            <w:pPr>
              <w:rPr>
                <w:rFonts w:ascii="Arial"/>
                <w:sz w:val="21"/>
              </w:rPr>
            </w:pPr>
          </w:p>
        </w:tc>
      </w:tr>
      <w:tr w14:paraId="43B45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023" w:type="dxa"/>
            <w:vAlign w:val="top"/>
          </w:tcPr>
          <w:p w14:paraId="79BD9345">
            <w:pPr>
              <w:pStyle w:val="51"/>
              <w:spacing w:before="152" w:line="229" w:lineRule="auto"/>
              <w:ind w:left="16"/>
            </w:pPr>
            <w:r>
              <w:rPr>
                <w:spacing w:val="7"/>
              </w:rPr>
              <w:t>学历和专业</w:t>
            </w:r>
          </w:p>
        </w:tc>
        <w:tc>
          <w:tcPr>
            <w:tcW w:w="2407" w:type="dxa"/>
            <w:vAlign w:val="top"/>
          </w:tcPr>
          <w:p w14:paraId="13C15030">
            <w:pPr>
              <w:rPr>
                <w:rFonts w:ascii="Arial"/>
                <w:sz w:val="21"/>
              </w:rPr>
            </w:pPr>
          </w:p>
        </w:tc>
        <w:tc>
          <w:tcPr>
            <w:tcW w:w="1475" w:type="dxa"/>
            <w:vAlign w:val="top"/>
          </w:tcPr>
          <w:p w14:paraId="7A79A410">
            <w:pPr>
              <w:pStyle w:val="51"/>
              <w:spacing w:before="152" w:line="228" w:lineRule="auto"/>
              <w:ind w:left="14"/>
            </w:pPr>
            <w:r>
              <w:rPr>
                <w:spacing w:val="6"/>
              </w:rPr>
              <w:t>毕业时间</w:t>
            </w:r>
          </w:p>
        </w:tc>
        <w:tc>
          <w:tcPr>
            <w:tcW w:w="2955" w:type="dxa"/>
            <w:vAlign w:val="top"/>
          </w:tcPr>
          <w:p w14:paraId="066D89DF">
            <w:pPr>
              <w:rPr>
                <w:rFonts w:ascii="Arial"/>
                <w:sz w:val="21"/>
              </w:rPr>
            </w:pPr>
          </w:p>
        </w:tc>
      </w:tr>
      <w:tr w14:paraId="2D81D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023" w:type="dxa"/>
            <w:vAlign w:val="top"/>
          </w:tcPr>
          <w:p w14:paraId="5A7ECB9B">
            <w:pPr>
              <w:pStyle w:val="51"/>
              <w:spacing w:before="153" w:line="228" w:lineRule="auto"/>
              <w:ind w:left="12"/>
            </w:pPr>
            <w:r>
              <w:rPr>
                <w:spacing w:val="8"/>
              </w:rPr>
              <w:t>拥有的执业资格</w:t>
            </w:r>
          </w:p>
        </w:tc>
        <w:tc>
          <w:tcPr>
            <w:tcW w:w="2407" w:type="dxa"/>
            <w:vAlign w:val="top"/>
          </w:tcPr>
          <w:p w14:paraId="51C5DD26">
            <w:pPr>
              <w:rPr>
                <w:rFonts w:ascii="Arial"/>
                <w:sz w:val="21"/>
              </w:rPr>
            </w:pPr>
          </w:p>
        </w:tc>
        <w:tc>
          <w:tcPr>
            <w:tcW w:w="1475" w:type="dxa"/>
            <w:vAlign w:val="top"/>
          </w:tcPr>
          <w:p w14:paraId="4FB411D7">
            <w:pPr>
              <w:pStyle w:val="51"/>
              <w:spacing w:before="153" w:line="229" w:lineRule="auto"/>
              <w:ind w:left="11"/>
            </w:pPr>
            <w:r>
              <w:rPr>
                <w:spacing w:val="7"/>
              </w:rPr>
              <w:t>专业职称</w:t>
            </w:r>
          </w:p>
        </w:tc>
        <w:tc>
          <w:tcPr>
            <w:tcW w:w="2955" w:type="dxa"/>
            <w:vAlign w:val="top"/>
          </w:tcPr>
          <w:p w14:paraId="4B53533E">
            <w:pPr>
              <w:rPr>
                <w:rFonts w:ascii="Arial"/>
                <w:sz w:val="21"/>
              </w:rPr>
            </w:pPr>
          </w:p>
        </w:tc>
      </w:tr>
      <w:tr w14:paraId="1A681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23" w:type="dxa"/>
            <w:vAlign w:val="top"/>
          </w:tcPr>
          <w:p w14:paraId="6605A846">
            <w:pPr>
              <w:pStyle w:val="51"/>
              <w:spacing w:before="155" w:line="227" w:lineRule="auto"/>
              <w:ind w:left="12"/>
            </w:pPr>
            <w:r>
              <w:rPr>
                <w:spacing w:val="8"/>
              </w:rPr>
              <w:t>执业资格证书编号</w:t>
            </w:r>
          </w:p>
        </w:tc>
        <w:tc>
          <w:tcPr>
            <w:tcW w:w="2407" w:type="dxa"/>
            <w:vAlign w:val="top"/>
          </w:tcPr>
          <w:p w14:paraId="20FB667E">
            <w:pPr>
              <w:rPr>
                <w:rFonts w:ascii="Arial"/>
                <w:sz w:val="21"/>
              </w:rPr>
            </w:pPr>
          </w:p>
        </w:tc>
        <w:tc>
          <w:tcPr>
            <w:tcW w:w="1475" w:type="dxa"/>
            <w:vAlign w:val="top"/>
          </w:tcPr>
          <w:p w14:paraId="30C1146A">
            <w:pPr>
              <w:pStyle w:val="51"/>
              <w:spacing w:before="155" w:line="228" w:lineRule="auto"/>
              <w:ind w:left="12"/>
            </w:pPr>
            <w:r>
              <w:rPr>
                <w:spacing w:val="7"/>
              </w:rPr>
              <w:t>工作年限</w:t>
            </w:r>
          </w:p>
        </w:tc>
        <w:tc>
          <w:tcPr>
            <w:tcW w:w="2955" w:type="dxa"/>
            <w:vAlign w:val="top"/>
          </w:tcPr>
          <w:p w14:paraId="6D4D067C">
            <w:pPr>
              <w:rPr>
                <w:rFonts w:ascii="Arial"/>
                <w:sz w:val="21"/>
              </w:rPr>
            </w:pPr>
          </w:p>
        </w:tc>
      </w:tr>
      <w:tr w14:paraId="107D6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860" w:type="dxa"/>
            <w:gridSpan w:val="4"/>
            <w:vAlign w:val="top"/>
          </w:tcPr>
          <w:p w14:paraId="738CCF22">
            <w:pPr>
              <w:pStyle w:val="51"/>
              <w:spacing w:before="153" w:line="228" w:lineRule="auto"/>
              <w:ind w:left="13"/>
            </w:pPr>
            <w:r>
              <w:rPr>
                <w:spacing w:val="9"/>
              </w:rPr>
              <w:t>主要工作业绩及担任的主要工作</w:t>
            </w:r>
          </w:p>
        </w:tc>
      </w:tr>
      <w:tr w14:paraId="6DBCE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23" w:type="dxa"/>
            <w:vAlign w:val="top"/>
          </w:tcPr>
          <w:p w14:paraId="5A7B134C">
            <w:pPr>
              <w:pStyle w:val="51"/>
              <w:spacing w:before="153" w:line="230" w:lineRule="auto"/>
              <w:ind w:left="21"/>
            </w:pPr>
            <w:r>
              <w:t>时间</w:t>
            </w:r>
          </w:p>
        </w:tc>
        <w:tc>
          <w:tcPr>
            <w:tcW w:w="2407" w:type="dxa"/>
            <w:vAlign w:val="top"/>
          </w:tcPr>
          <w:p w14:paraId="4D46A9D6">
            <w:pPr>
              <w:pStyle w:val="51"/>
              <w:spacing w:before="153" w:line="228" w:lineRule="auto"/>
              <w:ind w:left="9"/>
            </w:pPr>
            <w:r>
              <w:rPr>
                <w:spacing w:val="8"/>
              </w:rPr>
              <w:t>参加过的类似项目</w:t>
            </w:r>
          </w:p>
        </w:tc>
        <w:tc>
          <w:tcPr>
            <w:tcW w:w="1475" w:type="dxa"/>
            <w:vAlign w:val="top"/>
          </w:tcPr>
          <w:p w14:paraId="50885DB7">
            <w:pPr>
              <w:pStyle w:val="51"/>
              <w:spacing w:before="153" w:line="228" w:lineRule="auto"/>
              <w:ind w:left="11"/>
            </w:pPr>
            <w:r>
              <w:rPr>
                <w:spacing w:val="7"/>
              </w:rPr>
              <w:t>担任职务</w:t>
            </w:r>
          </w:p>
        </w:tc>
        <w:tc>
          <w:tcPr>
            <w:tcW w:w="2955" w:type="dxa"/>
            <w:vAlign w:val="top"/>
          </w:tcPr>
          <w:p w14:paraId="4CCFF178">
            <w:pPr>
              <w:pStyle w:val="51"/>
              <w:spacing w:before="145" w:line="228" w:lineRule="auto"/>
              <w:ind w:left="646"/>
              <w:rPr>
                <w:sz w:val="20"/>
                <w:szCs w:val="20"/>
              </w:rPr>
            </w:pPr>
            <w:r>
              <w:rPr>
                <w:spacing w:val="8"/>
                <w:sz w:val="20"/>
                <w:szCs w:val="20"/>
              </w:rPr>
              <w:t>发包人及联系电话</w:t>
            </w:r>
          </w:p>
        </w:tc>
      </w:tr>
      <w:tr w14:paraId="05046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23" w:type="dxa"/>
            <w:vAlign w:val="top"/>
          </w:tcPr>
          <w:p w14:paraId="23F1D7C5">
            <w:pPr>
              <w:rPr>
                <w:rFonts w:ascii="Arial"/>
                <w:sz w:val="21"/>
              </w:rPr>
            </w:pPr>
          </w:p>
        </w:tc>
        <w:tc>
          <w:tcPr>
            <w:tcW w:w="2407" w:type="dxa"/>
            <w:vAlign w:val="top"/>
          </w:tcPr>
          <w:p w14:paraId="6F2E2C43">
            <w:pPr>
              <w:rPr>
                <w:rFonts w:ascii="Arial"/>
                <w:sz w:val="21"/>
              </w:rPr>
            </w:pPr>
          </w:p>
        </w:tc>
        <w:tc>
          <w:tcPr>
            <w:tcW w:w="1475" w:type="dxa"/>
            <w:vAlign w:val="top"/>
          </w:tcPr>
          <w:p w14:paraId="1BF2B5FA">
            <w:pPr>
              <w:rPr>
                <w:rFonts w:ascii="Arial"/>
                <w:sz w:val="21"/>
              </w:rPr>
            </w:pPr>
          </w:p>
        </w:tc>
        <w:tc>
          <w:tcPr>
            <w:tcW w:w="2955" w:type="dxa"/>
            <w:vAlign w:val="top"/>
          </w:tcPr>
          <w:p w14:paraId="22BBC6F7">
            <w:pPr>
              <w:rPr>
                <w:rFonts w:ascii="Arial"/>
                <w:sz w:val="21"/>
              </w:rPr>
            </w:pPr>
          </w:p>
        </w:tc>
      </w:tr>
      <w:tr w14:paraId="706CD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23" w:type="dxa"/>
            <w:vAlign w:val="top"/>
          </w:tcPr>
          <w:p w14:paraId="1689A1FE">
            <w:pPr>
              <w:rPr>
                <w:rFonts w:ascii="Arial"/>
                <w:sz w:val="21"/>
              </w:rPr>
            </w:pPr>
          </w:p>
        </w:tc>
        <w:tc>
          <w:tcPr>
            <w:tcW w:w="2407" w:type="dxa"/>
            <w:vAlign w:val="top"/>
          </w:tcPr>
          <w:p w14:paraId="0B2D6A91">
            <w:pPr>
              <w:rPr>
                <w:rFonts w:ascii="Arial"/>
                <w:sz w:val="21"/>
              </w:rPr>
            </w:pPr>
          </w:p>
        </w:tc>
        <w:tc>
          <w:tcPr>
            <w:tcW w:w="1475" w:type="dxa"/>
            <w:vAlign w:val="top"/>
          </w:tcPr>
          <w:p w14:paraId="462CE6FA">
            <w:pPr>
              <w:rPr>
                <w:rFonts w:ascii="Arial"/>
                <w:sz w:val="21"/>
              </w:rPr>
            </w:pPr>
          </w:p>
        </w:tc>
        <w:tc>
          <w:tcPr>
            <w:tcW w:w="2955" w:type="dxa"/>
            <w:vAlign w:val="top"/>
          </w:tcPr>
          <w:p w14:paraId="03F00A03">
            <w:pPr>
              <w:rPr>
                <w:rFonts w:ascii="Arial"/>
                <w:sz w:val="21"/>
              </w:rPr>
            </w:pPr>
          </w:p>
        </w:tc>
      </w:tr>
      <w:tr w14:paraId="20E44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23" w:type="dxa"/>
            <w:vAlign w:val="top"/>
          </w:tcPr>
          <w:p w14:paraId="713ABE03">
            <w:pPr>
              <w:rPr>
                <w:rFonts w:ascii="Arial"/>
                <w:sz w:val="21"/>
              </w:rPr>
            </w:pPr>
          </w:p>
        </w:tc>
        <w:tc>
          <w:tcPr>
            <w:tcW w:w="2407" w:type="dxa"/>
            <w:vAlign w:val="top"/>
          </w:tcPr>
          <w:p w14:paraId="60F96D8F">
            <w:pPr>
              <w:rPr>
                <w:rFonts w:ascii="Arial"/>
                <w:sz w:val="21"/>
              </w:rPr>
            </w:pPr>
          </w:p>
        </w:tc>
        <w:tc>
          <w:tcPr>
            <w:tcW w:w="1475" w:type="dxa"/>
            <w:vAlign w:val="top"/>
          </w:tcPr>
          <w:p w14:paraId="42C89947">
            <w:pPr>
              <w:rPr>
                <w:rFonts w:ascii="Arial"/>
                <w:sz w:val="21"/>
              </w:rPr>
            </w:pPr>
          </w:p>
        </w:tc>
        <w:tc>
          <w:tcPr>
            <w:tcW w:w="2955" w:type="dxa"/>
            <w:vAlign w:val="top"/>
          </w:tcPr>
          <w:p w14:paraId="2FEBE6C8">
            <w:pPr>
              <w:rPr>
                <w:rFonts w:ascii="Arial"/>
                <w:sz w:val="21"/>
              </w:rPr>
            </w:pPr>
          </w:p>
        </w:tc>
      </w:tr>
      <w:tr w14:paraId="4656B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23" w:type="dxa"/>
            <w:vAlign w:val="top"/>
          </w:tcPr>
          <w:p w14:paraId="0E261C3F">
            <w:pPr>
              <w:rPr>
                <w:rFonts w:ascii="Arial"/>
                <w:sz w:val="21"/>
              </w:rPr>
            </w:pPr>
          </w:p>
        </w:tc>
        <w:tc>
          <w:tcPr>
            <w:tcW w:w="2407" w:type="dxa"/>
            <w:vAlign w:val="top"/>
          </w:tcPr>
          <w:p w14:paraId="158CDC91">
            <w:pPr>
              <w:rPr>
                <w:rFonts w:ascii="Arial"/>
                <w:sz w:val="21"/>
              </w:rPr>
            </w:pPr>
          </w:p>
        </w:tc>
        <w:tc>
          <w:tcPr>
            <w:tcW w:w="1475" w:type="dxa"/>
            <w:vAlign w:val="top"/>
          </w:tcPr>
          <w:p w14:paraId="2CE77D7D">
            <w:pPr>
              <w:rPr>
                <w:rFonts w:ascii="Arial"/>
                <w:sz w:val="21"/>
              </w:rPr>
            </w:pPr>
          </w:p>
        </w:tc>
        <w:tc>
          <w:tcPr>
            <w:tcW w:w="2955" w:type="dxa"/>
            <w:vAlign w:val="top"/>
          </w:tcPr>
          <w:p w14:paraId="1F2937A4">
            <w:pPr>
              <w:rPr>
                <w:rFonts w:ascii="Arial"/>
                <w:sz w:val="21"/>
              </w:rPr>
            </w:pPr>
          </w:p>
        </w:tc>
      </w:tr>
      <w:tr w14:paraId="1BCB5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23" w:type="dxa"/>
            <w:vAlign w:val="top"/>
          </w:tcPr>
          <w:p w14:paraId="3C00DEB7">
            <w:pPr>
              <w:rPr>
                <w:rFonts w:ascii="Arial"/>
                <w:sz w:val="21"/>
              </w:rPr>
            </w:pPr>
          </w:p>
        </w:tc>
        <w:tc>
          <w:tcPr>
            <w:tcW w:w="2407" w:type="dxa"/>
            <w:vAlign w:val="top"/>
          </w:tcPr>
          <w:p w14:paraId="39749D9B">
            <w:pPr>
              <w:rPr>
                <w:rFonts w:ascii="Arial"/>
                <w:sz w:val="21"/>
              </w:rPr>
            </w:pPr>
          </w:p>
        </w:tc>
        <w:tc>
          <w:tcPr>
            <w:tcW w:w="1475" w:type="dxa"/>
            <w:vAlign w:val="top"/>
          </w:tcPr>
          <w:p w14:paraId="6EC25695">
            <w:pPr>
              <w:rPr>
                <w:rFonts w:ascii="Arial"/>
                <w:sz w:val="21"/>
              </w:rPr>
            </w:pPr>
          </w:p>
        </w:tc>
        <w:tc>
          <w:tcPr>
            <w:tcW w:w="2955" w:type="dxa"/>
            <w:vAlign w:val="top"/>
          </w:tcPr>
          <w:p w14:paraId="4479A326">
            <w:pPr>
              <w:rPr>
                <w:rFonts w:ascii="Arial"/>
                <w:sz w:val="21"/>
              </w:rPr>
            </w:pPr>
          </w:p>
        </w:tc>
      </w:tr>
      <w:tr w14:paraId="7B39F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023" w:type="dxa"/>
            <w:vAlign w:val="top"/>
          </w:tcPr>
          <w:p w14:paraId="7352008A">
            <w:pPr>
              <w:pStyle w:val="51"/>
              <w:spacing w:before="153" w:line="239" w:lineRule="auto"/>
              <w:ind w:left="24"/>
            </w:pPr>
            <w:r>
              <w:rPr>
                <w:spacing w:val="3"/>
              </w:rPr>
              <w:t>………</w:t>
            </w:r>
          </w:p>
        </w:tc>
        <w:tc>
          <w:tcPr>
            <w:tcW w:w="2407" w:type="dxa"/>
            <w:vAlign w:val="top"/>
          </w:tcPr>
          <w:p w14:paraId="3BD732F3">
            <w:pPr>
              <w:rPr>
                <w:rFonts w:ascii="Arial"/>
                <w:sz w:val="21"/>
              </w:rPr>
            </w:pPr>
          </w:p>
        </w:tc>
        <w:tc>
          <w:tcPr>
            <w:tcW w:w="1475" w:type="dxa"/>
            <w:vAlign w:val="top"/>
          </w:tcPr>
          <w:p w14:paraId="07658A23">
            <w:pPr>
              <w:rPr>
                <w:rFonts w:ascii="Arial"/>
                <w:sz w:val="21"/>
              </w:rPr>
            </w:pPr>
          </w:p>
        </w:tc>
        <w:tc>
          <w:tcPr>
            <w:tcW w:w="2955" w:type="dxa"/>
            <w:vAlign w:val="top"/>
          </w:tcPr>
          <w:p w14:paraId="7DE0CFBC">
            <w:pPr>
              <w:rPr>
                <w:rFonts w:ascii="Arial"/>
                <w:sz w:val="21"/>
              </w:rPr>
            </w:pPr>
          </w:p>
        </w:tc>
      </w:tr>
    </w:tbl>
    <w:p w14:paraId="0F0EE8E3">
      <w:pPr>
        <w:pStyle w:val="10"/>
        <w:spacing w:line="293" w:lineRule="auto"/>
      </w:pPr>
    </w:p>
    <w:p w14:paraId="5D431FE3">
      <w:pPr>
        <w:pStyle w:val="10"/>
        <w:spacing w:line="294" w:lineRule="auto"/>
      </w:pPr>
    </w:p>
    <w:p w14:paraId="335490A7">
      <w:pPr>
        <w:spacing w:before="62" w:line="489" w:lineRule="auto"/>
        <w:ind w:left="1" w:right="100" w:firstLine="399"/>
        <w:rPr>
          <w:rFonts w:ascii="宋体" w:hAnsi="宋体" w:eastAsia="宋体" w:cs="宋体"/>
          <w:sz w:val="19"/>
          <w:szCs w:val="19"/>
        </w:rPr>
      </w:pPr>
      <w:r>
        <w:rPr>
          <w:rFonts w:ascii="宋体" w:hAnsi="宋体" w:eastAsia="宋体" w:cs="宋体"/>
          <w:spacing w:val="10"/>
          <w:sz w:val="19"/>
          <w:szCs w:val="19"/>
        </w:rPr>
        <w:t>注：1、上述证书及相关资料复印件须加盖企业公章后装订在投标文件中</w:t>
      </w:r>
      <w:r>
        <w:rPr>
          <w:rFonts w:ascii="宋体" w:hAnsi="宋体" w:eastAsia="宋体" w:cs="宋体"/>
          <w:spacing w:val="9"/>
          <w:sz w:val="19"/>
          <w:szCs w:val="19"/>
        </w:rPr>
        <w:t>。上述内容中如某一证件正在年检或</w:t>
      </w:r>
      <w:r>
        <w:rPr>
          <w:rFonts w:ascii="宋体" w:hAnsi="宋体" w:eastAsia="宋体" w:cs="宋体"/>
          <w:sz w:val="19"/>
          <w:szCs w:val="19"/>
        </w:rPr>
        <w:t xml:space="preserve"> </w:t>
      </w:r>
      <w:r>
        <w:rPr>
          <w:rFonts w:ascii="宋体" w:hAnsi="宋体" w:eastAsia="宋体" w:cs="宋体"/>
          <w:spacing w:val="9"/>
          <w:sz w:val="19"/>
          <w:szCs w:val="19"/>
        </w:rPr>
        <w:t>换证，需年检部门及换证部门出具有效证明方可确认。</w:t>
      </w:r>
    </w:p>
    <w:p w14:paraId="46E4AAD3">
      <w:pPr>
        <w:spacing w:before="30" w:line="228" w:lineRule="auto"/>
        <w:ind w:left="842"/>
        <w:rPr>
          <w:rFonts w:ascii="宋体" w:hAnsi="宋体" w:eastAsia="宋体" w:cs="宋体"/>
          <w:sz w:val="20"/>
          <w:szCs w:val="20"/>
        </w:rPr>
      </w:pPr>
      <w:r>
        <w:rPr>
          <w:rFonts w:ascii="宋体" w:hAnsi="宋体" w:eastAsia="宋体" w:cs="宋体"/>
          <w:spacing w:val="9"/>
          <w:sz w:val="20"/>
          <w:szCs w:val="20"/>
        </w:rPr>
        <w:t>2、所有复印件必须要清晰、字迹清楚，否则评标不予以计分。</w:t>
      </w:r>
    </w:p>
    <w:p w14:paraId="55E1637C">
      <w:pPr>
        <w:spacing w:line="228" w:lineRule="auto"/>
        <w:rPr>
          <w:rFonts w:ascii="宋体" w:hAnsi="宋体" w:eastAsia="宋体" w:cs="宋体"/>
          <w:sz w:val="20"/>
          <w:szCs w:val="20"/>
        </w:rPr>
        <w:sectPr>
          <w:footerReference r:id="rId31" w:type="default"/>
          <w:pgSz w:w="12240" w:h="15840"/>
          <w:pgMar w:top="1127" w:right="1159" w:bottom="1072" w:left="1087" w:header="0" w:footer="910" w:gutter="0"/>
          <w:cols w:space="720" w:num="1"/>
        </w:sectPr>
      </w:pPr>
    </w:p>
    <w:p w14:paraId="73B2BC88">
      <w:pPr>
        <w:spacing w:before="47" w:line="219" w:lineRule="auto"/>
        <w:ind w:left="4676"/>
        <w:rPr>
          <w:rFonts w:ascii="宋体" w:hAnsi="宋体" w:eastAsia="宋体" w:cs="宋体"/>
          <w:sz w:val="24"/>
          <w:szCs w:val="24"/>
        </w:rPr>
      </w:pPr>
      <w:r>
        <w:rPr>
          <w:rFonts w:ascii="宋体" w:hAnsi="宋体" w:eastAsia="宋体" w:cs="宋体"/>
          <w:spacing w:val="-4"/>
          <w:sz w:val="24"/>
          <w:szCs w:val="24"/>
        </w:rPr>
        <w:t>承诺书</w:t>
      </w:r>
    </w:p>
    <w:p w14:paraId="45B3E693">
      <w:pPr>
        <w:tabs>
          <w:tab w:val="left" w:pos="2146"/>
        </w:tabs>
        <w:spacing w:before="104" w:line="220" w:lineRule="auto"/>
        <w:ind w:left="46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（招标人名称）：</w:t>
      </w:r>
    </w:p>
    <w:p w14:paraId="796B1640">
      <w:pPr>
        <w:spacing w:before="181" w:line="345" w:lineRule="auto"/>
        <w:ind w:firstLine="478"/>
        <w:rPr>
          <w:rFonts w:ascii="宋体" w:hAnsi="宋体" w:eastAsia="宋体" w:cs="宋体"/>
          <w:sz w:val="24"/>
          <w:szCs w:val="24"/>
        </w:rPr>
      </w:pPr>
      <w:r>
        <w:rPr>
          <w:rFonts w:ascii="宋体" w:hAnsi="宋体" w:eastAsia="宋体" w:cs="宋体"/>
          <w:spacing w:val="-1"/>
          <w:sz w:val="24"/>
          <w:szCs w:val="24"/>
        </w:rPr>
        <w:t>我方在此声明，我方拟派往（项目名称</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标段（以下简称</w:t>
      </w:r>
      <w:r>
        <w:rPr>
          <w:rFonts w:ascii="宋体" w:hAnsi="宋体" w:eastAsia="宋体" w:cs="宋体"/>
          <w:spacing w:val="-2"/>
          <w:sz w:val="24"/>
          <w:szCs w:val="24"/>
        </w:rPr>
        <w:t>“本工程</w:t>
      </w:r>
      <w:r>
        <w:rPr>
          <w:rFonts w:ascii="宋体" w:hAnsi="宋体" w:eastAsia="宋体" w:cs="宋体"/>
          <w:spacing w:val="-88"/>
          <w:sz w:val="24"/>
          <w:szCs w:val="24"/>
        </w:rPr>
        <w:t xml:space="preserve"> </w:t>
      </w:r>
      <w:r>
        <w:rPr>
          <w:rFonts w:ascii="宋体" w:hAnsi="宋体" w:eastAsia="宋体" w:cs="宋体"/>
          <w:spacing w:val="-2"/>
          <w:sz w:val="24"/>
          <w:szCs w:val="24"/>
        </w:rPr>
        <w:t>”）的总监理工程</w:t>
      </w:r>
      <w:r>
        <w:rPr>
          <w:rFonts w:ascii="宋体" w:hAnsi="宋体" w:eastAsia="宋体" w:cs="宋体"/>
          <w:sz w:val="24"/>
          <w:szCs w:val="24"/>
        </w:rPr>
        <w:t xml:space="preserve"> 师（总监理工程师姓名）现阶段没有担任任何在</w:t>
      </w:r>
      <w:r>
        <w:rPr>
          <w:rFonts w:ascii="宋体" w:hAnsi="宋体" w:eastAsia="宋体" w:cs="宋体"/>
          <w:spacing w:val="-1"/>
          <w:sz w:val="24"/>
          <w:szCs w:val="24"/>
        </w:rPr>
        <w:t>施建设工程项目的总监理工程师。</w:t>
      </w:r>
    </w:p>
    <w:p w14:paraId="2D1E36E6">
      <w:pPr>
        <w:spacing w:before="36" w:line="219" w:lineRule="auto"/>
        <w:jc w:val="right"/>
        <w:rPr>
          <w:rFonts w:ascii="宋体" w:hAnsi="宋体" w:eastAsia="宋体" w:cs="宋体"/>
          <w:sz w:val="24"/>
          <w:szCs w:val="24"/>
        </w:rPr>
      </w:pPr>
      <w:r>
        <w:rPr>
          <w:rFonts w:ascii="宋体" w:hAnsi="宋体" w:eastAsia="宋体" w:cs="宋体"/>
          <w:sz w:val="24"/>
          <w:szCs w:val="24"/>
        </w:rPr>
        <w:t>我方保证上述信息的真实和准确，并愿意承担因我方就此弄虚</w:t>
      </w:r>
      <w:r>
        <w:rPr>
          <w:rFonts w:ascii="宋体" w:hAnsi="宋体" w:eastAsia="宋体" w:cs="宋体"/>
          <w:spacing w:val="-1"/>
          <w:sz w:val="24"/>
          <w:szCs w:val="24"/>
        </w:rPr>
        <w:t>作假所引起的一切法律后果。</w:t>
      </w:r>
    </w:p>
    <w:p w14:paraId="2C961B71">
      <w:pPr>
        <w:pStyle w:val="10"/>
        <w:spacing w:line="257" w:lineRule="auto"/>
      </w:pPr>
    </w:p>
    <w:p w14:paraId="52CA8474">
      <w:pPr>
        <w:pStyle w:val="10"/>
        <w:spacing w:line="258" w:lineRule="auto"/>
      </w:pPr>
    </w:p>
    <w:p w14:paraId="2F057666">
      <w:pPr>
        <w:pStyle w:val="10"/>
        <w:spacing w:line="258" w:lineRule="auto"/>
      </w:pPr>
    </w:p>
    <w:p w14:paraId="103392D4">
      <w:pPr>
        <w:pStyle w:val="10"/>
        <w:spacing w:line="258" w:lineRule="auto"/>
      </w:pPr>
    </w:p>
    <w:p w14:paraId="2B1F6381">
      <w:pPr>
        <w:spacing w:before="78" w:line="219" w:lineRule="auto"/>
        <w:ind w:left="956"/>
        <w:rPr>
          <w:rFonts w:ascii="宋体" w:hAnsi="宋体" w:eastAsia="宋体" w:cs="宋体"/>
          <w:sz w:val="24"/>
          <w:szCs w:val="24"/>
        </w:rPr>
      </w:pPr>
      <w:r>
        <w:rPr>
          <w:rFonts w:ascii="宋体" w:hAnsi="宋体" w:eastAsia="宋体" w:cs="宋体"/>
          <w:spacing w:val="-3"/>
          <w:sz w:val="24"/>
          <w:szCs w:val="24"/>
        </w:rPr>
        <w:t>特此承诺</w:t>
      </w:r>
    </w:p>
    <w:p w14:paraId="28144815">
      <w:pPr>
        <w:pStyle w:val="10"/>
      </w:pPr>
    </w:p>
    <w:p w14:paraId="78B8F4EA">
      <w:pPr>
        <w:pStyle w:val="10"/>
      </w:pPr>
    </w:p>
    <w:p w14:paraId="59966019">
      <w:pPr>
        <w:pStyle w:val="10"/>
      </w:pPr>
    </w:p>
    <w:p w14:paraId="5471E508">
      <w:pPr>
        <w:pStyle w:val="10"/>
      </w:pPr>
    </w:p>
    <w:p w14:paraId="16FB4215">
      <w:pPr>
        <w:pStyle w:val="10"/>
      </w:pPr>
    </w:p>
    <w:p w14:paraId="4A80E1E4">
      <w:pPr>
        <w:pStyle w:val="10"/>
        <w:spacing w:line="241" w:lineRule="auto"/>
      </w:pPr>
    </w:p>
    <w:p w14:paraId="2E667AE3">
      <w:pPr>
        <w:pStyle w:val="10"/>
        <w:spacing w:line="241" w:lineRule="auto"/>
      </w:pPr>
    </w:p>
    <w:p w14:paraId="70AAD072">
      <w:pPr>
        <w:pStyle w:val="10"/>
        <w:spacing w:line="241" w:lineRule="auto"/>
      </w:pPr>
    </w:p>
    <w:p w14:paraId="35D23FDF">
      <w:pPr>
        <w:pStyle w:val="10"/>
        <w:spacing w:line="241" w:lineRule="auto"/>
      </w:pPr>
    </w:p>
    <w:p w14:paraId="56542067">
      <w:pPr>
        <w:pStyle w:val="10"/>
        <w:spacing w:line="241" w:lineRule="auto"/>
      </w:pPr>
    </w:p>
    <w:p w14:paraId="0A739E61">
      <w:pPr>
        <w:pStyle w:val="10"/>
        <w:spacing w:line="241" w:lineRule="auto"/>
      </w:pPr>
    </w:p>
    <w:p w14:paraId="06D090B9">
      <w:pPr>
        <w:pStyle w:val="10"/>
        <w:spacing w:line="241" w:lineRule="auto"/>
      </w:pPr>
    </w:p>
    <w:p w14:paraId="3359782D">
      <w:pPr>
        <w:spacing w:before="78" w:line="219" w:lineRule="auto"/>
        <w:ind w:left="2279"/>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pacing w:val="2"/>
          <w:sz w:val="24"/>
          <w:szCs w:val="24"/>
        </w:rPr>
        <w:t>盖单位章）</w:t>
      </w:r>
    </w:p>
    <w:p w14:paraId="2EB6A7CC">
      <w:pPr>
        <w:spacing w:before="184" w:line="219" w:lineRule="auto"/>
        <w:ind w:left="2277"/>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4"/>
          <w:sz w:val="24"/>
          <w:szCs w:val="24"/>
        </w:rPr>
        <w:t>：</w:t>
      </w:r>
      <w:r>
        <w:rPr>
          <w:rFonts w:ascii="宋体" w:hAnsi="宋体" w:eastAsia="宋体" w:cs="宋体"/>
          <w:spacing w:val="1"/>
          <w:sz w:val="24"/>
          <w:szCs w:val="24"/>
        </w:rPr>
        <w:t xml:space="preserve"> </w:t>
      </w:r>
      <w:r>
        <w:rPr>
          <w:rFonts w:ascii="宋体" w:hAnsi="宋体" w:eastAsia="宋体" w:cs="宋体"/>
          <w:spacing w:val="-14"/>
          <w:sz w:val="24"/>
          <w:szCs w:val="24"/>
        </w:rPr>
        <w:t>（</w:t>
      </w:r>
      <w:r>
        <w:rPr>
          <w:rFonts w:ascii="宋体" w:hAnsi="宋体" w:eastAsia="宋体" w:cs="宋体"/>
          <w:spacing w:val="1"/>
          <w:sz w:val="24"/>
          <w:szCs w:val="24"/>
        </w:rPr>
        <w:t>签字）</w:t>
      </w:r>
    </w:p>
    <w:p w14:paraId="5B23C809">
      <w:pPr>
        <w:pStyle w:val="10"/>
        <w:spacing w:line="283" w:lineRule="auto"/>
      </w:pPr>
    </w:p>
    <w:p w14:paraId="42F20B08">
      <w:pPr>
        <w:pStyle w:val="10"/>
        <w:spacing w:line="284" w:lineRule="auto"/>
      </w:pPr>
    </w:p>
    <w:p w14:paraId="713F82FE">
      <w:pPr>
        <w:spacing w:before="79" w:line="219" w:lineRule="auto"/>
        <w:ind w:left="3957"/>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
          <w:sz w:val="24"/>
          <w:szCs w:val="24"/>
        </w:rPr>
        <w:t xml:space="preserve">        </w:t>
      </w:r>
      <w:r>
        <w:rPr>
          <w:rFonts w:ascii="宋体" w:hAnsi="宋体" w:eastAsia="宋体" w:cs="宋体"/>
          <w:spacing w:val="-9"/>
          <w:sz w:val="24"/>
          <w:szCs w:val="24"/>
        </w:rPr>
        <w:t>月</w:t>
      </w:r>
      <w:r>
        <w:rPr>
          <w:rFonts w:ascii="宋体" w:hAnsi="宋体" w:eastAsia="宋体" w:cs="宋体"/>
          <w:spacing w:val="7"/>
          <w:sz w:val="24"/>
          <w:szCs w:val="24"/>
        </w:rPr>
        <w:t xml:space="preserve">        </w:t>
      </w:r>
      <w:r>
        <w:rPr>
          <w:rFonts w:ascii="宋体" w:hAnsi="宋体" w:eastAsia="宋体" w:cs="宋体"/>
          <w:spacing w:val="-9"/>
          <w:sz w:val="24"/>
          <w:szCs w:val="24"/>
        </w:rPr>
        <w:t>日</w:t>
      </w:r>
    </w:p>
    <w:p w14:paraId="4E61BADF">
      <w:pPr>
        <w:spacing w:line="219" w:lineRule="auto"/>
        <w:rPr>
          <w:rFonts w:ascii="宋体" w:hAnsi="宋体" w:eastAsia="宋体" w:cs="宋体"/>
          <w:sz w:val="24"/>
          <w:szCs w:val="24"/>
        </w:rPr>
        <w:sectPr>
          <w:footerReference r:id="rId32" w:type="default"/>
          <w:pgSz w:w="12240" w:h="15840"/>
          <w:pgMar w:top="1122" w:right="1080" w:bottom="1072" w:left="1093" w:header="0" w:footer="910" w:gutter="0"/>
          <w:cols w:space="720" w:num="1"/>
        </w:sectPr>
      </w:pPr>
    </w:p>
    <w:p w14:paraId="1E45AC53">
      <w:pPr>
        <w:spacing w:before="56" w:line="219" w:lineRule="auto"/>
        <w:ind w:left="1774"/>
        <w:rPr>
          <w:rFonts w:ascii="宋体" w:hAnsi="宋体" w:eastAsia="宋体" w:cs="宋体"/>
          <w:sz w:val="28"/>
          <w:szCs w:val="28"/>
        </w:rPr>
      </w:pPr>
      <w:r>
        <w:rPr>
          <w:rFonts w:ascii="宋体" w:hAnsi="宋体" w:eastAsia="宋体" w:cs="宋体"/>
          <w:spacing w:val="-1"/>
          <w:sz w:val="28"/>
          <w:szCs w:val="28"/>
        </w:rPr>
        <w:t>（八）拟投入本项目的主要试验检测仪器设备表</w:t>
      </w:r>
    </w:p>
    <w:p w14:paraId="2C04EB0E">
      <w:pPr>
        <w:spacing w:before="23"/>
      </w:pPr>
    </w:p>
    <w:tbl>
      <w:tblPr>
        <w:tblStyle w:val="35"/>
        <w:tblW w:w="93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6"/>
        <w:gridCol w:w="1171"/>
        <w:gridCol w:w="1171"/>
        <w:gridCol w:w="1171"/>
        <w:gridCol w:w="1171"/>
        <w:gridCol w:w="1172"/>
        <w:gridCol w:w="1172"/>
        <w:gridCol w:w="1181"/>
      </w:tblGrid>
      <w:tr w14:paraId="42A35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176" w:type="dxa"/>
            <w:vAlign w:val="top"/>
          </w:tcPr>
          <w:p w14:paraId="2DD8FCAE">
            <w:pPr>
              <w:pStyle w:val="51"/>
              <w:spacing w:before="224" w:line="221" w:lineRule="auto"/>
              <w:ind w:left="355"/>
              <w:rPr>
                <w:sz w:val="24"/>
                <w:szCs w:val="24"/>
              </w:rPr>
            </w:pPr>
            <w:r>
              <w:rPr>
                <w:spacing w:val="-5"/>
                <w:sz w:val="24"/>
                <w:szCs w:val="24"/>
              </w:rPr>
              <w:t>序号</w:t>
            </w:r>
          </w:p>
        </w:tc>
        <w:tc>
          <w:tcPr>
            <w:tcW w:w="1171" w:type="dxa"/>
            <w:vAlign w:val="top"/>
          </w:tcPr>
          <w:p w14:paraId="6FD65B91">
            <w:pPr>
              <w:pStyle w:val="51"/>
              <w:spacing w:before="68" w:line="231" w:lineRule="auto"/>
              <w:ind w:left="353" w:right="104" w:hanging="241"/>
              <w:rPr>
                <w:sz w:val="24"/>
                <w:szCs w:val="24"/>
              </w:rPr>
            </w:pPr>
            <w:r>
              <w:rPr>
                <w:spacing w:val="-3"/>
                <w:sz w:val="24"/>
                <w:szCs w:val="24"/>
              </w:rPr>
              <w:t>仪器设备</w:t>
            </w:r>
            <w:r>
              <w:rPr>
                <w:sz w:val="24"/>
                <w:szCs w:val="24"/>
              </w:rPr>
              <w:t xml:space="preserve"> </w:t>
            </w:r>
            <w:r>
              <w:rPr>
                <w:spacing w:val="-7"/>
                <w:sz w:val="24"/>
                <w:szCs w:val="24"/>
              </w:rPr>
              <w:t>名称</w:t>
            </w:r>
          </w:p>
        </w:tc>
        <w:tc>
          <w:tcPr>
            <w:tcW w:w="1171" w:type="dxa"/>
            <w:vAlign w:val="top"/>
          </w:tcPr>
          <w:p w14:paraId="2FE8EC9A">
            <w:pPr>
              <w:pStyle w:val="51"/>
              <w:spacing w:before="225" w:line="219" w:lineRule="auto"/>
              <w:ind w:left="118"/>
              <w:rPr>
                <w:sz w:val="24"/>
                <w:szCs w:val="24"/>
              </w:rPr>
            </w:pPr>
            <w:r>
              <w:rPr>
                <w:spacing w:val="-5"/>
                <w:sz w:val="24"/>
                <w:szCs w:val="24"/>
              </w:rPr>
              <w:t>型号规格</w:t>
            </w:r>
          </w:p>
        </w:tc>
        <w:tc>
          <w:tcPr>
            <w:tcW w:w="1171" w:type="dxa"/>
            <w:vAlign w:val="top"/>
          </w:tcPr>
          <w:p w14:paraId="76E43C21">
            <w:pPr>
              <w:pStyle w:val="51"/>
              <w:spacing w:before="225" w:line="219" w:lineRule="auto"/>
              <w:ind w:left="356"/>
              <w:rPr>
                <w:sz w:val="24"/>
                <w:szCs w:val="24"/>
              </w:rPr>
            </w:pPr>
            <w:r>
              <w:rPr>
                <w:spacing w:val="-6"/>
                <w:sz w:val="24"/>
                <w:szCs w:val="24"/>
              </w:rPr>
              <w:t>数量</w:t>
            </w:r>
          </w:p>
        </w:tc>
        <w:tc>
          <w:tcPr>
            <w:tcW w:w="1171" w:type="dxa"/>
            <w:vAlign w:val="top"/>
          </w:tcPr>
          <w:p w14:paraId="148CE8DA">
            <w:pPr>
              <w:pStyle w:val="51"/>
              <w:spacing w:before="67" w:line="230" w:lineRule="auto"/>
              <w:ind w:left="354" w:right="341" w:firstLine="23"/>
              <w:rPr>
                <w:sz w:val="24"/>
                <w:szCs w:val="24"/>
              </w:rPr>
            </w:pPr>
            <w:r>
              <w:rPr>
                <w:spacing w:val="-17"/>
                <w:sz w:val="24"/>
                <w:szCs w:val="24"/>
              </w:rPr>
              <w:t>国别</w:t>
            </w:r>
            <w:r>
              <w:rPr>
                <w:sz w:val="24"/>
                <w:szCs w:val="24"/>
              </w:rPr>
              <w:t xml:space="preserve"> </w:t>
            </w:r>
            <w:r>
              <w:rPr>
                <w:spacing w:val="-5"/>
                <w:sz w:val="24"/>
                <w:szCs w:val="24"/>
              </w:rPr>
              <w:t>产地</w:t>
            </w:r>
          </w:p>
        </w:tc>
        <w:tc>
          <w:tcPr>
            <w:tcW w:w="1172" w:type="dxa"/>
            <w:vAlign w:val="top"/>
          </w:tcPr>
          <w:p w14:paraId="0572D0DA">
            <w:pPr>
              <w:pStyle w:val="51"/>
              <w:spacing w:before="67" w:line="230" w:lineRule="auto"/>
              <w:ind w:left="355" w:right="341"/>
              <w:rPr>
                <w:sz w:val="24"/>
                <w:szCs w:val="24"/>
              </w:rPr>
            </w:pPr>
            <w:r>
              <w:rPr>
                <w:spacing w:val="-6"/>
                <w:sz w:val="24"/>
                <w:szCs w:val="24"/>
              </w:rPr>
              <w:t>制造</w:t>
            </w:r>
            <w:r>
              <w:rPr>
                <w:sz w:val="24"/>
                <w:szCs w:val="24"/>
              </w:rPr>
              <w:t xml:space="preserve"> </w:t>
            </w:r>
            <w:r>
              <w:rPr>
                <w:spacing w:val="-6"/>
                <w:sz w:val="24"/>
                <w:szCs w:val="24"/>
              </w:rPr>
              <w:t>年份</w:t>
            </w:r>
          </w:p>
        </w:tc>
        <w:tc>
          <w:tcPr>
            <w:tcW w:w="1172" w:type="dxa"/>
            <w:vAlign w:val="top"/>
          </w:tcPr>
          <w:p w14:paraId="673A0A8C">
            <w:pPr>
              <w:pStyle w:val="51"/>
              <w:spacing w:before="224" w:line="221" w:lineRule="auto"/>
              <w:ind w:left="358"/>
              <w:rPr>
                <w:sz w:val="24"/>
                <w:szCs w:val="24"/>
              </w:rPr>
            </w:pPr>
            <w:r>
              <w:rPr>
                <w:spacing w:val="-6"/>
                <w:sz w:val="24"/>
                <w:szCs w:val="24"/>
              </w:rPr>
              <w:t>用途</w:t>
            </w:r>
          </w:p>
        </w:tc>
        <w:tc>
          <w:tcPr>
            <w:tcW w:w="1181" w:type="dxa"/>
            <w:vAlign w:val="top"/>
          </w:tcPr>
          <w:p w14:paraId="5AE01B5D">
            <w:pPr>
              <w:pStyle w:val="51"/>
              <w:spacing w:before="224" w:line="221" w:lineRule="auto"/>
              <w:ind w:left="360"/>
              <w:rPr>
                <w:sz w:val="24"/>
                <w:szCs w:val="24"/>
              </w:rPr>
            </w:pPr>
            <w:r>
              <w:rPr>
                <w:spacing w:val="-7"/>
                <w:sz w:val="24"/>
                <w:szCs w:val="24"/>
              </w:rPr>
              <w:t>备注</w:t>
            </w:r>
          </w:p>
        </w:tc>
      </w:tr>
      <w:tr w14:paraId="46710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76" w:type="dxa"/>
            <w:vAlign w:val="top"/>
          </w:tcPr>
          <w:p w14:paraId="7FD7CD4F">
            <w:pPr>
              <w:rPr>
                <w:rFonts w:ascii="Arial"/>
                <w:sz w:val="21"/>
              </w:rPr>
            </w:pPr>
          </w:p>
        </w:tc>
        <w:tc>
          <w:tcPr>
            <w:tcW w:w="1171" w:type="dxa"/>
            <w:vAlign w:val="top"/>
          </w:tcPr>
          <w:p w14:paraId="4383E2E9">
            <w:pPr>
              <w:rPr>
                <w:rFonts w:ascii="Arial"/>
                <w:sz w:val="21"/>
              </w:rPr>
            </w:pPr>
          </w:p>
        </w:tc>
        <w:tc>
          <w:tcPr>
            <w:tcW w:w="1171" w:type="dxa"/>
            <w:vAlign w:val="top"/>
          </w:tcPr>
          <w:p w14:paraId="4361812D">
            <w:pPr>
              <w:rPr>
                <w:rFonts w:ascii="Arial"/>
                <w:sz w:val="21"/>
              </w:rPr>
            </w:pPr>
          </w:p>
        </w:tc>
        <w:tc>
          <w:tcPr>
            <w:tcW w:w="1171" w:type="dxa"/>
            <w:vAlign w:val="top"/>
          </w:tcPr>
          <w:p w14:paraId="67EC353F">
            <w:pPr>
              <w:rPr>
                <w:rFonts w:ascii="Arial"/>
                <w:sz w:val="21"/>
              </w:rPr>
            </w:pPr>
          </w:p>
        </w:tc>
        <w:tc>
          <w:tcPr>
            <w:tcW w:w="1171" w:type="dxa"/>
            <w:vAlign w:val="top"/>
          </w:tcPr>
          <w:p w14:paraId="29869BA6">
            <w:pPr>
              <w:rPr>
                <w:rFonts w:ascii="Arial"/>
                <w:sz w:val="21"/>
              </w:rPr>
            </w:pPr>
          </w:p>
        </w:tc>
        <w:tc>
          <w:tcPr>
            <w:tcW w:w="1172" w:type="dxa"/>
            <w:vAlign w:val="top"/>
          </w:tcPr>
          <w:p w14:paraId="2FE1A2C6">
            <w:pPr>
              <w:rPr>
                <w:rFonts w:ascii="Arial"/>
                <w:sz w:val="21"/>
              </w:rPr>
            </w:pPr>
          </w:p>
        </w:tc>
        <w:tc>
          <w:tcPr>
            <w:tcW w:w="1172" w:type="dxa"/>
            <w:vAlign w:val="top"/>
          </w:tcPr>
          <w:p w14:paraId="390B79CB">
            <w:pPr>
              <w:rPr>
                <w:rFonts w:ascii="Arial"/>
                <w:sz w:val="21"/>
              </w:rPr>
            </w:pPr>
          </w:p>
        </w:tc>
        <w:tc>
          <w:tcPr>
            <w:tcW w:w="1181" w:type="dxa"/>
            <w:vAlign w:val="top"/>
          </w:tcPr>
          <w:p w14:paraId="01A2576B">
            <w:pPr>
              <w:rPr>
                <w:rFonts w:ascii="Arial"/>
                <w:sz w:val="21"/>
              </w:rPr>
            </w:pPr>
          </w:p>
        </w:tc>
      </w:tr>
      <w:tr w14:paraId="42AC0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176" w:type="dxa"/>
            <w:vAlign w:val="top"/>
          </w:tcPr>
          <w:p w14:paraId="74C962A3">
            <w:pPr>
              <w:rPr>
                <w:rFonts w:ascii="Arial"/>
                <w:sz w:val="21"/>
              </w:rPr>
            </w:pPr>
          </w:p>
        </w:tc>
        <w:tc>
          <w:tcPr>
            <w:tcW w:w="1171" w:type="dxa"/>
            <w:vAlign w:val="top"/>
          </w:tcPr>
          <w:p w14:paraId="39FF9B24">
            <w:pPr>
              <w:rPr>
                <w:rFonts w:ascii="Arial"/>
                <w:sz w:val="21"/>
              </w:rPr>
            </w:pPr>
          </w:p>
        </w:tc>
        <w:tc>
          <w:tcPr>
            <w:tcW w:w="1171" w:type="dxa"/>
            <w:vAlign w:val="top"/>
          </w:tcPr>
          <w:p w14:paraId="37EC8CF7">
            <w:pPr>
              <w:rPr>
                <w:rFonts w:ascii="Arial"/>
                <w:sz w:val="21"/>
              </w:rPr>
            </w:pPr>
          </w:p>
        </w:tc>
        <w:tc>
          <w:tcPr>
            <w:tcW w:w="1171" w:type="dxa"/>
            <w:vAlign w:val="top"/>
          </w:tcPr>
          <w:p w14:paraId="4B3BBCFB">
            <w:pPr>
              <w:rPr>
                <w:rFonts w:ascii="Arial"/>
                <w:sz w:val="21"/>
              </w:rPr>
            </w:pPr>
          </w:p>
        </w:tc>
        <w:tc>
          <w:tcPr>
            <w:tcW w:w="1171" w:type="dxa"/>
            <w:vAlign w:val="top"/>
          </w:tcPr>
          <w:p w14:paraId="68C1A44E">
            <w:pPr>
              <w:rPr>
                <w:rFonts w:ascii="Arial"/>
                <w:sz w:val="21"/>
              </w:rPr>
            </w:pPr>
          </w:p>
        </w:tc>
        <w:tc>
          <w:tcPr>
            <w:tcW w:w="1172" w:type="dxa"/>
            <w:vAlign w:val="top"/>
          </w:tcPr>
          <w:p w14:paraId="3054EF1A">
            <w:pPr>
              <w:rPr>
                <w:rFonts w:ascii="Arial"/>
                <w:sz w:val="21"/>
              </w:rPr>
            </w:pPr>
          </w:p>
        </w:tc>
        <w:tc>
          <w:tcPr>
            <w:tcW w:w="1172" w:type="dxa"/>
            <w:vAlign w:val="top"/>
          </w:tcPr>
          <w:p w14:paraId="3AF29C7D">
            <w:pPr>
              <w:rPr>
                <w:rFonts w:ascii="Arial"/>
                <w:sz w:val="21"/>
              </w:rPr>
            </w:pPr>
          </w:p>
        </w:tc>
        <w:tc>
          <w:tcPr>
            <w:tcW w:w="1181" w:type="dxa"/>
            <w:vAlign w:val="top"/>
          </w:tcPr>
          <w:p w14:paraId="08B769D0">
            <w:pPr>
              <w:rPr>
                <w:rFonts w:ascii="Arial"/>
                <w:sz w:val="21"/>
              </w:rPr>
            </w:pPr>
          </w:p>
        </w:tc>
      </w:tr>
      <w:tr w14:paraId="71AFF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176" w:type="dxa"/>
            <w:vAlign w:val="top"/>
          </w:tcPr>
          <w:p w14:paraId="4F5EDFE2">
            <w:pPr>
              <w:rPr>
                <w:rFonts w:ascii="Arial"/>
                <w:sz w:val="21"/>
              </w:rPr>
            </w:pPr>
          </w:p>
        </w:tc>
        <w:tc>
          <w:tcPr>
            <w:tcW w:w="1171" w:type="dxa"/>
            <w:vAlign w:val="top"/>
          </w:tcPr>
          <w:p w14:paraId="42BFD9DD">
            <w:pPr>
              <w:rPr>
                <w:rFonts w:ascii="Arial"/>
                <w:sz w:val="21"/>
              </w:rPr>
            </w:pPr>
          </w:p>
        </w:tc>
        <w:tc>
          <w:tcPr>
            <w:tcW w:w="1171" w:type="dxa"/>
            <w:vAlign w:val="top"/>
          </w:tcPr>
          <w:p w14:paraId="5003287E">
            <w:pPr>
              <w:rPr>
                <w:rFonts w:ascii="Arial"/>
                <w:sz w:val="21"/>
              </w:rPr>
            </w:pPr>
          </w:p>
        </w:tc>
        <w:tc>
          <w:tcPr>
            <w:tcW w:w="1171" w:type="dxa"/>
            <w:vAlign w:val="top"/>
          </w:tcPr>
          <w:p w14:paraId="1303B9A2">
            <w:pPr>
              <w:rPr>
                <w:rFonts w:ascii="Arial"/>
                <w:sz w:val="21"/>
              </w:rPr>
            </w:pPr>
          </w:p>
        </w:tc>
        <w:tc>
          <w:tcPr>
            <w:tcW w:w="1171" w:type="dxa"/>
            <w:vAlign w:val="top"/>
          </w:tcPr>
          <w:p w14:paraId="3541B2DC">
            <w:pPr>
              <w:rPr>
                <w:rFonts w:ascii="Arial"/>
                <w:sz w:val="21"/>
              </w:rPr>
            </w:pPr>
          </w:p>
        </w:tc>
        <w:tc>
          <w:tcPr>
            <w:tcW w:w="1172" w:type="dxa"/>
            <w:vAlign w:val="top"/>
          </w:tcPr>
          <w:p w14:paraId="197415EF">
            <w:pPr>
              <w:rPr>
                <w:rFonts w:ascii="Arial"/>
                <w:sz w:val="21"/>
              </w:rPr>
            </w:pPr>
          </w:p>
        </w:tc>
        <w:tc>
          <w:tcPr>
            <w:tcW w:w="1172" w:type="dxa"/>
            <w:vAlign w:val="top"/>
          </w:tcPr>
          <w:p w14:paraId="0C0C2506">
            <w:pPr>
              <w:rPr>
                <w:rFonts w:ascii="Arial"/>
                <w:sz w:val="21"/>
              </w:rPr>
            </w:pPr>
          </w:p>
        </w:tc>
        <w:tc>
          <w:tcPr>
            <w:tcW w:w="1181" w:type="dxa"/>
            <w:vAlign w:val="top"/>
          </w:tcPr>
          <w:p w14:paraId="6B6E0270">
            <w:pPr>
              <w:rPr>
                <w:rFonts w:ascii="Arial"/>
                <w:sz w:val="21"/>
              </w:rPr>
            </w:pPr>
          </w:p>
        </w:tc>
      </w:tr>
      <w:tr w14:paraId="79BBA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76" w:type="dxa"/>
            <w:vAlign w:val="top"/>
          </w:tcPr>
          <w:p w14:paraId="06454746">
            <w:pPr>
              <w:rPr>
                <w:rFonts w:ascii="Arial"/>
                <w:sz w:val="21"/>
              </w:rPr>
            </w:pPr>
          </w:p>
        </w:tc>
        <w:tc>
          <w:tcPr>
            <w:tcW w:w="1171" w:type="dxa"/>
            <w:vAlign w:val="top"/>
          </w:tcPr>
          <w:p w14:paraId="6CBFDB2E">
            <w:pPr>
              <w:rPr>
                <w:rFonts w:ascii="Arial"/>
                <w:sz w:val="21"/>
              </w:rPr>
            </w:pPr>
          </w:p>
        </w:tc>
        <w:tc>
          <w:tcPr>
            <w:tcW w:w="1171" w:type="dxa"/>
            <w:vAlign w:val="top"/>
          </w:tcPr>
          <w:p w14:paraId="0E5D74BD">
            <w:pPr>
              <w:rPr>
                <w:rFonts w:ascii="Arial"/>
                <w:sz w:val="21"/>
              </w:rPr>
            </w:pPr>
          </w:p>
        </w:tc>
        <w:tc>
          <w:tcPr>
            <w:tcW w:w="1171" w:type="dxa"/>
            <w:vAlign w:val="top"/>
          </w:tcPr>
          <w:p w14:paraId="54A91EA0">
            <w:pPr>
              <w:rPr>
                <w:rFonts w:ascii="Arial"/>
                <w:sz w:val="21"/>
              </w:rPr>
            </w:pPr>
          </w:p>
        </w:tc>
        <w:tc>
          <w:tcPr>
            <w:tcW w:w="1171" w:type="dxa"/>
            <w:vAlign w:val="top"/>
          </w:tcPr>
          <w:p w14:paraId="3D395977">
            <w:pPr>
              <w:rPr>
                <w:rFonts w:ascii="Arial"/>
                <w:sz w:val="21"/>
              </w:rPr>
            </w:pPr>
          </w:p>
        </w:tc>
        <w:tc>
          <w:tcPr>
            <w:tcW w:w="1172" w:type="dxa"/>
            <w:vAlign w:val="top"/>
          </w:tcPr>
          <w:p w14:paraId="1CD59224">
            <w:pPr>
              <w:rPr>
                <w:rFonts w:ascii="Arial"/>
                <w:sz w:val="21"/>
              </w:rPr>
            </w:pPr>
          </w:p>
        </w:tc>
        <w:tc>
          <w:tcPr>
            <w:tcW w:w="1172" w:type="dxa"/>
            <w:vAlign w:val="top"/>
          </w:tcPr>
          <w:p w14:paraId="5382BA02">
            <w:pPr>
              <w:rPr>
                <w:rFonts w:ascii="Arial"/>
                <w:sz w:val="21"/>
              </w:rPr>
            </w:pPr>
          </w:p>
        </w:tc>
        <w:tc>
          <w:tcPr>
            <w:tcW w:w="1181" w:type="dxa"/>
            <w:vAlign w:val="top"/>
          </w:tcPr>
          <w:p w14:paraId="79627879">
            <w:pPr>
              <w:rPr>
                <w:rFonts w:ascii="Arial"/>
                <w:sz w:val="21"/>
              </w:rPr>
            </w:pPr>
          </w:p>
        </w:tc>
      </w:tr>
      <w:tr w14:paraId="67393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76" w:type="dxa"/>
            <w:vAlign w:val="top"/>
          </w:tcPr>
          <w:p w14:paraId="7E8C21C2">
            <w:pPr>
              <w:rPr>
                <w:rFonts w:ascii="Arial"/>
                <w:sz w:val="21"/>
              </w:rPr>
            </w:pPr>
          </w:p>
        </w:tc>
        <w:tc>
          <w:tcPr>
            <w:tcW w:w="1171" w:type="dxa"/>
            <w:vAlign w:val="top"/>
          </w:tcPr>
          <w:p w14:paraId="199336F3">
            <w:pPr>
              <w:rPr>
                <w:rFonts w:ascii="Arial"/>
                <w:sz w:val="21"/>
              </w:rPr>
            </w:pPr>
          </w:p>
        </w:tc>
        <w:tc>
          <w:tcPr>
            <w:tcW w:w="1171" w:type="dxa"/>
            <w:vAlign w:val="top"/>
          </w:tcPr>
          <w:p w14:paraId="45CCA6C6">
            <w:pPr>
              <w:rPr>
                <w:rFonts w:ascii="Arial"/>
                <w:sz w:val="21"/>
              </w:rPr>
            </w:pPr>
          </w:p>
        </w:tc>
        <w:tc>
          <w:tcPr>
            <w:tcW w:w="1171" w:type="dxa"/>
            <w:vAlign w:val="top"/>
          </w:tcPr>
          <w:p w14:paraId="0DF3E412">
            <w:pPr>
              <w:rPr>
                <w:rFonts w:ascii="Arial"/>
                <w:sz w:val="21"/>
              </w:rPr>
            </w:pPr>
          </w:p>
        </w:tc>
        <w:tc>
          <w:tcPr>
            <w:tcW w:w="1171" w:type="dxa"/>
            <w:vAlign w:val="top"/>
          </w:tcPr>
          <w:p w14:paraId="7AED4D90">
            <w:pPr>
              <w:rPr>
                <w:rFonts w:ascii="Arial"/>
                <w:sz w:val="21"/>
              </w:rPr>
            </w:pPr>
          </w:p>
        </w:tc>
        <w:tc>
          <w:tcPr>
            <w:tcW w:w="1172" w:type="dxa"/>
            <w:vAlign w:val="top"/>
          </w:tcPr>
          <w:p w14:paraId="7A43B0D4">
            <w:pPr>
              <w:rPr>
                <w:rFonts w:ascii="Arial"/>
                <w:sz w:val="21"/>
              </w:rPr>
            </w:pPr>
          </w:p>
        </w:tc>
        <w:tc>
          <w:tcPr>
            <w:tcW w:w="1172" w:type="dxa"/>
            <w:vAlign w:val="top"/>
          </w:tcPr>
          <w:p w14:paraId="31AE336F">
            <w:pPr>
              <w:rPr>
                <w:rFonts w:ascii="Arial"/>
                <w:sz w:val="21"/>
              </w:rPr>
            </w:pPr>
          </w:p>
        </w:tc>
        <w:tc>
          <w:tcPr>
            <w:tcW w:w="1181" w:type="dxa"/>
            <w:vAlign w:val="top"/>
          </w:tcPr>
          <w:p w14:paraId="101AF49B">
            <w:pPr>
              <w:rPr>
                <w:rFonts w:ascii="Arial"/>
                <w:sz w:val="21"/>
              </w:rPr>
            </w:pPr>
          </w:p>
        </w:tc>
      </w:tr>
      <w:tr w14:paraId="4B877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176" w:type="dxa"/>
            <w:vAlign w:val="top"/>
          </w:tcPr>
          <w:p w14:paraId="1E620D66">
            <w:pPr>
              <w:rPr>
                <w:rFonts w:ascii="Arial"/>
                <w:sz w:val="21"/>
              </w:rPr>
            </w:pPr>
          </w:p>
        </w:tc>
        <w:tc>
          <w:tcPr>
            <w:tcW w:w="1171" w:type="dxa"/>
            <w:vAlign w:val="top"/>
          </w:tcPr>
          <w:p w14:paraId="0FA3DB8E">
            <w:pPr>
              <w:rPr>
                <w:rFonts w:ascii="Arial"/>
                <w:sz w:val="21"/>
              </w:rPr>
            </w:pPr>
          </w:p>
        </w:tc>
        <w:tc>
          <w:tcPr>
            <w:tcW w:w="1171" w:type="dxa"/>
            <w:vAlign w:val="top"/>
          </w:tcPr>
          <w:p w14:paraId="40B40603">
            <w:pPr>
              <w:rPr>
                <w:rFonts w:ascii="Arial"/>
                <w:sz w:val="21"/>
              </w:rPr>
            </w:pPr>
          </w:p>
        </w:tc>
        <w:tc>
          <w:tcPr>
            <w:tcW w:w="1171" w:type="dxa"/>
            <w:vAlign w:val="top"/>
          </w:tcPr>
          <w:p w14:paraId="03D31304">
            <w:pPr>
              <w:rPr>
                <w:rFonts w:ascii="Arial"/>
                <w:sz w:val="21"/>
              </w:rPr>
            </w:pPr>
          </w:p>
        </w:tc>
        <w:tc>
          <w:tcPr>
            <w:tcW w:w="1171" w:type="dxa"/>
            <w:vAlign w:val="top"/>
          </w:tcPr>
          <w:p w14:paraId="75BF94D4">
            <w:pPr>
              <w:rPr>
                <w:rFonts w:ascii="Arial"/>
                <w:sz w:val="21"/>
              </w:rPr>
            </w:pPr>
          </w:p>
        </w:tc>
        <w:tc>
          <w:tcPr>
            <w:tcW w:w="1172" w:type="dxa"/>
            <w:vAlign w:val="top"/>
          </w:tcPr>
          <w:p w14:paraId="7127FB21">
            <w:pPr>
              <w:rPr>
                <w:rFonts w:ascii="Arial"/>
                <w:sz w:val="21"/>
              </w:rPr>
            </w:pPr>
          </w:p>
        </w:tc>
        <w:tc>
          <w:tcPr>
            <w:tcW w:w="1172" w:type="dxa"/>
            <w:vAlign w:val="top"/>
          </w:tcPr>
          <w:p w14:paraId="30B5B15C">
            <w:pPr>
              <w:rPr>
                <w:rFonts w:ascii="Arial"/>
                <w:sz w:val="21"/>
              </w:rPr>
            </w:pPr>
          </w:p>
        </w:tc>
        <w:tc>
          <w:tcPr>
            <w:tcW w:w="1181" w:type="dxa"/>
            <w:vAlign w:val="top"/>
          </w:tcPr>
          <w:p w14:paraId="557E0379">
            <w:pPr>
              <w:rPr>
                <w:rFonts w:ascii="Arial"/>
                <w:sz w:val="21"/>
              </w:rPr>
            </w:pPr>
          </w:p>
        </w:tc>
      </w:tr>
      <w:tr w14:paraId="3553D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176" w:type="dxa"/>
            <w:vAlign w:val="top"/>
          </w:tcPr>
          <w:p w14:paraId="2081A38E">
            <w:pPr>
              <w:rPr>
                <w:rFonts w:ascii="Arial"/>
                <w:sz w:val="21"/>
              </w:rPr>
            </w:pPr>
          </w:p>
        </w:tc>
        <w:tc>
          <w:tcPr>
            <w:tcW w:w="1171" w:type="dxa"/>
            <w:vAlign w:val="top"/>
          </w:tcPr>
          <w:p w14:paraId="01F12BCE">
            <w:pPr>
              <w:rPr>
                <w:rFonts w:ascii="Arial"/>
                <w:sz w:val="21"/>
              </w:rPr>
            </w:pPr>
          </w:p>
        </w:tc>
        <w:tc>
          <w:tcPr>
            <w:tcW w:w="1171" w:type="dxa"/>
            <w:vAlign w:val="top"/>
          </w:tcPr>
          <w:p w14:paraId="0C7F9A15">
            <w:pPr>
              <w:rPr>
                <w:rFonts w:ascii="Arial"/>
                <w:sz w:val="21"/>
              </w:rPr>
            </w:pPr>
          </w:p>
        </w:tc>
        <w:tc>
          <w:tcPr>
            <w:tcW w:w="1171" w:type="dxa"/>
            <w:vAlign w:val="top"/>
          </w:tcPr>
          <w:p w14:paraId="61D3AE57">
            <w:pPr>
              <w:rPr>
                <w:rFonts w:ascii="Arial"/>
                <w:sz w:val="21"/>
              </w:rPr>
            </w:pPr>
          </w:p>
        </w:tc>
        <w:tc>
          <w:tcPr>
            <w:tcW w:w="1171" w:type="dxa"/>
            <w:vAlign w:val="top"/>
          </w:tcPr>
          <w:p w14:paraId="4496E647">
            <w:pPr>
              <w:rPr>
                <w:rFonts w:ascii="Arial"/>
                <w:sz w:val="21"/>
              </w:rPr>
            </w:pPr>
          </w:p>
        </w:tc>
        <w:tc>
          <w:tcPr>
            <w:tcW w:w="1172" w:type="dxa"/>
            <w:vAlign w:val="top"/>
          </w:tcPr>
          <w:p w14:paraId="79033D5E">
            <w:pPr>
              <w:rPr>
                <w:rFonts w:ascii="Arial"/>
                <w:sz w:val="21"/>
              </w:rPr>
            </w:pPr>
          </w:p>
        </w:tc>
        <w:tc>
          <w:tcPr>
            <w:tcW w:w="1172" w:type="dxa"/>
            <w:vAlign w:val="top"/>
          </w:tcPr>
          <w:p w14:paraId="15C56124">
            <w:pPr>
              <w:rPr>
                <w:rFonts w:ascii="Arial"/>
                <w:sz w:val="21"/>
              </w:rPr>
            </w:pPr>
          </w:p>
        </w:tc>
        <w:tc>
          <w:tcPr>
            <w:tcW w:w="1181" w:type="dxa"/>
            <w:vAlign w:val="top"/>
          </w:tcPr>
          <w:p w14:paraId="603EC5F9">
            <w:pPr>
              <w:rPr>
                <w:rFonts w:ascii="Arial"/>
                <w:sz w:val="21"/>
              </w:rPr>
            </w:pPr>
          </w:p>
        </w:tc>
      </w:tr>
      <w:tr w14:paraId="69F16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176" w:type="dxa"/>
            <w:vAlign w:val="top"/>
          </w:tcPr>
          <w:p w14:paraId="1961CEBD">
            <w:pPr>
              <w:rPr>
                <w:rFonts w:ascii="Arial"/>
                <w:sz w:val="21"/>
              </w:rPr>
            </w:pPr>
          </w:p>
        </w:tc>
        <w:tc>
          <w:tcPr>
            <w:tcW w:w="1171" w:type="dxa"/>
            <w:vAlign w:val="top"/>
          </w:tcPr>
          <w:p w14:paraId="5AFBF289">
            <w:pPr>
              <w:rPr>
                <w:rFonts w:ascii="Arial"/>
                <w:sz w:val="21"/>
              </w:rPr>
            </w:pPr>
          </w:p>
        </w:tc>
        <w:tc>
          <w:tcPr>
            <w:tcW w:w="1171" w:type="dxa"/>
            <w:vAlign w:val="top"/>
          </w:tcPr>
          <w:p w14:paraId="34AE2D68">
            <w:pPr>
              <w:rPr>
                <w:rFonts w:ascii="Arial"/>
                <w:sz w:val="21"/>
              </w:rPr>
            </w:pPr>
          </w:p>
        </w:tc>
        <w:tc>
          <w:tcPr>
            <w:tcW w:w="1171" w:type="dxa"/>
            <w:vAlign w:val="top"/>
          </w:tcPr>
          <w:p w14:paraId="7C4AFC11">
            <w:pPr>
              <w:rPr>
                <w:rFonts w:ascii="Arial"/>
                <w:sz w:val="21"/>
              </w:rPr>
            </w:pPr>
          </w:p>
        </w:tc>
        <w:tc>
          <w:tcPr>
            <w:tcW w:w="1171" w:type="dxa"/>
            <w:vAlign w:val="top"/>
          </w:tcPr>
          <w:p w14:paraId="7A286205">
            <w:pPr>
              <w:rPr>
                <w:rFonts w:ascii="Arial"/>
                <w:sz w:val="21"/>
              </w:rPr>
            </w:pPr>
          </w:p>
        </w:tc>
        <w:tc>
          <w:tcPr>
            <w:tcW w:w="1172" w:type="dxa"/>
            <w:vAlign w:val="top"/>
          </w:tcPr>
          <w:p w14:paraId="47788872">
            <w:pPr>
              <w:rPr>
                <w:rFonts w:ascii="Arial"/>
                <w:sz w:val="21"/>
              </w:rPr>
            </w:pPr>
          </w:p>
        </w:tc>
        <w:tc>
          <w:tcPr>
            <w:tcW w:w="1172" w:type="dxa"/>
            <w:vAlign w:val="top"/>
          </w:tcPr>
          <w:p w14:paraId="27DC229C">
            <w:pPr>
              <w:rPr>
                <w:rFonts w:ascii="Arial"/>
                <w:sz w:val="21"/>
              </w:rPr>
            </w:pPr>
          </w:p>
        </w:tc>
        <w:tc>
          <w:tcPr>
            <w:tcW w:w="1181" w:type="dxa"/>
            <w:vAlign w:val="top"/>
          </w:tcPr>
          <w:p w14:paraId="5F007312">
            <w:pPr>
              <w:rPr>
                <w:rFonts w:ascii="Arial"/>
                <w:sz w:val="21"/>
              </w:rPr>
            </w:pPr>
          </w:p>
        </w:tc>
      </w:tr>
      <w:tr w14:paraId="2702E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76" w:type="dxa"/>
            <w:vAlign w:val="top"/>
          </w:tcPr>
          <w:p w14:paraId="6A58700C">
            <w:pPr>
              <w:rPr>
                <w:rFonts w:ascii="Arial"/>
                <w:sz w:val="21"/>
              </w:rPr>
            </w:pPr>
          </w:p>
        </w:tc>
        <w:tc>
          <w:tcPr>
            <w:tcW w:w="1171" w:type="dxa"/>
            <w:vAlign w:val="top"/>
          </w:tcPr>
          <w:p w14:paraId="75A03299">
            <w:pPr>
              <w:rPr>
                <w:rFonts w:ascii="Arial"/>
                <w:sz w:val="21"/>
              </w:rPr>
            </w:pPr>
          </w:p>
        </w:tc>
        <w:tc>
          <w:tcPr>
            <w:tcW w:w="1171" w:type="dxa"/>
            <w:vAlign w:val="top"/>
          </w:tcPr>
          <w:p w14:paraId="45A75D2E">
            <w:pPr>
              <w:rPr>
                <w:rFonts w:ascii="Arial"/>
                <w:sz w:val="21"/>
              </w:rPr>
            </w:pPr>
          </w:p>
        </w:tc>
        <w:tc>
          <w:tcPr>
            <w:tcW w:w="1171" w:type="dxa"/>
            <w:vAlign w:val="top"/>
          </w:tcPr>
          <w:p w14:paraId="55189520">
            <w:pPr>
              <w:rPr>
                <w:rFonts w:ascii="Arial"/>
                <w:sz w:val="21"/>
              </w:rPr>
            </w:pPr>
          </w:p>
        </w:tc>
        <w:tc>
          <w:tcPr>
            <w:tcW w:w="1171" w:type="dxa"/>
            <w:vAlign w:val="top"/>
          </w:tcPr>
          <w:p w14:paraId="326231AA">
            <w:pPr>
              <w:rPr>
                <w:rFonts w:ascii="Arial"/>
                <w:sz w:val="21"/>
              </w:rPr>
            </w:pPr>
          </w:p>
        </w:tc>
        <w:tc>
          <w:tcPr>
            <w:tcW w:w="1172" w:type="dxa"/>
            <w:vAlign w:val="top"/>
          </w:tcPr>
          <w:p w14:paraId="0948E843">
            <w:pPr>
              <w:rPr>
                <w:rFonts w:ascii="Arial"/>
                <w:sz w:val="21"/>
              </w:rPr>
            </w:pPr>
          </w:p>
        </w:tc>
        <w:tc>
          <w:tcPr>
            <w:tcW w:w="1172" w:type="dxa"/>
            <w:vAlign w:val="top"/>
          </w:tcPr>
          <w:p w14:paraId="40BDE2B6">
            <w:pPr>
              <w:rPr>
                <w:rFonts w:ascii="Arial"/>
                <w:sz w:val="21"/>
              </w:rPr>
            </w:pPr>
          </w:p>
        </w:tc>
        <w:tc>
          <w:tcPr>
            <w:tcW w:w="1181" w:type="dxa"/>
            <w:vAlign w:val="top"/>
          </w:tcPr>
          <w:p w14:paraId="1E4E8CB0">
            <w:pPr>
              <w:rPr>
                <w:rFonts w:ascii="Arial"/>
                <w:sz w:val="21"/>
              </w:rPr>
            </w:pPr>
          </w:p>
        </w:tc>
      </w:tr>
      <w:tr w14:paraId="2DCCE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176" w:type="dxa"/>
            <w:vAlign w:val="top"/>
          </w:tcPr>
          <w:p w14:paraId="57513F56">
            <w:pPr>
              <w:rPr>
                <w:rFonts w:ascii="Arial"/>
                <w:sz w:val="21"/>
              </w:rPr>
            </w:pPr>
          </w:p>
        </w:tc>
        <w:tc>
          <w:tcPr>
            <w:tcW w:w="1171" w:type="dxa"/>
            <w:vAlign w:val="top"/>
          </w:tcPr>
          <w:p w14:paraId="08EB840C">
            <w:pPr>
              <w:rPr>
                <w:rFonts w:ascii="Arial"/>
                <w:sz w:val="21"/>
              </w:rPr>
            </w:pPr>
          </w:p>
        </w:tc>
        <w:tc>
          <w:tcPr>
            <w:tcW w:w="1171" w:type="dxa"/>
            <w:vAlign w:val="top"/>
          </w:tcPr>
          <w:p w14:paraId="1A294C80">
            <w:pPr>
              <w:rPr>
                <w:rFonts w:ascii="Arial"/>
                <w:sz w:val="21"/>
              </w:rPr>
            </w:pPr>
          </w:p>
        </w:tc>
        <w:tc>
          <w:tcPr>
            <w:tcW w:w="1171" w:type="dxa"/>
            <w:vAlign w:val="top"/>
          </w:tcPr>
          <w:p w14:paraId="01346C9C">
            <w:pPr>
              <w:rPr>
                <w:rFonts w:ascii="Arial"/>
                <w:sz w:val="21"/>
              </w:rPr>
            </w:pPr>
          </w:p>
        </w:tc>
        <w:tc>
          <w:tcPr>
            <w:tcW w:w="1171" w:type="dxa"/>
            <w:vAlign w:val="top"/>
          </w:tcPr>
          <w:p w14:paraId="4847E95C">
            <w:pPr>
              <w:rPr>
                <w:rFonts w:ascii="Arial"/>
                <w:sz w:val="21"/>
              </w:rPr>
            </w:pPr>
          </w:p>
        </w:tc>
        <w:tc>
          <w:tcPr>
            <w:tcW w:w="1172" w:type="dxa"/>
            <w:vAlign w:val="top"/>
          </w:tcPr>
          <w:p w14:paraId="3EE90AE3">
            <w:pPr>
              <w:rPr>
                <w:rFonts w:ascii="Arial"/>
                <w:sz w:val="21"/>
              </w:rPr>
            </w:pPr>
          </w:p>
        </w:tc>
        <w:tc>
          <w:tcPr>
            <w:tcW w:w="1172" w:type="dxa"/>
            <w:vAlign w:val="top"/>
          </w:tcPr>
          <w:p w14:paraId="0AFD2680">
            <w:pPr>
              <w:rPr>
                <w:rFonts w:ascii="Arial"/>
                <w:sz w:val="21"/>
              </w:rPr>
            </w:pPr>
          </w:p>
        </w:tc>
        <w:tc>
          <w:tcPr>
            <w:tcW w:w="1181" w:type="dxa"/>
            <w:vAlign w:val="top"/>
          </w:tcPr>
          <w:p w14:paraId="36081A76">
            <w:pPr>
              <w:rPr>
                <w:rFonts w:ascii="Arial"/>
                <w:sz w:val="21"/>
              </w:rPr>
            </w:pPr>
          </w:p>
        </w:tc>
      </w:tr>
      <w:tr w14:paraId="59281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176" w:type="dxa"/>
            <w:vAlign w:val="top"/>
          </w:tcPr>
          <w:p w14:paraId="07DE9AF8">
            <w:pPr>
              <w:rPr>
                <w:rFonts w:ascii="Arial"/>
                <w:sz w:val="21"/>
              </w:rPr>
            </w:pPr>
          </w:p>
        </w:tc>
        <w:tc>
          <w:tcPr>
            <w:tcW w:w="1171" w:type="dxa"/>
            <w:vAlign w:val="top"/>
          </w:tcPr>
          <w:p w14:paraId="4A428D2E">
            <w:pPr>
              <w:rPr>
                <w:rFonts w:ascii="Arial"/>
                <w:sz w:val="21"/>
              </w:rPr>
            </w:pPr>
          </w:p>
        </w:tc>
        <w:tc>
          <w:tcPr>
            <w:tcW w:w="1171" w:type="dxa"/>
            <w:vAlign w:val="top"/>
          </w:tcPr>
          <w:p w14:paraId="1399E20B">
            <w:pPr>
              <w:rPr>
                <w:rFonts w:ascii="Arial"/>
                <w:sz w:val="21"/>
              </w:rPr>
            </w:pPr>
          </w:p>
        </w:tc>
        <w:tc>
          <w:tcPr>
            <w:tcW w:w="1171" w:type="dxa"/>
            <w:vAlign w:val="top"/>
          </w:tcPr>
          <w:p w14:paraId="0E920EAA">
            <w:pPr>
              <w:rPr>
                <w:rFonts w:ascii="Arial"/>
                <w:sz w:val="21"/>
              </w:rPr>
            </w:pPr>
          </w:p>
        </w:tc>
        <w:tc>
          <w:tcPr>
            <w:tcW w:w="1171" w:type="dxa"/>
            <w:vAlign w:val="top"/>
          </w:tcPr>
          <w:p w14:paraId="46A7F7DC">
            <w:pPr>
              <w:rPr>
                <w:rFonts w:ascii="Arial"/>
                <w:sz w:val="21"/>
              </w:rPr>
            </w:pPr>
          </w:p>
        </w:tc>
        <w:tc>
          <w:tcPr>
            <w:tcW w:w="1172" w:type="dxa"/>
            <w:vAlign w:val="top"/>
          </w:tcPr>
          <w:p w14:paraId="34C581AE">
            <w:pPr>
              <w:rPr>
                <w:rFonts w:ascii="Arial"/>
                <w:sz w:val="21"/>
              </w:rPr>
            </w:pPr>
          </w:p>
        </w:tc>
        <w:tc>
          <w:tcPr>
            <w:tcW w:w="1172" w:type="dxa"/>
            <w:vAlign w:val="top"/>
          </w:tcPr>
          <w:p w14:paraId="44EF85CA">
            <w:pPr>
              <w:rPr>
                <w:rFonts w:ascii="Arial"/>
                <w:sz w:val="21"/>
              </w:rPr>
            </w:pPr>
          </w:p>
        </w:tc>
        <w:tc>
          <w:tcPr>
            <w:tcW w:w="1181" w:type="dxa"/>
            <w:vAlign w:val="top"/>
          </w:tcPr>
          <w:p w14:paraId="1FFA28F8">
            <w:pPr>
              <w:rPr>
                <w:rFonts w:ascii="Arial"/>
                <w:sz w:val="21"/>
              </w:rPr>
            </w:pPr>
          </w:p>
        </w:tc>
      </w:tr>
      <w:tr w14:paraId="2AD2A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176" w:type="dxa"/>
            <w:vAlign w:val="top"/>
          </w:tcPr>
          <w:p w14:paraId="34E48127">
            <w:pPr>
              <w:rPr>
                <w:rFonts w:ascii="Arial"/>
                <w:sz w:val="21"/>
              </w:rPr>
            </w:pPr>
          </w:p>
        </w:tc>
        <w:tc>
          <w:tcPr>
            <w:tcW w:w="1171" w:type="dxa"/>
            <w:vAlign w:val="top"/>
          </w:tcPr>
          <w:p w14:paraId="2CB6C0FA">
            <w:pPr>
              <w:rPr>
                <w:rFonts w:ascii="Arial"/>
                <w:sz w:val="21"/>
              </w:rPr>
            </w:pPr>
          </w:p>
        </w:tc>
        <w:tc>
          <w:tcPr>
            <w:tcW w:w="1171" w:type="dxa"/>
            <w:vAlign w:val="top"/>
          </w:tcPr>
          <w:p w14:paraId="5001D5C4">
            <w:pPr>
              <w:rPr>
                <w:rFonts w:ascii="Arial"/>
                <w:sz w:val="21"/>
              </w:rPr>
            </w:pPr>
          </w:p>
        </w:tc>
        <w:tc>
          <w:tcPr>
            <w:tcW w:w="1171" w:type="dxa"/>
            <w:vAlign w:val="top"/>
          </w:tcPr>
          <w:p w14:paraId="574B543A">
            <w:pPr>
              <w:rPr>
                <w:rFonts w:ascii="Arial"/>
                <w:sz w:val="21"/>
              </w:rPr>
            </w:pPr>
          </w:p>
        </w:tc>
        <w:tc>
          <w:tcPr>
            <w:tcW w:w="1171" w:type="dxa"/>
            <w:vAlign w:val="top"/>
          </w:tcPr>
          <w:p w14:paraId="5B20086D">
            <w:pPr>
              <w:rPr>
                <w:rFonts w:ascii="Arial"/>
                <w:sz w:val="21"/>
              </w:rPr>
            </w:pPr>
          </w:p>
        </w:tc>
        <w:tc>
          <w:tcPr>
            <w:tcW w:w="1172" w:type="dxa"/>
            <w:vAlign w:val="top"/>
          </w:tcPr>
          <w:p w14:paraId="182E11D5">
            <w:pPr>
              <w:rPr>
                <w:rFonts w:ascii="Arial"/>
                <w:sz w:val="21"/>
              </w:rPr>
            </w:pPr>
          </w:p>
        </w:tc>
        <w:tc>
          <w:tcPr>
            <w:tcW w:w="1172" w:type="dxa"/>
            <w:vAlign w:val="top"/>
          </w:tcPr>
          <w:p w14:paraId="55131CCC">
            <w:pPr>
              <w:rPr>
                <w:rFonts w:ascii="Arial"/>
                <w:sz w:val="21"/>
              </w:rPr>
            </w:pPr>
          </w:p>
        </w:tc>
        <w:tc>
          <w:tcPr>
            <w:tcW w:w="1181" w:type="dxa"/>
            <w:vAlign w:val="top"/>
          </w:tcPr>
          <w:p w14:paraId="3B138FBA">
            <w:pPr>
              <w:rPr>
                <w:rFonts w:ascii="Arial"/>
                <w:sz w:val="21"/>
              </w:rPr>
            </w:pPr>
          </w:p>
        </w:tc>
      </w:tr>
      <w:tr w14:paraId="11D46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176" w:type="dxa"/>
            <w:vAlign w:val="top"/>
          </w:tcPr>
          <w:p w14:paraId="38EDE06B">
            <w:pPr>
              <w:rPr>
                <w:rFonts w:ascii="Arial"/>
                <w:sz w:val="21"/>
              </w:rPr>
            </w:pPr>
          </w:p>
        </w:tc>
        <w:tc>
          <w:tcPr>
            <w:tcW w:w="1171" w:type="dxa"/>
            <w:vAlign w:val="top"/>
          </w:tcPr>
          <w:p w14:paraId="73BB3ECC">
            <w:pPr>
              <w:rPr>
                <w:rFonts w:ascii="Arial"/>
                <w:sz w:val="21"/>
              </w:rPr>
            </w:pPr>
          </w:p>
        </w:tc>
        <w:tc>
          <w:tcPr>
            <w:tcW w:w="1171" w:type="dxa"/>
            <w:vAlign w:val="top"/>
          </w:tcPr>
          <w:p w14:paraId="119B0124">
            <w:pPr>
              <w:rPr>
                <w:rFonts w:ascii="Arial"/>
                <w:sz w:val="21"/>
              </w:rPr>
            </w:pPr>
          </w:p>
        </w:tc>
        <w:tc>
          <w:tcPr>
            <w:tcW w:w="1171" w:type="dxa"/>
            <w:vAlign w:val="top"/>
          </w:tcPr>
          <w:p w14:paraId="625F8E99">
            <w:pPr>
              <w:rPr>
                <w:rFonts w:ascii="Arial"/>
                <w:sz w:val="21"/>
              </w:rPr>
            </w:pPr>
          </w:p>
        </w:tc>
        <w:tc>
          <w:tcPr>
            <w:tcW w:w="1171" w:type="dxa"/>
            <w:vAlign w:val="top"/>
          </w:tcPr>
          <w:p w14:paraId="103E4663">
            <w:pPr>
              <w:rPr>
                <w:rFonts w:ascii="Arial"/>
                <w:sz w:val="21"/>
              </w:rPr>
            </w:pPr>
          </w:p>
        </w:tc>
        <w:tc>
          <w:tcPr>
            <w:tcW w:w="1172" w:type="dxa"/>
            <w:vAlign w:val="top"/>
          </w:tcPr>
          <w:p w14:paraId="274D4FAB">
            <w:pPr>
              <w:rPr>
                <w:rFonts w:ascii="Arial"/>
                <w:sz w:val="21"/>
              </w:rPr>
            </w:pPr>
          </w:p>
        </w:tc>
        <w:tc>
          <w:tcPr>
            <w:tcW w:w="1172" w:type="dxa"/>
            <w:vAlign w:val="top"/>
          </w:tcPr>
          <w:p w14:paraId="2AF90DC9">
            <w:pPr>
              <w:rPr>
                <w:rFonts w:ascii="Arial"/>
                <w:sz w:val="21"/>
              </w:rPr>
            </w:pPr>
          </w:p>
        </w:tc>
        <w:tc>
          <w:tcPr>
            <w:tcW w:w="1181" w:type="dxa"/>
            <w:vAlign w:val="top"/>
          </w:tcPr>
          <w:p w14:paraId="3AD5BDE1">
            <w:pPr>
              <w:rPr>
                <w:rFonts w:ascii="Arial"/>
                <w:sz w:val="21"/>
              </w:rPr>
            </w:pPr>
          </w:p>
        </w:tc>
      </w:tr>
      <w:tr w14:paraId="38EC8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176" w:type="dxa"/>
            <w:vAlign w:val="top"/>
          </w:tcPr>
          <w:p w14:paraId="5785BC5F">
            <w:pPr>
              <w:rPr>
                <w:rFonts w:ascii="Arial"/>
                <w:sz w:val="21"/>
              </w:rPr>
            </w:pPr>
          </w:p>
        </w:tc>
        <w:tc>
          <w:tcPr>
            <w:tcW w:w="1171" w:type="dxa"/>
            <w:vAlign w:val="top"/>
          </w:tcPr>
          <w:p w14:paraId="229E9AF0">
            <w:pPr>
              <w:rPr>
                <w:rFonts w:ascii="Arial"/>
                <w:sz w:val="21"/>
              </w:rPr>
            </w:pPr>
          </w:p>
        </w:tc>
        <w:tc>
          <w:tcPr>
            <w:tcW w:w="1171" w:type="dxa"/>
            <w:vAlign w:val="top"/>
          </w:tcPr>
          <w:p w14:paraId="500AB2A5">
            <w:pPr>
              <w:rPr>
                <w:rFonts w:ascii="Arial"/>
                <w:sz w:val="21"/>
              </w:rPr>
            </w:pPr>
          </w:p>
        </w:tc>
        <w:tc>
          <w:tcPr>
            <w:tcW w:w="1171" w:type="dxa"/>
            <w:vAlign w:val="top"/>
          </w:tcPr>
          <w:p w14:paraId="70AB100F">
            <w:pPr>
              <w:rPr>
                <w:rFonts w:ascii="Arial"/>
                <w:sz w:val="21"/>
              </w:rPr>
            </w:pPr>
          </w:p>
        </w:tc>
        <w:tc>
          <w:tcPr>
            <w:tcW w:w="1171" w:type="dxa"/>
            <w:vAlign w:val="top"/>
          </w:tcPr>
          <w:p w14:paraId="60071652">
            <w:pPr>
              <w:rPr>
                <w:rFonts w:ascii="Arial"/>
                <w:sz w:val="21"/>
              </w:rPr>
            </w:pPr>
          </w:p>
        </w:tc>
        <w:tc>
          <w:tcPr>
            <w:tcW w:w="1172" w:type="dxa"/>
            <w:vAlign w:val="top"/>
          </w:tcPr>
          <w:p w14:paraId="00A5CD9D">
            <w:pPr>
              <w:rPr>
                <w:rFonts w:ascii="Arial"/>
                <w:sz w:val="21"/>
              </w:rPr>
            </w:pPr>
          </w:p>
        </w:tc>
        <w:tc>
          <w:tcPr>
            <w:tcW w:w="1172" w:type="dxa"/>
            <w:vAlign w:val="top"/>
          </w:tcPr>
          <w:p w14:paraId="4E38602B">
            <w:pPr>
              <w:rPr>
                <w:rFonts w:ascii="Arial"/>
                <w:sz w:val="21"/>
              </w:rPr>
            </w:pPr>
          </w:p>
        </w:tc>
        <w:tc>
          <w:tcPr>
            <w:tcW w:w="1181" w:type="dxa"/>
            <w:vAlign w:val="top"/>
          </w:tcPr>
          <w:p w14:paraId="68D51BA4">
            <w:pPr>
              <w:rPr>
                <w:rFonts w:ascii="Arial"/>
                <w:sz w:val="21"/>
              </w:rPr>
            </w:pPr>
          </w:p>
        </w:tc>
      </w:tr>
      <w:tr w14:paraId="3B740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176" w:type="dxa"/>
            <w:vAlign w:val="top"/>
          </w:tcPr>
          <w:p w14:paraId="5791D79B">
            <w:pPr>
              <w:rPr>
                <w:rFonts w:ascii="Arial"/>
                <w:sz w:val="21"/>
              </w:rPr>
            </w:pPr>
          </w:p>
        </w:tc>
        <w:tc>
          <w:tcPr>
            <w:tcW w:w="1171" w:type="dxa"/>
            <w:vAlign w:val="top"/>
          </w:tcPr>
          <w:p w14:paraId="012FD99D">
            <w:pPr>
              <w:rPr>
                <w:rFonts w:ascii="Arial"/>
                <w:sz w:val="21"/>
              </w:rPr>
            </w:pPr>
          </w:p>
        </w:tc>
        <w:tc>
          <w:tcPr>
            <w:tcW w:w="1171" w:type="dxa"/>
            <w:vAlign w:val="top"/>
          </w:tcPr>
          <w:p w14:paraId="7716FF76">
            <w:pPr>
              <w:rPr>
                <w:rFonts w:ascii="Arial"/>
                <w:sz w:val="21"/>
              </w:rPr>
            </w:pPr>
          </w:p>
        </w:tc>
        <w:tc>
          <w:tcPr>
            <w:tcW w:w="1171" w:type="dxa"/>
            <w:vAlign w:val="top"/>
          </w:tcPr>
          <w:p w14:paraId="381D444C">
            <w:pPr>
              <w:rPr>
                <w:rFonts w:ascii="Arial"/>
                <w:sz w:val="21"/>
              </w:rPr>
            </w:pPr>
          </w:p>
        </w:tc>
        <w:tc>
          <w:tcPr>
            <w:tcW w:w="1171" w:type="dxa"/>
            <w:vAlign w:val="top"/>
          </w:tcPr>
          <w:p w14:paraId="7FEED2F6">
            <w:pPr>
              <w:rPr>
                <w:rFonts w:ascii="Arial"/>
                <w:sz w:val="21"/>
              </w:rPr>
            </w:pPr>
          </w:p>
        </w:tc>
        <w:tc>
          <w:tcPr>
            <w:tcW w:w="1172" w:type="dxa"/>
            <w:vAlign w:val="top"/>
          </w:tcPr>
          <w:p w14:paraId="746C91C2">
            <w:pPr>
              <w:rPr>
                <w:rFonts w:ascii="Arial"/>
                <w:sz w:val="21"/>
              </w:rPr>
            </w:pPr>
          </w:p>
        </w:tc>
        <w:tc>
          <w:tcPr>
            <w:tcW w:w="1172" w:type="dxa"/>
            <w:vAlign w:val="top"/>
          </w:tcPr>
          <w:p w14:paraId="779B9503">
            <w:pPr>
              <w:rPr>
                <w:rFonts w:ascii="Arial"/>
                <w:sz w:val="21"/>
              </w:rPr>
            </w:pPr>
          </w:p>
        </w:tc>
        <w:tc>
          <w:tcPr>
            <w:tcW w:w="1181" w:type="dxa"/>
            <w:vAlign w:val="top"/>
          </w:tcPr>
          <w:p w14:paraId="44549983">
            <w:pPr>
              <w:rPr>
                <w:rFonts w:ascii="Arial"/>
                <w:sz w:val="21"/>
              </w:rPr>
            </w:pPr>
          </w:p>
        </w:tc>
      </w:tr>
    </w:tbl>
    <w:p w14:paraId="5E8284EE">
      <w:pPr>
        <w:pStyle w:val="10"/>
      </w:pPr>
    </w:p>
    <w:p w14:paraId="11B06C17">
      <w:pPr>
        <w:sectPr>
          <w:footerReference r:id="rId33" w:type="default"/>
          <w:pgSz w:w="12240" w:h="15840"/>
          <w:pgMar w:top="1119" w:right="1425" w:bottom="1072" w:left="1424" w:header="0" w:footer="910" w:gutter="0"/>
          <w:cols w:space="720" w:num="1"/>
        </w:sectPr>
      </w:pPr>
    </w:p>
    <w:p w14:paraId="18122062">
      <w:pPr>
        <w:spacing w:before="60" w:line="220" w:lineRule="auto"/>
        <w:ind w:left="4137"/>
        <w:rPr>
          <w:rFonts w:ascii="宋体" w:hAnsi="宋体" w:eastAsia="宋体" w:cs="宋体"/>
          <w:sz w:val="30"/>
          <w:szCs w:val="30"/>
        </w:rPr>
      </w:pPr>
      <w:r>
        <w:rPr>
          <w:rFonts w:ascii="宋体" w:hAnsi="宋体" w:eastAsia="宋体" w:cs="宋体"/>
          <w:b/>
          <w:bCs/>
          <w:spacing w:val="-5"/>
          <w:sz w:val="30"/>
          <w:szCs w:val="30"/>
        </w:rPr>
        <w:t>七、监理大纲</w:t>
      </w:r>
    </w:p>
    <w:p w14:paraId="38F3B5F2">
      <w:pPr>
        <w:pStyle w:val="10"/>
        <w:spacing w:line="341" w:lineRule="auto"/>
      </w:pPr>
    </w:p>
    <w:p w14:paraId="1E21302F">
      <w:pPr>
        <w:spacing w:before="78" w:line="219" w:lineRule="auto"/>
        <w:ind w:left="1"/>
        <w:rPr>
          <w:rFonts w:ascii="宋体" w:hAnsi="宋体" w:eastAsia="宋体" w:cs="宋体"/>
          <w:sz w:val="24"/>
          <w:szCs w:val="24"/>
          <w:highlight w:val="none"/>
        </w:rPr>
      </w:pPr>
      <w:r>
        <w:rPr>
          <w:rFonts w:ascii="宋体" w:hAnsi="宋体" w:eastAsia="宋体" w:cs="宋体"/>
          <w:spacing w:val="-1"/>
          <w:sz w:val="24"/>
          <w:szCs w:val="24"/>
          <w:highlight w:val="none"/>
        </w:rPr>
        <w:t>监理大纲应包括（但不限于）下列内容：</w:t>
      </w:r>
    </w:p>
    <w:p w14:paraId="2C3B5D80">
      <w:pPr>
        <w:pStyle w:val="10"/>
        <w:spacing w:before="275" w:line="358" w:lineRule="auto"/>
        <w:rPr>
          <w:color w:val="auto"/>
          <w:highlight w:val="none"/>
          <w:lang w:eastAsia="zh-CN"/>
        </w:rPr>
      </w:pPr>
      <w:r>
        <w:rPr>
          <w:rFonts w:hint="eastAsia"/>
          <w:color w:val="auto"/>
          <w:highlight w:val="none"/>
          <w:lang w:eastAsia="zh-CN"/>
        </w:rPr>
        <w:t>监理大纲应包括（但不限于）下列内容：</w:t>
      </w:r>
    </w:p>
    <w:p w14:paraId="07AE4789">
      <w:pPr>
        <w:spacing w:before="120" w:beforeLines="50" w:after="120" w:afterLines="50" w:line="300" w:lineRule="auto"/>
        <w:rPr>
          <w:color w:val="auto"/>
          <w:highlight w:val="none"/>
          <w:lang w:eastAsia="zh-CN"/>
        </w:rPr>
      </w:pPr>
      <w:bookmarkStart w:id="187" w:name="_Toc28867"/>
      <w:r>
        <w:rPr>
          <w:rFonts w:hint="eastAsia"/>
          <w:color w:val="auto"/>
          <w:highlight w:val="none"/>
          <w:lang w:eastAsia="zh-CN"/>
        </w:rPr>
        <w:t>1</w:t>
      </w:r>
      <w:r>
        <w:rPr>
          <w:color w:val="auto"/>
          <w:highlight w:val="none"/>
          <w:lang w:eastAsia="zh-CN"/>
        </w:rPr>
        <w:t>.</w:t>
      </w:r>
      <w:r>
        <w:rPr>
          <w:rFonts w:hint="eastAsia"/>
          <w:color w:val="auto"/>
          <w:highlight w:val="none"/>
          <w:lang w:eastAsia="zh-CN"/>
        </w:rPr>
        <w:t>监理工程概况；</w:t>
      </w:r>
      <w:bookmarkEnd w:id="187"/>
      <w:r>
        <w:rPr>
          <w:rFonts w:hint="eastAsia"/>
          <w:color w:val="auto"/>
          <w:highlight w:val="none"/>
          <w:lang w:eastAsia="zh-CN"/>
        </w:rPr>
        <w:t xml:space="preserve"> </w:t>
      </w:r>
    </w:p>
    <w:p w14:paraId="48EE4B45">
      <w:pPr>
        <w:spacing w:before="120" w:beforeLines="50" w:after="120" w:afterLines="50" w:line="300" w:lineRule="auto"/>
        <w:rPr>
          <w:color w:val="auto"/>
          <w:highlight w:val="none"/>
          <w:lang w:eastAsia="zh-CN"/>
        </w:rPr>
      </w:pPr>
      <w:bookmarkStart w:id="188" w:name="_Toc9131"/>
      <w:r>
        <w:rPr>
          <w:color w:val="auto"/>
          <w:highlight w:val="none"/>
          <w:lang w:eastAsia="zh-CN"/>
        </w:rPr>
        <w:t>2.</w:t>
      </w:r>
      <w:r>
        <w:rPr>
          <w:rFonts w:hint="eastAsia"/>
          <w:color w:val="auto"/>
          <w:highlight w:val="none"/>
          <w:lang w:eastAsia="zh-CN"/>
        </w:rPr>
        <w:t>监理范围、监理内容；</w:t>
      </w:r>
      <w:bookmarkEnd w:id="188"/>
    </w:p>
    <w:p w14:paraId="20E03E10">
      <w:pPr>
        <w:spacing w:before="120" w:beforeLines="50" w:after="120" w:afterLines="50" w:line="300" w:lineRule="auto"/>
        <w:rPr>
          <w:color w:val="auto"/>
          <w:highlight w:val="none"/>
          <w:lang w:eastAsia="zh-CN"/>
        </w:rPr>
      </w:pPr>
      <w:bookmarkStart w:id="189" w:name="_Toc14666"/>
      <w:r>
        <w:rPr>
          <w:color w:val="auto"/>
          <w:highlight w:val="none"/>
          <w:lang w:eastAsia="zh-CN"/>
        </w:rPr>
        <w:t>3.</w:t>
      </w:r>
      <w:r>
        <w:rPr>
          <w:rFonts w:hint="eastAsia"/>
          <w:color w:val="auto"/>
          <w:highlight w:val="none"/>
          <w:lang w:eastAsia="zh-CN"/>
        </w:rPr>
        <w:t>监理依据、监理工作目标；</w:t>
      </w:r>
      <w:bookmarkEnd w:id="189"/>
    </w:p>
    <w:p w14:paraId="67F9E179">
      <w:pPr>
        <w:spacing w:before="120" w:beforeLines="50" w:after="120" w:afterLines="50" w:line="300" w:lineRule="auto"/>
        <w:rPr>
          <w:color w:val="auto"/>
          <w:highlight w:val="none"/>
          <w:lang w:eastAsia="zh-CN"/>
        </w:rPr>
      </w:pPr>
      <w:bookmarkStart w:id="190" w:name="_Toc15128"/>
      <w:r>
        <w:rPr>
          <w:color w:val="auto"/>
          <w:highlight w:val="none"/>
          <w:lang w:eastAsia="zh-CN"/>
        </w:rPr>
        <w:t>4.</w:t>
      </w:r>
      <w:r>
        <w:rPr>
          <w:rFonts w:hint="eastAsia"/>
          <w:color w:val="auto"/>
          <w:spacing w:val="-3"/>
          <w:highlight w:val="none"/>
          <w:lang w:eastAsia="zh-CN"/>
        </w:rPr>
        <w:t>监</w:t>
      </w:r>
      <w:r>
        <w:rPr>
          <w:rFonts w:hint="eastAsia"/>
          <w:color w:val="auto"/>
          <w:highlight w:val="none"/>
          <w:lang w:eastAsia="zh-CN"/>
        </w:rPr>
        <w:t>理</w:t>
      </w:r>
      <w:r>
        <w:rPr>
          <w:rFonts w:hint="eastAsia"/>
          <w:color w:val="auto"/>
          <w:spacing w:val="-3"/>
          <w:highlight w:val="none"/>
          <w:lang w:eastAsia="zh-CN"/>
        </w:rPr>
        <w:t>机</w:t>
      </w:r>
      <w:r>
        <w:rPr>
          <w:rFonts w:hint="eastAsia"/>
          <w:color w:val="auto"/>
          <w:highlight w:val="none"/>
          <w:lang w:eastAsia="zh-CN"/>
        </w:rPr>
        <w:t>构</w:t>
      </w:r>
      <w:r>
        <w:rPr>
          <w:rFonts w:hint="eastAsia"/>
          <w:color w:val="auto"/>
          <w:spacing w:val="-3"/>
          <w:highlight w:val="none"/>
          <w:lang w:eastAsia="zh-CN"/>
        </w:rPr>
        <w:t>设</w:t>
      </w:r>
      <w:r>
        <w:rPr>
          <w:rFonts w:hint="eastAsia"/>
          <w:color w:val="auto"/>
          <w:highlight w:val="none"/>
          <w:lang w:eastAsia="zh-CN"/>
        </w:rPr>
        <w:t>置</w:t>
      </w:r>
      <w:r>
        <w:rPr>
          <w:rFonts w:hint="eastAsia"/>
          <w:color w:val="auto"/>
          <w:spacing w:val="-3"/>
          <w:highlight w:val="none"/>
          <w:lang w:eastAsia="zh-CN"/>
        </w:rPr>
        <w:t>（</w:t>
      </w:r>
      <w:r>
        <w:rPr>
          <w:rFonts w:hint="eastAsia"/>
          <w:color w:val="auto"/>
          <w:highlight w:val="none"/>
          <w:lang w:eastAsia="zh-CN"/>
        </w:rPr>
        <w:t>框</w:t>
      </w:r>
      <w:r>
        <w:rPr>
          <w:rFonts w:hint="eastAsia"/>
          <w:color w:val="auto"/>
          <w:spacing w:val="-3"/>
          <w:highlight w:val="none"/>
          <w:lang w:eastAsia="zh-CN"/>
        </w:rPr>
        <w:t>图</w:t>
      </w:r>
      <w:r>
        <w:rPr>
          <w:rFonts w:hint="eastAsia"/>
          <w:color w:val="auto"/>
          <w:spacing w:val="-108"/>
          <w:highlight w:val="none"/>
          <w:lang w:eastAsia="zh-CN"/>
        </w:rPr>
        <w:t>）</w:t>
      </w:r>
      <w:r>
        <w:rPr>
          <w:rFonts w:hint="eastAsia"/>
          <w:color w:val="auto"/>
          <w:highlight w:val="none"/>
          <w:lang w:eastAsia="zh-CN"/>
        </w:rPr>
        <w:t>、岗</w:t>
      </w:r>
      <w:r>
        <w:rPr>
          <w:rFonts w:hint="eastAsia"/>
          <w:color w:val="auto"/>
          <w:spacing w:val="-3"/>
          <w:highlight w:val="none"/>
          <w:lang w:eastAsia="zh-CN"/>
        </w:rPr>
        <w:t>位</w:t>
      </w:r>
      <w:r>
        <w:rPr>
          <w:rFonts w:hint="eastAsia"/>
          <w:color w:val="auto"/>
          <w:highlight w:val="none"/>
          <w:lang w:eastAsia="zh-CN"/>
        </w:rPr>
        <w:t>职</w:t>
      </w:r>
      <w:r>
        <w:rPr>
          <w:rFonts w:hint="eastAsia"/>
          <w:color w:val="auto"/>
          <w:spacing w:val="-3"/>
          <w:highlight w:val="none"/>
          <w:lang w:eastAsia="zh-CN"/>
        </w:rPr>
        <w:t>责</w:t>
      </w:r>
      <w:r>
        <w:rPr>
          <w:rFonts w:hint="eastAsia"/>
          <w:color w:val="auto"/>
          <w:highlight w:val="none"/>
          <w:lang w:eastAsia="zh-CN"/>
        </w:rPr>
        <w:t>；</w:t>
      </w:r>
      <w:bookmarkEnd w:id="190"/>
      <w:r>
        <w:rPr>
          <w:rFonts w:hint="eastAsia"/>
          <w:color w:val="auto"/>
          <w:highlight w:val="none"/>
          <w:lang w:eastAsia="zh-CN"/>
        </w:rPr>
        <w:t xml:space="preserve"> </w:t>
      </w:r>
    </w:p>
    <w:p w14:paraId="435C79D4">
      <w:pPr>
        <w:spacing w:before="120" w:beforeLines="50" w:after="120" w:afterLines="50" w:line="300" w:lineRule="auto"/>
        <w:rPr>
          <w:color w:val="auto"/>
          <w:highlight w:val="none"/>
          <w:lang w:eastAsia="zh-CN"/>
        </w:rPr>
      </w:pPr>
      <w:bookmarkStart w:id="191" w:name="_Toc17570"/>
      <w:r>
        <w:rPr>
          <w:color w:val="auto"/>
          <w:highlight w:val="none"/>
          <w:lang w:eastAsia="zh-CN"/>
        </w:rPr>
        <w:t>5.</w:t>
      </w:r>
      <w:r>
        <w:rPr>
          <w:rFonts w:hint="eastAsia"/>
          <w:color w:val="auto"/>
          <w:highlight w:val="none"/>
          <w:lang w:eastAsia="zh-CN"/>
        </w:rPr>
        <w:t>监理工作程序、方法和制度；</w:t>
      </w:r>
      <w:bookmarkEnd w:id="191"/>
      <w:r>
        <w:rPr>
          <w:rFonts w:hint="eastAsia"/>
          <w:color w:val="auto"/>
          <w:highlight w:val="none"/>
          <w:lang w:eastAsia="zh-CN"/>
        </w:rPr>
        <w:t xml:space="preserve"> </w:t>
      </w:r>
    </w:p>
    <w:p w14:paraId="5A1274CA">
      <w:pPr>
        <w:spacing w:before="120" w:beforeLines="50" w:after="120" w:afterLines="50" w:line="300" w:lineRule="auto"/>
        <w:rPr>
          <w:color w:val="auto"/>
          <w:highlight w:val="none"/>
          <w:lang w:eastAsia="zh-CN"/>
        </w:rPr>
      </w:pPr>
      <w:bookmarkStart w:id="192" w:name="_Toc13908"/>
      <w:r>
        <w:rPr>
          <w:color w:val="auto"/>
          <w:highlight w:val="none"/>
          <w:lang w:eastAsia="zh-CN"/>
        </w:rPr>
        <w:t>6.</w:t>
      </w:r>
      <w:r>
        <w:rPr>
          <w:rFonts w:hint="eastAsia"/>
          <w:color w:val="auto"/>
          <w:highlight w:val="none"/>
          <w:lang w:eastAsia="zh-CN"/>
        </w:rPr>
        <w:t>拟投入的监理人员、试验检测仪器设备；</w:t>
      </w:r>
      <w:bookmarkEnd w:id="192"/>
    </w:p>
    <w:p w14:paraId="3FA4F40F">
      <w:pPr>
        <w:spacing w:before="120" w:beforeLines="50" w:after="120" w:afterLines="50" w:line="300" w:lineRule="auto"/>
        <w:rPr>
          <w:color w:val="auto"/>
          <w:highlight w:val="none"/>
          <w:lang w:eastAsia="zh-CN"/>
        </w:rPr>
      </w:pPr>
      <w:bookmarkStart w:id="193" w:name="_Toc17595"/>
      <w:r>
        <w:rPr>
          <w:color w:val="auto"/>
          <w:highlight w:val="none"/>
          <w:lang w:eastAsia="zh-CN"/>
        </w:rPr>
        <w:t>7.</w:t>
      </w:r>
      <w:r>
        <w:rPr>
          <w:rFonts w:hint="eastAsia"/>
          <w:color w:val="auto"/>
          <w:spacing w:val="-2"/>
          <w:highlight w:val="none"/>
          <w:lang w:eastAsia="zh-CN"/>
        </w:rPr>
        <w:t>质量、进度、造价、安全、环保监理措施；</w:t>
      </w:r>
      <w:bookmarkEnd w:id="193"/>
    </w:p>
    <w:p w14:paraId="108C3D2D">
      <w:pPr>
        <w:spacing w:before="120" w:beforeLines="50" w:after="120" w:afterLines="50" w:line="300" w:lineRule="auto"/>
        <w:rPr>
          <w:color w:val="auto"/>
          <w:highlight w:val="none"/>
        </w:rPr>
      </w:pPr>
      <w:bookmarkStart w:id="194" w:name="_Toc957"/>
      <w:r>
        <w:rPr>
          <w:color w:val="auto"/>
          <w:highlight w:val="none"/>
          <w:lang w:eastAsia="zh-CN"/>
        </w:rPr>
        <w:t>8.</w:t>
      </w:r>
      <w:r>
        <w:rPr>
          <w:rFonts w:hint="eastAsia"/>
          <w:color w:val="auto"/>
          <w:highlight w:val="none"/>
        </w:rPr>
        <w:t>合同、信息管理方案；</w:t>
      </w:r>
      <w:bookmarkEnd w:id="194"/>
      <w:r>
        <w:rPr>
          <w:rFonts w:hint="eastAsia"/>
          <w:color w:val="auto"/>
          <w:highlight w:val="none"/>
        </w:rPr>
        <w:t xml:space="preserve"> </w:t>
      </w:r>
    </w:p>
    <w:p w14:paraId="5B808735">
      <w:pPr>
        <w:spacing w:before="120" w:beforeLines="50" w:after="120" w:afterLines="50" w:line="300" w:lineRule="auto"/>
        <w:rPr>
          <w:color w:val="auto"/>
          <w:highlight w:val="none"/>
          <w:lang w:eastAsia="zh-CN"/>
        </w:rPr>
      </w:pPr>
      <w:bookmarkStart w:id="195" w:name="_Toc2561"/>
      <w:r>
        <w:rPr>
          <w:color w:val="auto"/>
          <w:highlight w:val="none"/>
          <w:lang w:eastAsia="zh-CN"/>
        </w:rPr>
        <w:t>9.</w:t>
      </w:r>
      <w:r>
        <w:rPr>
          <w:rFonts w:hint="eastAsia"/>
          <w:color w:val="auto"/>
          <w:highlight w:val="none"/>
          <w:lang w:eastAsia="zh-CN"/>
        </w:rPr>
        <w:t>组织协调内容及措施；</w:t>
      </w:r>
      <w:bookmarkEnd w:id="195"/>
      <w:r>
        <w:rPr>
          <w:rFonts w:hint="eastAsia"/>
          <w:color w:val="auto"/>
          <w:highlight w:val="none"/>
          <w:lang w:eastAsia="zh-CN"/>
        </w:rPr>
        <w:t xml:space="preserve"> </w:t>
      </w:r>
    </w:p>
    <w:p w14:paraId="7F8EE272">
      <w:pPr>
        <w:spacing w:before="120" w:beforeLines="50" w:after="120" w:afterLines="50" w:line="300" w:lineRule="auto"/>
        <w:rPr>
          <w:color w:val="auto"/>
          <w:highlight w:val="none"/>
          <w:lang w:eastAsia="zh-CN"/>
        </w:rPr>
      </w:pPr>
      <w:bookmarkStart w:id="196" w:name="_Toc26508"/>
      <w:r>
        <w:rPr>
          <w:rFonts w:hint="eastAsia"/>
          <w:color w:val="auto"/>
          <w:highlight w:val="none"/>
          <w:lang w:eastAsia="zh-CN"/>
        </w:rPr>
        <w:t>1</w:t>
      </w:r>
      <w:r>
        <w:rPr>
          <w:color w:val="auto"/>
          <w:highlight w:val="none"/>
          <w:lang w:eastAsia="zh-CN"/>
        </w:rPr>
        <w:t>0.</w:t>
      </w:r>
      <w:r>
        <w:rPr>
          <w:rFonts w:hint="eastAsia"/>
          <w:color w:val="auto"/>
          <w:highlight w:val="none"/>
          <w:lang w:eastAsia="zh-CN"/>
        </w:rPr>
        <w:t>监理工作重点、难点分析；</w:t>
      </w:r>
      <w:bookmarkEnd w:id="196"/>
      <w:r>
        <w:rPr>
          <w:rFonts w:hint="eastAsia"/>
          <w:color w:val="auto"/>
          <w:highlight w:val="none"/>
          <w:lang w:eastAsia="zh-CN"/>
        </w:rPr>
        <w:t xml:space="preserve"> </w:t>
      </w:r>
    </w:p>
    <w:p w14:paraId="4955F188">
      <w:pPr>
        <w:spacing w:before="120" w:beforeLines="50" w:after="120" w:afterLines="50" w:line="300" w:lineRule="auto"/>
        <w:rPr>
          <w:color w:val="auto"/>
          <w:highlight w:val="none"/>
          <w:lang w:eastAsia="zh-CN"/>
        </w:rPr>
      </w:pPr>
      <w:bookmarkStart w:id="197" w:name="_Toc3930"/>
      <w:r>
        <w:rPr>
          <w:rFonts w:hint="eastAsia"/>
          <w:color w:val="auto"/>
          <w:highlight w:val="none"/>
          <w:lang w:eastAsia="zh-CN"/>
        </w:rPr>
        <w:t>1</w:t>
      </w:r>
      <w:r>
        <w:rPr>
          <w:color w:val="auto"/>
          <w:highlight w:val="none"/>
          <w:lang w:eastAsia="zh-CN"/>
        </w:rPr>
        <w:t>1.</w:t>
      </w:r>
      <w:r>
        <w:rPr>
          <w:rFonts w:hint="eastAsia"/>
          <w:color w:val="auto"/>
          <w:highlight w:val="none"/>
          <w:lang w:eastAsia="zh-CN"/>
        </w:rPr>
        <w:t>对本工程监理的合理化建议。</w:t>
      </w:r>
      <w:bookmarkEnd w:id="197"/>
    </w:p>
    <w:p w14:paraId="163FB11E">
      <w:pPr>
        <w:spacing w:line="219" w:lineRule="auto"/>
        <w:rPr>
          <w:rFonts w:ascii="宋体" w:hAnsi="宋体" w:eastAsia="宋体" w:cs="宋体"/>
          <w:sz w:val="24"/>
          <w:szCs w:val="24"/>
        </w:rPr>
        <w:sectPr>
          <w:footerReference r:id="rId34" w:type="default"/>
          <w:pgSz w:w="12240" w:h="15840"/>
          <w:pgMar w:top="1120" w:right="1836" w:bottom="1072" w:left="1088" w:header="0" w:footer="910" w:gutter="0"/>
          <w:cols w:space="720" w:num="1"/>
        </w:sectPr>
      </w:pPr>
    </w:p>
    <w:p w14:paraId="41EC4A9F">
      <w:pPr>
        <w:spacing w:before="62" w:line="226" w:lineRule="auto"/>
        <w:ind w:left="4095"/>
        <w:rPr>
          <w:rFonts w:ascii="宋体" w:hAnsi="宋体" w:eastAsia="宋体" w:cs="宋体"/>
          <w:sz w:val="30"/>
          <w:szCs w:val="30"/>
        </w:rPr>
      </w:pPr>
      <w:r>
        <w:rPr>
          <w:rFonts w:ascii="宋体" w:hAnsi="宋体" w:eastAsia="宋体" w:cs="宋体"/>
          <w:b/>
          <w:bCs/>
          <w:spacing w:val="4"/>
          <w:sz w:val="30"/>
          <w:szCs w:val="30"/>
        </w:rPr>
        <w:t>八、其他资料</w:t>
      </w:r>
    </w:p>
    <w:p w14:paraId="10361C25">
      <w:pPr>
        <w:pStyle w:val="10"/>
        <w:spacing w:line="359" w:lineRule="auto"/>
      </w:pPr>
    </w:p>
    <w:p w14:paraId="73AC38AD">
      <w:pPr>
        <w:spacing w:before="78" w:line="219" w:lineRule="auto"/>
        <w:rPr>
          <w:rFonts w:ascii="宋体" w:hAnsi="宋体" w:eastAsia="宋体" w:cs="宋体"/>
          <w:sz w:val="24"/>
          <w:szCs w:val="24"/>
        </w:rPr>
      </w:pPr>
      <w:r>
        <w:rPr>
          <w:rFonts w:ascii="Times New Roman" w:hAnsi="Times New Roman" w:eastAsia="Times New Roman" w:cs="Times New Roman"/>
          <w:spacing w:val="-5"/>
          <w:sz w:val="24"/>
          <w:szCs w:val="24"/>
        </w:rPr>
        <w:t>1</w:t>
      </w:r>
      <w:r>
        <w:rPr>
          <w:rFonts w:ascii="Times New Roman" w:hAnsi="Times New Roman" w:eastAsia="Times New Roman" w:cs="Times New Roman"/>
          <w:spacing w:val="-30"/>
          <w:sz w:val="24"/>
          <w:szCs w:val="24"/>
        </w:rPr>
        <w:t xml:space="preserve"> </w:t>
      </w:r>
      <w:r>
        <w:rPr>
          <w:rFonts w:ascii="宋体" w:hAnsi="宋体" w:eastAsia="宋体" w:cs="宋体"/>
          <w:spacing w:val="-5"/>
          <w:sz w:val="24"/>
          <w:szCs w:val="24"/>
        </w:rPr>
        <w:t>、服务承诺和优惠条件。</w:t>
      </w:r>
    </w:p>
    <w:p w14:paraId="56936615">
      <w:pPr>
        <w:spacing w:line="219" w:lineRule="auto"/>
        <w:rPr>
          <w:rFonts w:ascii="宋体" w:hAnsi="宋体" w:eastAsia="宋体" w:cs="宋体"/>
          <w:sz w:val="24"/>
          <w:szCs w:val="24"/>
        </w:rPr>
        <w:sectPr>
          <w:footerReference r:id="rId35" w:type="default"/>
          <w:pgSz w:w="12240" w:h="15840"/>
          <w:pgMar w:top="1117" w:right="1836" w:bottom="1072" w:left="1108" w:header="0" w:footer="910" w:gutter="0"/>
          <w:cols w:space="720" w:num="1"/>
        </w:sectPr>
      </w:pPr>
    </w:p>
    <w:p w14:paraId="215A076F">
      <w:pPr>
        <w:spacing w:before="48" w:line="220" w:lineRule="auto"/>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34"/>
          <w:sz w:val="24"/>
          <w:szCs w:val="24"/>
        </w:rPr>
        <w:t xml:space="preserve"> </w:t>
      </w:r>
      <w:r>
        <w:rPr>
          <w:rFonts w:ascii="宋体" w:hAnsi="宋体" w:eastAsia="宋体" w:cs="宋体"/>
          <w:spacing w:val="-2"/>
          <w:sz w:val="24"/>
          <w:szCs w:val="24"/>
        </w:rPr>
        <w:t>、投标人认为有必要的其他资料。</w:t>
      </w:r>
    </w:p>
    <w:p w14:paraId="06680C1D">
      <w:pPr>
        <w:pStyle w:val="10"/>
        <w:spacing w:line="343" w:lineRule="auto"/>
      </w:pPr>
    </w:p>
    <w:p w14:paraId="2411C709">
      <w:pPr>
        <w:spacing w:before="72" w:line="219" w:lineRule="auto"/>
        <w:ind w:left="3279"/>
        <w:outlineLvl w:val="0"/>
        <w:rPr>
          <w:rFonts w:ascii="宋体" w:hAnsi="宋体" w:eastAsia="宋体" w:cs="宋体"/>
          <w:sz w:val="22"/>
          <w:szCs w:val="22"/>
        </w:rPr>
      </w:pPr>
      <w:r>
        <w:rPr>
          <w:rFonts w:ascii="宋体" w:hAnsi="宋体" w:eastAsia="宋体" w:cs="宋体"/>
          <w:b/>
          <w:bCs/>
          <w:spacing w:val="-3"/>
          <w:sz w:val="22"/>
          <w:szCs w:val="22"/>
        </w:rPr>
        <w:t>备注：本项格式由投标人自行拟订。</w:t>
      </w:r>
    </w:p>
    <w:p w14:paraId="5186D971">
      <w:pPr>
        <w:spacing w:line="219" w:lineRule="auto"/>
        <w:rPr>
          <w:rFonts w:ascii="宋体" w:hAnsi="宋体" w:eastAsia="宋体" w:cs="宋体"/>
          <w:sz w:val="22"/>
          <w:szCs w:val="22"/>
        </w:rPr>
        <w:sectPr>
          <w:footerReference r:id="rId36" w:type="default"/>
          <w:pgSz w:w="12240" w:h="15840"/>
          <w:pgMar w:top="1122" w:right="1836" w:bottom="1072" w:left="1085" w:header="0" w:footer="910" w:gutter="0"/>
          <w:cols w:space="720" w:num="1"/>
        </w:sectPr>
      </w:pPr>
    </w:p>
    <w:p w14:paraId="3BCF8825">
      <w:pPr>
        <w:spacing w:before="56" w:line="219" w:lineRule="auto"/>
        <w:ind w:left="32"/>
        <w:jc w:val="center"/>
        <w:rPr>
          <w:rFonts w:ascii="宋体" w:hAnsi="宋体" w:eastAsia="宋体" w:cs="宋体"/>
          <w:sz w:val="28"/>
          <w:szCs w:val="28"/>
        </w:rPr>
      </w:pPr>
      <w:r>
        <w:rPr>
          <w:rFonts w:ascii="宋体" w:hAnsi="宋体" w:eastAsia="宋体" w:cs="宋体"/>
          <w:spacing w:val="4"/>
          <w:sz w:val="28"/>
          <w:szCs w:val="28"/>
        </w:rPr>
        <w:t>投标人不参与涉黑涉恶承诺书</w:t>
      </w:r>
    </w:p>
    <w:p w14:paraId="247A32C0">
      <w:pPr>
        <w:pStyle w:val="10"/>
        <w:spacing w:line="302" w:lineRule="auto"/>
      </w:pPr>
    </w:p>
    <w:p w14:paraId="055CC424">
      <w:pPr>
        <w:tabs>
          <w:tab w:val="left" w:pos="1468"/>
        </w:tabs>
        <w:spacing w:before="78"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rPr>
        <w:t>（（</w:t>
      </w:r>
      <w:r>
        <w:rPr>
          <w:rFonts w:ascii="宋体" w:hAnsi="宋体" w:eastAsia="宋体" w:cs="宋体"/>
          <w:spacing w:val="6"/>
          <w:sz w:val="24"/>
          <w:szCs w:val="24"/>
        </w:rPr>
        <w:t>招标人名称</w:t>
      </w:r>
      <w:r>
        <w:rPr>
          <w:rFonts w:ascii="宋体" w:hAnsi="宋体" w:eastAsia="宋体" w:cs="宋体"/>
          <w:spacing w:val="-7"/>
          <w:sz w:val="24"/>
          <w:szCs w:val="24"/>
        </w:rPr>
        <w:t>））：</w:t>
      </w:r>
    </w:p>
    <w:p w14:paraId="0519768F">
      <w:pPr>
        <w:spacing w:before="236" w:line="385" w:lineRule="auto"/>
        <w:ind w:left="11" w:right="468" w:firstLine="480"/>
        <w:rPr>
          <w:rFonts w:ascii="Times New Roman" w:hAnsi="Times New Roman" w:eastAsia="Times New Roman" w:cs="Times New Roman"/>
          <w:sz w:val="24"/>
          <w:szCs w:val="24"/>
        </w:rPr>
      </w:pPr>
      <w:r>
        <w:rPr>
          <w:rFonts w:ascii="宋体" w:hAnsi="宋体" w:eastAsia="宋体" w:cs="宋体"/>
          <w:spacing w:val="-1"/>
          <w:sz w:val="24"/>
          <w:szCs w:val="24"/>
        </w:rPr>
        <w:t>我方承诺，在参与</w:t>
      </w:r>
      <w:r>
        <w:rPr>
          <w:rFonts w:ascii="宋体" w:hAnsi="宋体" w:eastAsia="宋体" w:cs="宋体"/>
          <w:spacing w:val="74"/>
          <w:sz w:val="24"/>
          <w:szCs w:val="24"/>
          <w:u w:val="single" w:color="auto"/>
        </w:rPr>
        <w:t xml:space="preserve"> </w:t>
      </w:r>
      <w:r>
        <w:rPr>
          <w:rFonts w:ascii="宋体" w:hAnsi="宋体" w:eastAsia="宋体" w:cs="宋体"/>
          <w:spacing w:val="-1"/>
          <w:sz w:val="24"/>
          <w:szCs w:val="24"/>
          <w:u w:val="single" w:color="auto"/>
        </w:rPr>
        <w:t>（项目名称）</w:t>
      </w:r>
      <w:r>
        <w:rPr>
          <w:rFonts w:ascii="宋体" w:hAnsi="宋体" w:eastAsia="宋体" w:cs="宋体"/>
          <w:spacing w:val="60"/>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标段施工</w:t>
      </w:r>
      <w:r>
        <w:rPr>
          <w:rFonts w:ascii="Times New Roman" w:hAnsi="Times New Roman" w:eastAsia="Times New Roman" w:cs="Times New Roman"/>
          <w:spacing w:val="-1"/>
          <w:sz w:val="24"/>
          <w:szCs w:val="24"/>
        </w:rPr>
        <w:t>/</w:t>
      </w:r>
      <w:r>
        <w:rPr>
          <w:rFonts w:ascii="宋体" w:hAnsi="宋体" w:eastAsia="宋体" w:cs="宋体"/>
          <w:spacing w:val="-1"/>
          <w:sz w:val="24"/>
          <w:szCs w:val="24"/>
        </w:rPr>
        <w:t>监理</w:t>
      </w:r>
      <w:r>
        <w:rPr>
          <w:rFonts w:ascii="Times New Roman" w:hAnsi="Times New Roman" w:eastAsia="Times New Roman" w:cs="Times New Roman"/>
          <w:spacing w:val="-1"/>
          <w:sz w:val="24"/>
          <w:szCs w:val="24"/>
        </w:rPr>
        <w:t>/</w:t>
      </w:r>
      <w:r>
        <w:rPr>
          <w:rFonts w:ascii="宋体" w:hAnsi="宋体" w:eastAsia="宋体" w:cs="宋体"/>
          <w:spacing w:val="-1"/>
          <w:sz w:val="24"/>
          <w:szCs w:val="24"/>
        </w:rPr>
        <w:t>勘察设计招标、投标以及如果中标的</w:t>
      </w:r>
      <w:r>
        <w:rPr>
          <w:rFonts w:ascii="宋体" w:hAnsi="宋体" w:eastAsia="宋体" w:cs="宋体"/>
          <w:sz w:val="24"/>
          <w:szCs w:val="24"/>
        </w:rPr>
        <w:t xml:space="preserve"> </w:t>
      </w:r>
      <w:r>
        <w:rPr>
          <w:rFonts w:ascii="宋体" w:hAnsi="宋体" w:eastAsia="宋体" w:cs="宋体"/>
          <w:spacing w:val="-1"/>
          <w:sz w:val="24"/>
          <w:szCs w:val="24"/>
        </w:rPr>
        <w:t>后续工作中，我方不存在下列任何情形之一</w:t>
      </w:r>
      <w:r>
        <w:rPr>
          <w:rFonts w:ascii="Times New Roman" w:hAnsi="Times New Roman" w:eastAsia="Times New Roman" w:cs="Times New Roman"/>
          <w:spacing w:val="-1"/>
          <w:sz w:val="24"/>
          <w:szCs w:val="24"/>
        </w:rPr>
        <w:t>:</w:t>
      </w:r>
    </w:p>
    <w:p w14:paraId="2F7DA699">
      <w:pPr>
        <w:spacing w:before="35" w:line="310" w:lineRule="auto"/>
        <w:ind w:left="13" w:right="120" w:firstLine="487"/>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）强揽工程：以黑恶势力承包工程；强迫他人接受限定条件或退出竞争；强迫中标人放</w:t>
      </w:r>
      <w:r>
        <w:rPr>
          <w:rFonts w:ascii="宋体" w:hAnsi="宋体" w:eastAsia="宋体" w:cs="宋体"/>
          <w:spacing w:val="18"/>
          <w:sz w:val="24"/>
          <w:szCs w:val="24"/>
        </w:rPr>
        <w:t xml:space="preserve"> </w:t>
      </w:r>
      <w:r>
        <w:rPr>
          <w:rFonts w:ascii="宋体" w:hAnsi="宋体" w:eastAsia="宋体" w:cs="宋体"/>
          <w:spacing w:val="-1"/>
          <w:sz w:val="24"/>
          <w:szCs w:val="24"/>
        </w:rPr>
        <w:t>弃中标或转包；以暴力、威胁、利诱等手段强迫他人参与或者退出投标等。</w:t>
      </w:r>
    </w:p>
    <w:p w14:paraId="0B1BC5D8">
      <w:pPr>
        <w:spacing w:before="234" w:line="337" w:lineRule="auto"/>
        <w:ind w:left="8" w:firstLine="581"/>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）恶意竞标：以黑恶势力用明显低于建安成本价格中标；利用围标、串标、虚假投标及</w:t>
      </w:r>
      <w:r>
        <w:rPr>
          <w:rFonts w:ascii="宋体" w:hAnsi="宋体" w:eastAsia="宋体" w:cs="宋体"/>
          <w:spacing w:val="18"/>
          <w:sz w:val="24"/>
          <w:szCs w:val="24"/>
        </w:rPr>
        <w:t xml:space="preserve"> </w:t>
      </w:r>
      <w:r>
        <w:rPr>
          <w:rFonts w:ascii="宋体" w:hAnsi="宋体" w:eastAsia="宋体" w:cs="宋体"/>
          <w:sz w:val="24"/>
          <w:szCs w:val="24"/>
        </w:rPr>
        <w:t>威胁手段等方式骗取中标；以黑恶势力使得工程的实际造价远远高于中标</w:t>
      </w:r>
      <w:r>
        <w:rPr>
          <w:rFonts w:ascii="宋体" w:hAnsi="宋体" w:eastAsia="宋体" w:cs="宋体"/>
          <w:spacing w:val="-1"/>
          <w:sz w:val="24"/>
          <w:szCs w:val="24"/>
        </w:rPr>
        <w:t>价格，造成国有资产流</w:t>
      </w:r>
      <w:r>
        <w:rPr>
          <w:rFonts w:ascii="宋体" w:hAnsi="宋体" w:eastAsia="宋体" w:cs="宋体"/>
          <w:sz w:val="24"/>
          <w:szCs w:val="24"/>
        </w:rPr>
        <w:t xml:space="preserve"> 失</w:t>
      </w:r>
      <w:r>
        <w:rPr>
          <w:rFonts w:ascii="Times New Roman" w:hAnsi="Times New Roman" w:eastAsia="Times New Roman" w:cs="Times New Roman"/>
          <w:sz w:val="24"/>
          <w:szCs w:val="24"/>
        </w:rPr>
        <w:t>;</w:t>
      </w:r>
      <w:r>
        <w:rPr>
          <w:rFonts w:ascii="宋体" w:hAnsi="宋体" w:eastAsia="宋体" w:cs="宋体"/>
          <w:sz w:val="24"/>
          <w:szCs w:val="24"/>
        </w:rPr>
        <w:t>伪造资质证书、证件、提供虚假材料进行恶意投标，谋取不</w:t>
      </w:r>
      <w:r>
        <w:rPr>
          <w:rFonts w:ascii="宋体" w:hAnsi="宋体" w:eastAsia="宋体" w:cs="宋体"/>
          <w:spacing w:val="-1"/>
          <w:sz w:val="24"/>
          <w:szCs w:val="24"/>
        </w:rPr>
        <w:t>正当利益等违法犯罪行为。</w:t>
      </w:r>
    </w:p>
    <w:p w14:paraId="55F753CC">
      <w:pPr>
        <w:spacing w:before="247" w:line="340" w:lineRule="auto"/>
        <w:ind w:left="8" w:firstLine="581"/>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3</w:t>
      </w:r>
      <w:r>
        <w:rPr>
          <w:rFonts w:ascii="宋体" w:hAnsi="宋体" w:eastAsia="宋体" w:cs="宋体"/>
          <w:sz w:val="24"/>
          <w:szCs w:val="24"/>
        </w:rPr>
        <w:t>）扰乱工程招投标活动：以黑恶势力在评标现场聚众闹事、寻衅滋事，冲击评标现场，</w:t>
      </w:r>
      <w:r>
        <w:rPr>
          <w:rFonts w:ascii="宋体" w:hAnsi="宋体" w:eastAsia="宋体" w:cs="宋体"/>
          <w:spacing w:val="7"/>
          <w:sz w:val="24"/>
          <w:szCs w:val="24"/>
        </w:rPr>
        <w:t xml:space="preserve"> </w:t>
      </w:r>
      <w:r>
        <w:rPr>
          <w:rFonts w:ascii="宋体" w:hAnsi="宋体" w:eastAsia="宋体" w:cs="宋体"/>
          <w:sz w:val="24"/>
          <w:szCs w:val="24"/>
        </w:rPr>
        <w:t>打砸破坏评标现场办公设施；用威胁等手段恐吓评标专家、工作人员等行</w:t>
      </w:r>
      <w:r>
        <w:rPr>
          <w:rFonts w:ascii="宋体" w:hAnsi="宋体" w:eastAsia="宋体" w:cs="宋体"/>
          <w:spacing w:val="-1"/>
          <w:sz w:val="24"/>
          <w:szCs w:val="24"/>
        </w:rPr>
        <w:t>为；捏造事实、恶意投</w:t>
      </w:r>
      <w:r>
        <w:rPr>
          <w:rFonts w:ascii="宋体" w:hAnsi="宋体" w:eastAsia="宋体" w:cs="宋体"/>
          <w:sz w:val="24"/>
          <w:szCs w:val="24"/>
        </w:rPr>
        <w:t xml:space="preserve"> </w:t>
      </w:r>
      <w:r>
        <w:rPr>
          <w:rFonts w:ascii="宋体" w:hAnsi="宋体" w:eastAsia="宋体" w:cs="宋体"/>
          <w:spacing w:val="-1"/>
          <w:sz w:val="24"/>
          <w:szCs w:val="24"/>
        </w:rPr>
        <w:t>诉、无理取闹，扰乱招投标正常秩序。</w:t>
      </w:r>
    </w:p>
    <w:p w14:paraId="009E4656">
      <w:pPr>
        <w:spacing w:before="232" w:line="219" w:lineRule="auto"/>
        <w:ind w:left="58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）其他任何涉黑涉恶的行为。</w:t>
      </w:r>
    </w:p>
    <w:p w14:paraId="1A3B2007">
      <w:pPr>
        <w:spacing w:before="235" w:line="391" w:lineRule="auto"/>
        <w:ind w:left="15" w:right="39" w:firstLine="476"/>
        <w:jc w:val="both"/>
        <w:rPr>
          <w:rFonts w:ascii="宋体" w:hAnsi="宋体" w:eastAsia="宋体" w:cs="宋体"/>
          <w:sz w:val="24"/>
          <w:szCs w:val="24"/>
        </w:rPr>
      </w:pPr>
      <w:r>
        <w:rPr>
          <w:rFonts w:ascii="宋体" w:hAnsi="宋体" w:eastAsia="宋体" w:cs="宋体"/>
          <w:spacing w:val="-1"/>
          <w:sz w:val="24"/>
          <w:szCs w:val="24"/>
        </w:rPr>
        <w:t>我方承诺上述内容的真实和准确，并愿意承担因我方存在上述</w:t>
      </w:r>
      <w:r>
        <w:rPr>
          <w:rFonts w:ascii="宋体" w:hAnsi="宋体" w:eastAsia="宋体" w:cs="宋体"/>
          <w:spacing w:val="-2"/>
          <w:sz w:val="24"/>
          <w:szCs w:val="24"/>
        </w:rPr>
        <w:t>情形所引起的一切法律后果。</w:t>
      </w:r>
      <w:r>
        <w:rPr>
          <w:rFonts w:ascii="宋体" w:hAnsi="宋体" w:eastAsia="宋体" w:cs="宋体"/>
          <w:sz w:val="24"/>
          <w:szCs w:val="24"/>
        </w:rPr>
        <w:t xml:space="preserve"> </w:t>
      </w:r>
      <w:r>
        <w:rPr>
          <w:rFonts w:ascii="宋体" w:hAnsi="宋体" w:eastAsia="宋体" w:cs="宋体"/>
          <w:spacing w:val="-1"/>
          <w:sz w:val="24"/>
          <w:szCs w:val="24"/>
        </w:rPr>
        <w:t>同时，我方承诺在整个招投标过程中，一旦发现涉黑涉恶线索及</w:t>
      </w:r>
      <w:r>
        <w:rPr>
          <w:rFonts w:ascii="宋体" w:hAnsi="宋体" w:eastAsia="宋体" w:cs="宋体"/>
          <w:spacing w:val="-2"/>
          <w:sz w:val="24"/>
          <w:szCs w:val="24"/>
        </w:rPr>
        <w:t>时向监管部门及有关部门举报，</w:t>
      </w:r>
      <w:r>
        <w:rPr>
          <w:rFonts w:ascii="宋体" w:hAnsi="宋体" w:eastAsia="宋体" w:cs="宋体"/>
          <w:sz w:val="24"/>
          <w:szCs w:val="24"/>
        </w:rPr>
        <w:t xml:space="preserve"> </w:t>
      </w:r>
      <w:r>
        <w:rPr>
          <w:rFonts w:ascii="宋体" w:hAnsi="宋体" w:eastAsia="宋体" w:cs="宋体"/>
          <w:spacing w:val="-1"/>
          <w:sz w:val="24"/>
          <w:szCs w:val="24"/>
        </w:rPr>
        <w:t>并积极协助有关部门进行调查取证。</w:t>
      </w:r>
    </w:p>
    <w:p w14:paraId="5556E02A">
      <w:pPr>
        <w:spacing w:before="37" w:line="219" w:lineRule="auto"/>
        <w:ind w:left="489"/>
        <w:rPr>
          <w:rFonts w:ascii="宋体" w:hAnsi="宋体" w:eastAsia="宋体" w:cs="宋体"/>
          <w:sz w:val="24"/>
          <w:szCs w:val="24"/>
        </w:rPr>
      </w:pPr>
      <w:r>
        <w:rPr>
          <w:rFonts w:ascii="宋体" w:hAnsi="宋体" w:eastAsia="宋体" w:cs="宋体"/>
          <w:spacing w:val="-3"/>
          <w:sz w:val="24"/>
          <w:szCs w:val="24"/>
        </w:rPr>
        <w:t>特此承诺</w:t>
      </w:r>
    </w:p>
    <w:p w14:paraId="78D1F6AF">
      <w:pPr>
        <w:pStyle w:val="10"/>
        <w:spacing w:line="335" w:lineRule="auto"/>
      </w:pPr>
    </w:p>
    <w:p w14:paraId="579F3D38">
      <w:pPr>
        <w:pStyle w:val="10"/>
        <w:spacing w:line="336" w:lineRule="auto"/>
      </w:pPr>
    </w:p>
    <w:p w14:paraId="250F1439">
      <w:pPr>
        <w:spacing w:before="78" w:line="219" w:lineRule="auto"/>
        <w:ind w:left="4120"/>
        <w:rPr>
          <w:rFonts w:ascii="宋体" w:hAnsi="宋体" w:eastAsia="宋体" w:cs="宋体"/>
          <w:sz w:val="24"/>
          <w:szCs w:val="24"/>
        </w:rPr>
      </w:pPr>
      <w:r>
        <w:rPr>
          <w:rFonts w:ascii="宋体" w:hAnsi="宋体" w:eastAsia="宋体" w:cs="宋体"/>
          <w:spacing w:val="-1"/>
          <w:sz w:val="24"/>
          <w:szCs w:val="24"/>
        </w:rPr>
        <w:t>申请人</w:t>
      </w:r>
      <w:r>
        <w:rPr>
          <w:rFonts w:ascii="宋体" w:hAnsi="宋体" w:eastAsia="宋体" w:cs="宋体"/>
          <w:spacing w:val="-17"/>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1"/>
          <w:sz w:val="24"/>
          <w:szCs w:val="24"/>
        </w:rPr>
        <w:t>盖单位章）</w:t>
      </w:r>
    </w:p>
    <w:p w14:paraId="7F9C67B2">
      <w:pPr>
        <w:pStyle w:val="10"/>
        <w:spacing w:line="250" w:lineRule="auto"/>
      </w:pPr>
    </w:p>
    <w:p w14:paraId="478850F7">
      <w:pPr>
        <w:pStyle w:val="10"/>
        <w:spacing w:line="251" w:lineRule="auto"/>
      </w:pPr>
    </w:p>
    <w:p w14:paraId="5AFBE004">
      <w:pPr>
        <w:spacing w:before="79" w:line="219" w:lineRule="auto"/>
        <w:ind w:left="4090"/>
        <w:rPr>
          <w:rFonts w:ascii="宋体" w:hAnsi="宋体" w:eastAsia="宋体" w:cs="宋体"/>
          <w:spacing w:val="3"/>
          <w:sz w:val="24"/>
          <w:szCs w:val="24"/>
        </w:rPr>
      </w:pPr>
      <w:r>
        <w:rPr>
          <w:rFonts w:ascii="宋体" w:hAnsi="宋体" w:eastAsia="宋体" w:cs="宋体"/>
          <w:spacing w:val="3"/>
          <w:sz w:val="24"/>
          <w:szCs w:val="24"/>
        </w:rPr>
        <w:t>法定代表人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签字）</w:t>
      </w:r>
    </w:p>
    <w:p w14:paraId="1F5A7B81">
      <w:pPr>
        <w:rPr>
          <w:rFonts w:ascii="宋体" w:hAnsi="宋体" w:eastAsia="宋体" w:cs="宋体"/>
          <w:spacing w:val="3"/>
          <w:sz w:val="24"/>
          <w:szCs w:val="24"/>
        </w:rPr>
      </w:pPr>
      <w:r>
        <w:rPr>
          <w:rFonts w:ascii="宋体" w:hAnsi="宋体" w:eastAsia="宋体" w:cs="宋体"/>
          <w:spacing w:val="3"/>
          <w:sz w:val="24"/>
          <w:szCs w:val="24"/>
        </w:rPr>
        <w:br w:type="page"/>
      </w:r>
    </w:p>
    <w:p w14:paraId="3668AED4">
      <w:pPr>
        <w:wordWrap w:val="0"/>
        <w:rPr>
          <w:rFonts w:hint="eastAsia" w:ascii="宋体" w:hAnsi="宋体" w:cs="宋体"/>
          <w:b/>
          <w:color w:val="auto"/>
          <w:szCs w:val="21"/>
          <w:highlight w:val="none"/>
        </w:rPr>
      </w:pPr>
      <w:r>
        <w:rPr>
          <w:rFonts w:hint="eastAsia" w:ascii="宋体" w:hAnsi="宋体" w:cs="宋体"/>
          <w:b/>
          <w:color w:val="auto"/>
          <w:szCs w:val="21"/>
          <w:highlight w:val="none"/>
        </w:rPr>
        <w:t>附件：</w:t>
      </w:r>
    </w:p>
    <w:p w14:paraId="6AF41ACB">
      <w:pPr>
        <w:widowControl/>
        <w:spacing w:line="360" w:lineRule="auto"/>
        <w:jc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政府采购促进中小企业发展管理办法</w:t>
      </w:r>
    </w:p>
    <w:p w14:paraId="079886C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第一条为了发挥政府采购的政策功能，促进中小企业健康发展，根据《中华人民共和国政府采购法》、《中华人民共和国中小企业促进法》等有关法律法规，制定本办法。</w:t>
      </w:r>
    </w:p>
    <w:p w14:paraId="0902BD3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A3410A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第三条采购人在政府采购活动中应当通过加强采购需求管理，落实预留采购份额、价格评审优惠、优先采购等措施，提高中小企业在政府采购中的份额，支持中小企业发展。</w:t>
      </w:r>
    </w:p>
    <w:p w14:paraId="29B49ED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第四条在政府采购活动中，供应商提供的货物、工程或者服务符合下列情形的，享受本办法规定的中小企业扶持政策：</w:t>
      </w:r>
    </w:p>
    <w:p w14:paraId="6EAA941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(一)在货物采购项目中，货物由中小企业制造，即货物由中小企业生产且使用该中小企业商号或者注册商标；</w:t>
      </w:r>
    </w:p>
    <w:p w14:paraId="729EA10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(二)在工程采购项目中，工程由中小企业承建，即工程施工单位为中小企业；</w:t>
      </w:r>
    </w:p>
    <w:p w14:paraId="5C67999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0514B05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五条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B4DEAD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六条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D86612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符合下列情形之一的，可不专门面向中小企业预留采购份额：</w:t>
      </w:r>
    </w:p>
    <w:p w14:paraId="43B5A44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(一)法律法规和国家有关政策明确规定优先或者应当面向事业单位、社会组织等非企业主体采购的；</w:t>
      </w:r>
    </w:p>
    <w:p w14:paraId="7495C31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(二)因确需使用不可替代的专利、专有技术，基础设施限制，或者提供特定公共服务等原因，只能从中小企业之外的供应商处采购的；</w:t>
      </w:r>
    </w:p>
    <w:p w14:paraId="382DFE0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(三)按照本办法规定预留采购份额无法确保充分供应、充分竞争，或者存在可能影响政府采购目标实现的情形；</w:t>
      </w:r>
    </w:p>
    <w:p w14:paraId="7DC232B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(四)框架协议采购项目；</w:t>
      </w:r>
    </w:p>
    <w:p w14:paraId="3706E85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(五)省级以上人民政府财政部门规定的其他情形。除上述情形外，其他均为适宜由中小企业提供的情形。</w:t>
      </w:r>
    </w:p>
    <w:p w14:paraId="36141AF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第七条采购限额标准以上，200万元以下的货物和服务采购项目、400万元以下的工程采购项目，适宜由中小企业提供的，采购人应当专门面向中小企业采购。</w:t>
      </w:r>
    </w:p>
    <w:p w14:paraId="28026E6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八条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141828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(一)将采购项目整体或者设置采购包专门面向中小企业采购；</w:t>
      </w:r>
    </w:p>
    <w:p w14:paraId="6414296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(二)要求供应商以联合体形式参加采购活动，且联合体中中小企业承担的部分达到一定比例；</w:t>
      </w:r>
    </w:p>
    <w:p w14:paraId="6D74F16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(三)要求获得采购合同的供应商将采购项目中的一定比例分包给一家或者多家中小企业。组成联合体或者接受分包合同的中小企业与联合体内其他企业、分包企业之间不得存在直接控股、管理关系。</w:t>
      </w:r>
    </w:p>
    <w:p w14:paraId="75BB931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九条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73F20D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十条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2A5C666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十一条中小企业参加政府采购活动，应当出具本办法规定的《中小企业声明函》(附1)，否则不得享受相关中小企业扶持政策。任何单位和个人不得要求供应商提供《中小企业声明函》之外的中小企业身份证明文件。</w:t>
      </w:r>
    </w:p>
    <w:p w14:paraId="5EAF1CD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第十二条采购项目涉及中小企业采购的，采购文件应当明确以下内容：</w:t>
      </w:r>
    </w:p>
    <w:p w14:paraId="7182BFE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(一)预留份额的采购项目或者采购包，明确该项目或相关采购包专门面向中小企业采购，以及相关标的及预算金额；</w:t>
      </w:r>
    </w:p>
    <w:p w14:paraId="103FF3E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(二)要求以联合体形式参加或者合同分包的，明确联合协议或者分包意向协议中中小企业合同金额应当达到的比例，并作为供应商资格条件；</w:t>
      </w:r>
    </w:p>
    <w:p w14:paraId="60E49DD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(三)非预留份额的采购项目或者采购包，明确有关价格扣除比例或者价格分加分比例；</w:t>
      </w:r>
    </w:p>
    <w:p w14:paraId="162702C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(四)规定依据本办法规定享受扶持政策获得政府采购合同的，小微企业不得将合同分包给大中型企业，中型企业不得将合同分包给大型企业；</w:t>
      </w:r>
    </w:p>
    <w:p w14:paraId="338DA87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(五)采购人认为具备相关条件的，明确对中小企业在资金支付期限、预付款比例等方面的优惠措施；</w:t>
      </w:r>
    </w:p>
    <w:p w14:paraId="7C4A6B7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(六)明确采购标的对应的中小企业划分标准所属行业；</w:t>
      </w:r>
    </w:p>
    <w:p w14:paraId="43FCAD2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(七)法律法规和省级以上人民政府财政部门规定的其他事项。</w:t>
      </w:r>
    </w:p>
    <w:p w14:paraId="4774BF00">
      <w:pPr>
        <w:widowControl/>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第十三条中标、成交供应商享受本办法规定的中小企业扶持政策的，采购人、采购代理机构应当随中标、成交结果公开中标、成交供应商的《中小企业声明函》。</w:t>
      </w:r>
    </w:p>
    <w:p w14:paraId="46A2A9F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适用招标投标法的政府采购工程建设项目，应当在公示成交候选人时公开成交候选人的《中小企业声明函》。</w:t>
      </w:r>
    </w:p>
    <w:p w14:paraId="1D7699F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十四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86BBCE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第十五条鼓励各地区、各部门在采购活动中允许中小企业引入信用担保手段，为中小企业在投标(响应)保证、履约保证等方面提供专业化服务。鼓励中小企业依法合规通过政府采购合同融资。</w:t>
      </w:r>
    </w:p>
    <w:p w14:paraId="34FFDB4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第十六条政府采购监督检查、投诉处理及政府采购行政处罚中对中小企业的认定，由货物制造商或者工程、服务供应商注册登记所在地的县级以上人民政府中小企业主管部门负责。</w:t>
      </w:r>
    </w:p>
    <w:p w14:paraId="1D2E1D2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中小企业主管部门应当在收到财政部门或者有关招标投标行政监督部门关于协助开展中小企业认定函后10个工作日内做出书面答复。</w:t>
      </w:r>
    </w:p>
    <w:p w14:paraId="6E98AC5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第十七条各地区、各部门应当对涉及中小企业采购的预算项目实施全过程绩效管理，合理设置绩效目标和指标，落实扶持中小企业有关政策要求，定期开展绩效监控和评价，</w:t>
      </w:r>
    </w:p>
    <w:p w14:paraId="6F75D03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强化绩效评价结果应用。</w:t>
      </w:r>
    </w:p>
    <w:p w14:paraId="6EFDDC5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十八条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992649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十九条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66016E0">
      <w:pPr>
        <w:widowControl/>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第二十条供应商按照本办法规定提供声明函内容不实的，属于提供虚假材料谋取中标、成交，依照《中华人民共和国政府采购法》等国家有关规定追究相应责任。</w:t>
      </w:r>
    </w:p>
    <w:p w14:paraId="65D73BD5">
      <w:pPr>
        <w:widowControl/>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适用招标投标法的政府采购工程建设项目，供应商按照本办法规定提供声明函内容不实的，属于弄虚作假骗取中标，依照《中华人民共和国招标投标法》等国家有关规定追究相应责任。</w:t>
      </w:r>
    </w:p>
    <w:p w14:paraId="184389B4">
      <w:pPr>
        <w:widowControl/>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94B0A5D">
      <w:pPr>
        <w:widowControl/>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第二十二条对外援助项目、国家相关资格或者资质管理制度另有规定的项目，不适用本办法。</w:t>
      </w:r>
    </w:p>
    <w:p w14:paraId="4ABBB7BC">
      <w:pPr>
        <w:widowControl/>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第二十三条关于视同中小企业的其他主体的政府采购扶持政策，由财政部会同有关部门另行规定。</w:t>
      </w:r>
    </w:p>
    <w:p w14:paraId="0C92CFC7">
      <w:pPr>
        <w:widowControl/>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第二十四条省级财政部门可以会同中小企业主管部门根据本办法的规定制定具体实施办法。</w:t>
      </w:r>
    </w:p>
    <w:p w14:paraId="5903416F">
      <w:pPr>
        <w:widowControl/>
        <w:spacing w:line="24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第二十五条本办法自2021年1月1日起施行。《财政部工业和信息化部关于印发〈政府采购促进中小企业发展暂行办法〉的通知》(财库﹝2011﹞181号)同时废止。</w:t>
      </w:r>
    </w:p>
    <w:p w14:paraId="5ADEAF4E">
      <w:pPr>
        <w:spacing w:line="240" w:lineRule="auto"/>
        <w:jc w:val="center"/>
        <w:rPr>
          <w:rFonts w:hint="eastAsia" w:ascii="宋体" w:hAnsi="宋体" w:cs="宋体"/>
          <w:color w:val="auto"/>
          <w:highlight w:val="none"/>
        </w:rPr>
        <w:sectPr>
          <w:pgSz w:w="11906" w:h="16838"/>
          <w:pgMar w:top="1440" w:right="1080" w:bottom="1440" w:left="1080" w:header="1134" w:footer="851" w:gutter="0"/>
          <w:cols w:space="720" w:num="1"/>
          <w:docGrid w:type="lines" w:linePitch="312" w:charSpace="0"/>
        </w:sectPr>
      </w:pPr>
    </w:p>
    <w:p w14:paraId="7839A754">
      <w:pPr>
        <w:snapToGrid w:val="0"/>
        <w:spacing w:line="360" w:lineRule="auto"/>
        <w:jc w:val="center"/>
        <w:outlineLvl w:val="0"/>
        <w:rPr>
          <w:rFonts w:hint="eastAsia" w:ascii="宋体" w:hAnsi="宋体" w:cs="宋体"/>
          <w:szCs w:val="21"/>
          <w:highlight w:val="none"/>
        </w:rPr>
      </w:pPr>
      <w:bookmarkStart w:id="198" w:name="_Toc22082"/>
      <w:bookmarkStart w:id="199" w:name="_Toc1359"/>
      <w:r>
        <w:rPr>
          <w:rFonts w:hint="eastAsia" w:ascii="宋体" w:hAnsi="宋体" w:cs="宋体"/>
          <w:color w:val="auto"/>
          <w:sz w:val="32"/>
          <w:szCs w:val="32"/>
          <w:highlight w:val="none"/>
        </w:rPr>
        <w:t>中小企业声明函（</w:t>
      </w:r>
      <w:r>
        <w:rPr>
          <w:rFonts w:hint="eastAsia" w:ascii="宋体" w:hAnsi="宋体" w:cs="宋体"/>
          <w:color w:val="auto"/>
          <w:sz w:val="32"/>
          <w:szCs w:val="32"/>
          <w:highlight w:val="none"/>
          <w:lang w:val="en-US" w:eastAsia="zh-CN"/>
        </w:rPr>
        <w:t>所属行业：</w:t>
      </w:r>
      <w:r>
        <w:rPr>
          <w:rFonts w:hint="eastAsia" w:ascii="宋体" w:hAnsi="宋体" w:cs="宋体"/>
          <w:color w:val="auto"/>
          <w:sz w:val="32"/>
          <w:szCs w:val="32"/>
          <w:highlight w:val="none"/>
        </w:rPr>
        <w:t>其他未列明</w:t>
      </w:r>
      <w:bookmarkStart w:id="208" w:name="_GoBack"/>
      <w:bookmarkEnd w:id="208"/>
      <w:r>
        <w:rPr>
          <w:rFonts w:hint="eastAsia" w:ascii="宋体" w:hAnsi="宋体" w:cs="宋体"/>
          <w:color w:val="auto"/>
          <w:sz w:val="32"/>
          <w:szCs w:val="32"/>
          <w:highlight w:val="none"/>
        </w:rPr>
        <w:t>行业</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rPr>
        <w:t>）</w:t>
      </w:r>
      <w:bookmarkEnd w:id="198"/>
      <w:bookmarkEnd w:id="199"/>
    </w:p>
    <w:p w14:paraId="7D80C2C3">
      <w:pPr>
        <w:spacing w:after="120" w:line="360" w:lineRule="auto"/>
        <w:ind w:right="415" w:firstLine="640"/>
        <w:rPr>
          <w:rFonts w:hint="eastAsia" w:ascii="宋体" w:hAnsi="宋体" w:cs="宋体"/>
          <w:szCs w:val="21"/>
          <w:highlight w:val="none"/>
        </w:rPr>
      </w:pPr>
      <w:r>
        <w:rPr>
          <w:rFonts w:hint="eastAsia" w:ascii="宋体" w:hAnsi="宋体" w:cs="宋体"/>
          <w:szCs w:val="21"/>
          <w:highlight w:val="none"/>
        </w:rPr>
        <w:t>本公司（联合体）郑重声明，根据《政府采购促进中小企业发展管理办法》（财库﹝2020﹞46 号）的规定，本公司（联合体）参加</w:t>
      </w:r>
      <w:r>
        <w:rPr>
          <w:rFonts w:hint="eastAsia" w:ascii="宋体" w:hAnsi="宋体" w:cs="宋体"/>
          <w:szCs w:val="21"/>
          <w:highlight w:val="none"/>
          <w:u w:val="single"/>
        </w:rPr>
        <w:t>（单位名称）</w:t>
      </w:r>
      <w:r>
        <w:rPr>
          <w:rFonts w:hint="eastAsia" w:ascii="宋体" w:hAnsi="宋体" w:cs="宋体"/>
          <w:szCs w:val="21"/>
          <w:highlight w:val="none"/>
        </w:rPr>
        <w:t>的</w:t>
      </w:r>
      <w:r>
        <w:rPr>
          <w:rFonts w:hint="eastAsia" w:ascii="宋体" w:hAnsi="宋体" w:cs="宋体"/>
          <w:szCs w:val="21"/>
          <w:highlight w:val="none"/>
          <w:u w:val="single"/>
        </w:rPr>
        <w:t>（项目名称）</w:t>
      </w:r>
      <w:r>
        <w:rPr>
          <w:rFonts w:hint="eastAsia" w:ascii="宋体" w:hAnsi="宋体" w:cs="宋体"/>
          <w:szCs w:val="21"/>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3AE78144">
      <w:pPr>
        <w:spacing w:after="120" w:line="360" w:lineRule="auto"/>
        <w:ind w:right="415" w:firstLine="44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（标的名称）</w:t>
      </w:r>
      <w:r>
        <w:rPr>
          <w:rFonts w:hint="eastAsia" w:ascii="宋体" w:hAnsi="宋体" w:cs="宋体"/>
          <w:szCs w:val="21"/>
          <w:highlight w:val="none"/>
        </w:rPr>
        <w:t>，属于（</w:t>
      </w:r>
      <w:r>
        <w:rPr>
          <w:rFonts w:hint="eastAsia" w:ascii="宋体" w:hAnsi="宋体" w:cs="宋体"/>
          <w:szCs w:val="21"/>
          <w:highlight w:val="none"/>
          <w:u w:val="single"/>
        </w:rPr>
        <w:t>采购文件中明确的所属行业）</w:t>
      </w:r>
      <w:r>
        <w:rPr>
          <w:rFonts w:hint="eastAsia" w:ascii="宋体" w:hAnsi="宋体" w:cs="宋体"/>
          <w:szCs w:val="21"/>
          <w:highlight w:val="none"/>
        </w:rPr>
        <w:t>；承建（承接）企业为</w:t>
      </w:r>
      <w:r>
        <w:rPr>
          <w:rFonts w:hint="eastAsia" w:ascii="宋体" w:hAnsi="宋体" w:cs="宋体"/>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ab/>
      </w:r>
      <w:r>
        <w:rPr>
          <w:rFonts w:hint="eastAsia" w:ascii="宋体" w:hAnsi="宋体" w:cs="宋体"/>
          <w:szCs w:val="21"/>
          <w:highlight w:val="none"/>
        </w:rPr>
        <w:t>人，营业收入为</w:t>
      </w:r>
      <w:r>
        <w:rPr>
          <w:rFonts w:hint="eastAsia" w:ascii="宋体" w:hAnsi="宋体" w:cs="宋体"/>
          <w:szCs w:val="21"/>
          <w:highlight w:val="none"/>
          <w:u w:val="single"/>
        </w:rPr>
        <w:tab/>
      </w:r>
      <w:r>
        <w:rPr>
          <w:rFonts w:hint="eastAsia" w:ascii="宋体" w:hAnsi="宋体" w:cs="宋体"/>
          <w:szCs w:val="21"/>
          <w:highlight w:val="none"/>
        </w:rPr>
        <w:t>万元，资产总额为</w:t>
      </w:r>
      <w:r>
        <w:rPr>
          <w:rFonts w:hint="eastAsia" w:ascii="宋体" w:hAnsi="宋体" w:cs="宋体"/>
          <w:szCs w:val="21"/>
          <w:highlight w:val="none"/>
          <w:u w:val="single"/>
        </w:rPr>
        <w:tab/>
      </w:r>
      <w:r>
        <w:rPr>
          <w:rFonts w:hint="eastAsia" w:ascii="宋体" w:hAnsi="宋体" w:cs="宋体"/>
          <w:szCs w:val="21"/>
          <w:highlight w:val="none"/>
        </w:rPr>
        <w:t>万元，属于</w:t>
      </w:r>
      <w:r>
        <w:rPr>
          <w:rFonts w:hint="eastAsia" w:ascii="宋体" w:hAnsi="宋体" w:cs="宋体"/>
          <w:szCs w:val="21"/>
          <w:highlight w:val="none"/>
          <w:u w:val="single"/>
        </w:rPr>
        <w:t>（中型企业、小型企业、微型企业）</w:t>
      </w:r>
      <w:r>
        <w:rPr>
          <w:rFonts w:hint="eastAsia" w:ascii="宋体" w:hAnsi="宋体" w:cs="宋体"/>
          <w:szCs w:val="21"/>
          <w:highlight w:val="none"/>
        </w:rPr>
        <w:t>；</w:t>
      </w:r>
    </w:p>
    <w:p w14:paraId="2AB0292F">
      <w:pPr>
        <w:tabs>
          <w:tab w:val="left" w:pos="1243"/>
          <w:tab w:val="left" w:pos="1806"/>
          <w:tab w:val="left" w:pos="5005"/>
          <w:tab w:val="left" w:pos="7213"/>
        </w:tabs>
        <w:spacing w:line="360" w:lineRule="auto"/>
        <w:ind w:right="258" w:firstLine="440" w:firstLineChars="200"/>
        <w:rPr>
          <w:rFonts w:hint="eastAsia" w:ascii="宋体" w:hAnsi="宋体" w:cs="宋体"/>
          <w:szCs w:val="21"/>
          <w:highlight w:val="none"/>
        </w:rPr>
      </w:pPr>
      <w:r>
        <w:rPr>
          <w:rFonts w:hint="eastAsia" w:ascii="宋体" w:hAnsi="宋体" w:cs="宋体"/>
          <w:szCs w:val="21"/>
          <w:highlight w:val="none"/>
          <w:u w:val="single"/>
        </w:rPr>
        <w:t>2.（标的名称）</w:t>
      </w:r>
      <w:r>
        <w:rPr>
          <w:rFonts w:hint="eastAsia" w:ascii="宋体" w:hAnsi="宋体" w:cs="宋体"/>
          <w:szCs w:val="21"/>
          <w:highlight w:val="none"/>
        </w:rPr>
        <w:t>，属于（</w:t>
      </w:r>
      <w:r>
        <w:rPr>
          <w:rFonts w:hint="eastAsia" w:ascii="宋体" w:hAnsi="宋体" w:cs="宋体"/>
          <w:szCs w:val="21"/>
          <w:highlight w:val="none"/>
          <w:u w:val="single"/>
        </w:rPr>
        <w:t>采购文件中明确的所属行业）</w:t>
      </w:r>
      <w:r>
        <w:rPr>
          <w:rFonts w:hint="eastAsia" w:ascii="宋体" w:hAnsi="宋体" w:cs="宋体"/>
          <w:szCs w:val="21"/>
          <w:highlight w:val="none"/>
        </w:rPr>
        <w:t>；承建（承接）企业为</w:t>
      </w:r>
      <w:r>
        <w:rPr>
          <w:rFonts w:hint="eastAsia" w:ascii="宋体" w:hAnsi="宋体" w:cs="宋体"/>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ab/>
      </w:r>
      <w:r>
        <w:rPr>
          <w:rFonts w:hint="eastAsia" w:ascii="宋体" w:hAnsi="宋体" w:cs="宋体"/>
          <w:szCs w:val="21"/>
          <w:highlight w:val="none"/>
        </w:rPr>
        <w:t>人，营业收入为</w:t>
      </w:r>
      <w:r>
        <w:rPr>
          <w:rFonts w:hint="eastAsia" w:ascii="宋体" w:hAnsi="宋体" w:cs="宋体"/>
          <w:szCs w:val="21"/>
          <w:highlight w:val="none"/>
          <w:u w:val="single"/>
        </w:rPr>
        <w:tab/>
      </w:r>
      <w:r>
        <w:rPr>
          <w:rFonts w:hint="eastAsia" w:ascii="宋体" w:hAnsi="宋体" w:cs="宋体"/>
          <w:szCs w:val="21"/>
          <w:highlight w:val="none"/>
        </w:rPr>
        <w:t>万元，资产总额为</w:t>
      </w:r>
      <w:r>
        <w:rPr>
          <w:rFonts w:hint="eastAsia" w:ascii="宋体" w:hAnsi="宋体" w:cs="宋体"/>
          <w:szCs w:val="21"/>
          <w:highlight w:val="none"/>
          <w:u w:val="single"/>
        </w:rPr>
        <w:tab/>
      </w:r>
      <w:r>
        <w:rPr>
          <w:rFonts w:hint="eastAsia" w:ascii="宋体" w:hAnsi="宋体" w:cs="宋体"/>
          <w:szCs w:val="21"/>
          <w:highlight w:val="none"/>
        </w:rPr>
        <w:t>万元，属于</w:t>
      </w:r>
      <w:r>
        <w:rPr>
          <w:rFonts w:hint="eastAsia" w:ascii="宋体" w:hAnsi="宋体" w:cs="宋体"/>
          <w:szCs w:val="21"/>
          <w:highlight w:val="none"/>
          <w:u w:val="single"/>
        </w:rPr>
        <w:t>（中型企业、小型企业、微型企业）</w:t>
      </w:r>
      <w:r>
        <w:rPr>
          <w:rFonts w:hint="eastAsia" w:ascii="宋体" w:hAnsi="宋体" w:cs="宋体"/>
          <w:szCs w:val="21"/>
          <w:highlight w:val="none"/>
        </w:rPr>
        <w:t>；</w:t>
      </w:r>
    </w:p>
    <w:p w14:paraId="699AEAF7">
      <w:pPr>
        <w:spacing w:before="11" w:after="120" w:line="360" w:lineRule="auto"/>
        <w:ind w:left="860"/>
        <w:rPr>
          <w:rFonts w:hint="eastAsia" w:ascii="宋体" w:hAnsi="宋体" w:cs="宋体"/>
          <w:szCs w:val="21"/>
          <w:highlight w:val="none"/>
        </w:rPr>
      </w:pPr>
      <w:r>
        <w:rPr>
          <w:rFonts w:hint="eastAsia" w:ascii="宋体" w:hAnsi="宋体" w:cs="宋体"/>
          <w:szCs w:val="21"/>
          <w:highlight w:val="none"/>
        </w:rPr>
        <w:t>……</w:t>
      </w:r>
    </w:p>
    <w:p w14:paraId="0890ED95">
      <w:pPr>
        <w:spacing w:before="108" w:after="120" w:line="360" w:lineRule="auto"/>
        <w:ind w:right="417" w:firstLine="645"/>
        <w:rPr>
          <w:rFonts w:hint="eastAsia" w:ascii="宋体" w:hAnsi="宋体" w:cs="宋体"/>
          <w:szCs w:val="21"/>
          <w:highlight w:val="none"/>
        </w:rPr>
      </w:pPr>
      <w:r>
        <w:rPr>
          <w:rFonts w:hint="eastAsia" w:ascii="宋体" w:hAnsi="宋体" w:cs="宋体"/>
          <w:spacing w:val="-3"/>
          <w:szCs w:val="21"/>
          <w:highlight w:val="none"/>
        </w:rPr>
        <w:t>以上企业，不属于大企业的分支机构，不存在控股股东</w:t>
      </w:r>
      <w:r>
        <w:rPr>
          <w:rFonts w:hint="eastAsia" w:ascii="宋体" w:hAnsi="宋体" w:cs="宋体"/>
          <w:spacing w:val="-5"/>
          <w:szCs w:val="21"/>
          <w:highlight w:val="none"/>
        </w:rPr>
        <w:t>为大企业的情形，也不存在与大企业的负责人为同一人的情形。</w:t>
      </w:r>
    </w:p>
    <w:p w14:paraId="1C2BA984">
      <w:pPr>
        <w:spacing w:after="120" w:line="360" w:lineRule="auto"/>
        <w:ind w:right="375" w:firstLine="640"/>
        <w:rPr>
          <w:rFonts w:hint="eastAsia"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14:paraId="2DB8AB8F">
      <w:pPr>
        <w:adjustRightInd w:val="0"/>
        <w:snapToGrid w:val="0"/>
        <w:spacing w:line="300" w:lineRule="auto"/>
        <w:ind w:firstLine="536" w:firstLineChars="200"/>
        <w:rPr>
          <w:rFonts w:hint="eastAsia" w:ascii="宋体" w:hAnsi="宋体" w:cs="宋体"/>
          <w:spacing w:val="24"/>
          <w:szCs w:val="21"/>
          <w:highlight w:val="none"/>
        </w:rPr>
      </w:pPr>
    </w:p>
    <w:p w14:paraId="196B1334">
      <w:pPr>
        <w:adjustRightInd w:val="0"/>
        <w:snapToGrid w:val="0"/>
        <w:spacing w:line="300" w:lineRule="auto"/>
        <w:ind w:firstLine="536" w:firstLineChars="200"/>
        <w:rPr>
          <w:rFonts w:hint="eastAsia" w:ascii="宋体" w:hAnsi="宋体" w:cs="宋体"/>
          <w:spacing w:val="24"/>
          <w:szCs w:val="21"/>
          <w:highlight w:val="none"/>
        </w:rPr>
      </w:pPr>
    </w:p>
    <w:p w14:paraId="65DC9E1A">
      <w:pPr>
        <w:adjustRightInd w:val="0"/>
        <w:snapToGrid w:val="0"/>
        <w:spacing w:line="300" w:lineRule="auto"/>
        <w:ind w:firstLine="536" w:firstLineChars="200"/>
        <w:rPr>
          <w:rFonts w:hint="eastAsia" w:ascii="宋体" w:hAnsi="宋体" w:cs="宋体"/>
          <w:spacing w:val="24"/>
          <w:szCs w:val="21"/>
          <w:highlight w:val="none"/>
        </w:rPr>
      </w:pPr>
    </w:p>
    <w:p w14:paraId="0D7D54C5">
      <w:pPr>
        <w:adjustRightInd w:val="0"/>
        <w:snapToGrid w:val="0"/>
        <w:spacing w:line="300" w:lineRule="auto"/>
        <w:ind w:firstLine="5628" w:firstLineChars="2100"/>
        <w:rPr>
          <w:rFonts w:hint="eastAsia" w:ascii="宋体" w:hAnsi="宋体" w:cs="宋体"/>
          <w:spacing w:val="24"/>
          <w:szCs w:val="21"/>
          <w:highlight w:val="none"/>
        </w:rPr>
      </w:pPr>
      <w:r>
        <w:rPr>
          <w:rFonts w:hint="eastAsia" w:ascii="宋体" w:hAnsi="宋体" w:cs="宋体"/>
          <w:spacing w:val="24"/>
          <w:szCs w:val="21"/>
          <w:highlight w:val="none"/>
        </w:rPr>
        <w:t>企业名称（盖章）：</w:t>
      </w:r>
    </w:p>
    <w:p w14:paraId="697D586E">
      <w:pPr>
        <w:adjustRightInd w:val="0"/>
        <w:snapToGrid w:val="0"/>
        <w:spacing w:line="300" w:lineRule="auto"/>
        <w:ind w:firstLine="536" w:firstLineChars="200"/>
        <w:rPr>
          <w:rFonts w:hint="eastAsia" w:ascii="宋体" w:hAnsi="宋体" w:cs="宋体"/>
          <w:spacing w:val="24"/>
          <w:szCs w:val="21"/>
          <w:highlight w:val="none"/>
        </w:rPr>
      </w:pPr>
    </w:p>
    <w:p w14:paraId="5939CD7A">
      <w:pPr>
        <w:adjustRightInd w:val="0"/>
        <w:snapToGrid w:val="0"/>
        <w:spacing w:line="300" w:lineRule="auto"/>
        <w:ind w:firstLine="5628" w:firstLineChars="2100"/>
        <w:rPr>
          <w:rFonts w:hint="eastAsia" w:ascii="宋体" w:hAnsi="宋体" w:cs="宋体"/>
          <w:spacing w:val="24"/>
          <w:szCs w:val="21"/>
          <w:highlight w:val="none"/>
        </w:rPr>
      </w:pPr>
      <w:r>
        <w:rPr>
          <w:rFonts w:hint="eastAsia" w:ascii="宋体" w:hAnsi="宋体" w:cs="宋体"/>
          <w:spacing w:val="24"/>
          <w:szCs w:val="21"/>
          <w:highlight w:val="none"/>
        </w:rPr>
        <w:t>日期：</w:t>
      </w:r>
    </w:p>
    <w:p w14:paraId="112B8A04">
      <w:pPr>
        <w:widowControl/>
        <w:adjustRightInd w:val="0"/>
        <w:snapToGrid w:val="0"/>
        <w:spacing w:line="360" w:lineRule="auto"/>
        <w:ind w:firstLine="320" w:firstLineChars="200"/>
        <w:jc w:val="left"/>
        <w:rPr>
          <w:rFonts w:hint="eastAsia" w:hAnsi="宋体"/>
          <w:sz w:val="16"/>
          <w:szCs w:val="16"/>
          <w:highlight w:val="none"/>
        </w:rPr>
      </w:pPr>
    </w:p>
    <w:p w14:paraId="3CD8AEE4">
      <w:pPr>
        <w:widowControl/>
        <w:adjustRightInd w:val="0"/>
        <w:snapToGrid w:val="0"/>
        <w:spacing w:line="360" w:lineRule="auto"/>
        <w:ind w:firstLine="320" w:firstLineChars="200"/>
        <w:jc w:val="left"/>
        <w:rPr>
          <w:rFonts w:hint="eastAsia" w:hAnsi="宋体"/>
          <w:sz w:val="16"/>
          <w:szCs w:val="16"/>
          <w:highlight w:val="none"/>
        </w:rPr>
      </w:pPr>
    </w:p>
    <w:p w14:paraId="0F5E9BA6">
      <w:pPr>
        <w:widowControl/>
        <w:adjustRightInd w:val="0"/>
        <w:snapToGrid w:val="0"/>
        <w:spacing w:line="360" w:lineRule="auto"/>
        <w:ind w:firstLine="320" w:firstLineChars="200"/>
        <w:jc w:val="left"/>
        <w:rPr>
          <w:rFonts w:hint="eastAsia" w:hAnsi="宋体"/>
          <w:sz w:val="16"/>
          <w:szCs w:val="16"/>
          <w:highlight w:val="none"/>
        </w:rPr>
      </w:pPr>
    </w:p>
    <w:p w14:paraId="6F51E50D">
      <w:pPr>
        <w:widowControl/>
        <w:adjustRightInd w:val="0"/>
        <w:snapToGrid w:val="0"/>
        <w:spacing w:line="360" w:lineRule="auto"/>
        <w:ind w:firstLine="320" w:firstLineChars="200"/>
        <w:jc w:val="left"/>
        <w:rPr>
          <w:rFonts w:hAnsi="宋体"/>
          <w:sz w:val="16"/>
          <w:szCs w:val="16"/>
          <w:highlight w:val="none"/>
        </w:rPr>
      </w:pPr>
      <w:r>
        <w:rPr>
          <w:rFonts w:hint="eastAsia" w:hAnsi="宋体"/>
          <w:sz w:val="16"/>
          <w:szCs w:val="16"/>
          <w:highlight w:val="none"/>
        </w:rPr>
        <w:t>1从业人员、营业收入、资产总额填报上一年度数据，无上一年度数据的新成立企业可不填报。</w:t>
      </w:r>
    </w:p>
    <w:p w14:paraId="68C8EE96">
      <w:pPr>
        <w:snapToGrid w:val="0"/>
        <w:spacing w:line="360" w:lineRule="auto"/>
        <w:ind w:left="601" w:firstLine="504" w:firstLineChars="200"/>
        <w:outlineLvl w:val="0"/>
        <w:rPr>
          <w:rFonts w:hint="eastAsia" w:ascii="宋体" w:hAnsi="宋体" w:cs="宋体"/>
          <w:color w:val="auto"/>
          <w:spacing w:val="6"/>
          <w:sz w:val="24"/>
          <w:highlight w:val="none"/>
        </w:rPr>
        <w:sectPr>
          <w:footerReference r:id="rId37" w:type="default"/>
          <w:pgSz w:w="11906" w:h="16838"/>
          <w:pgMar w:top="1440" w:right="1080" w:bottom="1440" w:left="1080" w:header="851" w:footer="992" w:gutter="0"/>
          <w:cols w:space="720" w:num="1"/>
          <w:docGrid w:type="lines" w:linePitch="312" w:charSpace="0"/>
        </w:sectPr>
      </w:pPr>
    </w:p>
    <w:p w14:paraId="48EB568F">
      <w:pPr>
        <w:autoSpaceDN w:val="0"/>
        <w:snapToGrid w:val="0"/>
        <w:spacing w:line="360" w:lineRule="auto"/>
        <w:jc w:val="center"/>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关于进一步加大政府采购支持中小企业力度的通知</w:t>
      </w:r>
    </w:p>
    <w:p w14:paraId="4176032E">
      <w:pPr>
        <w:autoSpaceDN w:val="0"/>
        <w:snapToGrid w:val="0"/>
        <w:spacing w:line="360" w:lineRule="auto"/>
        <w:jc w:val="center"/>
        <w:rPr>
          <w:rFonts w:hint="eastAsia" w:ascii="宋体" w:hAnsi="宋体" w:cs="宋体"/>
          <w:color w:val="auto"/>
          <w:sz w:val="24"/>
          <w:highlight w:val="none"/>
          <w:lang w:bidi="ar"/>
        </w:rPr>
      </w:pPr>
      <w:r>
        <w:rPr>
          <w:rFonts w:hint="eastAsia" w:ascii="宋体" w:hAnsi="宋体" w:cs="宋体"/>
          <w:color w:val="auto"/>
          <w:sz w:val="24"/>
          <w:highlight w:val="none"/>
          <w:lang w:bidi="ar"/>
        </w:rPr>
        <w:t>财库〔2022〕19号</w:t>
      </w:r>
    </w:p>
    <w:p w14:paraId="72ACB50B">
      <w:pPr>
        <w:autoSpaceDN w:val="0"/>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各中央预算单位，各省、自治区、直辖市、计划单列市财政厅(局)，新疆生产建设兵团财政局：</w:t>
      </w:r>
    </w:p>
    <w:p w14:paraId="236B2D98">
      <w:pPr>
        <w:autoSpaceDN w:val="0"/>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3EBEB338">
      <w:pPr>
        <w:autoSpaceDN w:val="0"/>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20D4BAF">
      <w:pPr>
        <w:autoSpaceDN w:val="0"/>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573F363">
      <w:pPr>
        <w:autoSpaceDN w:val="0"/>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51DB070C">
      <w:pPr>
        <w:autoSpaceDN w:val="0"/>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　　四、认真做好组织实施。各地区、各部门应当加强组织领导，明确工作责任，细化执行要求，强化监督检查，确保国务院部署落实到位，对通知执行中出现的问题要及时向财政部报告。</w:t>
      </w:r>
    </w:p>
    <w:p w14:paraId="4DAB3075">
      <w:pPr>
        <w:autoSpaceDN w:val="0"/>
        <w:snapToGrid w:val="0"/>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　　本通知自2022年7月1日起执行。</w:t>
      </w:r>
    </w:p>
    <w:p w14:paraId="7B873D96">
      <w:pPr>
        <w:autoSpaceDN w:val="0"/>
        <w:snapToGrid w:val="0"/>
        <w:spacing w:line="360" w:lineRule="auto"/>
        <w:jc w:val="right"/>
        <w:rPr>
          <w:rFonts w:hint="eastAsia" w:ascii="宋体" w:hAnsi="宋体" w:cs="宋体"/>
          <w:color w:val="auto"/>
          <w:sz w:val="24"/>
          <w:highlight w:val="none"/>
          <w:lang w:bidi="ar"/>
        </w:rPr>
      </w:pPr>
      <w:r>
        <w:rPr>
          <w:rFonts w:hint="eastAsia" w:ascii="宋体" w:hAnsi="宋体" w:cs="宋体"/>
          <w:color w:val="auto"/>
          <w:sz w:val="24"/>
          <w:highlight w:val="none"/>
          <w:lang w:bidi="ar"/>
        </w:rPr>
        <w:t>　　财 政 部　　2022年5月30日</w:t>
      </w:r>
    </w:p>
    <w:p w14:paraId="0625AC5B">
      <w:pPr>
        <w:rPr>
          <w:rFonts w:hint="eastAsia" w:ascii="宋体" w:hAnsi="宋体" w:cs="宋体"/>
          <w:color w:val="auto"/>
          <w:highlight w:val="none"/>
        </w:rPr>
        <w:sectPr>
          <w:footnotePr>
            <w:pos w:val="beneathText"/>
          </w:footnotePr>
          <w:pgSz w:w="11906" w:h="16838"/>
          <w:pgMar w:top="1440" w:right="1080" w:bottom="1440" w:left="1080" w:header="851" w:footer="992" w:gutter="0"/>
          <w:cols w:space="720" w:num="1"/>
          <w:docGrid w:type="lines" w:linePitch="312" w:charSpace="0"/>
        </w:sectPr>
      </w:pPr>
    </w:p>
    <w:p w14:paraId="1D4DE038">
      <w:pPr>
        <w:snapToGrid w:val="0"/>
        <w:spacing w:line="360" w:lineRule="auto"/>
        <w:jc w:val="center"/>
        <w:rPr>
          <w:rFonts w:hint="eastAsia" w:ascii="宋体" w:hAnsi="宋体" w:cs="宋体"/>
          <w:color w:val="auto"/>
          <w:highlight w:val="none"/>
        </w:rPr>
      </w:pPr>
      <w:r>
        <w:rPr>
          <w:rFonts w:hint="eastAsia" w:ascii="宋体" w:hAnsi="宋体" w:cs="宋体"/>
          <w:b/>
          <w:color w:val="auto"/>
          <w:sz w:val="24"/>
          <w:highlight w:val="none"/>
        </w:rPr>
        <w:t>中小企业划型标准规定</w:t>
      </w:r>
    </w:p>
    <w:p w14:paraId="5DFBD07F">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一、根据《中华人民共和国中小企业促进法》和《国务院关于进一步促进中小企业发展的若干意见》(国发〔2009〕36号)，制定本规定。</w:t>
      </w:r>
    </w:p>
    <w:p w14:paraId="32864661">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二、中小企业划分为中型、小型、微型三种类型，具体标准根据企业从业人员、营业收入、资产总额等指标，结合行业特点制定。</w:t>
      </w:r>
    </w:p>
    <w:p w14:paraId="07246A8D">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4C4B33C">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四、各行业划型标准为：</w:t>
      </w:r>
    </w:p>
    <w:p w14:paraId="55F532F5">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(一)农、林、牧、渔业。营业收入20000万元以下的为中小微型企业。其中，营业收入500万元及以上的为中型企业，营业收入50万元及以上的为小型企业，营业收入50万元以下的为微型企业。</w:t>
      </w:r>
    </w:p>
    <w:p w14:paraId="6E424507">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84B8E73">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7070474">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C1114AD">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ADC7CA1">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48CF9B2">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ED24181">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701A4EC">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F79A12D">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EE2D42">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DAC37B8">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E9EC43E">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5D2AF58">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4BC6CD0">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02BDBA7">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w:t>
      </w:r>
      <w:r>
        <w:rPr>
          <w:rFonts w:hint="eastAsia" w:ascii="宋体" w:hAnsi="宋体" w:cs="宋体"/>
          <w:color w:val="auto"/>
          <w:sz w:val="24"/>
          <w:highlight w:val="none"/>
          <w:shd w:val="clear" w:color="auto" w:fill="FFFFFF"/>
        </w:rPr>
        <w:t>(十六)其他未列明行业。从业人员300人以下的为中小微型企业。其中，从业人员100人及以上的为中型企业；从业人员10人及以上的为小型企业；从业人员10人以下的为微型企业。</w:t>
      </w:r>
    </w:p>
    <w:p w14:paraId="6001B75D">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五、企业类型的划分以统计部门的统计数据为依据。</w:t>
      </w:r>
    </w:p>
    <w:p w14:paraId="6385E521">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六、本规定适用于在中华人民共和国境内依法设立的各类所有制和各种组织形式的企业。个体工商户和本规定以外的行业，参照本规定进行划型。</w:t>
      </w:r>
    </w:p>
    <w:p w14:paraId="2761E1F7">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694927DA">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八、本规定由工业和信息化部、国家统计局会同有关部门根据《国民经济行业分类》修订情况和企业发展变化情况适时修订。</w:t>
      </w:r>
    </w:p>
    <w:p w14:paraId="5CEFEB28">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　　九、本规定由工业和信息化部、国家统计局会同有关部门负责解释。</w:t>
      </w:r>
    </w:p>
    <w:p w14:paraId="01C10D19">
      <w:pPr>
        <w:autoSpaceDE w:val="0"/>
        <w:snapToGrid w:val="0"/>
        <w:spacing w:line="360" w:lineRule="auto"/>
        <w:ind w:firstLine="480" w:firstLineChars="200"/>
        <w:jc w:val="left"/>
        <w:rPr>
          <w:rFonts w:hint="eastAsia" w:ascii="宋体" w:hAnsi="宋体" w:cs="宋体"/>
          <w:color w:val="auto"/>
          <w:highlight w:val="none"/>
        </w:rPr>
      </w:pPr>
      <w:r>
        <w:rPr>
          <w:rFonts w:hint="eastAsia" w:ascii="宋体" w:hAnsi="宋体" w:cs="宋体"/>
          <w:color w:val="auto"/>
          <w:sz w:val="24"/>
          <w:highlight w:val="none"/>
        </w:rPr>
        <w:t>十、本规定自发布之日起执行，原国家经贸委、原国家计委、财政部和国家统计局2003年颁布的《中小企业标准暂行规定》同时废止。</w:t>
      </w:r>
    </w:p>
    <w:p w14:paraId="645A8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jc w:val="left"/>
        <w:rPr>
          <w:rFonts w:hint="eastAsia" w:ascii="宋体" w:hAnsi="宋体" w:cs="宋体"/>
          <w:color w:val="auto"/>
          <w:kern w:val="0"/>
          <w:sz w:val="24"/>
          <w:highlight w:val="none"/>
        </w:rPr>
      </w:pPr>
    </w:p>
    <w:p w14:paraId="40B1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jc w:val="left"/>
        <w:rPr>
          <w:rFonts w:hint="eastAsia" w:ascii="宋体" w:hAnsi="宋体" w:cs="宋体"/>
          <w:color w:val="auto"/>
          <w:kern w:val="0"/>
          <w:sz w:val="24"/>
          <w:highlight w:val="none"/>
        </w:rPr>
      </w:pPr>
    </w:p>
    <w:p w14:paraId="19F936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jc w:val="left"/>
        <w:rPr>
          <w:rFonts w:hint="eastAsia" w:ascii="宋体" w:hAnsi="宋体" w:cs="宋体"/>
          <w:color w:val="auto"/>
          <w:kern w:val="0"/>
          <w:sz w:val="24"/>
          <w:highlight w:val="none"/>
        </w:rPr>
      </w:pPr>
    </w:p>
    <w:p w14:paraId="2D5FCD0B">
      <w:pPr>
        <w:spacing w:line="360" w:lineRule="exact"/>
        <w:ind w:left="2242" w:firstLine="602" w:firstLineChars="200"/>
        <w:rPr>
          <w:rFonts w:hint="eastAsia" w:ascii="楷体" w:eastAsia="楷体"/>
          <w:b/>
          <w:color w:val="auto"/>
          <w:sz w:val="30"/>
          <w:szCs w:val="20"/>
          <w:highlight w:val="none"/>
        </w:rPr>
      </w:pPr>
    </w:p>
    <w:p w14:paraId="355C0F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jc w:val="left"/>
        <w:rPr>
          <w:rFonts w:hint="eastAsia" w:ascii="宋体" w:hAnsi="宋体" w:cs="宋体"/>
          <w:color w:val="auto"/>
          <w:kern w:val="0"/>
          <w:sz w:val="24"/>
          <w:highlight w:val="none"/>
        </w:rPr>
      </w:pPr>
    </w:p>
    <w:p w14:paraId="072A0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jc w:val="left"/>
        <w:rPr>
          <w:rFonts w:hint="eastAsia" w:ascii="宋体" w:hAnsi="宋体" w:cs="宋体"/>
          <w:color w:val="auto"/>
          <w:highlight w:val="none"/>
        </w:rPr>
      </w:pPr>
      <w:r>
        <w:rPr>
          <w:rFonts w:hint="eastAsia" w:ascii="宋体" w:hAnsi="宋体" w:cs="宋体"/>
          <w:color w:val="auto"/>
          <w:kern w:val="0"/>
          <w:sz w:val="24"/>
          <w:highlight w:val="none"/>
        </w:rPr>
        <w:t>各省、自治区、</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"https://wenwen.sogou.com/s/?w=直辖市人民政府&amp;ch=ww.xqy.chain"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直辖市人民政府</w:t>
      </w:r>
      <w:r>
        <w:rPr>
          <w:rFonts w:hint="eastAsia" w:ascii="宋体" w:hAnsi="宋体" w:cs="宋体"/>
          <w:color w:val="auto"/>
          <w:highlight w:val="none"/>
        </w:rPr>
        <w:fldChar w:fldCharType="end"/>
      </w:r>
      <w:r>
        <w:rPr>
          <w:rFonts w:hint="eastAsia" w:ascii="宋体" w:hAnsi="宋体" w:cs="宋体"/>
          <w:color w:val="auto"/>
          <w:kern w:val="0"/>
          <w:sz w:val="24"/>
          <w:highlight w:val="none"/>
        </w:rPr>
        <w:t>，国务院各部委、各直属机构：　　</w:t>
      </w:r>
    </w:p>
    <w:p w14:paraId="438AE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中小企业是我国国民经济和社会发展的重要力量，促进中小企业发展，是保持国民经济平稳较快发展的重要基础，是关系民生和社会稳定的重大战略任务。受国际金融危机冲击，去年下半年以来，我国中小企业生产经营困难。中央及时出台相关政策措施，加大财税、信贷等扶持力度，改善中小</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"https://wenwen.sogou.com/s/?w=企业经营环境&amp;ch=ww.xqy.chain"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企业经营环境</w:t>
      </w:r>
      <w:r>
        <w:rPr>
          <w:rFonts w:hint="eastAsia" w:ascii="宋体" w:hAnsi="宋体" w:cs="宋体"/>
          <w:color w:val="auto"/>
          <w:highlight w:val="none"/>
        </w:rPr>
        <w:fldChar w:fldCharType="end"/>
      </w:r>
      <w:r>
        <w:rPr>
          <w:rFonts w:hint="eastAsia" w:ascii="宋体" w:hAnsi="宋体" w:cs="宋体"/>
          <w:color w:val="auto"/>
          <w:kern w:val="0"/>
          <w:sz w:val="24"/>
          <w:highlight w:val="none"/>
        </w:rPr>
        <w:t>，中小企业生产经营出现了积极变化，但发展形势依然严峻。主要表现在：融资难、担保难问题依然突出，部分扶持政策尚未落实到位，企业负担重，市场需求不足，</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"https://wenwen.sogou.com/s/?w=产能过剩&amp;ch=ww.xqy.chain"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产能过剩</w:t>
      </w:r>
      <w:r>
        <w:rPr>
          <w:rFonts w:hint="eastAsia" w:ascii="宋体" w:hAnsi="宋体" w:cs="宋体"/>
          <w:color w:val="auto"/>
          <w:highlight w:val="none"/>
        </w:rPr>
        <w:fldChar w:fldCharType="end"/>
      </w:r>
      <w:r>
        <w:rPr>
          <w:rFonts w:hint="eastAsia" w:ascii="宋体" w:hAnsi="宋体" w:cs="宋体"/>
          <w:color w:val="auto"/>
          <w:kern w:val="0"/>
          <w:sz w:val="24"/>
          <w:highlight w:val="none"/>
        </w:rPr>
        <w:t>，经济效益大幅下降，亏损加大等。必须采取更加积极有效的政策措施，帮助中小企业克服困难，转变发展方式，实现</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"https://wenwen.sogou.com/s/?w=又好又快发展&amp;ch=ww.xqy.chain"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又好又快发展</w:t>
      </w:r>
      <w:r>
        <w:rPr>
          <w:rFonts w:hint="eastAsia" w:ascii="宋体" w:hAnsi="宋体" w:cs="宋体"/>
          <w:color w:val="auto"/>
          <w:highlight w:val="none"/>
        </w:rPr>
        <w:fldChar w:fldCharType="end"/>
      </w:r>
      <w:r>
        <w:rPr>
          <w:rFonts w:hint="eastAsia" w:ascii="宋体" w:hAnsi="宋体" w:cs="宋体"/>
          <w:color w:val="auto"/>
          <w:kern w:val="0"/>
          <w:sz w:val="24"/>
          <w:highlight w:val="none"/>
        </w:rPr>
        <w:t>。现就进一步促进中小企业发展提出以下意见：　</w:t>
      </w:r>
    </w:p>
    <w:p w14:paraId="27BA75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进一步营造有利于中小企业发展的良好环境　　</w:t>
      </w:r>
    </w:p>
    <w:p w14:paraId="66D8B0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完善</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"https://wenwen.sogou.com/s/?w=中小企业政策&amp;ch=ww.xqy.chain"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中小企业政策</w:t>
      </w:r>
      <w:r>
        <w:rPr>
          <w:rFonts w:hint="eastAsia" w:ascii="宋体" w:hAnsi="宋体" w:cs="宋体"/>
          <w:color w:val="auto"/>
          <w:highlight w:val="none"/>
        </w:rPr>
        <w:fldChar w:fldCharType="end"/>
      </w:r>
      <w:r>
        <w:rPr>
          <w:rFonts w:hint="eastAsia" w:ascii="宋体" w:hAnsi="宋体" w:cs="宋体"/>
          <w:color w:val="auto"/>
          <w:kern w:val="0"/>
          <w:sz w:val="24"/>
          <w:highlight w:val="none"/>
        </w:rPr>
        <w:t>法律体系。落实扶持中小企业发展的政策措施，清理不利于中小企业发展的法律法规和规章制度。深化</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"https://wenwen.sogou.com/s/?w=垄断行业&amp;ch=ww.xqy.chain"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垄断行业</w:t>
      </w:r>
      <w:r>
        <w:rPr>
          <w:rFonts w:hint="eastAsia" w:ascii="宋体" w:hAnsi="宋体" w:cs="宋体"/>
          <w:color w:val="auto"/>
          <w:highlight w:val="none"/>
        </w:rPr>
        <w:fldChar w:fldCharType="end"/>
      </w:r>
      <w:r>
        <w:rPr>
          <w:rFonts w:hint="eastAsia" w:ascii="宋体" w:hAnsi="宋体" w:cs="宋体"/>
          <w:color w:val="auto"/>
          <w:kern w:val="0"/>
          <w:sz w:val="24"/>
          <w:highlight w:val="none"/>
        </w:rPr>
        <w:t>改革，扩大市场准入范围，降低准入门槛，进一步营造公开、公平的市场环境。加快制定</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"https://wenwen.sogou.com/s/?w=融资性担保&amp;ch=ww.xqy.chain"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融资性担保</w:t>
      </w:r>
      <w:r>
        <w:rPr>
          <w:rFonts w:hint="eastAsia" w:ascii="宋体" w:hAnsi="宋体" w:cs="宋体"/>
          <w:color w:val="auto"/>
          <w:highlight w:val="none"/>
        </w:rPr>
        <w:fldChar w:fldCharType="end"/>
      </w:r>
      <w:r>
        <w:rPr>
          <w:rFonts w:hint="eastAsia" w:ascii="宋体" w:hAnsi="宋体" w:cs="宋体"/>
          <w:color w:val="auto"/>
          <w:kern w:val="0"/>
          <w:sz w:val="24"/>
          <w:highlight w:val="none"/>
        </w:rPr>
        <w:t>管理办法，修订《</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"https://wenwen.sogou.com/s/?w=贷款通则&amp;ch=ww.xqy.chain"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贷款通则</w:t>
      </w:r>
      <w:r>
        <w:rPr>
          <w:rFonts w:hint="eastAsia" w:ascii="宋体" w:hAnsi="宋体" w:cs="宋体"/>
          <w:color w:val="auto"/>
          <w:highlight w:val="none"/>
        </w:rPr>
        <w:fldChar w:fldCharType="end"/>
      </w:r>
      <w:r>
        <w:rPr>
          <w:rFonts w:hint="eastAsia" w:ascii="宋体" w:hAnsi="宋体" w:cs="宋体"/>
          <w:color w:val="auto"/>
          <w:kern w:val="0"/>
          <w:sz w:val="24"/>
          <w:highlight w:val="none"/>
        </w:rPr>
        <w:t>》，修订</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"https://wenwen.sogou.com/s/?w=中小企业划型标准&amp;ch=ww.xqy.chain"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中小企业划型标准</w:t>
      </w:r>
      <w:r>
        <w:rPr>
          <w:rFonts w:hint="eastAsia" w:ascii="宋体" w:hAnsi="宋体" w:cs="宋体"/>
          <w:color w:val="auto"/>
          <w:highlight w:val="none"/>
        </w:rPr>
        <w:fldChar w:fldCharType="end"/>
      </w:r>
      <w:r>
        <w:rPr>
          <w:rFonts w:hint="eastAsia" w:ascii="宋体" w:hAnsi="宋体" w:cs="宋体"/>
          <w:color w:val="auto"/>
          <w:kern w:val="0"/>
          <w:sz w:val="24"/>
          <w:highlight w:val="none"/>
        </w:rPr>
        <w:t>，明确对</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"https://wenwen.sogou.com/s/?w=小型企业&amp;ch=ww.xqy.chain"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小型企业</w:t>
      </w:r>
      <w:r>
        <w:rPr>
          <w:rFonts w:hint="eastAsia" w:ascii="宋体" w:hAnsi="宋体" w:cs="宋体"/>
          <w:color w:val="auto"/>
          <w:highlight w:val="none"/>
        </w:rPr>
        <w:fldChar w:fldCharType="end"/>
      </w:r>
      <w:r>
        <w:rPr>
          <w:rFonts w:hint="eastAsia" w:ascii="宋体" w:hAnsi="宋体" w:cs="宋体"/>
          <w:color w:val="auto"/>
          <w:kern w:val="0"/>
          <w:sz w:val="24"/>
          <w:highlight w:val="none"/>
        </w:rPr>
        <w:t>的扶持政策。　　</w:t>
      </w:r>
    </w:p>
    <w:p w14:paraId="5FED26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完善政府采购支持中小企业的有关制度。制定政府采购扶持中小企业发展的具体办法，提高采购中小企业货物、工程和服务的比例。进一步提高</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"https://wenwen.sogou.com/s/?w=政府采购信息发布&amp;ch=ww.xqy.chain"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政府采购信息发布</w:t>
      </w:r>
      <w:r>
        <w:rPr>
          <w:rFonts w:hint="eastAsia" w:ascii="宋体" w:hAnsi="宋体" w:cs="宋体"/>
          <w:color w:val="auto"/>
          <w:highlight w:val="none"/>
        </w:rPr>
        <w:fldChar w:fldCharType="end"/>
      </w:r>
      <w:r>
        <w:rPr>
          <w:rFonts w:hint="eastAsia" w:ascii="宋体" w:hAnsi="宋体" w:cs="宋体"/>
          <w:color w:val="auto"/>
          <w:kern w:val="0"/>
          <w:sz w:val="24"/>
          <w:highlight w:val="none"/>
        </w:rPr>
        <w:t>透明度，完善政府公共服务外包制度，为中小企业创造更多的参与机会。　　</w:t>
      </w:r>
    </w:p>
    <w:p w14:paraId="7E7B9919">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加强对中小企业的权益保护。组织开展对中小企业相关法律和政策特别是金融、财税政策贯彻落实情况的监督检查，发挥新闻舆论和社会监督的作用，加强政策效果评价。坚持依法行政，保护中小企业及其职工的合法权益。　　</w:t>
      </w:r>
    </w:p>
    <w:p w14:paraId="131AFAF6">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构建和谐劳动关系。采取切实有效措施，加大对</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"https://wenwen.sogou.com/s/?w=劳动密集型&amp;ch=ww.xqy.chain"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劳动密集型</w:t>
      </w:r>
      <w:r>
        <w:rPr>
          <w:rFonts w:hint="eastAsia" w:ascii="宋体" w:hAnsi="宋体" w:cs="宋体"/>
          <w:color w:val="auto"/>
          <w:highlight w:val="none"/>
        </w:rPr>
        <w:fldChar w:fldCharType="end"/>
      </w:r>
      <w:r>
        <w:rPr>
          <w:rFonts w:hint="eastAsia" w:ascii="宋体" w:hAnsi="宋体" w:cs="宋体"/>
          <w:color w:val="auto"/>
          <w:kern w:val="0"/>
          <w:sz w:val="24"/>
          <w:highlight w:val="none"/>
        </w:rPr>
        <w:t>中小企业的支持，鼓励中小企业不裁员、少裁员，稳定和增加就业岗位。对中小企业吸纳困难人员就业、签订劳动合同并缴纳</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"https://wenwen.sogou.com/s/?w=社会保险费&amp;ch=ww.xqy.chain"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社会保险费</w:t>
      </w:r>
      <w:r>
        <w:rPr>
          <w:rFonts w:hint="eastAsia" w:ascii="宋体" w:hAnsi="宋体" w:cs="宋体"/>
          <w:color w:val="auto"/>
          <w:highlight w:val="none"/>
        </w:rPr>
        <w:fldChar w:fldCharType="end"/>
      </w:r>
      <w:r>
        <w:rPr>
          <w:rFonts w:hint="eastAsia" w:ascii="宋体" w:hAnsi="宋体" w:cs="宋体"/>
          <w:color w:val="auto"/>
          <w:kern w:val="0"/>
          <w:sz w:val="24"/>
          <w:highlight w:val="none"/>
        </w:rPr>
        <w:t>的，在相应期限内给予</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"https://wenwen.sogou.com/s/?w=基本养老保险&amp;ch=ww.xqy.chain"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基本养老保险</w:t>
      </w:r>
      <w:r>
        <w:rPr>
          <w:rFonts w:hint="eastAsia" w:ascii="宋体" w:hAnsi="宋体" w:cs="宋体"/>
          <w:color w:val="auto"/>
          <w:highlight w:val="none"/>
        </w:rPr>
        <w:fldChar w:fldCharType="end"/>
      </w:r>
      <w:r>
        <w:rPr>
          <w:rFonts w:hint="eastAsia" w:ascii="宋体" w:hAnsi="宋体" w:cs="宋体"/>
          <w:color w:val="auto"/>
          <w:kern w:val="0"/>
          <w:sz w:val="24"/>
          <w:highlight w:val="none"/>
        </w:rPr>
        <w:t>补贴、</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"https://wenwen.sogou.com/s/?w=基本医疗保险&amp;ch=ww.xqy.chain"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基本医疗保险</w:t>
      </w:r>
      <w:r>
        <w:rPr>
          <w:rFonts w:hint="eastAsia" w:ascii="宋体" w:hAnsi="宋体" w:cs="宋体"/>
          <w:color w:val="auto"/>
          <w:highlight w:val="none"/>
        </w:rPr>
        <w:fldChar w:fldCharType="end"/>
      </w:r>
      <w:r>
        <w:rPr>
          <w:rFonts w:hint="eastAsia" w:ascii="宋体" w:hAnsi="宋体" w:cs="宋体"/>
          <w:color w:val="auto"/>
          <w:kern w:val="0"/>
          <w:sz w:val="24"/>
          <w:highlight w:val="none"/>
        </w:rPr>
        <w:t>补贴、</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"https://wenwen.sogou.com/s/?w=失业保险&amp;ch=ww.xqy.chain"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失业保险</w:t>
      </w:r>
      <w:r>
        <w:rPr>
          <w:rFonts w:hint="eastAsia" w:ascii="宋体" w:hAnsi="宋体" w:cs="宋体"/>
          <w:color w:val="auto"/>
          <w:highlight w:val="none"/>
        </w:rPr>
        <w:fldChar w:fldCharType="end"/>
      </w:r>
      <w:r>
        <w:rPr>
          <w:rFonts w:hint="eastAsia" w:ascii="宋体" w:hAnsi="宋体" w:cs="宋体"/>
          <w:color w:val="auto"/>
          <w:kern w:val="0"/>
          <w:sz w:val="24"/>
          <w:highlight w:val="none"/>
        </w:rPr>
        <w:t>补贴。对受金融危机影响较大的困难中小企业，将阶段性缓缴社会保险费或降低费率政策执行期延长至2010年底，并按规定给予一定期限的</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"https://wenwen.sogou.com/s/?w=社会保险补贴&amp;ch=ww.xqy.chain"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社会保险补贴</w:t>
      </w:r>
      <w:r>
        <w:rPr>
          <w:rFonts w:hint="eastAsia" w:ascii="宋体" w:hAnsi="宋体" w:cs="宋体"/>
          <w:color w:val="auto"/>
          <w:highlight w:val="none"/>
        </w:rPr>
        <w:fldChar w:fldCharType="end"/>
      </w:r>
      <w:r>
        <w:rPr>
          <w:rFonts w:hint="eastAsia" w:ascii="宋体" w:hAnsi="宋体" w:cs="宋体"/>
          <w:color w:val="auto"/>
          <w:kern w:val="0"/>
          <w:sz w:val="24"/>
          <w:highlight w:val="none"/>
        </w:rPr>
        <w:t>或岗位补贴、在岗培训补贴等。中小企业可与职工就工资、工时、</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"https://wenwen.sogou.com/s/?w=劳动定额&amp;ch=ww.xqy.chain"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劳动定额</w:t>
      </w:r>
      <w:r>
        <w:rPr>
          <w:rFonts w:hint="eastAsia" w:ascii="宋体" w:hAnsi="宋体" w:cs="宋体"/>
          <w:color w:val="auto"/>
          <w:highlight w:val="none"/>
        </w:rPr>
        <w:fldChar w:fldCharType="end"/>
      </w:r>
      <w:r>
        <w:rPr>
          <w:rFonts w:hint="eastAsia" w:ascii="宋体" w:hAnsi="宋体" w:cs="宋体"/>
          <w:color w:val="auto"/>
          <w:kern w:val="0"/>
          <w:sz w:val="24"/>
          <w:highlight w:val="none"/>
        </w:rPr>
        <w:t>进行协商，符合条件的，可向当地人力资源社会保障部门申请实行综合计算工时和</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"https://wenwen.sogou.com/s/?w=不定时工作制&amp;ch=ww.xqy.chain"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不定时工作制</w:t>
      </w:r>
      <w:r>
        <w:rPr>
          <w:rFonts w:hint="eastAsia" w:ascii="宋体" w:hAnsi="宋体" w:cs="宋体"/>
          <w:color w:val="auto"/>
          <w:highlight w:val="none"/>
        </w:rPr>
        <w:fldChar w:fldCharType="end"/>
      </w:r>
      <w:r>
        <w:rPr>
          <w:rFonts w:hint="eastAsia" w:ascii="宋体" w:hAnsi="宋体" w:cs="宋体"/>
          <w:color w:val="auto"/>
          <w:kern w:val="0"/>
          <w:sz w:val="24"/>
          <w:highlight w:val="none"/>
        </w:rPr>
        <w:t>。　　</w:t>
      </w:r>
    </w:p>
    <w:p w14:paraId="0A92E06A">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切实缓解</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"https://wenwen.sogou.com/s/?w=中小企业融资&amp;ch=ww.xqy.chain" \n _blank</w:instrText>
      </w:r>
      <w:r>
        <w:rPr>
          <w:rFonts w:hint="eastAsia" w:ascii="宋体" w:hAnsi="宋体" w:cs="宋体"/>
          <w:color w:val="auto"/>
          <w:highlight w:val="none"/>
        </w:rPr>
        <w:fldChar w:fldCharType="separate"/>
      </w:r>
      <w:r>
        <w:rPr>
          <w:rFonts w:hint="eastAsia" w:ascii="宋体" w:hAnsi="宋体" w:cs="宋体"/>
          <w:color w:val="auto"/>
          <w:kern w:val="0"/>
          <w:sz w:val="24"/>
          <w:highlight w:val="none"/>
          <w:u w:val="single"/>
        </w:rPr>
        <w:t>中小企业融资</w:t>
      </w:r>
      <w:r>
        <w:rPr>
          <w:rFonts w:hint="eastAsia" w:ascii="宋体" w:hAnsi="宋体" w:cs="宋体"/>
          <w:color w:val="auto"/>
          <w:highlight w:val="none"/>
        </w:rPr>
        <w:fldChar w:fldCharType="end"/>
      </w:r>
      <w:r>
        <w:rPr>
          <w:rFonts w:hint="eastAsia" w:ascii="宋体" w:hAnsi="宋体" w:cs="宋体"/>
          <w:color w:val="auto"/>
          <w:kern w:val="0"/>
          <w:sz w:val="24"/>
          <w:highlight w:val="none"/>
        </w:rPr>
        <w:t>困难　　</w:t>
      </w:r>
    </w:p>
    <w:p w14:paraId="13ECA86B">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全面落实支持小企业发展的金融政策。完善小企业信贷考核体系，提高小企业贷款呆账核销效率，建立完善信贷人员尽职免责机制。鼓励建立小企业贷款风险补偿基金，对金融机构发放小企业贷款按增量给予适度补助，对小企业不良贷款损失给予适度风险补偿。　　</w:t>
      </w:r>
    </w:p>
    <w:p w14:paraId="49DD574F">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加强和改善对中小企业的金融服务。国有商业银行和股份制银行都要建立小企业金融服务专营机构，完善中小企业授信业务制度，逐步提高中小企业中长期贷款的规模和比重。提高贷款审批效率，创新金融产品和服务方式。完善财产抵押制度和贷款抵押物认定办法，采取动产、应收账款、仓单、股权和知识产权质押等方式，缓解中小企业贷款抵质押不足的矛盾。对商业银行开展中小企业信贷业务实行差异化的监管政策。建立和完善中小企业金融服务体系。加快研究鼓励民间资本参与发起设立村镇银行、贷款公司等股份制金融机构的办法；积极支持民间资本以投资入股的方式，参与农村信用社改制为农村商业(合作)银行、城市信用社改制为城市商业银行以及城市商业银行的增资扩股。支持、规范发展小额贷款公司，鼓励有条件的小额贷款公司转为村镇银行。　　</w:t>
      </w:r>
    </w:p>
    <w:p w14:paraId="4D8FA58E">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进一步拓宽中小企业融资渠道。加快创业板市场建设，完善中小企业上市育成机制，扩大中小企业上市规模，增加直接融资。完善创业投资和融资租赁政策，大力发展创业投资和融资租赁企业。鼓励有关部门和地方政府设立创业投资引导基金，引导社会资金设立主要支持中小企业的创业投资企业，积极发展股权投资基金。发挥融资租赁、典当、信托等融资方式在中小企业融资中的作用。稳步扩大中小企业集合债券和短期融资券的发行规模，积极培育和规范发展产权交易市场，为中小企业产权和股权交易提供服务。　</w:t>
      </w:r>
    </w:p>
    <w:p w14:paraId="6E1882CD">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完善中小企业信用担保体系。设立包括中央、地方财政出资和企业联合组建的多层次中小企业融资担保基金和担保机构。各级财政要加大支持力度，综合运用资本注入、风险补偿和奖励补助等多种方式，提高担保机构对中小企业的融资担保能力。落实好对符合条件的中小企业信用担保机构免征营业税、准备金提取和代偿损失税前扣除的政策。国土资源、住房城乡建设、金融、工商等部门要为中小企业和担保机构开展抵押物和出质的登记、确权、转让等提供优质服务。加强对融资性担保机构的监管，引导其规范发展。鼓励保险机构积极开发为中小企业服务的保险产品。　　</w:t>
      </w:r>
    </w:p>
    <w:p w14:paraId="4D896CB9">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发挥信用信息服务在中小企业融资中的作用。推进中小企业信用制度建设，建立和完善中小企业信用信息征集机制和评价体系，提高中小企业的融资信用等级。完善个人和企业征信系统，为中小企业融资提供方便快速的查询服务。构建守信受益、失信惩戒的信用约束机制，增强中小企业信用意识。　　</w:t>
      </w:r>
    </w:p>
    <w:p w14:paraId="1513A506">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加大对中小企业的财税扶持力度　</w:t>
      </w:r>
    </w:p>
    <w:p w14:paraId="68F2AFEB">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加大财政资金支持力度。逐步扩大中央财政预算扶持中小企业发展的专项资金规模，重点支持中小企业技术创新、结构调整、节能减排、开拓市场、扩大就业，以及改善对中小企业的公共服务。加快设立国家中小企业发展基金，发挥财政资金的引导作用，带动社会资金支持中小企业发展。地方财政也要加大对中小企业的支持力度。　　</w:t>
      </w:r>
    </w:p>
    <w:p w14:paraId="100BBC2A">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落实和完善税收优惠政策。国家运用税收政策促进中小企业发展，具体政策由财政部、税务总局会同有关部门研究制定。为有效应对国际金融危机，扶持中小企业发展，自2010年1月1日至2010年12月31日，对年应纳税所得额低于3万元(含3万元)的小型微利企业，其所得减按50%计入应纳税所得额，按20%的税率缴纳企业所得税。中小企业投资国家鼓励类项目，除《国内投资项目不予免税的进口商品目录》所列商品外，所需的进口自用设备以及按照合同随设备进口的技术及配套件、备件，免征进口关税。中小企业缴纳城镇土地使用税确有困难的，可按有关规定向省级财税部门或省级人民政府提出减免税申请。中小企业因有特殊困难不能按期纳税的，可依法申请在三个月内延期缴纳。　</w:t>
      </w:r>
    </w:p>
    <w:p w14:paraId="4EB7E3C8">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进一步减轻中小企业社会负担。凡未按规定权限和程序批准的行政事业性收费项目和政府性基金项目，均一律取消。全面清理整顿涉及中小企业的收费，重点是行政许可和强制准入的中介服务收费、具有垄断性的经营服务收费，能免则免，能减则减，能缓则缓。严格执行收费项目公示制度，公开前置性审批项目、程序和收费标准，严禁地方和部门越权设立行政事业性收费项目，不得擅自将行政事业性收费转为经营服务性收费。进一步规范执收行为，全面实行中小企业缴费登记卡制度，设立各级政府中小企业负担举报电话。健全各级政府中小企业负担监督制度，严肃查处乱收费、乱罚款及各种摊派行为。任何部门和单位不得通过强制中小企业购买产品、接受指定服务等手段牟利。严格执行税收征收管理法律法规，不得违规向中小企业提前征税或者摊派税款。　　</w:t>
      </w:r>
    </w:p>
    <w:p w14:paraId="09A4A6C9">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四、加快中小企业技术进步和结构调整　　</w:t>
      </w:r>
    </w:p>
    <w:p w14:paraId="38810657">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支持中小企业提高技术创新能力和产品质量。支持中小企业加大研发投入，开发先进适用的技术、工艺和设备，研制适销对路的新产品，提高产品质量。加强产学研联合和资源整合，加强知识产权保护，重点在轻工、纺织、电子等行业推进品牌建设，引导和支持中小企业创建自主品牌。支持中华老字号等传统优势中小企业申请商标注册，保护商标专用权，鼓励挖掘、保护、改造民间特色传统工艺，提升特色产业。　　</w:t>
      </w:r>
    </w:p>
    <w:p w14:paraId="5916ADBA">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支持中小企业加快技术改造。按照重点产业调整和振兴规划要求，支持中小企业采用新技术、新工艺、新设备、新材料进行技术改造。中央预算内技术改造专项投资中，要安排中小企业技术改造资金，地方政府也要安排中小企业技术改造专项资金。中小企业的固定资产由于技术进步原因需加速折旧的，可按规定缩短折旧年限或者采取加速折旧的方法。　　</w:t>
      </w:r>
    </w:p>
    <w:p w14:paraId="52238A4D">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推进中小企业节能减排和清洁生产。促进重点节能减排技术和高效节能环保产品、设备在中小企业的推广应用。按照发展循环经济的要求，鼓励中小企业间资源循环利用。鼓励专业服务机构为中小企业提供合同能源管理、节能设备租赁等服务。充分发挥市场机制作用，综合运用金融、环保、土地、产业政策等手段，依法淘汰中小企业中的落后技术、工艺、设备和产品，防止落后产能异地转移。严格控制过剩产能和“两高一资”行业盲目发展。对纳入环境保护、节能节水企业所得税优惠目录的投资项目，按规定给予企业所得税优惠。　　</w:t>
      </w:r>
    </w:p>
    <w:p w14:paraId="3DE92034">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提高企业协作配套水平。鼓励中小企业与大型企业开展多种形式的经济技术合作，建立稳定的供应、生产、销售等协作关系。鼓励大型企业通过专业分工、服务外包、订单生产等方式，加强与中小企业的协作配套，积极向中小企业提供技术、人才、设备、资金支持，及时支付货款和服务费用。　　</w:t>
      </w:r>
    </w:p>
    <w:p w14:paraId="7B92E31C">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引导中小企业集聚发展。按照布局合理、特色鲜明、用地集约、生态环保的原则，支持培育一批重点示范产业集群。加强产业集群环境建设，改善产业集聚条件，完善服务功能，壮大龙头骨干企业，延长产业链，提高专业化协作水平。鼓励东部地区先进的中小企业通过收购、兼并、重组、联营等多种形式，加强与中西部地区中小企业的合作，实现产业有序转移。　</w:t>
      </w:r>
    </w:p>
    <w:p w14:paraId="6F124C19">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加快发展生产性服务业。鼓励支持中小企业在科技研发、工业设计、技术咨询、信息服务、现代物流等生产性服务业领域发展。积极促进中小企业在软件开发、服务外包、网络动漫、广告创意、电子商务等新兴领域拓展，扩大就业渠道，培育新的经济增长点。　　</w:t>
      </w:r>
    </w:p>
    <w:p w14:paraId="76BC11DC">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支持中小企业开拓市场　</w:t>
      </w:r>
    </w:p>
    <w:p w14:paraId="1FC8A631">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支持引导中小企业积极开拓国内市场。支持符合条件的中小企业参与家电、农机、汽车摩托车下乡和家电、汽车“以旧换新”等业务。中小企业专项资金、技术改造资金等要重点支持销售渠道稳定、市场占有率高的中小企业。采取财政补助、降低展费标准等方式，支持中小企业参加各类展览展销活动。支持建立各类中小企业产品技术展示中心，办好中国国际中小企业博览会等展览展销活动。鼓励电信、网络运营企业以及新闻媒体积极发布市场信息，帮助中小企业宣传产品，开拓市场。　　</w:t>
      </w:r>
    </w:p>
    <w:p w14:paraId="7B572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二十)支持中小企业开拓国际市场。进一步落实出口退税等支持政策，研究完善稳定外需、促进外贸发展的相关政策措施，稳定和开拓国际市场。充分发挥中小企业国际市场开拓资金和出口信用保险的作用，加大优惠出口信贷对中小企业的支持力度。鼓励支持有条件的中小企业到境外开展并购等投资业务，收购技术和品牌，带动产品和服务出口。　　</w:t>
      </w:r>
    </w:p>
    <w:p w14:paraId="375B9E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二十一)支持中小企业提高自身市场开拓能力。引导中小企业加强市场分析预测，把握市场机遇，增强质量、品牌和营销意识，改善售后服务，提高市场竞争力。提升和改造商贸流通业，推广连锁经营、特许经营等现代经营方式和新型业态，帮助和鼓励中小企业采用电子商务，降低市场开拓成本。支持餐饮、旅游、休闲、家政、物业、社区服务等行业拓展服务领域，创新服务方式，促进扩大消费。　</w:t>
      </w:r>
    </w:p>
    <w:p w14:paraId="437E407C">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努力改进对中小企业的服务　　</w:t>
      </w:r>
    </w:p>
    <w:p w14:paraId="03064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二十二)加快推进中小企业服务体系建设。加强统筹规划，完善服务网络和服务设施，积极培育各级中小企业综合服务机构。通过资格认定、业务委托、奖励等方式，发挥工商联以及行业协会(商会)和综合服务机构的作用，引导和带动专业服务机构的发展。建立和完善财政补助机制，支持服务机构开展信息、培训、技术、创业、质量检验、企业管理等服务。　　</w:t>
      </w:r>
    </w:p>
    <w:p w14:paraId="7DC96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二十三)加快中小企业公共服务基础设施建设。通过引导社会投资、财政资金支持等多种方式，重点支持在轻工、纺织、电子信息等领域建设一批产品研发、检验检测、技术推广等公共服务平台。支持小企业创业基地建设，改善创业和发展环境。鼓励高等院校、科研院所、企业技术中心开放科技资源，开展共性关键技术研究，提高服务中小企业的水平。完善中小企业信息服务网络，加快发展政策解读、技术推广、人才交流、业务培训和市场营销等重点信息服务。　　</w:t>
      </w:r>
    </w:p>
    <w:p w14:paraId="32C61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二十四)完善政府对中小企业的服务。深化行政审批制度改革，全面清理并进一步减少、合并行政审批事项，实现审批内容、标准和程序的公开化、规范化。投资、工商、税务、质检、环保等部门要简化程序、缩短时限、提高效率，为中小企业设立、生产经营等提供便捷服务。地方各级政府在制定和实施土地利用总体规划和年度计划时，要统筹考虑中小企业投资项目用地需求，合理安排用地指标。　</w:t>
      </w:r>
    </w:p>
    <w:p w14:paraId="1A18E099">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提高中小企业经营管理水平</w:t>
      </w:r>
    </w:p>
    <w:p w14:paraId="68D0FB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二十五)引导和支持中小企业加强管理。支持培育中小企业管理咨询机构，开展管理咨询活动。引导中小企业加强基础管理，强化营销和风险管理，完善治理结构，推进管理创新，提高经营管理水平。督促中小企业苦练内功、降本增效，严格遵守安全、环保、质量、卫生、劳动保障等法律法规，诚实守信经营，履行社会责任。　　</w:t>
      </w:r>
    </w:p>
    <w:p w14:paraId="3DDA4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二十六)大力开展对中小企业各类人员的培训。实施中小企业银河培训工程，加大财政支持力度，充分发挥行业协会(商会)、中小企业培训机构的作用，广泛采用网络技术等手段，开展政策法规、企业管理、市场营销、专业技能、客户服务等各类培训。高度重视对企业经营管理者的培训，在3年内选择100万家成长型中小企业，对其经营管理者实施全面培训。　　</w:t>
      </w:r>
    </w:p>
    <w:p w14:paraId="4D06A9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二十七)加快推进中小企业信息化。继续实施中小企业信息化推进工程，加快推进重点区域中小企业信息化试点，引导中小企业利用信息技术提高研发、管理、制造和服务水平，提高市场营销和售后服务能力。鼓励信息技术企业开发和搭建行业应用平台，为中小企业信息化提供软硬件工具、项目外包、工业设计等社会化服务。　　</w:t>
      </w:r>
    </w:p>
    <w:p w14:paraId="27C14069">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加强对中小企业工作的领导　　</w:t>
      </w:r>
    </w:p>
    <w:p w14:paraId="414FD3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二十八)加强指导协调。成立国务院促进中小企业发展工作领导小组，加强对中小企业工作的统筹规划、组织领导和政策协调，领导小组办公室设在工业和信息化部。各地可根据工作需要，建立相应的组织机构和工作机制。</w:t>
      </w:r>
    </w:p>
    <w:p w14:paraId="5075FB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pPr>
      <w:r>
        <w:rPr>
          <w:rFonts w:hint="eastAsia" w:ascii="宋体" w:hAnsi="宋体" w:cs="宋体"/>
          <w:color w:val="auto"/>
          <w:kern w:val="0"/>
          <w:sz w:val="24"/>
          <w:highlight w:val="none"/>
        </w:rPr>
        <w:t>　(二十九)建立中小企业统计监测制度。统计部门要建立和完善对中小企业的分类统计、监测、分析和发布制度，加强对规模以下企业的统计分析工作。有关部门要及时向社会公开发布发展规划、产业政策、行业动态等信息，逐步建立中小企业市场监测、风险防范和预警机制。　</w:t>
      </w:r>
    </w:p>
    <w:p w14:paraId="502372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cs="宋体"/>
          <w:color w:val="auto"/>
          <w:highlight w:val="none"/>
        </w:rPr>
        <w:sectPr>
          <w:footnotePr>
            <w:pos w:val="beneathText"/>
          </w:footnotePr>
          <w:pgSz w:w="11906" w:h="16838"/>
          <w:pgMar w:top="1440" w:right="1080" w:bottom="1440" w:left="1080" w:header="1020" w:footer="992" w:gutter="0"/>
          <w:cols w:space="720" w:num="1"/>
          <w:docGrid w:type="lines" w:linePitch="312" w:charSpace="0"/>
        </w:sectPr>
      </w:pPr>
      <w:r>
        <w:rPr>
          <w:rFonts w:hint="eastAsia" w:ascii="宋体" w:hAnsi="宋体" w:cs="宋体"/>
          <w:color w:val="auto"/>
          <w:kern w:val="0"/>
          <w:sz w:val="24"/>
          <w:highlight w:val="none"/>
        </w:rPr>
        <w:t>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促进中小企业健康发展既是一项长期战略任务，也是当前保增长、扩内需、调结构、促发展、惠民生的紧迫任务。各地区、各有关部门要进一步提高认识，统一思想，结合实际，尽快制定贯彻本意见的具体办法，并切实抓好落实。</w:t>
      </w:r>
    </w:p>
    <w:p w14:paraId="52BA1564">
      <w:pPr>
        <w:spacing w:line="360" w:lineRule="auto"/>
        <w:ind w:firstLine="487" w:firstLineChars="202"/>
        <w:jc w:val="center"/>
        <w:rPr>
          <w:rFonts w:hint="eastAsia" w:ascii="宋体" w:hAnsi="宋体" w:cs="宋体"/>
          <w:b/>
          <w:color w:val="auto"/>
          <w:sz w:val="24"/>
          <w:highlight w:val="none"/>
        </w:rPr>
      </w:pPr>
      <w:r>
        <w:rPr>
          <w:rFonts w:hint="eastAsia" w:ascii="宋体" w:hAnsi="宋体" w:cs="宋体"/>
          <w:b/>
          <w:color w:val="auto"/>
          <w:sz w:val="24"/>
          <w:highlight w:val="none"/>
        </w:rPr>
        <w:t>关于促进残疾人就业政府采购政策的通知</w:t>
      </w:r>
    </w:p>
    <w:p w14:paraId="5392F305">
      <w:pPr>
        <w:widowControl/>
        <w:spacing w:line="360" w:lineRule="auto"/>
        <w:ind w:firstLine="480" w:firstLineChars="200"/>
        <w:jc w:val="center"/>
        <w:rPr>
          <w:rFonts w:hint="eastAsia" w:ascii="宋体" w:hAnsi="宋体" w:cs="宋体"/>
          <w:b/>
          <w:color w:val="auto"/>
          <w:sz w:val="24"/>
          <w:highlight w:val="none"/>
        </w:rPr>
      </w:pPr>
      <w:bookmarkStart w:id="200" w:name="sendNo"/>
      <w:r>
        <w:rPr>
          <w:rFonts w:hint="eastAsia" w:ascii="宋体" w:hAnsi="宋体" w:cs="宋体"/>
          <w:color w:val="auto"/>
          <w:sz w:val="24"/>
          <w:highlight w:val="none"/>
        </w:rPr>
        <w:t>财库〔</w:t>
      </w:r>
      <w:bookmarkEnd w:id="200"/>
      <w:r>
        <w:rPr>
          <w:rFonts w:hint="eastAsia" w:ascii="宋体" w:hAnsi="宋体" w:cs="宋体"/>
          <w:color w:val="auto"/>
          <w:sz w:val="24"/>
          <w:highlight w:val="none"/>
        </w:rPr>
        <w:t>2017〕141号</w:t>
      </w:r>
    </w:p>
    <w:p w14:paraId="5D3E72D6">
      <w:pPr>
        <w:widowControl/>
        <w:spacing w:line="360" w:lineRule="auto"/>
        <w:ind w:firstLine="480" w:firstLineChars="200"/>
        <w:rPr>
          <w:rFonts w:hint="eastAsia" w:ascii="宋体" w:hAnsi="宋体" w:cs="宋体"/>
          <w:color w:val="auto"/>
          <w:kern w:val="0"/>
          <w:sz w:val="24"/>
          <w:highlight w:val="none"/>
        </w:rPr>
      </w:pPr>
      <w:bookmarkStart w:id="201" w:name="toDeptId"/>
      <w:r>
        <w:rPr>
          <w:rFonts w:hint="eastAsia" w:ascii="宋体" w:hAnsi="宋体" w:cs="宋体"/>
          <w:color w:val="auto"/>
          <w:kern w:val="0"/>
          <w:sz w:val="24"/>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01"/>
      <w:r>
        <w:rPr>
          <w:rFonts w:hint="eastAsia" w:ascii="宋体" w:hAnsi="宋体" w:cs="宋体"/>
          <w:color w:val="auto"/>
          <w:kern w:val="0"/>
          <w:sz w:val="24"/>
          <w:highlight w:val="none"/>
          <w:shd w:val="clear" w:color="auto" w:fill="FFFFFF"/>
        </w:rPr>
        <w:t>：</w:t>
      </w:r>
    </w:p>
    <w:p w14:paraId="32DFFF77">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shd w:val="clear" w:color="auto" w:fill="FFFFFF"/>
        </w:rPr>
        <w:t>为了发挥政府采购促进残疾人就业的作用，进一步保障残疾人权益，依照《政府采购法》、《残疾人保障法》等法律法规及相关规定，现就促进残疾人就业政府采购政策通知如下：</w:t>
      </w:r>
    </w:p>
    <w:p w14:paraId="74B78338">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shd w:val="clear" w:color="auto" w:fill="FFFFFF"/>
        </w:rPr>
        <w:t>一、享受政府采购支持政策的残疾人福利性单位应当同时满足以下条件：</w:t>
      </w:r>
    </w:p>
    <w:p w14:paraId="05D25741">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shd w:val="clear" w:color="auto" w:fill="FFFFFF"/>
        </w:rPr>
        <w:t>(一)安置的残疾人占本单位在职职工人数的比例不低于25%(含25%)，并且安置的残疾人人数不少于10人(含10人)；</w:t>
      </w:r>
    </w:p>
    <w:p w14:paraId="4D52B1AC">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shd w:val="clear" w:color="auto" w:fill="FFFFFF"/>
        </w:rPr>
        <w:t>(二)依法与安置的每位残疾人签订了一年以上(含一年)的劳动合同或服务协议；</w:t>
      </w:r>
    </w:p>
    <w:p w14:paraId="137BEFCD">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shd w:val="clear" w:color="auto" w:fill="FFFFFF"/>
        </w:rPr>
        <w:t>(三)为安置的每位残疾人按月足额缴纳了基本养老保险、基本医疗保险、失业保险、工伤保险和生育保险等社会保险费；</w:t>
      </w:r>
    </w:p>
    <w:p w14:paraId="19BE8967">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shd w:val="clear" w:color="auto" w:fill="FFFFFF"/>
        </w:rPr>
        <w:t>(四)通过银行等金融机构向安置的每位残疾人，按月支付了不低于单位所在区县适用的经省级人民政府批准的月最低工资标准的工资；</w:t>
      </w:r>
    </w:p>
    <w:p w14:paraId="4D8FCA0A">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shd w:val="clear" w:color="auto" w:fill="FFFFFF"/>
        </w:rPr>
        <w:t>(五)提供本单位制造的货物、承担的工程或者服务(以下简称产品)，或者提供其他残疾人福利性单位制造的货物(不包括使用非残疾人福利性单位注册商标的货物)。</w:t>
      </w:r>
    </w:p>
    <w:p w14:paraId="250AF855">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451DB29">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7243308">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shd w:val="clear" w:color="auto" w:fill="FFFFFF"/>
        </w:rPr>
        <w:t>中标、成交供应商为残疾人福利性单位的，采购人或者其委托的采购代理机构应当随中标、成交结果同时公告其《残疾人福利性单位声明函》，接受社会监督。</w:t>
      </w:r>
    </w:p>
    <w:p w14:paraId="3E3BDB6B">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shd w:val="clear" w:color="auto" w:fill="FFFFFF"/>
        </w:rPr>
        <w:t>供应商提供的《残疾人福利性单位声明函》与事实不符的，依照《政府采购法》第七十七条第一款的规定追究法律责任。</w:t>
      </w:r>
    </w:p>
    <w:p w14:paraId="1E840441">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27A5E42">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shd w:val="clear" w:color="auto" w:fill="FFFFFF"/>
        </w:rPr>
        <w:t>四、采购人采购公开招标数额标准以上的货物或者服务，因落实促进残疾人就业政策的需要，依法履行有关报批程序后，可采用公开招标以外的采购方式。</w:t>
      </w:r>
    </w:p>
    <w:p w14:paraId="496F7592">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68F2D2F">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B073AD8">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shd w:val="clear" w:color="auto" w:fill="FFFFFF"/>
        </w:rPr>
        <w:t>七、本通知自2017年10月1日起执行。</w:t>
      </w:r>
    </w:p>
    <w:p w14:paraId="01399710">
      <w:pPr>
        <w:widowControl/>
        <w:spacing w:line="360" w:lineRule="auto"/>
        <w:ind w:firstLine="480" w:firstLineChars="200"/>
        <w:jc w:val="right"/>
        <w:rPr>
          <w:rFonts w:hint="eastAsia" w:ascii="宋体" w:hAnsi="宋体" w:cs="宋体"/>
          <w:color w:val="auto"/>
          <w:kern w:val="0"/>
          <w:sz w:val="24"/>
          <w:highlight w:val="none"/>
        </w:rPr>
      </w:pPr>
      <w:r>
        <w:rPr>
          <w:rFonts w:hint="eastAsia" w:ascii="宋体" w:hAnsi="宋体" w:cs="宋体"/>
          <w:color w:val="auto"/>
          <w:kern w:val="0"/>
          <w:sz w:val="24"/>
          <w:highlight w:val="none"/>
          <w:shd w:val="clear" w:color="auto" w:fill="FFFFFF"/>
        </w:rPr>
        <w:t>财政部民政部中国残疾人联合会</w:t>
      </w:r>
    </w:p>
    <w:p w14:paraId="0E3F63F4">
      <w:pPr>
        <w:spacing w:line="312" w:lineRule="auto"/>
        <w:jc w:val="center"/>
        <w:rPr>
          <w:rFonts w:hint="eastAsia" w:ascii="宋体" w:hAnsi="宋体" w:cs="宋体"/>
          <w:b/>
          <w:color w:val="auto"/>
          <w:sz w:val="24"/>
          <w:highlight w:val="none"/>
        </w:rPr>
      </w:pPr>
      <w:r>
        <w:rPr>
          <w:rFonts w:hint="eastAsia" w:ascii="宋体" w:hAnsi="宋体" w:cs="宋体"/>
          <w:b/>
          <w:color w:val="auto"/>
          <w:sz w:val="24"/>
          <w:highlight w:val="none"/>
        </w:rPr>
        <w:br w:type="page"/>
      </w:r>
      <w:bookmarkStart w:id="202" w:name="OLE_LINK14"/>
      <w:bookmarkStart w:id="203" w:name="OLE_LINK13"/>
      <w:r>
        <w:rPr>
          <w:rFonts w:hint="eastAsia" w:ascii="宋体" w:hAnsi="宋体" w:cs="宋体"/>
          <w:b/>
          <w:color w:val="auto"/>
          <w:sz w:val="24"/>
          <w:highlight w:val="none"/>
        </w:rPr>
        <w:t>残疾人福利性单位声明函</w:t>
      </w:r>
    </w:p>
    <w:bookmarkEnd w:id="202"/>
    <w:bookmarkEnd w:id="203"/>
    <w:p w14:paraId="281E30FB">
      <w:pPr>
        <w:spacing w:line="588" w:lineRule="exact"/>
        <w:rPr>
          <w:rFonts w:hint="eastAsia" w:ascii="宋体" w:hAnsi="宋体" w:cs="宋体"/>
          <w:b/>
          <w:color w:val="auto"/>
          <w:spacing w:val="6"/>
          <w:sz w:val="24"/>
          <w:highlight w:val="none"/>
        </w:rPr>
      </w:pPr>
    </w:p>
    <w:p w14:paraId="3B4208C7">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1C6A3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B743EDC">
      <w:pPr>
        <w:spacing w:line="588" w:lineRule="exact"/>
        <w:ind w:firstLine="504" w:firstLineChars="200"/>
        <w:rPr>
          <w:rFonts w:hint="eastAsia" w:ascii="宋体" w:hAnsi="宋体" w:cs="宋体"/>
          <w:color w:val="auto"/>
          <w:spacing w:val="6"/>
          <w:sz w:val="24"/>
          <w:highlight w:val="none"/>
        </w:rPr>
      </w:pPr>
    </w:p>
    <w:p w14:paraId="624A1B0E">
      <w:pPr>
        <w:spacing w:line="588" w:lineRule="exact"/>
        <w:ind w:firstLine="504" w:firstLineChars="200"/>
        <w:rPr>
          <w:rFonts w:hint="eastAsia" w:ascii="宋体" w:hAnsi="宋体" w:cs="宋体"/>
          <w:color w:val="auto"/>
          <w:spacing w:val="6"/>
          <w:sz w:val="24"/>
          <w:highlight w:val="none"/>
        </w:rPr>
      </w:pPr>
    </w:p>
    <w:p w14:paraId="47683457">
      <w:pPr>
        <w:spacing w:line="312" w:lineRule="auto"/>
        <w:ind w:firstLine="405"/>
        <w:rPr>
          <w:rFonts w:hint="eastAsia" w:ascii="宋体" w:hAnsi="宋体" w:cs="宋体"/>
          <w:color w:val="auto"/>
          <w:sz w:val="24"/>
          <w:highlight w:val="none"/>
        </w:rPr>
      </w:pPr>
    </w:p>
    <w:p w14:paraId="55E60617">
      <w:pPr>
        <w:spacing w:line="312" w:lineRule="auto"/>
        <w:ind w:firstLine="405"/>
        <w:rPr>
          <w:rFonts w:hint="eastAsia" w:ascii="宋体" w:hAnsi="宋体" w:cs="宋体"/>
          <w:color w:val="auto"/>
          <w:sz w:val="24"/>
          <w:highlight w:val="none"/>
        </w:rPr>
      </w:pPr>
    </w:p>
    <w:p w14:paraId="4C516CAE">
      <w:pPr>
        <w:spacing w:line="312" w:lineRule="auto"/>
        <w:ind w:firstLine="405"/>
        <w:rPr>
          <w:rFonts w:hint="eastAsia" w:ascii="宋体" w:hAnsi="宋体" w:cs="宋体"/>
          <w:color w:val="auto"/>
          <w:sz w:val="24"/>
          <w:highlight w:val="none"/>
        </w:rPr>
      </w:pPr>
      <w:r>
        <w:rPr>
          <w:rFonts w:hint="eastAsia" w:ascii="宋体" w:hAnsi="宋体" w:cs="宋体"/>
          <w:color w:val="auto"/>
          <w:sz w:val="24"/>
          <w:highlight w:val="none"/>
        </w:rPr>
        <w:t>单位名称(盖章)：</w:t>
      </w:r>
    </w:p>
    <w:p w14:paraId="74AA467B">
      <w:pPr>
        <w:spacing w:line="312" w:lineRule="auto"/>
        <w:ind w:firstLine="405"/>
        <w:rPr>
          <w:rFonts w:hint="eastAsia" w:ascii="宋体" w:hAnsi="宋体" w:cs="宋体"/>
          <w:color w:val="auto"/>
          <w:sz w:val="24"/>
          <w:highlight w:val="none"/>
        </w:rPr>
      </w:pPr>
    </w:p>
    <w:p w14:paraId="684641B5">
      <w:pPr>
        <w:spacing w:line="312" w:lineRule="auto"/>
        <w:ind w:firstLine="405"/>
        <w:rPr>
          <w:rFonts w:hint="eastAsia" w:ascii="宋体" w:hAnsi="宋体" w:cs="宋体"/>
          <w:color w:val="auto"/>
          <w:sz w:val="24"/>
          <w:highlight w:val="none"/>
        </w:rPr>
      </w:pPr>
    </w:p>
    <w:p w14:paraId="6373197F">
      <w:pPr>
        <w:spacing w:line="312" w:lineRule="auto"/>
        <w:ind w:firstLine="405"/>
        <w:rPr>
          <w:rFonts w:hint="eastAsia" w:ascii="宋体" w:hAnsi="宋体" w:cs="宋体"/>
          <w:color w:val="auto"/>
          <w:sz w:val="24"/>
          <w:highlight w:val="none"/>
        </w:rPr>
      </w:pPr>
      <w:r>
        <w:rPr>
          <w:rFonts w:hint="eastAsia" w:ascii="宋体" w:hAnsi="宋体" w:cs="宋体"/>
          <w:color w:val="auto"/>
          <w:sz w:val="24"/>
          <w:highlight w:val="none"/>
        </w:rPr>
        <w:t>日期：</w:t>
      </w:r>
    </w:p>
    <w:p w14:paraId="5795E463">
      <w:pPr>
        <w:spacing w:line="312" w:lineRule="auto"/>
        <w:ind w:firstLine="405"/>
        <w:jc w:val="center"/>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财政部司法部关于政府采购支持监狱企业发展有关问题的通知--</w:t>
      </w:r>
      <w:r>
        <w:rPr>
          <w:rFonts w:hint="eastAsia" w:ascii="宋体" w:hAnsi="宋体" w:cs="宋体"/>
          <w:color w:val="auto"/>
          <w:sz w:val="24"/>
          <w:highlight w:val="none"/>
        </w:rPr>
        <w:t>财库〔2014〕68号</w:t>
      </w:r>
    </w:p>
    <w:p w14:paraId="2F8C15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84D40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技术部分的通知》(国发[2003]7号)文件精神，发挥政府采购支持监狱企业发展的作用，现就有关事项通知如下：</w:t>
      </w:r>
    </w:p>
    <w:p w14:paraId="0D9734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E50AC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211337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C7940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四、各地区可以结合本地区实际，对监狱企业生产的办公用品、家具用具、车辆维修和提供的保养服务、消防设备等，提出预留份额等政府采购支持措施，加大对监狱企业产品的采购力度。</w:t>
      </w:r>
    </w:p>
    <w:p w14:paraId="64B3EFDB">
      <w:pPr>
        <w:spacing w:line="300" w:lineRule="auto"/>
        <w:ind w:firstLine="480" w:firstLineChars="200"/>
        <w:rPr>
          <w:rFonts w:hint="eastAsia"/>
          <w:color w:val="auto"/>
          <w:highlight w:val="none"/>
        </w:rPr>
      </w:pPr>
      <w:r>
        <w:rPr>
          <w:rFonts w:hint="eastAsia" w:ascii="宋体" w:hAnsi="宋体" w:cs="宋体"/>
          <w:color w:val="auto"/>
          <w:sz w:val="24"/>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                   中华人民共和国财政部中华人民共和国司法部</w:t>
      </w:r>
    </w:p>
    <w:p w14:paraId="21BB8C45">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Arial"/>
          <w:b w:val="0"/>
          <w:bCs w:val="0"/>
          <w:color w:val="auto"/>
          <w:kern w:val="2"/>
          <w:sz w:val="30"/>
          <w:szCs w:val="30"/>
          <w:highlight w:val="none"/>
          <w:lang w:val="en-US" w:eastAsia="zh-CN" w:bidi="ar-SA"/>
        </w:rPr>
      </w:pPr>
      <w:r>
        <w:rPr>
          <w:rFonts w:ascii="楷体_GB2312" w:hAnsi="宋体" w:eastAsia="楷体_GB2312"/>
          <w:color w:val="auto"/>
          <w:szCs w:val="21"/>
          <w:highlight w:val="none"/>
        </w:rPr>
        <w:br w:type="page"/>
      </w:r>
      <w:r>
        <w:rPr>
          <w:rFonts w:hint="eastAsia" w:ascii="宋体" w:hAnsi="宋体" w:eastAsia="宋体" w:cs="Arial"/>
          <w:b w:val="0"/>
          <w:bCs w:val="0"/>
          <w:color w:val="auto"/>
          <w:kern w:val="2"/>
          <w:sz w:val="30"/>
          <w:szCs w:val="30"/>
          <w:highlight w:val="none"/>
          <w:lang w:val="en-US" w:eastAsia="zh-CN" w:bidi="ar-SA"/>
        </w:rPr>
        <w:t>监狱企业的证明文件</w:t>
      </w:r>
    </w:p>
    <w:p w14:paraId="3E888E7D">
      <w:pPr>
        <w:rPr>
          <w:rFonts w:hint="eastAsia" w:ascii="宋体" w:hAnsi="宋体" w:eastAsia="宋体" w:cs="宋体"/>
          <w:b/>
          <w:bCs/>
          <w:color w:val="auto"/>
          <w:kern w:val="0"/>
          <w:sz w:val="24"/>
          <w:szCs w:val="24"/>
          <w:highlight w:val="none"/>
          <w:lang w:val="en-US" w:eastAsia="zh-CN"/>
        </w:rPr>
      </w:pPr>
    </w:p>
    <w:p w14:paraId="6EFF0392">
      <w:pPr>
        <w:pStyle w:val="3"/>
        <w:spacing w:line="360" w:lineRule="auto"/>
        <w:ind w:firstLine="420" w:firstLineChars="200"/>
        <w:jc w:val="left"/>
        <w:rPr>
          <w:color w:val="auto"/>
          <w:highlight w:val="none"/>
        </w:rPr>
      </w:pPr>
      <w:bookmarkStart w:id="204" w:name="_Toc7861"/>
      <w:bookmarkStart w:id="205" w:name="_Toc3727"/>
      <w:bookmarkStart w:id="206" w:name="_Toc22437"/>
      <w:bookmarkStart w:id="207" w:name="_Toc32522"/>
      <w:r>
        <w:rPr>
          <w:rFonts w:hint="eastAsia" w:ascii="宋体" w:hAnsi="宋体" w:eastAsia="宋体" w:cs="宋体"/>
          <w:b w:val="0"/>
          <w:bCs w:val="0"/>
          <w:color w:val="auto"/>
          <w:kern w:val="0"/>
          <w:sz w:val="21"/>
          <w:szCs w:val="21"/>
          <w:highlight w:val="none"/>
          <w:lang w:val="en-US" w:eastAsia="zh-CN"/>
        </w:rPr>
        <w:t>如果是，提供</w:t>
      </w:r>
      <w:r>
        <w:rPr>
          <w:rFonts w:hint="eastAsia" w:ascii="宋体" w:hAnsi="宋体" w:cs="宋体"/>
          <w:b w:val="0"/>
          <w:bCs w:val="0"/>
          <w:color w:val="auto"/>
          <w:kern w:val="0"/>
          <w:sz w:val="21"/>
          <w:szCs w:val="21"/>
          <w:highlight w:val="none"/>
          <w:lang w:val="en-US" w:eastAsia="zh-CN"/>
        </w:rPr>
        <w:t>省级</w:t>
      </w:r>
      <w:r>
        <w:rPr>
          <w:rFonts w:hint="eastAsia" w:ascii="宋体" w:hAnsi="宋体" w:eastAsia="宋体" w:cs="宋体"/>
          <w:b w:val="0"/>
          <w:bCs w:val="0"/>
          <w:color w:val="auto"/>
          <w:kern w:val="0"/>
          <w:sz w:val="21"/>
          <w:szCs w:val="21"/>
          <w:highlight w:val="none"/>
          <w:lang w:val="en-US" w:eastAsia="zh-CN"/>
        </w:rPr>
        <w:t>以上监狱管理局、戒毒管理局（含新疆生产建设兵团）出具的属于监狱企业的证明文件</w:t>
      </w:r>
      <w:bookmarkEnd w:id="204"/>
      <w:bookmarkEnd w:id="205"/>
      <w:bookmarkEnd w:id="206"/>
      <w:bookmarkEnd w:id="207"/>
      <w:r>
        <w:rPr>
          <w:rFonts w:hint="eastAsia" w:ascii="宋体" w:hAnsi="宋体" w:cs="宋体"/>
          <w:b w:val="0"/>
          <w:bCs w:val="0"/>
          <w:color w:val="auto"/>
          <w:kern w:val="0"/>
          <w:sz w:val="21"/>
          <w:szCs w:val="21"/>
          <w:highlight w:val="none"/>
          <w:lang w:val="en-US" w:eastAsia="zh-CN"/>
        </w:rPr>
        <w:t>。</w:t>
      </w:r>
    </w:p>
    <w:p w14:paraId="28EBA315">
      <w:pPr>
        <w:jc w:val="center"/>
        <w:rPr>
          <w:rFonts w:hint="eastAsia"/>
          <w:highlight w:val="none"/>
          <w:lang w:val="en-US" w:eastAsia="zh-CN"/>
        </w:rPr>
      </w:pPr>
    </w:p>
    <w:sectPr>
      <w:footerReference r:id="rId38" w:type="default"/>
      <w:pgSz w:w="12240" w:h="15840"/>
      <w:pgMar w:top="1119" w:right="1080" w:bottom="1072" w:left="1080" w:header="0" w:footer="9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中心">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4052A">
    <w:pPr>
      <w:pStyle w:val="1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17" name="文本框 1050"/>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076692D1"/>
                      </w:txbxContent>
                    </wps:txbx>
                    <wps:bodyPr lIns="0" tIns="0" rIns="0" bIns="0" upright="1"/>
                  </wps:wsp>
                </a:graphicData>
              </a:graphic>
            </wp:anchor>
          </w:drawing>
        </mc:Choice>
        <mc:Fallback>
          <w:pict>
            <v:shape id="文本框 1050" o:spid="_x0000_s1026" o:spt="202" type="#_x0000_t202" style="position:absolute;left:0pt;margin-left:300.45pt;margin-top:734.9pt;height:11pt;width:11.15pt;mso-position-horizontal-relative:page;mso-position-vertical-relative:page;z-index:-251655168;mso-width-relative:page;mso-height-relative:page;" filled="f" stroked="f" coordsize="21600,21600" o:gfxdata="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21ODrZAAAADQEAAA8AAAAAAAAAAQAgAAAAIgAAAGRycy9kb3ducmV2LnhtbFBL&#10;AQIUABQAAAAIAIdO4kBHSYugvAEAAHUDAAAOAAAAAAAAAAEAIAAAACgBAABkcnMvZTJvRG9jLnht&#10;bFBLBQYAAAAABgAGAFkBAABWBQAAAAA=&#10;">
              <v:fill on="f" focussize="0,0"/>
              <v:stroke on="f"/>
              <v:imagedata o:title=""/>
              <o:lock v:ext="edit" aspectratio="f"/>
              <v:textbox inset="0mm,0mm,0mm,0mm">
                <w:txbxContent>
                  <w:p w14:paraId="076692D1"/>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062AE">
    <w:pPr>
      <w:spacing w:line="176" w:lineRule="auto"/>
      <w:ind w:left="494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214F">
    <w:pPr>
      <w:spacing w:line="176" w:lineRule="auto"/>
      <w:ind w:left="494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B361C">
    <w:pPr>
      <w:spacing w:line="176" w:lineRule="auto"/>
      <w:ind w:left="49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E1077">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7" name="文本框 1036"/>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0E938471">
                          <w:pPr>
                            <w:spacing w:line="203" w:lineRule="exact"/>
                            <w:ind w:left="20"/>
                            <w:rPr>
                              <w:rFonts w:ascii="Calibri"/>
                              <w:sz w:val="18"/>
                            </w:rPr>
                          </w:pPr>
                          <w:r>
                            <w:rPr>
                              <w:rFonts w:ascii="Calibri"/>
                              <w:sz w:val="18"/>
                            </w:rPr>
                            <w:t>60</w:t>
                          </w:r>
                        </w:p>
                      </w:txbxContent>
                    </wps:txbx>
                    <wps:bodyPr lIns="0" tIns="0" rIns="0" bIns="0" upright="1"/>
                  </wps:wsp>
                </a:graphicData>
              </a:graphic>
            </wp:anchor>
          </w:drawing>
        </mc:Choice>
        <mc:Fallback>
          <w:pict>
            <v:shape id="文本框 1036"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NtTg62QAAAA0BAAAPAAAAAAAAAAEAIAAAACIAAABkcnMvZG93bnJldi54bWxQ&#10;SwECFAAUAAAACACHTuJA5qc1Fr0BAAB0AwAADgAAAAAAAAABACAAAAAoAQAAZHJzL2Uyb0RvYy54&#10;bWxQSwUGAAAAAAYABgBZAQAAVwUAAAAA&#10;">
              <v:fill on="f" focussize="0,0"/>
              <v:stroke on="f"/>
              <v:imagedata o:title=""/>
              <o:lock v:ext="edit" aspectratio="f"/>
              <v:textbox inset="0mm,0mm,0mm,0mm">
                <w:txbxContent>
                  <w:p w14:paraId="0E938471">
                    <w:pPr>
                      <w:spacing w:line="203" w:lineRule="exact"/>
                      <w:ind w:left="20"/>
                      <w:rPr>
                        <w:rFonts w:ascii="Calibri"/>
                        <w:sz w:val="18"/>
                      </w:rPr>
                    </w:pPr>
                    <w:r>
                      <w:rPr>
                        <w:rFonts w:ascii="Calibri"/>
                        <w:sz w:val="18"/>
                      </w:rPr>
                      <w:t>60</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1538D">
    <w:pPr>
      <w:pStyle w:val="10"/>
      <w:spacing w:line="14" w:lineRule="auto"/>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9B1F6">
    <w:pPr>
      <w:spacing w:line="176" w:lineRule="auto"/>
      <w:ind w:left="45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7A914">
    <w:pPr>
      <w:spacing w:line="176" w:lineRule="auto"/>
      <w:ind w:left="49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8DDC0">
    <w:pPr>
      <w:spacing w:line="176" w:lineRule="auto"/>
      <w:ind w:left="52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DCE6F">
    <w:pPr>
      <w:spacing w:line="176" w:lineRule="auto"/>
      <w:ind w:left="49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81BA7">
    <w:pPr>
      <w:spacing w:line="176" w:lineRule="auto"/>
      <w:ind w:left="49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4D79">
    <w:pPr>
      <w:pStyle w:val="10"/>
      <w:spacing w:line="14" w:lineRule="auto"/>
      <w:rPr>
        <w:sz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EF42F">
    <w:pPr>
      <w:spacing w:line="173" w:lineRule="auto"/>
      <w:ind w:left="49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55894">
    <w:pPr>
      <w:spacing w:line="176" w:lineRule="auto"/>
      <w:ind w:left="49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08A60">
    <w:pPr>
      <w:spacing w:line="176" w:lineRule="auto"/>
      <w:ind w:left="42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731F3">
    <w:pPr>
      <w:spacing w:line="176" w:lineRule="auto"/>
      <w:ind w:left="47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0DF80">
    <w:pPr>
      <w:spacing w:line="176" w:lineRule="auto"/>
      <w:ind w:left="45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51A57">
    <w:pPr>
      <w:spacing w:line="176" w:lineRule="auto"/>
      <w:ind w:left="50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C97FC">
    <w:pPr>
      <w:spacing w:line="176" w:lineRule="auto"/>
      <w:ind w:left="47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42D89">
    <w:pPr>
      <w:spacing w:line="176" w:lineRule="auto"/>
      <w:ind w:left="49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D2A04">
    <w:pPr>
      <w:spacing w:line="176" w:lineRule="auto"/>
      <w:ind w:left="49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D8EAF">
    <w:pPr>
      <w:spacing w:line="176" w:lineRule="auto"/>
      <w:ind w:left="49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EBC0A">
    <w:pPr>
      <w:pStyle w:val="10"/>
      <w:spacing w:line="14" w:lineRule="auto"/>
      <w:rPr>
        <w:sz w:val="20"/>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84B76">
    <w:pPr>
      <w:spacing w:line="176" w:lineRule="auto"/>
      <w:ind w:left="46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135B2">
    <w:pPr>
      <w:spacing w:line="176" w:lineRule="auto"/>
      <w:ind w:left="49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4ACDB">
    <w:pPr>
      <w:spacing w:line="176" w:lineRule="auto"/>
      <w:ind w:left="49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9AFED">
    <w:pPr>
      <w:spacing w:line="176" w:lineRule="auto"/>
      <w:ind w:left="495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3619">
    <w:pPr>
      <w:snapToGrid w:val="0"/>
      <w:jc w:val="center"/>
      <w:rPr>
        <w:color w:val="000000"/>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A1DC18B">
                          <w:pPr>
                            <w:snapToGrid w:val="0"/>
                            <w:jc w:val="left"/>
                            <w:rPr>
                              <w:sz w:val="18"/>
                              <w:szCs w:val="20"/>
                            </w:rPr>
                          </w:pPr>
                          <w:r>
                            <w:rPr>
                              <w:sz w:val="18"/>
                              <w:szCs w:val="20"/>
                            </w:rPr>
                            <w:fldChar w:fldCharType="begin"/>
                          </w:r>
                          <w:r>
                            <w:rPr>
                              <w:sz w:val="18"/>
                              <w:szCs w:val="20"/>
                            </w:rPr>
                            <w:instrText xml:space="preserve"> PAGE  \* MERGEFORMAT </w:instrText>
                          </w:r>
                          <w:r>
                            <w:rPr>
                              <w:sz w:val="18"/>
                              <w:szCs w:val="20"/>
                            </w:rPr>
                            <w:fldChar w:fldCharType="separate"/>
                          </w:r>
                          <w:r>
                            <w:rPr>
                              <w:sz w:val="18"/>
                              <w:szCs w:val="20"/>
                            </w:rPr>
                            <w:t>40</w:t>
                          </w:r>
                          <w:r>
                            <w:rPr>
                              <w:sz w:val="18"/>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8pZNZ0QEAAKIDAAAOAAAAAAAAAAEAIAAAAB8BAABk&#10;cnMvZTJvRG9jLnhtbFBLBQYAAAAABgAGAFkBAABiBQAAAAA=&#10;">
              <v:fill on="f" focussize="0,0"/>
              <v:stroke on="f" weight="0.5pt"/>
              <v:imagedata o:title=""/>
              <o:lock v:ext="edit" aspectratio="f"/>
              <v:textbox inset="0mm,0mm,0mm,0mm" style="mso-fit-shape-to-text:t;">
                <w:txbxContent>
                  <w:p w14:paraId="5A1DC18B">
                    <w:pPr>
                      <w:snapToGrid w:val="0"/>
                      <w:jc w:val="left"/>
                      <w:rPr>
                        <w:sz w:val="18"/>
                        <w:szCs w:val="20"/>
                      </w:rPr>
                    </w:pPr>
                    <w:r>
                      <w:rPr>
                        <w:sz w:val="18"/>
                        <w:szCs w:val="20"/>
                      </w:rPr>
                      <w:fldChar w:fldCharType="begin"/>
                    </w:r>
                    <w:r>
                      <w:rPr>
                        <w:sz w:val="18"/>
                        <w:szCs w:val="20"/>
                      </w:rPr>
                      <w:instrText xml:space="preserve"> PAGE  \* MERGEFORMAT </w:instrText>
                    </w:r>
                    <w:r>
                      <w:rPr>
                        <w:sz w:val="18"/>
                        <w:szCs w:val="20"/>
                      </w:rPr>
                      <w:fldChar w:fldCharType="separate"/>
                    </w:r>
                    <w:r>
                      <w:rPr>
                        <w:sz w:val="18"/>
                        <w:szCs w:val="20"/>
                      </w:rPr>
                      <w:t>40</w:t>
                    </w:r>
                    <w:r>
                      <w:rPr>
                        <w:sz w:val="18"/>
                        <w:szCs w:val="20"/>
                      </w:rPr>
                      <w:fldChar w:fldCharType="end"/>
                    </w:r>
                  </w:p>
                </w:txbxContent>
              </v:textbox>
            </v:shape>
          </w:pict>
        </mc:Fallback>
      </mc:AlternateContent>
    </w:r>
  </w:p>
  <w:p w14:paraId="1415EC7A">
    <w:pPr>
      <w:tabs>
        <w:tab w:val="left" w:pos="4621"/>
        <w:tab w:val="center" w:pos="4744"/>
      </w:tabs>
      <w:snapToGrid w:val="0"/>
      <w:ind w:right="360"/>
      <w:jc w:val="left"/>
      <w:rPr>
        <w:rFonts w:hint="eastAsia"/>
        <w:color w:val="000000"/>
        <w:sz w:val="18"/>
        <w:szCs w:val="18"/>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38E16">
    <w:pPr>
      <w:spacing w:line="176" w:lineRule="auto"/>
      <w:ind w:left="495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E6DE6">
    <w:pPr>
      <w:pStyle w:val="10"/>
      <w:spacing w:line="14" w:lineRule="auto"/>
      <w:rPr>
        <w:sz w:val="1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00B24">
    <w:pPr>
      <w:spacing w:line="176" w:lineRule="auto"/>
      <w:ind w:left="49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18350">
    <w:pPr>
      <w:spacing w:line="176" w:lineRule="auto"/>
      <w:ind w:left="49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1E8E">
    <w:pPr>
      <w:spacing w:line="176" w:lineRule="auto"/>
      <w:ind w:left="54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4C969">
    <w:pPr>
      <w:spacing w:line="176" w:lineRule="auto"/>
      <w:ind w:left="49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3D203">
    <w:pPr>
      <w:spacing w:line="176" w:lineRule="auto"/>
      <w:ind w:left="494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604A7">
    <w:pPr>
      <w:pStyle w:val="14"/>
      <w:rPr>
        <w:lang w:eastAsia="zh-CN"/>
      </w:rPr>
    </w:pPr>
  </w:p>
  <w:p w14:paraId="559068F0">
    <w:pPr>
      <w:pStyle w:val="14"/>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6E187"/>
    <w:multiLevelType w:val="singleLevel"/>
    <w:tmpl w:val="84F6E187"/>
    <w:lvl w:ilvl="0" w:tentative="0">
      <w:start w:val="1"/>
      <w:numFmt w:val="decimal"/>
      <w:suff w:val="nothing"/>
      <w:lvlText w:val="（%1）"/>
      <w:lvlJc w:val="left"/>
    </w:lvl>
  </w:abstractNum>
  <w:abstractNum w:abstractNumId="1">
    <w:nsid w:val="00000006"/>
    <w:multiLevelType w:val="singleLevel"/>
    <w:tmpl w:val="00000006"/>
    <w:lvl w:ilvl="0" w:tentative="0">
      <w:start w:val="1"/>
      <w:numFmt w:val="chineseCountingThousand"/>
      <w:suff w:val="nothing"/>
      <w:lvlText w:val="（%1）"/>
      <w:lvlJc w:val="left"/>
      <w:pPr>
        <w:tabs>
          <w:tab w:val="left" w:pos="0"/>
        </w:tabs>
        <w:ind w:left="0" w:firstLine="0"/>
      </w:pPr>
      <w:rPr>
        <w:rFonts w:hint="eastAsia" w:cs="宋体"/>
      </w:rPr>
    </w:lvl>
  </w:abstractNum>
  <w:abstractNum w:abstractNumId="2">
    <w:nsid w:val="00000007"/>
    <w:multiLevelType w:val="singleLevel"/>
    <w:tmpl w:val="00000007"/>
    <w:lvl w:ilvl="0" w:tentative="0">
      <w:start w:val="16"/>
      <w:numFmt w:val="chineseCountingThousand"/>
      <w:suff w:val="nothing"/>
      <w:lvlText w:val="（%1）"/>
      <w:lvlJc w:val="left"/>
      <w:pPr>
        <w:tabs>
          <w:tab w:val="left" w:pos="0"/>
        </w:tabs>
        <w:ind w:left="0" w:firstLine="0"/>
      </w:pPr>
      <w:rPr>
        <w:rFonts w:hint="eastAsia"/>
      </w:rPr>
    </w:lvl>
  </w:abstractNum>
  <w:abstractNum w:abstractNumId="3">
    <w:nsid w:val="0000000D"/>
    <w:multiLevelType w:val="singleLevel"/>
    <w:tmpl w:val="0000000D"/>
    <w:lvl w:ilvl="0" w:tentative="0">
      <w:start w:val="1"/>
      <w:numFmt w:val="chineseCountingThousand"/>
      <w:suff w:val="nothing"/>
      <w:lvlText w:val="%1、"/>
      <w:lvlJc w:val="left"/>
      <w:pPr>
        <w:tabs>
          <w:tab w:val="left" w:pos="0"/>
        </w:tabs>
        <w:ind w:left="720" w:firstLine="0"/>
      </w:pPr>
      <w:rPr>
        <w:rFonts w:hint="eastAsia" w:cs="宋体"/>
      </w:rPr>
    </w:lvl>
  </w:abstractNum>
  <w:abstractNum w:abstractNumId="4">
    <w:nsid w:val="566C34A9"/>
    <w:multiLevelType w:val="multilevel"/>
    <w:tmpl w:val="566C34A9"/>
    <w:lvl w:ilvl="0" w:tentative="0">
      <w:start w:val="1"/>
      <w:numFmt w:val="decimal"/>
      <w:lvlText w:val="（%1）"/>
      <w:lvlJc w:val="left"/>
      <w:pPr>
        <w:ind w:left="933"/>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ZmM4NmQ1YzA0MzVmYTgzMmI5NTI2Mzc5OTgwN2YifQ=="/>
  </w:docVars>
  <w:rsids>
    <w:rsidRoot w:val="008920DE"/>
    <w:rsid w:val="000457BC"/>
    <w:rsid w:val="00065220"/>
    <w:rsid w:val="000A1BE3"/>
    <w:rsid w:val="000A41CA"/>
    <w:rsid w:val="000C0F05"/>
    <w:rsid w:val="000D3F5E"/>
    <w:rsid w:val="001014C9"/>
    <w:rsid w:val="00163F16"/>
    <w:rsid w:val="00181F5C"/>
    <w:rsid w:val="00185FF0"/>
    <w:rsid w:val="001C7CD3"/>
    <w:rsid w:val="001D5DB5"/>
    <w:rsid w:val="001E1111"/>
    <w:rsid w:val="001E331F"/>
    <w:rsid w:val="002415E0"/>
    <w:rsid w:val="0026130D"/>
    <w:rsid w:val="0031389C"/>
    <w:rsid w:val="00332DEF"/>
    <w:rsid w:val="00355CCA"/>
    <w:rsid w:val="00366010"/>
    <w:rsid w:val="0036652A"/>
    <w:rsid w:val="00391E12"/>
    <w:rsid w:val="003952E3"/>
    <w:rsid w:val="003C2DF9"/>
    <w:rsid w:val="00494F43"/>
    <w:rsid w:val="004D2080"/>
    <w:rsid w:val="004E18F8"/>
    <w:rsid w:val="004E6175"/>
    <w:rsid w:val="00504A24"/>
    <w:rsid w:val="00512AFA"/>
    <w:rsid w:val="00576DF6"/>
    <w:rsid w:val="005915B4"/>
    <w:rsid w:val="005F4759"/>
    <w:rsid w:val="00632F88"/>
    <w:rsid w:val="00671F0F"/>
    <w:rsid w:val="00696418"/>
    <w:rsid w:val="006C5D05"/>
    <w:rsid w:val="00725A7C"/>
    <w:rsid w:val="00734FAA"/>
    <w:rsid w:val="00755F75"/>
    <w:rsid w:val="007B6D51"/>
    <w:rsid w:val="007C5194"/>
    <w:rsid w:val="007D267B"/>
    <w:rsid w:val="007F5A7D"/>
    <w:rsid w:val="00805F3B"/>
    <w:rsid w:val="00816F11"/>
    <w:rsid w:val="00836B29"/>
    <w:rsid w:val="00855D8A"/>
    <w:rsid w:val="00874EBC"/>
    <w:rsid w:val="00892081"/>
    <w:rsid w:val="008920DE"/>
    <w:rsid w:val="0089447A"/>
    <w:rsid w:val="0092666B"/>
    <w:rsid w:val="00945C07"/>
    <w:rsid w:val="0096151D"/>
    <w:rsid w:val="009B05F7"/>
    <w:rsid w:val="009E0E13"/>
    <w:rsid w:val="00A143D9"/>
    <w:rsid w:val="00A46636"/>
    <w:rsid w:val="00A5758F"/>
    <w:rsid w:val="00AA7B8F"/>
    <w:rsid w:val="00AB60FA"/>
    <w:rsid w:val="00AE50A4"/>
    <w:rsid w:val="00B22AFE"/>
    <w:rsid w:val="00B62FC9"/>
    <w:rsid w:val="00B7607E"/>
    <w:rsid w:val="00BB143F"/>
    <w:rsid w:val="00BC73E8"/>
    <w:rsid w:val="00C2416B"/>
    <w:rsid w:val="00C33B69"/>
    <w:rsid w:val="00CF5E04"/>
    <w:rsid w:val="00D146C4"/>
    <w:rsid w:val="00D17BD0"/>
    <w:rsid w:val="00D3337C"/>
    <w:rsid w:val="00D53DE8"/>
    <w:rsid w:val="00D84975"/>
    <w:rsid w:val="00DF3F5D"/>
    <w:rsid w:val="00E43CEC"/>
    <w:rsid w:val="00E639F6"/>
    <w:rsid w:val="00EB405A"/>
    <w:rsid w:val="00EC4657"/>
    <w:rsid w:val="00F42C9C"/>
    <w:rsid w:val="00FD3B75"/>
    <w:rsid w:val="00FD6CAC"/>
    <w:rsid w:val="00FF76EA"/>
    <w:rsid w:val="013C2EC6"/>
    <w:rsid w:val="016B2CBB"/>
    <w:rsid w:val="017442FA"/>
    <w:rsid w:val="01F05A82"/>
    <w:rsid w:val="022A6766"/>
    <w:rsid w:val="02495823"/>
    <w:rsid w:val="02517588"/>
    <w:rsid w:val="028C44B2"/>
    <w:rsid w:val="03015719"/>
    <w:rsid w:val="03062D2F"/>
    <w:rsid w:val="0328539C"/>
    <w:rsid w:val="03362040"/>
    <w:rsid w:val="033A0C2B"/>
    <w:rsid w:val="03FB660C"/>
    <w:rsid w:val="040C0819"/>
    <w:rsid w:val="04C17856"/>
    <w:rsid w:val="058B39C0"/>
    <w:rsid w:val="070F26FC"/>
    <w:rsid w:val="072916E2"/>
    <w:rsid w:val="07621BE9"/>
    <w:rsid w:val="077E0924"/>
    <w:rsid w:val="07E37AE3"/>
    <w:rsid w:val="07EC2E3C"/>
    <w:rsid w:val="08193156"/>
    <w:rsid w:val="08687FE8"/>
    <w:rsid w:val="08A5122C"/>
    <w:rsid w:val="09556D4B"/>
    <w:rsid w:val="09DD5FB8"/>
    <w:rsid w:val="0A130247"/>
    <w:rsid w:val="0A654287"/>
    <w:rsid w:val="0A9D5A64"/>
    <w:rsid w:val="0ACC2AB1"/>
    <w:rsid w:val="0AE35781"/>
    <w:rsid w:val="0B4D1E43"/>
    <w:rsid w:val="0BE65D1B"/>
    <w:rsid w:val="0C387921"/>
    <w:rsid w:val="0C4335A6"/>
    <w:rsid w:val="0C6A7427"/>
    <w:rsid w:val="0C8A094A"/>
    <w:rsid w:val="0CAA2983"/>
    <w:rsid w:val="0CEC11E8"/>
    <w:rsid w:val="0CF60180"/>
    <w:rsid w:val="0D166265"/>
    <w:rsid w:val="0D2B3922"/>
    <w:rsid w:val="0D462A67"/>
    <w:rsid w:val="0DBF68FD"/>
    <w:rsid w:val="0E23788F"/>
    <w:rsid w:val="0E2449B2"/>
    <w:rsid w:val="0E3B0FC8"/>
    <w:rsid w:val="0E5232CD"/>
    <w:rsid w:val="0F0A3BA7"/>
    <w:rsid w:val="0F6404E0"/>
    <w:rsid w:val="0F8922FB"/>
    <w:rsid w:val="0FC40963"/>
    <w:rsid w:val="10041242"/>
    <w:rsid w:val="106A2B50"/>
    <w:rsid w:val="10EA1EE2"/>
    <w:rsid w:val="10EA5A3E"/>
    <w:rsid w:val="1197598B"/>
    <w:rsid w:val="11BD20CB"/>
    <w:rsid w:val="126857B5"/>
    <w:rsid w:val="126A0FDA"/>
    <w:rsid w:val="126D2DCB"/>
    <w:rsid w:val="129A3494"/>
    <w:rsid w:val="12EC0194"/>
    <w:rsid w:val="12EC2DC6"/>
    <w:rsid w:val="12F0545F"/>
    <w:rsid w:val="12F069E1"/>
    <w:rsid w:val="12F2507E"/>
    <w:rsid w:val="12F47048"/>
    <w:rsid w:val="13016F1F"/>
    <w:rsid w:val="132C67E2"/>
    <w:rsid w:val="1340228E"/>
    <w:rsid w:val="13B85BCF"/>
    <w:rsid w:val="13C322E0"/>
    <w:rsid w:val="13E578B6"/>
    <w:rsid w:val="147947A4"/>
    <w:rsid w:val="14A81E98"/>
    <w:rsid w:val="15875047"/>
    <w:rsid w:val="15B15A8E"/>
    <w:rsid w:val="161B07C1"/>
    <w:rsid w:val="16944CC9"/>
    <w:rsid w:val="16EB18AF"/>
    <w:rsid w:val="17B31280"/>
    <w:rsid w:val="17C46B8A"/>
    <w:rsid w:val="180A2C6B"/>
    <w:rsid w:val="18422604"/>
    <w:rsid w:val="186B138B"/>
    <w:rsid w:val="18A7570F"/>
    <w:rsid w:val="18BA1BA0"/>
    <w:rsid w:val="18D72D4C"/>
    <w:rsid w:val="19436239"/>
    <w:rsid w:val="19793C95"/>
    <w:rsid w:val="19DE258D"/>
    <w:rsid w:val="19EF056A"/>
    <w:rsid w:val="1A49695F"/>
    <w:rsid w:val="1A64229A"/>
    <w:rsid w:val="1A7A0749"/>
    <w:rsid w:val="1AA94CF4"/>
    <w:rsid w:val="1AB8083A"/>
    <w:rsid w:val="1B342DF3"/>
    <w:rsid w:val="1B8C196D"/>
    <w:rsid w:val="1B8D3B96"/>
    <w:rsid w:val="1B907EBD"/>
    <w:rsid w:val="1B9E4FC4"/>
    <w:rsid w:val="1BA4479F"/>
    <w:rsid w:val="1C9176B6"/>
    <w:rsid w:val="1CBB1081"/>
    <w:rsid w:val="1D547061"/>
    <w:rsid w:val="1DD84181"/>
    <w:rsid w:val="1DF5252B"/>
    <w:rsid w:val="1E236A34"/>
    <w:rsid w:val="1E8D304D"/>
    <w:rsid w:val="1E953CE6"/>
    <w:rsid w:val="1E995A80"/>
    <w:rsid w:val="20135FAE"/>
    <w:rsid w:val="203B2330"/>
    <w:rsid w:val="2096173F"/>
    <w:rsid w:val="20E22091"/>
    <w:rsid w:val="214619DB"/>
    <w:rsid w:val="21513D9B"/>
    <w:rsid w:val="21776A3D"/>
    <w:rsid w:val="22D327D6"/>
    <w:rsid w:val="2351194D"/>
    <w:rsid w:val="239161EE"/>
    <w:rsid w:val="24A647CE"/>
    <w:rsid w:val="24BE5324"/>
    <w:rsid w:val="25F12801"/>
    <w:rsid w:val="264B4D7A"/>
    <w:rsid w:val="26591245"/>
    <w:rsid w:val="26747E2C"/>
    <w:rsid w:val="268A3AF4"/>
    <w:rsid w:val="26B91547"/>
    <w:rsid w:val="27331CE1"/>
    <w:rsid w:val="273E043A"/>
    <w:rsid w:val="27427F2B"/>
    <w:rsid w:val="27E218DA"/>
    <w:rsid w:val="28BE5CD7"/>
    <w:rsid w:val="28D161CE"/>
    <w:rsid w:val="28E978C3"/>
    <w:rsid w:val="293A56A0"/>
    <w:rsid w:val="296C0A70"/>
    <w:rsid w:val="29764D63"/>
    <w:rsid w:val="29883BEF"/>
    <w:rsid w:val="298C36DF"/>
    <w:rsid w:val="2A8D201B"/>
    <w:rsid w:val="2B345DDC"/>
    <w:rsid w:val="2B4C1378"/>
    <w:rsid w:val="2B58159A"/>
    <w:rsid w:val="2B8E1027"/>
    <w:rsid w:val="2BA83FB0"/>
    <w:rsid w:val="2BB2267B"/>
    <w:rsid w:val="2BFD6B16"/>
    <w:rsid w:val="2C9A0BA4"/>
    <w:rsid w:val="2CAB21AD"/>
    <w:rsid w:val="2CAF6D72"/>
    <w:rsid w:val="2CE81A18"/>
    <w:rsid w:val="2D512724"/>
    <w:rsid w:val="2D796147"/>
    <w:rsid w:val="2D830020"/>
    <w:rsid w:val="2D931FC0"/>
    <w:rsid w:val="2DCE43DE"/>
    <w:rsid w:val="2DD234C2"/>
    <w:rsid w:val="2DF33D2D"/>
    <w:rsid w:val="2E093550"/>
    <w:rsid w:val="2E935510"/>
    <w:rsid w:val="2EFF7753"/>
    <w:rsid w:val="2F083808"/>
    <w:rsid w:val="2F1E302B"/>
    <w:rsid w:val="30073E2E"/>
    <w:rsid w:val="301D32E3"/>
    <w:rsid w:val="30952D41"/>
    <w:rsid w:val="31321010"/>
    <w:rsid w:val="31565117"/>
    <w:rsid w:val="31832F49"/>
    <w:rsid w:val="31B1462B"/>
    <w:rsid w:val="31D90D56"/>
    <w:rsid w:val="32270449"/>
    <w:rsid w:val="330D74B8"/>
    <w:rsid w:val="33260D78"/>
    <w:rsid w:val="33344E05"/>
    <w:rsid w:val="333D3C9C"/>
    <w:rsid w:val="335C34ED"/>
    <w:rsid w:val="337D7173"/>
    <w:rsid w:val="33986504"/>
    <w:rsid w:val="33C44425"/>
    <w:rsid w:val="33D20888"/>
    <w:rsid w:val="33D939C5"/>
    <w:rsid w:val="35243365"/>
    <w:rsid w:val="35381DDC"/>
    <w:rsid w:val="35C6441D"/>
    <w:rsid w:val="35F920FC"/>
    <w:rsid w:val="35FD055A"/>
    <w:rsid w:val="36280C33"/>
    <w:rsid w:val="364E1634"/>
    <w:rsid w:val="366652B8"/>
    <w:rsid w:val="36AD0FEE"/>
    <w:rsid w:val="36C52E8A"/>
    <w:rsid w:val="36CE40DC"/>
    <w:rsid w:val="36E806B3"/>
    <w:rsid w:val="371C4F08"/>
    <w:rsid w:val="373C7A63"/>
    <w:rsid w:val="373D575A"/>
    <w:rsid w:val="3744384B"/>
    <w:rsid w:val="37F54FE4"/>
    <w:rsid w:val="381F0EA7"/>
    <w:rsid w:val="383C1313"/>
    <w:rsid w:val="384A270F"/>
    <w:rsid w:val="384B1EC4"/>
    <w:rsid w:val="38903738"/>
    <w:rsid w:val="38E2156D"/>
    <w:rsid w:val="390B6245"/>
    <w:rsid w:val="39216D18"/>
    <w:rsid w:val="39F1694C"/>
    <w:rsid w:val="3A296D8E"/>
    <w:rsid w:val="3A2A6B56"/>
    <w:rsid w:val="3A2E433E"/>
    <w:rsid w:val="3A3556CD"/>
    <w:rsid w:val="3A4D434A"/>
    <w:rsid w:val="3A694566"/>
    <w:rsid w:val="3ABF6872"/>
    <w:rsid w:val="3AD155DE"/>
    <w:rsid w:val="3AE43244"/>
    <w:rsid w:val="3B353D1C"/>
    <w:rsid w:val="3B585B17"/>
    <w:rsid w:val="3BC51BCB"/>
    <w:rsid w:val="3BC92EB7"/>
    <w:rsid w:val="3BF07AFD"/>
    <w:rsid w:val="3C0D6901"/>
    <w:rsid w:val="3C215BA7"/>
    <w:rsid w:val="3C601127"/>
    <w:rsid w:val="3C715868"/>
    <w:rsid w:val="3C756255"/>
    <w:rsid w:val="3C9E63B0"/>
    <w:rsid w:val="3CE17E67"/>
    <w:rsid w:val="3D2E4D81"/>
    <w:rsid w:val="3D8C5F4C"/>
    <w:rsid w:val="3DF633C5"/>
    <w:rsid w:val="3E857011"/>
    <w:rsid w:val="3ED2798E"/>
    <w:rsid w:val="3F9619ED"/>
    <w:rsid w:val="3FE83A57"/>
    <w:rsid w:val="403F1053"/>
    <w:rsid w:val="404E1296"/>
    <w:rsid w:val="4098476A"/>
    <w:rsid w:val="40DC2D46"/>
    <w:rsid w:val="40E307BA"/>
    <w:rsid w:val="412C53DA"/>
    <w:rsid w:val="41377F7D"/>
    <w:rsid w:val="416C5E78"/>
    <w:rsid w:val="422C3859"/>
    <w:rsid w:val="423A6D1A"/>
    <w:rsid w:val="42C6780A"/>
    <w:rsid w:val="43282273"/>
    <w:rsid w:val="43EB0AEB"/>
    <w:rsid w:val="43FD725B"/>
    <w:rsid w:val="445F6937"/>
    <w:rsid w:val="446F7A2D"/>
    <w:rsid w:val="4492051D"/>
    <w:rsid w:val="449C706E"/>
    <w:rsid w:val="44FF34F9"/>
    <w:rsid w:val="45827950"/>
    <w:rsid w:val="45A82A71"/>
    <w:rsid w:val="462E5DF2"/>
    <w:rsid w:val="46560EA5"/>
    <w:rsid w:val="465D172D"/>
    <w:rsid w:val="46AF05B5"/>
    <w:rsid w:val="46BB51AC"/>
    <w:rsid w:val="46D30D74"/>
    <w:rsid w:val="47484C91"/>
    <w:rsid w:val="477C2AFE"/>
    <w:rsid w:val="47E37B8F"/>
    <w:rsid w:val="47F70E9F"/>
    <w:rsid w:val="48AD296E"/>
    <w:rsid w:val="48CE7418"/>
    <w:rsid w:val="48F42040"/>
    <w:rsid w:val="49153299"/>
    <w:rsid w:val="49184B37"/>
    <w:rsid w:val="492E6511"/>
    <w:rsid w:val="4934180A"/>
    <w:rsid w:val="495518E8"/>
    <w:rsid w:val="499B31A7"/>
    <w:rsid w:val="4A0B3975"/>
    <w:rsid w:val="4A100B71"/>
    <w:rsid w:val="4A3F7242"/>
    <w:rsid w:val="4A6261D4"/>
    <w:rsid w:val="4A871F75"/>
    <w:rsid w:val="4A8D5B78"/>
    <w:rsid w:val="4B101F6A"/>
    <w:rsid w:val="4B551B26"/>
    <w:rsid w:val="4B750F16"/>
    <w:rsid w:val="4BA302DB"/>
    <w:rsid w:val="4BB5276B"/>
    <w:rsid w:val="4CB658FA"/>
    <w:rsid w:val="4CCF0DE3"/>
    <w:rsid w:val="4CFD02CC"/>
    <w:rsid w:val="4D083549"/>
    <w:rsid w:val="4D1643EF"/>
    <w:rsid w:val="4D18482C"/>
    <w:rsid w:val="4D493511"/>
    <w:rsid w:val="4D926C68"/>
    <w:rsid w:val="4E984C3A"/>
    <w:rsid w:val="4EBC57C2"/>
    <w:rsid w:val="4EC5306C"/>
    <w:rsid w:val="4F074D45"/>
    <w:rsid w:val="4F2B40D5"/>
    <w:rsid w:val="4F483EC3"/>
    <w:rsid w:val="4F4C72E9"/>
    <w:rsid w:val="4F4F0B87"/>
    <w:rsid w:val="4F5464CF"/>
    <w:rsid w:val="4F9F1B0F"/>
    <w:rsid w:val="4FD70802"/>
    <w:rsid w:val="4FDA66A3"/>
    <w:rsid w:val="501F0559"/>
    <w:rsid w:val="503A5393"/>
    <w:rsid w:val="50A133D9"/>
    <w:rsid w:val="50CA2BBB"/>
    <w:rsid w:val="50FB2D75"/>
    <w:rsid w:val="51035D78"/>
    <w:rsid w:val="512D3000"/>
    <w:rsid w:val="513E0572"/>
    <w:rsid w:val="514674AB"/>
    <w:rsid w:val="5167665C"/>
    <w:rsid w:val="51AE7DE7"/>
    <w:rsid w:val="51D13AD5"/>
    <w:rsid w:val="520E1FA2"/>
    <w:rsid w:val="52400B92"/>
    <w:rsid w:val="52486D43"/>
    <w:rsid w:val="52A31916"/>
    <w:rsid w:val="52E00CE4"/>
    <w:rsid w:val="52EC150A"/>
    <w:rsid w:val="532760A3"/>
    <w:rsid w:val="53E93358"/>
    <w:rsid w:val="53EE4E13"/>
    <w:rsid w:val="5407290A"/>
    <w:rsid w:val="54C55B73"/>
    <w:rsid w:val="55182799"/>
    <w:rsid w:val="5533499D"/>
    <w:rsid w:val="55833A00"/>
    <w:rsid w:val="55C9072E"/>
    <w:rsid w:val="55FA1B25"/>
    <w:rsid w:val="56043050"/>
    <w:rsid w:val="560F74A7"/>
    <w:rsid w:val="561A3C9D"/>
    <w:rsid w:val="561D19DF"/>
    <w:rsid w:val="56DB78D0"/>
    <w:rsid w:val="570479CC"/>
    <w:rsid w:val="575C5AF9"/>
    <w:rsid w:val="5794182D"/>
    <w:rsid w:val="57BB6C94"/>
    <w:rsid w:val="57BC2B54"/>
    <w:rsid w:val="587D49B7"/>
    <w:rsid w:val="58A41F44"/>
    <w:rsid w:val="58AB6B02"/>
    <w:rsid w:val="59026680"/>
    <w:rsid w:val="59046176"/>
    <w:rsid w:val="59137488"/>
    <w:rsid w:val="595A1D17"/>
    <w:rsid w:val="59684D1F"/>
    <w:rsid w:val="5A6F20DD"/>
    <w:rsid w:val="5A774564"/>
    <w:rsid w:val="5A8C2C8F"/>
    <w:rsid w:val="5AE12FDB"/>
    <w:rsid w:val="5AE42ACB"/>
    <w:rsid w:val="5B24736C"/>
    <w:rsid w:val="5B3C2907"/>
    <w:rsid w:val="5BE72873"/>
    <w:rsid w:val="5C515F3F"/>
    <w:rsid w:val="5C836F26"/>
    <w:rsid w:val="5CA319F1"/>
    <w:rsid w:val="5CFF6D0A"/>
    <w:rsid w:val="5D115481"/>
    <w:rsid w:val="5DD40BD5"/>
    <w:rsid w:val="5DDD2180"/>
    <w:rsid w:val="5DE51307"/>
    <w:rsid w:val="5E021BE6"/>
    <w:rsid w:val="5E070FAB"/>
    <w:rsid w:val="5E754B3D"/>
    <w:rsid w:val="5E8505D8"/>
    <w:rsid w:val="5E960934"/>
    <w:rsid w:val="5E993BCD"/>
    <w:rsid w:val="5E9D36BD"/>
    <w:rsid w:val="5FA6034F"/>
    <w:rsid w:val="5FC52CA9"/>
    <w:rsid w:val="5FE377F5"/>
    <w:rsid w:val="6042451C"/>
    <w:rsid w:val="604E1113"/>
    <w:rsid w:val="60BD4E6A"/>
    <w:rsid w:val="60FC22A0"/>
    <w:rsid w:val="60FD17CE"/>
    <w:rsid w:val="611565EA"/>
    <w:rsid w:val="618E18D3"/>
    <w:rsid w:val="61E0223F"/>
    <w:rsid w:val="61E65D43"/>
    <w:rsid w:val="61FC694D"/>
    <w:rsid w:val="622661E6"/>
    <w:rsid w:val="626544F2"/>
    <w:rsid w:val="62AD7C47"/>
    <w:rsid w:val="630C7063"/>
    <w:rsid w:val="634B514E"/>
    <w:rsid w:val="635F420A"/>
    <w:rsid w:val="63766A03"/>
    <w:rsid w:val="63AB23D8"/>
    <w:rsid w:val="63BC55AE"/>
    <w:rsid w:val="6429154F"/>
    <w:rsid w:val="645841F8"/>
    <w:rsid w:val="64632CB3"/>
    <w:rsid w:val="646802C9"/>
    <w:rsid w:val="6470717E"/>
    <w:rsid w:val="647D24C6"/>
    <w:rsid w:val="649410BE"/>
    <w:rsid w:val="65A5725A"/>
    <w:rsid w:val="66287D10"/>
    <w:rsid w:val="662E710D"/>
    <w:rsid w:val="66682803"/>
    <w:rsid w:val="66B07D06"/>
    <w:rsid w:val="67573B25"/>
    <w:rsid w:val="676F196F"/>
    <w:rsid w:val="67B6653B"/>
    <w:rsid w:val="68304FEE"/>
    <w:rsid w:val="68E1064A"/>
    <w:rsid w:val="690600B1"/>
    <w:rsid w:val="69086D1C"/>
    <w:rsid w:val="690F6AF6"/>
    <w:rsid w:val="69140A20"/>
    <w:rsid w:val="698E07D2"/>
    <w:rsid w:val="699D624B"/>
    <w:rsid w:val="6A1C7515"/>
    <w:rsid w:val="6A4470E3"/>
    <w:rsid w:val="6A58442A"/>
    <w:rsid w:val="6A991EC1"/>
    <w:rsid w:val="6A9A6D03"/>
    <w:rsid w:val="6AF64881"/>
    <w:rsid w:val="6B030D4C"/>
    <w:rsid w:val="6B4A72C8"/>
    <w:rsid w:val="6C1256EA"/>
    <w:rsid w:val="6C134F93"/>
    <w:rsid w:val="6C194F2C"/>
    <w:rsid w:val="6C4258A4"/>
    <w:rsid w:val="6D21370B"/>
    <w:rsid w:val="6D2B2679"/>
    <w:rsid w:val="6D2E4F36"/>
    <w:rsid w:val="6D6F4477"/>
    <w:rsid w:val="6D911774"/>
    <w:rsid w:val="6DB23EDA"/>
    <w:rsid w:val="6DB85E1E"/>
    <w:rsid w:val="6E7A30D3"/>
    <w:rsid w:val="6EA6211A"/>
    <w:rsid w:val="6F2378AB"/>
    <w:rsid w:val="6F765F90"/>
    <w:rsid w:val="6F8A2594"/>
    <w:rsid w:val="7080699B"/>
    <w:rsid w:val="70B07280"/>
    <w:rsid w:val="711265A0"/>
    <w:rsid w:val="71BE59CD"/>
    <w:rsid w:val="71F72C8D"/>
    <w:rsid w:val="723143F0"/>
    <w:rsid w:val="72516841"/>
    <w:rsid w:val="72EC4FDA"/>
    <w:rsid w:val="731606F1"/>
    <w:rsid w:val="73A42673"/>
    <w:rsid w:val="73C44DF0"/>
    <w:rsid w:val="74183D08"/>
    <w:rsid w:val="744C5512"/>
    <w:rsid w:val="74A327EC"/>
    <w:rsid w:val="75930F1E"/>
    <w:rsid w:val="75934ED5"/>
    <w:rsid w:val="7610256F"/>
    <w:rsid w:val="765C3ABF"/>
    <w:rsid w:val="766F7295"/>
    <w:rsid w:val="774921DC"/>
    <w:rsid w:val="77632778"/>
    <w:rsid w:val="779918FA"/>
    <w:rsid w:val="779A777D"/>
    <w:rsid w:val="77FB5357"/>
    <w:rsid w:val="78235625"/>
    <w:rsid w:val="78340796"/>
    <w:rsid w:val="783764D9"/>
    <w:rsid w:val="787F116E"/>
    <w:rsid w:val="78FC0D88"/>
    <w:rsid w:val="79CA6F62"/>
    <w:rsid w:val="79D0629D"/>
    <w:rsid w:val="7A0C264A"/>
    <w:rsid w:val="7A5769BE"/>
    <w:rsid w:val="7A5915F5"/>
    <w:rsid w:val="7AAA5924"/>
    <w:rsid w:val="7AE55D78"/>
    <w:rsid w:val="7AFD1314"/>
    <w:rsid w:val="7B1211B1"/>
    <w:rsid w:val="7B8545C8"/>
    <w:rsid w:val="7BB51BEE"/>
    <w:rsid w:val="7BC462D5"/>
    <w:rsid w:val="7BC9797D"/>
    <w:rsid w:val="7C422690"/>
    <w:rsid w:val="7C954763"/>
    <w:rsid w:val="7CFC55FB"/>
    <w:rsid w:val="7DC9372F"/>
    <w:rsid w:val="7DD8632B"/>
    <w:rsid w:val="7E9D1A1F"/>
    <w:rsid w:val="7F0B7D77"/>
    <w:rsid w:val="7FA325F4"/>
    <w:rsid w:val="7FB1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qFormat/>
    <w:uiPriority w:val="1"/>
    <w:pPr>
      <w:spacing w:line="590" w:lineRule="exact"/>
      <w:ind w:left="3"/>
      <w:jc w:val="center"/>
      <w:outlineLvl w:val="0"/>
    </w:pPr>
    <w:rPr>
      <w:rFonts w:ascii="Microsoft JhengHei" w:hAnsi="Microsoft JhengHei" w:eastAsia="宋体" w:cs="Microsoft JhengHei"/>
      <w:b/>
      <w:bCs/>
      <w:sz w:val="44"/>
      <w:szCs w:val="44"/>
    </w:rPr>
  </w:style>
  <w:style w:type="paragraph" w:styleId="4">
    <w:name w:val="heading 2"/>
    <w:basedOn w:val="1"/>
    <w:next w:val="1"/>
    <w:qFormat/>
    <w:uiPriority w:val="1"/>
    <w:pPr>
      <w:ind w:left="100" w:right="113"/>
      <w:outlineLvl w:val="1"/>
    </w:pPr>
    <w:rPr>
      <w:rFonts w:ascii="Microsoft JhengHei" w:hAnsi="Microsoft JhengHei" w:cs="Microsoft JhengHei" w:eastAsiaTheme="minorEastAsia"/>
      <w:b/>
      <w:bCs/>
      <w:sz w:val="32"/>
      <w:szCs w:val="32"/>
    </w:rPr>
  </w:style>
  <w:style w:type="paragraph" w:styleId="5">
    <w:name w:val="heading 3"/>
    <w:basedOn w:val="1"/>
    <w:next w:val="1"/>
    <w:qFormat/>
    <w:uiPriority w:val="1"/>
    <w:pPr>
      <w:ind w:left="237" w:right="113"/>
      <w:outlineLvl w:val="2"/>
    </w:pPr>
    <w:rPr>
      <w:sz w:val="28"/>
      <w:szCs w:val="28"/>
    </w:rPr>
  </w:style>
  <w:style w:type="paragraph" w:styleId="6">
    <w:name w:val="heading 4"/>
    <w:basedOn w:val="1"/>
    <w:next w:val="1"/>
    <w:qFormat/>
    <w:uiPriority w:val="1"/>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42"/>
    <w:semiHidden/>
    <w:unhideWhenUsed/>
    <w:qFormat/>
    <w:uiPriority w:val="0"/>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41"/>
    <w:qFormat/>
    <w:uiPriority w:val="0"/>
    <w:pPr>
      <w:spacing w:before="240" w:after="60"/>
      <w:jc w:val="center"/>
      <w:outlineLvl w:val="0"/>
    </w:pPr>
    <w:rPr>
      <w:rFonts w:asciiTheme="majorHAnsi" w:hAnsiTheme="majorHAnsi" w:eastAsiaTheme="majorEastAsia" w:cstheme="majorBidi"/>
      <w:b/>
      <w:bCs/>
      <w:sz w:val="32"/>
      <w:szCs w:val="32"/>
    </w:rPr>
  </w:style>
  <w:style w:type="paragraph" w:styleId="8">
    <w:name w:val="index 5"/>
    <w:basedOn w:val="1"/>
    <w:next w:val="1"/>
    <w:qFormat/>
    <w:uiPriority w:val="0"/>
    <w:pPr>
      <w:ind w:left="800" w:leftChars="800"/>
    </w:pPr>
    <w:rPr>
      <w:szCs w:val="20"/>
    </w:rPr>
  </w:style>
  <w:style w:type="paragraph" w:styleId="9">
    <w:name w:val="Body Text 3"/>
    <w:basedOn w:val="1"/>
    <w:qFormat/>
    <w:uiPriority w:val="0"/>
    <w:rPr>
      <w:rFonts w:ascii="宋体"/>
      <w:sz w:val="24"/>
      <w:szCs w:val="20"/>
    </w:rPr>
  </w:style>
  <w:style w:type="paragraph" w:styleId="10">
    <w:name w:val="Body Text"/>
    <w:basedOn w:val="1"/>
    <w:qFormat/>
    <w:uiPriority w:val="1"/>
    <w:rPr>
      <w:sz w:val="21"/>
      <w:szCs w:val="21"/>
    </w:rPr>
  </w:style>
  <w:style w:type="paragraph" w:styleId="11">
    <w:name w:val="Body Text Indent"/>
    <w:basedOn w:val="1"/>
    <w:qFormat/>
    <w:uiPriority w:val="0"/>
    <w:pPr>
      <w:ind w:firstLine="840" w:firstLineChars="300"/>
    </w:pPr>
    <w:rPr>
      <w:sz w:val="28"/>
    </w:rPr>
  </w:style>
  <w:style w:type="paragraph" w:styleId="12">
    <w:name w:val="toc 3"/>
    <w:basedOn w:val="1"/>
    <w:next w:val="1"/>
    <w:qFormat/>
    <w:uiPriority w:val="1"/>
    <w:pPr>
      <w:spacing w:line="272" w:lineRule="exact"/>
      <w:ind w:left="940"/>
    </w:pPr>
    <w:rPr>
      <w:sz w:val="21"/>
      <w:szCs w:val="21"/>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39"/>
    <w:pPr>
      <w:spacing w:line="272" w:lineRule="exact"/>
      <w:ind w:left="100"/>
    </w:pPr>
    <w:rPr>
      <w:sz w:val="21"/>
      <w:szCs w:val="21"/>
    </w:rPr>
  </w:style>
  <w:style w:type="paragraph" w:styleId="16">
    <w:name w:val="toc 2"/>
    <w:basedOn w:val="1"/>
    <w:next w:val="1"/>
    <w:qFormat/>
    <w:uiPriority w:val="1"/>
    <w:pPr>
      <w:spacing w:line="272" w:lineRule="exact"/>
      <w:ind w:left="520"/>
    </w:pPr>
    <w:rPr>
      <w:sz w:val="21"/>
      <w:szCs w:val="21"/>
    </w:rPr>
  </w:style>
  <w:style w:type="paragraph" w:styleId="1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8">
    <w:name w:val="Body Text First Indent 2"/>
    <w:basedOn w:val="11"/>
    <w:qFormat/>
    <w:uiPriority w:val="0"/>
    <w:pPr>
      <w:ind w:firstLine="420" w:firstLineChars="200"/>
    </w:pPr>
    <w:rPr>
      <w:rFonts w:ascii="Times New Roman" w:hAnsi="Times New Roman" w:eastAsia="宋体" w:cs="Times New Roma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style>
  <w:style w:type="character" w:styleId="23">
    <w:name w:val="FollowedHyperlink"/>
    <w:basedOn w:val="21"/>
    <w:qFormat/>
    <w:uiPriority w:val="0"/>
    <w:rPr>
      <w:color w:val="800080"/>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0"/>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ascii="monospace" w:hAnsi="monospace" w:eastAsia="monospace" w:cs="monospace"/>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styleId="36">
    <w:name w:val="List Paragraph"/>
    <w:basedOn w:val="1"/>
    <w:qFormat/>
    <w:uiPriority w:val="1"/>
  </w:style>
  <w:style w:type="paragraph" w:customStyle="1" w:styleId="37">
    <w:name w:val="Table Paragraph"/>
    <w:basedOn w:val="1"/>
    <w:qFormat/>
    <w:uiPriority w:val="1"/>
  </w:style>
  <w:style w:type="paragraph" w:customStyle="1" w:styleId="38">
    <w:name w:val="WPSOffice手动目录 1"/>
    <w:qFormat/>
    <w:uiPriority w:val="0"/>
    <w:rPr>
      <w:rFonts w:asciiTheme="minorHAnsi" w:hAnsiTheme="minorHAnsi" w:eastAsiaTheme="minorHAnsi"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40">
    <w:name w:val="WPSOffice手动目录 3"/>
    <w:qFormat/>
    <w:uiPriority w:val="0"/>
    <w:pPr>
      <w:ind w:left="400" w:leftChars="400"/>
    </w:pPr>
    <w:rPr>
      <w:rFonts w:asciiTheme="minorHAnsi" w:hAnsiTheme="minorHAnsi" w:eastAsiaTheme="minorHAnsi" w:cstheme="minorBidi"/>
      <w:lang w:val="en-US" w:eastAsia="zh-CN" w:bidi="ar-SA"/>
    </w:rPr>
  </w:style>
  <w:style w:type="character" w:customStyle="1" w:styleId="41">
    <w:name w:val="标题 字符"/>
    <w:basedOn w:val="21"/>
    <w:link w:val="2"/>
    <w:qFormat/>
    <w:uiPriority w:val="0"/>
    <w:rPr>
      <w:rFonts w:asciiTheme="majorHAnsi" w:hAnsiTheme="majorHAnsi" w:eastAsiaTheme="majorEastAsia" w:cstheme="majorBidi"/>
      <w:b/>
      <w:bCs/>
      <w:sz w:val="32"/>
      <w:szCs w:val="32"/>
      <w:lang w:eastAsia="en-US"/>
    </w:rPr>
  </w:style>
  <w:style w:type="character" w:customStyle="1" w:styleId="42">
    <w:name w:val="标题 5 字符"/>
    <w:basedOn w:val="21"/>
    <w:link w:val="7"/>
    <w:semiHidden/>
    <w:qFormat/>
    <w:uiPriority w:val="0"/>
    <w:rPr>
      <w:rFonts w:ascii="宋体" w:hAnsi="宋体" w:eastAsia="宋体" w:cs="宋体"/>
      <w:b/>
      <w:bCs/>
      <w:sz w:val="28"/>
      <w:szCs w:val="28"/>
      <w:lang w:eastAsia="en-US"/>
    </w:rPr>
  </w:style>
  <w:style w:type="character" w:customStyle="1" w:styleId="43">
    <w:name w:val="layui-layer-tabnow"/>
    <w:basedOn w:val="21"/>
    <w:qFormat/>
    <w:uiPriority w:val="0"/>
    <w:rPr>
      <w:bdr w:val="single" w:color="CCCCCC" w:sz="6" w:space="0"/>
      <w:shd w:val="clear" w:fill="FFFFFF"/>
    </w:rPr>
  </w:style>
  <w:style w:type="character" w:customStyle="1" w:styleId="44">
    <w:name w:val="first-child"/>
    <w:basedOn w:val="21"/>
    <w:qFormat/>
    <w:uiPriority w:val="0"/>
  </w:style>
  <w:style w:type="paragraph" w:customStyle="1" w:styleId="45">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character" w:customStyle="1" w:styleId="46">
    <w:name w:val="mini-tree-nodetext3"/>
    <w:basedOn w:val="21"/>
    <w:qFormat/>
    <w:uiPriority w:val="0"/>
  </w:style>
  <w:style w:type="character" w:customStyle="1" w:styleId="47">
    <w:name w:val="mini-tree-nodetext2"/>
    <w:basedOn w:val="21"/>
    <w:qFormat/>
    <w:uiPriority w:val="0"/>
  </w:style>
  <w:style w:type="character" w:customStyle="1" w:styleId="48">
    <w:name w:val="input1"/>
    <w:basedOn w:val="21"/>
    <w:qFormat/>
    <w:uiPriority w:val="0"/>
    <w:rPr>
      <w:color w:val="000000"/>
      <w:sz w:val="21"/>
      <w:szCs w:val="21"/>
      <w:bdr w:val="single" w:color="000000" w:sz="2" w:space="0"/>
      <w:shd w:val="clear" w:fill="F7F2B0"/>
    </w:rPr>
  </w:style>
  <w:style w:type="character" w:customStyle="1" w:styleId="49">
    <w:name w:val="noborderinput1"/>
    <w:basedOn w:val="21"/>
    <w:qFormat/>
    <w:uiPriority w:val="0"/>
    <w:rPr>
      <w:shd w:val="clear" w:fill="F7F2B0"/>
    </w:rPr>
  </w:style>
  <w:style w:type="character" w:customStyle="1" w:styleId="50">
    <w:name w:val="wdate1"/>
    <w:basedOn w:val="21"/>
    <w:qFormat/>
    <w:uiPriority w:val="0"/>
    <w:rPr>
      <w:shd w:val="clear" w:fill="F7F2B0"/>
    </w:rPr>
  </w:style>
  <w:style w:type="paragraph" w:customStyle="1" w:styleId="51">
    <w:name w:val="Table Text"/>
    <w:basedOn w:val="1"/>
    <w:semiHidden/>
    <w:qFormat/>
    <w:uiPriority w:val="0"/>
    <w:rPr>
      <w:rFonts w:ascii="宋体" w:hAnsi="宋体" w:eastAsia="宋体" w:cs="宋体"/>
      <w:sz w:val="19"/>
      <w:szCs w:val="19"/>
      <w:lang w:val="en-US" w:eastAsia="en-US" w:bidi="ar-SA"/>
    </w:rPr>
  </w:style>
  <w:style w:type="paragraph" w:customStyle="1" w:styleId="52">
    <w:name w:val="列出段落1"/>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footer" Target="footer1.xml"/><Relationship Id="rId39" Type="http://schemas.openxmlformats.org/officeDocument/2006/relationships/theme" Target="theme/theme1.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9973</Words>
  <Characters>11196</Characters>
  <Lines>325</Lines>
  <Paragraphs>91</Paragraphs>
  <TotalTime>6</TotalTime>
  <ScaleCrop>false</ScaleCrop>
  <LinksUpToDate>false</LinksUpToDate>
  <CharactersWithSpaces>11476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2017-09-13T02:46:00Z</dcterms:created>
  <dc:creator>袁静</dc:creator>
  <cp:lastModifiedBy>Administrator</cp:lastModifiedBy>
  <cp:lastPrinted>2024-11-12T12:46:00Z</cp:lastPrinted>
  <dcterms:modified xsi:type="dcterms:W3CDTF">2024-12-12T07:19:49Z</dcterms:modified>
  <dc:title>中华人民共和国</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2052-12.1.0.19302</vt:lpwstr>
  </property>
  <property fmtid="{D5CDD505-2E9C-101B-9397-08002B2CF9AE}" pid="6" name="ICV">
    <vt:lpwstr>0303169099714E5F985D75AE1B3F0D05_13</vt:lpwstr>
  </property>
</Properties>
</file>