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6BC0574">
      <w:pPr>
        <w:pStyle w:val="38"/>
        <w:spacing w:line="0" w:lineRule="atLeast"/>
        <w:jc w:val="center"/>
        <w:rPr>
          <w:rFonts w:hint="eastAsia" w:ascii="宋体" w:hAnsi="宋体" w:eastAsia="宋体" w:cs="宋体"/>
          <w:b/>
          <w:color w:val="auto"/>
          <w:sz w:val="32"/>
          <w:szCs w:val="32"/>
          <w:highlight w:val="none"/>
        </w:rPr>
      </w:pPr>
      <w:bookmarkStart w:id="0" w:name="_Toc98580390"/>
    </w:p>
    <w:p w14:paraId="50443A57">
      <w:pPr>
        <w:pStyle w:val="38"/>
        <w:spacing w:line="0" w:lineRule="atLeast"/>
        <w:jc w:val="center"/>
        <w:rPr>
          <w:rFonts w:hint="eastAsia" w:ascii="宋体" w:hAnsi="宋体" w:eastAsia="宋体" w:cs="宋体"/>
          <w:b/>
          <w:color w:val="auto"/>
          <w:sz w:val="32"/>
          <w:szCs w:val="32"/>
          <w:highlight w:val="none"/>
        </w:rPr>
      </w:pPr>
    </w:p>
    <w:p w14:paraId="66E12C9D">
      <w:pPr>
        <w:pStyle w:val="38"/>
        <w:spacing w:line="0" w:lineRule="atLeast"/>
        <w:jc w:val="center"/>
        <w:rPr>
          <w:rFonts w:hint="eastAsia" w:ascii="宋体" w:hAnsi="宋体" w:eastAsia="宋体" w:cs="宋体"/>
          <w:b/>
          <w:color w:val="auto"/>
          <w:sz w:val="32"/>
          <w:szCs w:val="32"/>
          <w:highlight w:val="none"/>
        </w:rPr>
      </w:pPr>
    </w:p>
    <w:p w14:paraId="1A0EB942">
      <w:pPr>
        <w:spacing w:line="0" w:lineRule="atLeast"/>
        <w:jc w:val="center"/>
        <w:rPr>
          <w:rFonts w:hint="default" w:ascii="宋体" w:hAnsi="宋体" w:eastAsia="宋体" w:cs="宋体"/>
          <w:b/>
          <w:color w:val="auto"/>
          <w:sz w:val="48"/>
          <w:szCs w:val="48"/>
          <w:highlight w:val="none"/>
          <w:lang w:val="en-US"/>
        </w:rPr>
      </w:pPr>
      <w:r>
        <w:rPr>
          <w:rFonts w:hint="eastAsia" w:ascii="黑体" w:hAnsi="黑体" w:eastAsia="黑体" w:cs="黑体"/>
          <w:b/>
          <w:bCs/>
          <w:color w:val="auto"/>
          <w:sz w:val="44"/>
          <w:szCs w:val="44"/>
          <w:highlight w:val="none"/>
          <w:lang w:val="en-US" w:eastAsia="zh-CN"/>
        </w:rPr>
        <w:t>吉林市第六人民医院购置高效液相色谱串联质谱设备</w:t>
      </w:r>
    </w:p>
    <w:p w14:paraId="5701D4CE">
      <w:pPr>
        <w:pStyle w:val="43"/>
        <w:rPr>
          <w:rFonts w:hint="eastAsia" w:ascii="宋体" w:hAnsi="宋体" w:eastAsia="宋体" w:cs="宋体"/>
          <w:b/>
          <w:color w:val="auto"/>
          <w:sz w:val="48"/>
          <w:szCs w:val="48"/>
          <w:highlight w:val="none"/>
        </w:rPr>
      </w:pPr>
    </w:p>
    <w:p w14:paraId="65457A02">
      <w:pPr>
        <w:pStyle w:val="25"/>
        <w:rPr>
          <w:rFonts w:hint="eastAsia"/>
          <w:color w:val="auto"/>
          <w:highlight w:val="none"/>
        </w:rPr>
      </w:pPr>
    </w:p>
    <w:p w14:paraId="1EBBF58A">
      <w:pPr>
        <w:spacing w:line="0" w:lineRule="atLeast"/>
        <w:jc w:val="center"/>
        <w:rPr>
          <w:rFonts w:hint="eastAsia" w:ascii="宋体" w:hAnsi="宋体" w:eastAsia="宋体" w:cs="宋体"/>
          <w:b/>
          <w:color w:val="auto"/>
          <w:sz w:val="170"/>
          <w:szCs w:val="170"/>
          <w:highlight w:val="none"/>
        </w:rPr>
      </w:pPr>
      <w:r>
        <w:rPr>
          <w:rFonts w:hint="eastAsia" w:ascii="方正小标宋简体" w:hAnsi="方正小标宋简体" w:eastAsia="方正小标宋简体" w:cs="方正小标宋简体"/>
          <w:b w:val="0"/>
          <w:bCs/>
          <w:color w:val="auto"/>
          <w:sz w:val="100"/>
          <w:szCs w:val="100"/>
          <w:highlight w:val="none"/>
        </w:rPr>
        <w:t>招标文件</w:t>
      </w:r>
    </w:p>
    <w:p w14:paraId="191BB3F6">
      <w:pPr>
        <w:jc w:val="center"/>
        <w:rPr>
          <w:rFonts w:hint="eastAsia" w:ascii="宋体" w:hAnsi="宋体" w:eastAsia="宋体" w:cs="宋体"/>
          <w:b/>
          <w:color w:val="auto"/>
          <w:sz w:val="32"/>
          <w:highlight w:val="none"/>
        </w:rPr>
      </w:pPr>
    </w:p>
    <w:p w14:paraId="144EC96A">
      <w:pPr>
        <w:jc w:val="center"/>
        <w:rPr>
          <w:rFonts w:hint="default" w:ascii="宋体" w:hAnsi="宋体" w:eastAsia="宋体" w:cs="宋体"/>
          <w:b/>
          <w:color w:val="000000" w:themeColor="text1"/>
          <w:sz w:val="32"/>
          <w:highlight w:val="yellow"/>
          <w:lang w:val="en-US" w:eastAsia="zh-CN"/>
          <w14:textFill>
            <w14:solidFill>
              <w14:schemeClr w14:val="tx1"/>
            </w14:solidFill>
          </w14:textFill>
        </w:rPr>
      </w:pPr>
      <w:r>
        <w:rPr>
          <w:rFonts w:hint="eastAsia" w:ascii="宋体" w:hAnsi="宋体" w:eastAsia="宋体" w:cs="宋体"/>
          <w:b/>
          <w:color w:val="000000" w:themeColor="text1"/>
          <w:sz w:val="32"/>
          <w:highlight w:val="none"/>
          <w14:textFill>
            <w14:solidFill>
              <w14:schemeClr w14:val="tx1"/>
            </w14:solidFill>
          </w14:textFill>
        </w:rPr>
        <w:t>项目编号：采购计划-[2024]-00509号-HXDR20241001</w:t>
      </w:r>
    </w:p>
    <w:p w14:paraId="1EC47EC9">
      <w:pPr>
        <w:jc w:val="center"/>
        <w:rPr>
          <w:rFonts w:hint="eastAsia" w:ascii="宋体" w:hAnsi="宋体" w:eastAsia="宋体" w:cs="宋体"/>
          <w:b/>
          <w:color w:val="auto"/>
          <w:sz w:val="32"/>
          <w:highlight w:val="none"/>
        </w:rPr>
      </w:pPr>
    </w:p>
    <w:p w14:paraId="69FF8293">
      <w:pPr>
        <w:jc w:val="center"/>
        <w:rPr>
          <w:rFonts w:hint="eastAsia" w:ascii="宋体" w:hAnsi="宋体" w:eastAsia="宋体" w:cs="宋体"/>
          <w:color w:val="auto"/>
          <w:sz w:val="32"/>
          <w:highlight w:val="none"/>
        </w:rPr>
      </w:pPr>
    </w:p>
    <w:p w14:paraId="13AB689D">
      <w:pPr>
        <w:jc w:val="center"/>
        <w:rPr>
          <w:rFonts w:hint="eastAsia" w:ascii="宋体" w:hAnsi="宋体" w:eastAsia="宋体" w:cs="宋体"/>
          <w:color w:val="auto"/>
          <w:sz w:val="32"/>
          <w:highlight w:val="none"/>
        </w:rPr>
      </w:pPr>
    </w:p>
    <w:p w14:paraId="514C13B4">
      <w:pPr>
        <w:jc w:val="center"/>
        <w:rPr>
          <w:rFonts w:hint="eastAsia" w:ascii="宋体" w:hAnsi="宋体" w:eastAsia="宋体" w:cs="宋体"/>
          <w:color w:val="auto"/>
          <w:sz w:val="32"/>
          <w:highlight w:val="none"/>
        </w:rPr>
      </w:pPr>
    </w:p>
    <w:p w14:paraId="7CE8A3E6">
      <w:pPr>
        <w:jc w:val="center"/>
        <w:rPr>
          <w:rFonts w:hint="eastAsia" w:ascii="宋体" w:hAnsi="宋体" w:eastAsia="宋体" w:cs="宋体"/>
          <w:color w:val="auto"/>
          <w:sz w:val="18"/>
          <w:szCs w:val="18"/>
          <w:highlight w:val="none"/>
        </w:rPr>
      </w:pPr>
    </w:p>
    <w:p w14:paraId="553DC628">
      <w:pPr>
        <w:jc w:val="center"/>
        <w:rPr>
          <w:rFonts w:hint="eastAsia" w:ascii="宋体" w:hAnsi="宋体" w:eastAsia="宋体" w:cs="宋体"/>
          <w:color w:val="auto"/>
          <w:sz w:val="18"/>
          <w:szCs w:val="18"/>
          <w:highlight w:val="none"/>
        </w:rPr>
      </w:pPr>
    </w:p>
    <w:p w14:paraId="20AC797D">
      <w:pPr>
        <w:jc w:val="center"/>
        <w:rPr>
          <w:rFonts w:hint="eastAsia" w:ascii="宋体" w:hAnsi="宋体" w:eastAsia="宋体" w:cs="宋体"/>
          <w:color w:val="auto"/>
          <w:sz w:val="18"/>
          <w:szCs w:val="18"/>
          <w:highlight w:val="none"/>
        </w:rPr>
      </w:pPr>
    </w:p>
    <w:p w14:paraId="40ECC31D">
      <w:pPr>
        <w:jc w:val="center"/>
        <w:rPr>
          <w:rFonts w:hint="eastAsia" w:ascii="宋体" w:hAnsi="宋体" w:eastAsia="宋体" w:cs="宋体"/>
          <w:color w:val="auto"/>
          <w:sz w:val="18"/>
          <w:szCs w:val="18"/>
          <w:highlight w:val="none"/>
        </w:rPr>
      </w:pPr>
    </w:p>
    <w:p w14:paraId="78D7FA3B">
      <w:pPr>
        <w:pStyle w:val="2"/>
        <w:rPr>
          <w:rFonts w:hint="eastAsia" w:ascii="宋体" w:hAnsi="宋体" w:eastAsia="宋体" w:cs="宋体"/>
          <w:color w:val="auto"/>
          <w:highlight w:val="none"/>
        </w:rPr>
      </w:pPr>
    </w:p>
    <w:p w14:paraId="0AAD5308">
      <w:pPr>
        <w:spacing w:line="480" w:lineRule="auto"/>
        <w:jc w:val="center"/>
        <w:rPr>
          <w:rFonts w:hint="eastAsia" w:ascii="宋体" w:hAnsi="宋体" w:eastAsia="宋体" w:cs="宋体"/>
          <w:color w:val="auto"/>
          <w:sz w:val="18"/>
          <w:szCs w:val="18"/>
          <w:highlight w:val="none"/>
        </w:rPr>
      </w:pPr>
    </w:p>
    <w:p w14:paraId="400FF3C7">
      <w:pPr>
        <w:spacing w:line="480" w:lineRule="auto"/>
        <w:jc w:val="center"/>
        <w:rPr>
          <w:rFonts w:hint="eastAsia" w:ascii="宋体" w:hAnsi="宋体" w:eastAsia="宋体" w:cs="宋体"/>
          <w:color w:val="auto"/>
          <w:sz w:val="18"/>
          <w:szCs w:val="18"/>
          <w:highlight w:val="none"/>
        </w:rPr>
      </w:pPr>
    </w:p>
    <w:p w14:paraId="313FB742">
      <w:pPr>
        <w:ind w:firstLine="1285" w:firstLineChars="400"/>
        <w:jc w:val="both"/>
        <w:rPr>
          <w:rFonts w:hint="eastAsia" w:ascii="宋体" w:hAnsi="宋体" w:eastAsia="宋体" w:cs="宋体"/>
          <w:b/>
          <w:color w:val="auto"/>
          <w:sz w:val="32"/>
          <w:szCs w:val="22"/>
          <w:highlight w:val="none"/>
        </w:rPr>
      </w:pPr>
      <w:r>
        <w:rPr>
          <w:rFonts w:hint="eastAsia" w:ascii="宋体" w:hAnsi="宋体" w:cs="宋体"/>
          <w:b/>
          <w:color w:val="auto"/>
          <w:sz w:val="32"/>
          <w:szCs w:val="22"/>
          <w:highlight w:val="none"/>
          <w:lang w:eastAsia="zh-CN"/>
        </w:rPr>
        <w:t>招</w:t>
      </w:r>
      <w:r>
        <w:rPr>
          <w:rFonts w:hint="eastAsia" w:ascii="宋体" w:hAnsi="宋体" w:cs="宋体"/>
          <w:b/>
          <w:color w:val="auto"/>
          <w:sz w:val="32"/>
          <w:szCs w:val="22"/>
          <w:highlight w:val="none"/>
          <w:lang w:val="en-US" w:eastAsia="zh-CN"/>
        </w:rPr>
        <w:t xml:space="preserve">   </w:t>
      </w:r>
      <w:r>
        <w:rPr>
          <w:rFonts w:hint="eastAsia" w:ascii="宋体" w:hAnsi="宋体" w:cs="宋体"/>
          <w:b/>
          <w:color w:val="auto"/>
          <w:sz w:val="32"/>
          <w:szCs w:val="22"/>
          <w:highlight w:val="none"/>
          <w:lang w:eastAsia="zh-CN"/>
        </w:rPr>
        <w:t>标</w:t>
      </w:r>
      <w:r>
        <w:rPr>
          <w:rFonts w:hint="eastAsia" w:ascii="宋体" w:hAnsi="宋体" w:eastAsia="宋体" w:cs="宋体"/>
          <w:b/>
          <w:color w:val="auto"/>
          <w:sz w:val="32"/>
          <w:szCs w:val="22"/>
          <w:highlight w:val="none"/>
        </w:rPr>
        <w:t xml:space="preserve"> </w:t>
      </w:r>
      <w:r>
        <w:rPr>
          <w:rFonts w:hint="eastAsia" w:ascii="宋体" w:hAnsi="宋体" w:cs="宋体"/>
          <w:b/>
          <w:color w:val="auto"/>
          <w:sz w:val="32"/>
          <w:szCs w:val="22"/>
          <w:highlight w:val="none"/>
          <w:lang w:val="en-US" w:eastAsia="zh-CN"/>
        </w:rPr>
        <w:t xml:space="preserve">  </w:t>
      </w:r>
      <w:r>
        <w:rPr>
          <w:rFonts w:hint="eastAsia" w:ascii="宋体" w:hAnsi="宋体" w:eastAsia="宋体" w:cs="宋体"/>
          <w:b/>
          <w:color w:val="auto"/>
          <w:sz w:val="32"/>
          <w:szCs w:val="22"/>
          <w:highlight w:val="none"/>
        </w:rPr>
        <w:t>人：</w:t>
      </w:r>
      <w:r>
        <w:rPr>
          <w:rFonts w:hint="eastAsia" w:ascii="宋体" w:hAnsi="宋体" w:cs="宋体"/>
          <w:b/>
          <w:color w:val="auto"/>
          <w:sz w:val="32"/>
          <w:szCs w:val="22"/>
          <w:highlight w:val="none"/>
          <w:lang w:val="en-US" w:eastAsia="zh-CN"/>
        </w:rPr>
        <w:t>吉林市第六人民医院</w:t>
      </w:r>
      <w:r>
        <w:rPr>
          <w:rFonts w:hint="eastAsia" w:ascii="宋体" w:hAnsi="宋体" w:eastAsia="宋体" w:cs="宋体"/>
          <w:b/>
          <w:color w:val="auto"/>
          <w:sz w:val="32"/>
          <w:szCs w:val="22"/>
          <w:highlight w:val="none"/>
        </w:rPr>
        <w:t xml:space="preserve">     </w:t>
      </w:r>
    </w:p>
    <w:p w14:paraId="03B423F3">
      <w:pPr>
        <w:jc w:val="center"/>
        <w:rPr>
          <w:rFonts w:hint="eastAsia" w:ascii="宋体" w:hAnsi="宋体" w:eastAsia="宋体" w:cs="宋体"/>
          <w:b/>
          <w:color w:val="auto"/>
          <w:sz w:val="32"/>
          <w:szCs w:val="22"/>
          <w:highlight w:val="none"/>
        </w:rPr>
      </w:pPr>
      <w:r>
        <w:rPr>
          <w:rFonts w:hint="eastAsia" w:ascii="宋体" w:hAnsi="宋体" w:eastAsia="宋体" w:cs="宋体"/>
          <w:b/>
          <w:color w:val="auto"/>
          <w:sz w:val="32"/>
          <w:szCs w:val="22"/>
          <w:highlight w:val="none"/>
          <w:lang w:val="en-US" w:eastAsia="zh-CN"/>
        </w:rPr>
        <w:t xml:space="preserve"> </w:t>
      </w:r>
      <w:r>
        <w:rPr>
          <w:rFonts w:hint="eastAsia" w:ascii="宋体" w:hAnsi="宋体" w:eastAsia="宋体" w:cs="宋体"/>
          <w:b/>
          <w:color w:val="auto"/>
          <w:sz w:val="32"/>
          <w:szCs w:val="22"/>
          <w:highlight w:val="none"/>
        </w:rPr>
        <w:t xml:space="preserve">    </w:t>
      </w:r>
    </w:p>
    <w:p w14:paraId="54AFF6F5">
      <w:pPr>
        <w:ind w:firstLine="1285" w:firstLineChars="400"/>
        <w:jc w:val="both"/>
        <w:rPr>
          <w:rFonts w:hint="eastAsia" w:ascii="宋体" w:hAnsi="宋体" w:eastAsia="宋体" w:cs="宋体"/>
          <w:b/>
          <w:color w:val="auto"/>
          <w:sz w:val="32"/>
          <w:szCs w:val="22"/>
          <w:highlight w:val="none"/>
          <w:lang w:eastAsia="zh-CN"/>
        </w:rPr>
      </w:pPr>
      <w:r>
        <w:rPr>
          <w:rFonts w:hint="eastAsia" w:ascii="宋体" w:hAnsi="宋体" w:cs="宋体"/>
          <w:b/>
          <w:color w:val="auto"/>
          <w:sz w:val="32"/>
          <w:szCs w:val="22"/>
          <w:highlight w:val="none"/>
          <w:lang w:eastAsia="zh-CN"/>
        </w:rPr>
        <w:t>招标</w:t>
      </w:r>
      <w:r>
        <w:rPr>
          <w:rFonts w:hint="eastAsia" w:ascii="宋体" w:hAnsi="宋体" w:eastAsia="宋体" w:cs="宋体"/>
          <w:b/>
          <w:color w:val="auto"/>
          <w:sz w:val="32"/>
          <w:szCs w:val="22"/>
          <w:highlight w:val="none"/>
        </w:rPr>
        <w:t>代理机构：</w:t>
      </w:r>
      <w:r>
        <w:rPr>
          <w:rFonts w:hint="eastAsia" w:ascii="宋体" w:hAnsi="宋体" w:cs="宋体"/>
          <w:b/>
          <w:color w:val="auto"/>
          <w:sz w:val="32"/>
          <w:szCs w:val="22"/>
          <w:highlight w:val="none"/>
          <w:lang w:eastAsia="zh-CN"/>
        </w:rPr>
        <w:t>吉林华鑫德润项目管理咨询有限公司</w:t>
      </w:r>
    </w:p>
    <w:p w14:paraId="55159329">
      <w:pPr>
        <w:jc w:val="center"/>
        <w:rPr>
          <w:rFonts w:hint="eastAsia" w:ascii="宋体" w:hAnsi="宋体" w:eastAsia="宋体" w:cs="宋体"/>
          <w:b/>
          <w:color w:val="auto"/>
          <w:sz w:val="32"/>
          <w:highlight w:val="none"/>
        </w:rPr>
      </w:pPr>
    </w:p>
    <w:p w14:paraId="0E2A3E85">
      <w:pPr>
        <w:ind w:firstLine="1285" w:firstLineChars="400"/>
        <w:jc w:val="both"/>
        <w:rPr>
          <w:rFonts w:hint="eastAsia" w:ascii="宋体" w:hAnsi="宋体" w:eastAsia="宋体" w:cs="宋体"/>
          <w:b/>
          <w:color w:val="auto"/>
          <w:sz w:val="32"/>
          <w:highlight w:val="none"/>
        </w:rPr>
      </w:pPr>
      <w:r>
        <w:rPr>
          <w:rFonts w:hint="eastAsia" w:ascii="宋体" w:hAnsi="宋体" w:eastAsia="宋体" w:cs="宋体"/>
          <w:b/>
          <w:color w:val="auto"/>
          <w:sz w:val="32"/>
          <w:highlight w:val="none"/>
        </w:rPr>
        <w:t xml:space="preserve">日    </w:t>
      </w:r>
      <w:r>
        <w:rPr>
          <w:rFonts w:hint="eastAsia" w:ascii="宋体" w:hAnsi="宋体" w:eastAsia="宋体" w:cs="宋体"/>
          <w:b/>
          <w:color w:val="auto"/>
          <w:sz w:val="32"/>
          <w:highlight w:val="none"/>
          <w:lang w:val="en-US" w:eastAsia="zh-CN"/>
        </w:rPr>
        <w:t xml:space="preserve">   </w:t>
      </w:r>
      <w:r>
        <w:rPr>
          <w:rFonts w:hint="eastAsia" w:ascii="宋体" w:hAnsi="宋体" w:eastAsia="宋体" w:cs="宋体"/>
          <w:b/>
          <w:color w:val="auto"/>
          <w:sz w:val="32"/>
          <w:highlight w:val="none"/>
        </w:rPr>
        <w:t xml:space="preserve"> 期：</w:t>
      </w:r>
      <w:r>
        <w:rPr>
          <w:rFonts w:hint="eastAsia" w:ascii="宋体" w:hAnsi="宋体" w:cs="宋体"/>
          <w:b/>
          <w:color w:val="auto"/>
          <w:sz w:val="32"/>
          <w:highlight w:val="none"/>
          <w:lang w:eastAsia="zh-CN"/>
        </w:rPr>
        <w:t>二零二四</w:t>
      </w:r>
      <w:r>
        <w:rPr>
          <w:rFonts w:hint="eastAsia" w:ascii="宋体" w:hAnsi="宋体" w:eastAsia="宋体" w:cs="宋体"/>
          <w:b/>
          <w:color w:val="auto"/>
          <w:sz w:val="32"/>
          <w:highlight w:val="none"/>
        </w:rPr>
        <w:t>年</w:t>
      </w:r>
      <w:r>
        <w:rPr>
          <w:rFonts w:hint="eastAsia" w:ascii="宋体" w:hAnsi="宋体" w:cs="宋体"/>
          <w:b/>
          <w:color w:val="auto"/>
          <w:sz w:val="32"/>
          <w:highlight w:val="none"/>
          <w:lang w:val="en-US" w:eastAsia="zh-CN"/>
        </w:rPr>
        <w:t>十</w:t>
      </w:r>
      <w:r>
        <w:rPr>
          <w:rFonts w:hint="eastAsia" w:ascii="宋体" w:hAnsi="宋体" w:eastAsia="宋体" w:cs="宋体"/>
          <w:b/>
          <w:color w:val="auto"/>
          <w:sz w:val="32"/>
          <w:highlight w:val="none"/>
        </w:rPr>
        <w:t>月</w:t>
      </w:r>
    </w:p>
    <w:p w14:paraId="0233EC94">
      <w:pPr>
        <w:adjustRightInd w:val="0"/>
        <w:snapToGrid w:val="0"/>
        <w:spacing w:line="360" w:lineRule="auto"/>
        <w:ind w:right="496" w:rightChars="248"/>
        <w:jc w:val="center"/>
        <w:rPr>
          <w:rFonts w:hint="eastAsia" w:ascii="宋体" w:hAnsi="宋体" w:eastAsia="宋体" w:cs="宋体"/>
          <w:b/>
          <w:bCs/>
          <w:color w:val="auto"/>
          <w:sz w:val="28"/>
          <w:highlight w:val="none"/>
        </w:rPr>
      </w:pPr>
    </w:p>
    <w:p w14:paraId="1B30573C">
      <w:pPr>
        <w:jc w:val="center"/>
        <w:rPr>
          <w:rFonts w:hint="eastAsia" w:ascii="宋体" w:hAnsi="宋体" w:eastAsia="宋体" w:cs="宋体"/>
          <w:b/>
          <w:bCs/>
          <w:color w:val="auto"/>
          <w:sz w:val="36"/>
          <w:highlight w:val="none"/>
        </w:rPr>
        <w:sectPr>
          <w:headerReference r:id="rId4" w:type="first"/>
          <w:headerReference r:id="rId3" w:type="default"/>
          <w:footerReference r:id="rId5" w:type="default"/>
          <w:footerReference r:id="rId6" w:type="even"/>
          <w:pgSz w:w="11906" w:h="16838"/>
          <w:pgMar w:top="1418" w:right="1247" w:bottom="1418" w:left="1418" w:header="851" w:footer="992" w:gutter="0"/>
          <w:cols w:space="720" w:num="1"/>
          <w:titlePg/>
          <w:docGrid w:linePitch="312" w:charSpace="0"/>
        </w:sectPr>
      </w:pPr>
      <w:bookmarkStart w:id="1" w:name="_Toc98580389"/>
    </w:p>
    <w:p w14:paraId="6A9F3BA2">
      <w:pPr>
        <w:pStyle w:val="43"/>
        <w:rPr>
          <w:rFonts w:hint="eastAsia"/>
        </w:rPr>
      </w:pPr>
    </w:p>
    <w:p w14:paraId="097647D5">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auto"/>
          <w:sz w:val="36"/>
          <w:highlight w:val="none"/>
        </w:rPr>
      </w:pPr>
      <w:r>
        <w:rPr>
          <w:rFonts w:hint="eastAsia" w:ascii="宋体" w:hAnsi="宋体" w:eastAsia="宋体" w:cs="宋体"/>
          <w:b/>
          <w:bCs/>
          <w:color w:val="auto"/>
          <w:sz w:val="36"/>
          <w:highlight w:val="none"/>
        </w:rPr>
        <w:t>目　　录</w:t>
      </w:r>
    </w:p>
    <w:p w14:paraId="23BBA79D">
      <w:pPr>
        <w:jc w:val="center"/>
        <w:rPr>
          <w:rFonts w:hint="eastAsia" w:ascii="宋体" w:hAnsi="宋体" w:eastAsia="宋体" w:cs="宋体"/>
          <w:b/>
          <w:bCs/>
          <w:color w:val="auto"/>
          <w:sz w:val="36"/>
          <w:highlight w:val="none"/>
        </w:rPr>
      </w:pPr>
    </w:p>
    <w:p w14:paraId="10330A19">
      <w:pPr>
        <w:pStyle w:val="29"/>
        <w:tabs>
          <w:tab w:val="right" w:leader="dot" w:pos="9241"/>
        </w:tabs>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TOC \o "1-1" \h \z \u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HYPERLINK \l _Toc13336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第一部分  招标公告</w:t>
      </w:r>
      <w:r>
        <w:rPr>
          <w:rFonts w:hint="eastAsia" w:ascii="宋体" w:hAnsi="宋体" w:eastAsia="宋体" w:cs="宋体"/>
          <w:color w:val="auto"/>
          <w:sz w:val="28"/>
          <w:szCs w:val="28"/>
          <w:highlight w:val="none"/>
        </w:rPr>
        <w:tab/>
      </w:r>
      <w:r>
        <w:rPr>
          <w:rFonts w:hint="eastAsia" w:ascii="宋体" w:hAnsi="宋体" w:cs="宋体"/>
          <w:color w:val="auto"/>
          <w:sz w:val="28"/>
          <w:szCs w:val="28"/>
          <w:highlight w:val="none"/>
          <w:lang w:val="en-US" w:eastAsia="zh-CN"/>
        </w:rPr>
        <w:t>1</w:t>
      </w:r>
      <w:r>
        <w:rPr>
          <w:rFonts w:hint="eastAsia" w:ascii="宋体" w:hAnsi="宋体" w:eastAsia="宋体" w:cs="宋体"/>
          <w:color w:val="auto"/>
          <w:sz w:val="28"/>
          <w:szCs w:val="28"/>
          <w:highlight w:val="none"/>
        </w:rPr>
        <w:fldChar w:fldCharType="end"/>
      </w:r>
    </w:p>
    <w:p w14:paraId="70BEBC85">
      <w:pPr>
        <w:pStyle w:val="29"/>
        <w:tabs>
          <w:tab w:val="right" w:leader="dot" w:pos="9241"/>
        </w:tabs>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HYPERLINK \l _Toc28014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第二部分  供应商须知</w:t>
      </w:r>
      <w:r>
        <w:rPr>
          <w:rFonts w:hint="eastAsia" w:ascii="宋体" w:hAnsi="宋体" w:eastAsia="宋体" w:cs="宋体"/>
          <w:color w:val="auto"/>
          <w:sz w:val="28"/>
          <w:szCs w:val="28"/>
          <w:highlight w:val="none"/>
        </w:rPr>
        <w:tab/>
      </w:r>
      <w:r>
        <w:rPr>
          <w:rFonts w:hint="eastAsia" w:ascii="宋体" w:hAnsi="宋体" w:cs="宋体"/>
          <w:color w:val="auto"/>
          <w:sz w:val="28"/>
          <w:szCs w:val="28"/>
          <w:highlight w:val="none"/>
          <w:lang w:val="en-US" w:eastAsia="zh-CN"/>
        </w:rPr>
        <w:t>5</w:t>
      </w:r>
      <w:r>
        <w:rPr>
          <w:rFonts w:hint="eastAsia" w:ascii="宋体" w:hAnsi="宋体" w:eastAsia="宋体" w:cs="宋体"/>
          <w:color w:val="auto"/>
          <w:sz w:val="28"/>
          <w:szCs w:val="28"/>
          <w:highlight w:val="none"/>
        </w:rPr>
        <w:fldChar w:fldCharType="end"/>
      </w:r>
    </w:p>
    <w:p w14:paraId="69A9EA82">
      <w:pPr>
        <w:pStyle w:val="29"/>
        <w:tabs>
          <w:tab w:val="right" w:leader="dot" w:pos="9241"/>
        </w:tabs>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HYPERLINK \l _Toc8440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第三部分  评标办法</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_Toc8440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31</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rPr>
        <w:fldChar w:fldCharType="end"/>
      </w:r>
    </w:p>
    <w:p w14:paraId="3CDBDDCE">
      <w:pPr>
        <w:pStyle w:val="29"/>
        <w:tabs>
          <w:tab w:val="right" w:leader="dot" w:pos="9241"/>
        </w:tabs>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HYPERLINK \l _Toc13415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 xml:space="preserve">第四部分 </w:t>
      </w:r>
      <w:r>
        <w:rPr>
          <w:rFonts w:hint="eastAsia" w:ascii="宋体" w:hAnsi="宋体" w:eastAsia="宋体" w:cs="宋体"/>
          <w:color w:val="auto"/>
          <w:sz w:val="28"/>
          <w:szCs w:val="28"/>
          <w:highlight w:val="none"/>
          <w:lang w:val="en-US" w:eastAsia="zh-CN"/>
        </w:rPr>
        <w:t xml:space="preserve"> </w:t>
      </w:r>
      <w:r>
        <w:rPr>
          <w:rFonts w:hint="eastAsia" w:ascii="宋体" w:hAnsi="宋体" w:eastAsia="宋体" w:cs="宋体"/>
          <w:color w:val="auto"/>
          <w:sz w:val="28"/>
          <w:szCs w:val="28"/>
          <w:highlight w:val="none"/>
        </w:rPr>
        <w:t>采购需求</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_Toc13415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43</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rPr>
        <w:fldChar w:fldCharType="end"/>
      </w:r>
    </w:p>
    <w:p w14:paraId="502D6D98">
      <w:pPr>
        <w:pStyle w:val="29"/>
        <w:tabs>
          <w:tab w:val="right" w:leader="dot" w:pos="9241"/>
        </w:tabs>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HYPERLINK \l _Toc18914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第五部分  合同格式</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_Toc18914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43</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rPr>
        <w:fldChar w:fldCharType="end"/>
      </w:r>
    </w:p>
    <w:p w14:paraId="1198F70B">
      <w:pPr>
        <w:pStyle w:val="29"/>
        <w:tabs>
          <w:tab w:val="right" w:leader="dot" w:pos="9241"/>
        </w:tabs>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HYPERLINK \l _Toc19534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第六部分  投标文件格式</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_Toc19534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51</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rPr>
        <w:fldChar w:fldCharType="end"/>
      </w:r>
    </w:p>
    <w:p w14:paraId="1B4CDBB2">
      <w:pPr>
        <w:pStyle w:val="29"/>
        <w:tabs>
          <w:tab w:val="right" w:leader="dot" w:pos="9241"/>
        </w:tabs>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fldChar w:fldCharType="end"/>
      </w:r>
    </w:p>
    <w:bookmarkEnd w:id="1"/>
    <w:p w14:paraId="0E3470DD">
      <w:pPr>
        <w:rPr>
          <w:rFonts w:hint="eastAsia" w:ascii="宋体" w:hAnsi="宋体" w:eastAsia="宋体" w:cs="宋体"/>
          <w:color w:val="auto"/>
          <w:highlight w:val="none"/>
        </w:rPr>
        <w:sectPr>
          <w:footerReference r:id="rId8" w:type="first"/>
          <w:footerReference r:id="rId7" w:type="default"/>
          <w:pgSz w:w="11906" w:h="16838"/>
          <w:pgMar w:top="1418" w:right="1247" w:bottom="1418" w:left="1418" w:header="851" w:footer="992" w:gutter="0"/>
          <w:cols w:space="720" w:num="1"/>
          <w:titlePg/>
          <w:docGrid w:linePitch="312" w:charSpace="0"/>
        </w:sectPr>
      </w:pPr>
    </w:p>
    <w:p w14:paraId="09E25ED2">
      <w:pPr>
        <w:pStyle w:val="43"/>
        <w:rPr>
          <w:rFonts w:hint="eastAsia"/>
        </w:rPr>
      </w:pPr>
    </w:p>
    <w:p w14:paraId="5C8FA8D2">
      <w:pPr>
        <w:jc w:val="center"/>
        <w:rPr>
          <w:rStyle w:val="64"/>
          <w:rFonts w:hint="eastAsia" w:ascii="宋体" w:hAnsi="宋体" w:eastAsia="宋体" w:cs="宋体"/>
          <w:color w:val="auto"/>
          <w:highlight w:val="none"/>
        </w:rPr>
      </w:pPr>
      <w:r>
        <w:rPr>
          <w:rStyle w:val="64"/>
          <w:rFonts w:hint="eastAsia" w:ascii="宋体" w:hAnsi="宋体" w:eastAsia="宋体" w:cs="宋体"/>
          <w:color w:val="auto"/>
          <w:highlight w:val="none"/>
        </w:rPr>
        <w:t>第一章  招标公告</w:t>
      </w:r>
    </w:p>
    <w:p w14:paraId="5862C18B">
      <w:pPr>
        <w:jc w:val="center"/>
        <w:rPr>
          <w:rFonts w:hint="eastAsia" w:ascii="宋体" w:hAnsi="宋体" w:cs="宋体"/>
          <w:b/>
          <w:color w:val="auto"/>
          <w:kern w:val="0"/>
          <w:sz w:val="36"/>
          <w:szCs w:val="36"/>
          <w:highlight w:val="none"/>
        </w:rPr>
      </w:pPr>
      <w:r>
        <w:rPr>
          <w:rFonts w:hint="eastAsia" w:ascii="宋体" w:hAnsi="宋体" w:cs="宋体"/>
          <w:b/>
          <w:color w:val="auto"/>
          <w:kern w:val="0"/>
          <w:sz w:val="36"/>
          <w:szCs w:val="36"/>
          <w:highlight w:val="none"/>
          <w:lang w:val="en-US" w:eastAsia="zh-CN"/>
        </w:rPr>
        <w:t>吉林市第六人民医院购置高效液相色谱串联质谱设备</w:t>
      </w:r>
      <w:r>
        <w:rPr>
          <w:rFonts w:hint="eastAsia" w:ascii="宋体" w:hAnsi="宋体" w:cs="宋体"/>
          <w:b/>
          <w:color w:val="auto"/>
          <w:kern w:val="0"/>
          <w:sz w:val="36"/>
          <w:szCs w:val="36"/>
          <w:highlight w:val="none"/>
          <w:lang w:bidi="ar"/>
        </w:rPr>
        <w:t>招标公告</w:t>
      </w:r>
    </w:p>
    <w:p w14:paraId="40515981">
      <w:pPr>
        <w:pBdr>
          <w:top w:val="single" w:color="auto" w:sz="4" w:space="1"/>
          <w:left w:val="single" w:color="auto" w:sz="4" w:space="4"/>
          <w:bottom w:val="single" w:color="auto" w:sz="4" w:space="1"/>
          <w:right w:val="single" w:color="auto" w:sz="4" w:space="4"/>
        </w:pBdr>
        <w:autoSpaceDE w:val="0"/>
        <w:spacing w:line="440" w:lineRule="exact"/>
        <w:ind w:firstLine="482" w:firstLineChars="200"/>
        <w:rPr>
          <w:rFonts w:hint="eastAsia" w:ascii="宋体" w:hAnsi="宋体" w:cs="宋体"/>
          <w:b/>
          <w:color w:val="auto"/>
          <w:kern w:val="0"/>
          <w:sz w:val="24"/>
          <w:szCs w:val="24"/>
          <w:highlight w:val="none"/>
        </w:rPr>
      </w:pPr>
      <w:r>
        <w:rPr>
          <w:rFonts w:hint="eastAsia" w:ascii="宋体" w:hAnsi="宋体" w:cs="宋体"/>
          <w:b/>
          <w:color w:val="auto"/>
          <w:kern w:val="0"/>
          <w:sz w:val="24"/>
          <w:szCs w:val="24"/>
          <w:highlight w:val="none"/>
          <w:lang w:bidi="ar"/>
        </w:rPr>
        <w:t>项目概况</w:t>
      </w:r>
    </w:p>
    <w:p w14:paraId="43EE3621">
      <w:pPr>
        <w:pBdr>
          <w:top w:val="single" w:color="auto" w:sz="4" w:space="1"/>
          <w:left w:val="single" w:color="auto" w:sz="4" w:space="4"/>
          <w:bottom w:val="single" w:color="auto" w:sz="4" w:space="1"/>
          <w:right w:val="single" w:color="auto" w:sz="4" w:space="4"/>
        </w:pBdr>
        <w:autoSpaceDE w:val="0"/>
        <w:spacing w:line="440" w:lineRule="exact"/>
        <w:ind w:firstLine="480" w:firstLineChars="200"/>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lang w:val="en-US" w:eastAsia="zh-CN" w:bidi="ar"/>
        </w:rPr>
        <w:t>吉林市第六人民医院购置高效液相色谱串联质谱设备</w:t>
      </w:r>
      <w:r>
        <w:rPr>
          <w:rFonts w:hint="eastAsia" w:ascii="宋体" w:hAnsi="宋体" w:cs="宋体"/>
          <w:color w:val="auto"/>
          <w:kern w:val="0"/>
          <w:sz w:val="24"/>
          <w:szCs w:val="24"/>
          <w:highlight w:val="none"/>
          <w:lang w:bidi="ar"/>
        </w:rPr>
        <w:t>的潜在</w:t>
      </w:r>
      <w:r>
        <w:rPr>
          <w:rFonts w:hint="eastAsia" w:ascii="宋体" w:hAnsi="宋体" w:cs="宋体"/>
          <w:color w:val="auto"/>
          <w:kern w:val="0"/>
          <w:sz w:val="24"/>
          <w:szCs w:val="24"/>
          <w:highlight w:val="none"/>
          <w:lang w:eastAsia="zh-CN" w:bidi="ar"/>
        </w:rPr>
        <w:t>供应商</w:t>
      </w:r>
      <w:r>
        <w:rPr>
          <w:rFonts w:hint="eastAsia" w:ascii="宋体" w:hAnsi="宋体" w:cs="宋体"/>
          <w:color w:val="auto"/>
          <w:kern w:val="0"/>
          <w:sz w:val="24"/>
          <w:szCs w:val="24"/>
          <w:highlight w:val="none"/>
          <w:lang w:bidi="ar"/>
        </w:rPr>
        <w:t>应</w:t>
      </w:r>
      <w:r>
        <w:rPr>
          <w:rFonts w:hint="eastAsia" w:ascii="宋体" w:hAnsi="宋体" w:eastAsia="宋体" w:cs="宋体"/>
          <w:color w:val="auto"/>
          <w:spacing w:val="0"/>
          <w:kern w:val="0"/>
          <w:sz w:val="24"/>
          <w:szCs w:val="21"/>
          <w:highlight w:val="none"/>
          <w:lang w:val="en-US" w:eastAsia="zh-CN" w:bidi="ar-SA"/>
        </w:rPr>
        <w:t>在“政采云”平台(https://www.zcygov.cn/)</w:t>
      </w:r>
      <w:r>
        <w:rPr>
          <w:rFonts w:hint="eastAsia" w:ascii="宋体" w:hAnsi="宋体" w:cs="宋体"/>
          <w:color w:val="auto"/>
          <w:spacing w:val="0"/>
          <w:kern w:val="0"/>
          <w:sz w:val="24"/>
          <w:szCs w:val="21"/>
          <w:highlight w:val="none"/>
          <w:lang w:val="en-US" w:eastAsia="zh-CN" w:bidi="ar-SA"/>
        </w:rPr>
        <w:t>获取</w:t>
      </w:r>
      <w:r>
        <w:rPr>
          <w:rFonts w:hint="eastAsia" w:ascii="宋体" w:hAnsi="宋体" w:cs="宋体"/>
          <w:color w:val="auto"/>
          <w:kern w:val="0"/>
          <w:sz w:val="24"/>
          <w:szCs w:val="24"/>
          <w:highlight w:val="none"/>
          <w:lang w:bidi="ar"/>
        </w:rPr>
        <w:t>招标文件，并于</w:t>
      </w:r>
      <w:r>
        <w:rPr>
          <w:rFonts w:hint="eastAsia" w:ascii="宋体" w:hAnsi="宋体" w:cs="宋体"/>
          <w:color w:val="auto"/>
          <w:kern w:val="0"/>
          <w:sz w:val="24"/>
          <w:szCs w:val="24"/>
          <w:highlight w:val="none"/>
          <w:lang w:eastAsia="zh-CN" w:bidi="ar"/>
        </w:rPr>
        <w:t>2024年11月11日9时00分</w:t>
      </w:r>
      <w:r>
        <w:rPr>
          <w:rFonts w:hint="eastAsia" w:ascii="宋体" w:hAnsi="宋体" w:cs="宋体"/>
          <w:color w:val="auto"/>
          <w:kern w:val="0"/>
          <w:sz w:val="24"/>
          <w:szCs w:val="24"/>
          <w:highlight w:val="none"/>
          <w:lang w:bidi="ar"/>
        </w:rPr>
        <w:t>（北京时间）前提交投标文件。</w:t>
      </w:r>
    </w:p>
    <w:p w14:paraId="2EE34721">
      <w:pPr>
        <w:autoSpaceDE w:val="0"/>
        <w:spacing w:line="440" w:lineRule="exact"/>
        <w:rPr>
          <w:rFonts w:hint="eastAsia" w:ascii="宋体" w:hAnsi="宋体" w:cs="宋体"/>
          <w:b/>
          <w:color w:val="auto"/>
          <w:kern w:val="0"/>
          <w:sz w:val="24"/>
          <w:szCs w:val="24"/>
          <w:highlight w:val="none"/>
        </w:rPr>
      </w:pPr>
      <w:r>
        <w:rPr>
          <w:rFonts w:hint="eastAsia" w:ascii="宋体" w:hAnsi="宋体" w:cs="宋体"/>
          <w:b/>
          <w:color w:val="auto"/>
          <w:kern w:val="0"/>
          <w:sz w:val="24"/>
          <w:szCs w:val="24"/>
          <w:highlight w:val="none"/>
          <w:lang w:bidi="ar"/>
        </w:rPr>
        <w:t>一、项目基本情况</w:t>
      </w:r>
    </w:p>
    <w:p w14:paraId="5CBE80AA">
      <w:pPr>
        <w:autoSpaceDE w:val="0"/>
        <w:spacing w:line="440" w:lineRule="exact"/>
        <w:ind w:firstLine="480" w:firstLineChars="200"/>
        <w:jc w:val="left"/>
        <w:rPr>
          <w:rFonts w:hint="eastAsia" w:ascii="宋体" w:hAnsi="宋体" w:eastAsia="宋体" w:cs="宋体"/>
          <w:color w:val="auto"/>
          <w:kern w:val="0"/>
          <w:sz w:val="24"/>
          <w:szCs w:val="24"/>
          <w:highlight w:val="yellow"/>
          <w:lang w:bidi="ar"/>
        </w:rPr>
      </w:pPr>
      <w:r>
        <w:rPr>
          <w:rFonts w:hint="eastAsia" w:ascii="宋体" w:hAnsi="宋体" w:cs="宋体"/>
          <w:color w:val="auto"/>
          <w:kern w:val="0"/>
          <w:sz w:val="24"/>
          <w:szCs w:val="24"/>
          <w:highlight w:val="none"/>
          <w:lang w:bidi="ar"/>
        </w:rPr>
        <w:t>1.项目编</w:t>
      </w:r>
      <w:r>
        <w:rPr>
          <w:rFonts w:hint="eastAsia" w:ascii="宋体" w:hAnsi="宋体" w:eastAsia="宋体" w:cs="宋体"/>
          <w:color w:val="auto"/>
          <w:kern w:val="0"/>
          <w:sz w:val="24"/>
          <w:szCs w:val="24"/>
          <w:highlight w:val="none"/>
          <w:lang w:bidi="ar"/>
        </w:rPr>
        <w:t>号：采购计划-[2024]-00509号-HXDR20241001</w:t>
      </w:r>
      <w:r>
        <w:rPr>
          <w:rFonts w:hint="eastAsia" w:ascii="宋体" w:hAnsi="宋体" w:cs="宋体"/>
          <w:color w:val="auto"/>
          <w:kern w:val="0"/>
          <w:sz w:val="24"/>
          <w:szCs w:val="24"/>
          <w:highlight w:val="none"/>
          <w:lang w:bidi="ar"/>
        </w:rPr>
        <w:t>；</w:t>
      </w:r>
    </w:p>
    <w:p w14:paraId="604AD92F">
      <w:pPr>
        <w:autoSpaceDE w:val="0"/>
        <w:spacing w:line="440" w:lineRule="exact"/>
        <w:ind w:firstLine="480" w:firstLineChars="200"/>
        <w:jc w:val="left"/>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2.项目名称：</w:t>
      </w:r>
      <w:r>
        <w:rPr>
          <w:rFonts w:hint="eastAsia" w:ascii="宋体" w:hAnsi="宋体" w:cs="宋体"/>
          <w:color w:val="auto"/>
          <w:kern w:val="0"/>
          <w:sz w:val="24"/>
          <w:szCs w:val="24"/>
          <w:highlight w:val="none"/>
          <w:lang w:val="en-US" w:eastAsia="zh-CN" w:bidi="ar"/>
        </w:rPr>
        <w:t>吉林市第六人民医院购置高效液相色谱串联质谱设备</w:t>
      </w:r>
      <w:r>
        <w:rPr>
          <w:rFonts w:hint="eastAsia" w:ascii="宋体" w:hAnsi="宋体" w:eastAsia="宋体" w:cs="宋体"/>
          <w:color w:val="auto"/>
          <w:kern w:val="0"/>
          <w:sz w:val="24"/>
          <w:szCs w:val="24"/>
          <w:highlight w:val="none"/>
          <w:lang w:bidi="ar"/>
        </w:rPr>
        <w:t>；</w:t>
      </w:r>
    </w:p>
    <w:p w14:paraId="4F5D7284">
      <w:pPr>
        <w:autoSpaceDE w:val="0"/>
        <w:spacing w:line="440" w:lineRule="exact"/>
        <w:ind w:firstLine="480" w:firstLineChars="200"/>
        <w:jc w:val="left"/>
        <w:rPr>
          <w:rFonts w:hint="eastAsia" w:ascii="宋体" w:hAnsi="宋体" w:eastAsia="宋体" w:cs="宋体"/>
          <w:color w:val="FF0000"/>
          <w:kern w:val="0"/>
          <w:sz w:val="24"/>
          <w:szCs w:val="24"/>
          <w:highlight w:val="yellow"/>
          <w:lang w:eastAsia="zh-CN" w:bidi="ar"/>
        </w:rPr>
      </w:pPr>
      <w:r>
        <w:rPr>
          <w:rFonts w:hint="eastAsia" w:ascii="宋体" w:hAnsi="宋体" w:eastAsia="宋体" w:cs="宋体"/>
          <w:color w:val="auto"/>
          <w:kern w:val="0"/>
          <w:sz w:val="24"/>
          <w:szCs w:val="24"/>
          <w:highlight w:val="none"/>
          <w:lang w:bidi="ar"/>
        </w:rPr>
        <w:t>3.采购方式：</w:t>
      </w:r>
      <w:r>
        <w:rPr>
          <w:rFonts w:hint="eastAsia" w:ascii="宋体" w:hAnsi="宋体" w:eastAsia="宋体" w:cs="宋体"/>
          <w:color w:val="auto"/>
          <w:kern w:val="0"/>
          <w:sz w:val="24"/>
          <w:szCs w:val="24"/>
          <w:highlight w:val="none"/>
          <w:lang w:eastAsia="zh-CN" w:bidi="ar"/>
        </w:rPr>
        <w:t>公开招标；</w:t>
      </w:r>
    </w:p>
    <w:p w14:paraId="54406D05">
      <w:pPr>
        <w:autoSpaceDE w:val="0"/>
        <w:spacing w:line="440" w:lineRule="exact"/>
        <w:ind w:firstLine="480" w:firstLineChars="200"/>
        <w:jc w:val="left"/>
        <w:rPr>
          <w:rFonts w:hint="default" w:ascii="宋体" w:hAnsi="宋体" w:eastAsia="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4</w:t>
      </w:r>
      <w:r>
        <w:rPr>
          <w:rFonts w:hint="eastAsia" w:ascii="宋体" w:hAnsi="宋体" w:eastAsia="宋体" w:cs="宋体"/>
          <w:color w:val="auto"/>
          <w:kern w:val="0"/>
          <w:sz w:val="24"/>
          <w:szCs w:val="24"/>
          <w:highlight w:val="none"/>
          <w:lang w:eastAsia="zh-CN" w:bidi="ar"/>
        </w:rPr>
        <w:t>资金来源：</w:t>
      </w:r>
      <w:r>
        <w:rPr>
          <w:rFonts w:hint="eastAsia" w:ascii="宋体" w:hAnsi="宋体" w:cs="宋体"/>
          <w:color w:val="auto"/>
          <w:kern w:val="0"/>
          <w:sz w:val="24"/>
          <w:szCs w:val="24"/>
          <w:highlight w:val="none"/>
          <w:lang w:val="en-US" w:eastAsia="zh-CN" w:bidi="ar"/>
        </w:rPr>
        <w:t>部分财政资金</w:t>
      </w:r>
      <w:r>
        <w:rPr>
          <w:rFonts w:hint="eastAsia" w:ascii="宋体" w:hAnsi="宋体" w:eastAsia="宋体" w:cs="宋体"/>
          <w:color w:val="auto"/>
          <w:kern w:val="0"/>
          <w:sz w:val="24"/>
          <w:szCs w:val="24"/>
          <w:highlight w:val="none"/>
          <w:lang w:eastAsia="zh-CN" w:bidi="ar"/>
        </w:rPr>
        <w:t>；</w:t>
      </w:r>
    </w:p>
    <w:p w14:paraId="780FC997">
      <w:pPr>
        <w:autoSpaceDE w:val="0"/>
        <w:spacing w:line="440" w:lineRule="exact"/>
        <w:ind w:firstLine="480" w:firstLineChars="200"/>
        <w:jc w:val="left"/>
        <w:rPr>
          <w:rFonts w:hint="default" w:ascii="宋体" w:hAnsi="宋体" w:eastAsia="宋体" w:cs="宋体"/>
          <w:color w:val="auto"/>
          <w:kern w:val="0"/>
          <w:sz w:val="24"/>
          <w:szCs w:val="24"/>
          <w:highlight w:val="yellow"/>
          <w:lang w:val="en-US" w:eastAsia="zh-CN" w:bidi="ar"/>
        </w:rPr>
      </w:pPr>
      <w:r>
        <w:rPr>
          <w:rFonts w:hint="eastAsia" w:ascii="宋体" w:hAnsi="宋体" w:cs="宋体"/>
          <w:color w:val="auto"/>
          <w:kern w:val="0"/>
          <w:sz w:val="24"/>
          <w:szCs w:val="24"/>
          <w:highlight w:val="none"/>
          <w:lang w:val="en-US" w:eastAsia="zh-CN" w:bidi="ar"/>
        </w:rPr>
        <w:t>5.</w:t>
      </w:r>
      <w:r>
        <w:rPr>
          <w:rFonts w:hint="eastAsia" w:ascii="宋体" w:hAnsi="宋体" w:eastAsia="宋体" w:cs="宋体"/>
          <w:color w:val="auto"/>
          <w:kern w:val="0"/>
          <w:sz w:val="24"/>
          <w:szCs w:val="24"/>
          <w:highlight w:val="none"/>
          <w:lang w:eastAsia="zh-CN" w:bidi="ar"/>
        </w:rPr>
        <w:t>采购预算：</w:t>
      </w:r>
      <w:r>
        <w:rPr>
          <w:rFonts w:hint="eastAsia" w:ascii="宋体" w:hAnsi="宋体" w:cs="宋体"/>
          <w:color w:val="auto"/>
          <w:kern w:val="0"/>
          <w:sz w:val="24"/>
          <w:szCs w:val="24"/>
          <w:highlight w:val="none"/>
          <w:lang w:val="en-US" w:eastAsia="zh-CN" w:bidi="ar"/>
        </w:rPr>
        <w:t>160万元（最高限价）</w:t>
      </w:r>
      <w:r>
        <w:rPr>
          <w:rFonts w:hint="eastAsia" w:ascii="宋体" w:hAnsi="宋体" w:eastAsia="宋体" w:cs="宋体"/>
          <w:color w:val="auto"/>
          <w:kern w:val="0"/>
          <w:sz w:val="24"/>
          <w:szCs w:val="24"/>
          <w:highlight w:val="none"/>
          <w:lang w:eastAsia="zh-CN" w:bidi="ar"/>
        </w:rPr>
        <w:t>；</w:t>
      </w:r>
    </w:p>
    <w:p w14:paraId="2541A96A">
      <w:pPr>
        <w:autoSpaceDE w:val="0"/>
        <w:spacing w:line="440" w:lineRule="exact"/>
        <w:ind w:firstLine="480" w:firstLineChars="200"/>
        <w:jc w:val="left"/>
        <w:rPr>
          <w:rFonts w:hint="eastAsia" w:ascii="宋体" w:hAnsi="宋体" w:cs="宋体"/>
          <w:color w:val="auto"/>
          <w:kern w:val="0"/>
          <w:sz w:val="24"/>
          <w:szCs w:val="24"/>
          <w:highlight w:val="none"/>
          <w:lang w:bidi="ar"/>
        </w:rPr>
      </w:pPr>
      <w:r>
        <w:rPr>
          <w:rFonts w:hint="eastAsia" w:ascii="宋体" w:hAnsi="宋体" w:cs="宋体"/>
          <w:color w:val="auto"/>
          <w:kern w:val="0"/>
          <w:sz w:val="24"/>
          <w:szCs w:val="24"/>
          <w:highlight w:val="none"/>
          <w:lang w:val="en-US" w:eastAsia="zh-CN" w:bidi="ar"/>
        </w:rPr>
        <w:t>6</w:t>
      </w:r>
      <w:r>
        <w:rPr>
          <w:rFonts w:hint="eastAsia" w:ascii="宋体" w:hAnsi="宋体" w:cs="宋体"/>
          <w:color w:val="auto"/>
          <w:kern w:val="0"/>
          <w:sz w:val="24"/>
          <w:szCs w:val="24"/>
          <w:highlight w:val="none"/>
          <w:lang w:bidi="ar"/>
        </w:rPr>
        <w:t>.采购需求：</w:t>
      </w:r>
      <w:r>
        <w:rPr>
          <w:rFonts w:hint="eastAsia" w:ascii="宋体" w:hAnsi="宋体" w:cs="宋体"/>
          <w:color w:val="auto"/>
          <w:kern w:val="0"/>
          <w:sz w:val="24"/>
          <w:szCs w:val="24"/>
          <w:highlight w:val="none"/>
          <w:lang w:val="en-US" w:eastAsia="zh-CN" w:bidi="ar"/>
        </w:rPr>
        <w:t>购置高效液相色谱串联质谱设备1套，详见招标文件 “第四部分 采购需求 ”。</w:t>
      </w:r>
    </w:p>
    <w:p w14:paraId="15068E85">
      <w:pPr>
        <w:autoSpaceDE w:val="0"/>
        <w:spacing w:line="440" w:lineRule="exact"/>
        <w:ind w:firstLine="480" w:firstLineChars="200"/>
        <w:jc w:val="left"/>
        <w:rPr>
          <w:rFonts w:hint="eastAsia" w:ascii="宋体" w:hAnsi="宋体" w:cs="宋体"/>
          <w:color w:val="auto"/>
          <w:kern w:val="0"/>
          <w:sz w:val="24"/>
          <w:szCs w:val="24"/>
          <w:highlight w:val="none"/>
          <w:lang w:bidi="ar"/>
        </w:rPr>
      </w:pPr>
      <w:r>
        <w:rPr>
          <w:rFonts w:hint="eastAsia" w:ascii="宋体" w:hAnsi="宋体" w:cs="宋体"/>
          <w:color w:val="auto"/>
          <w:kern w:val="0"/>
          <w:sz w:val="24"/>
          <w:szCs w:val="24"/>
          <w:highlight w:val="none"/>
          <w:lang w:val="en-US" w:eastAsia="zh-CN" w:bidi="ar"/>
        </w:rPr>
        <w:t>7</w:t>
      </w:r>
      <w:r>
        <w:rPr>
          <w:rFonts w:hint="eastAsia" w:ascii="宋体" w:hAnsi="宋体" w:cs="宋体"/>
          <w:color w:val="auto"/>
          <w:kern w:val="0"/>
          <w:sz w:val="24"/>
          <w:szCs w:val="24"/>
          <w:highlight w:val="none"/>
          <w:lang w:bidi="ar"/>
        </w:rPr>
        <w:t>.质量标准：符合国家及相关行业合格标准；</w:t>
      </w:r>
    </w:p>
    <w:p w14:paraId="40059D0D">
      <w:pPr>
        <w:autoSpaceDE w:val="0"/>
        <w:spacing w:line="440" w:lineRule="exact"/>
        <w:ind w:firstLine="480" w:firstLineChars="200"/>
        <w:jc w:val="left"/>
        <w:rPr>
          <w:rFonts w:hint="eastAsia" w:ascii="宋体" w:hAnsi="宋体" w:cs="宋体"/>
          <w:color w:val="auto"/>
          <w:kern w:val="0"/>
          <w:sz w:val="24"/>
          <w:szCs w:val="24"/>
          <w:highlight w:val="none"/>
          <w:lang w:bidi="ar"/>
        </w:rPr>
      </w:pPr>
      <w:r>
        <w:rPr>
          <w:rFonts w:hint="eastAsia" w:ascii="宋体" w:hAnsi="宋体" w:cs="宋体"/>
          <w:color w:val="auto"/>
          <w:kern w:val="0"/>
          <w:sz w:val="24"/>
          <w:szCs w:val="24"/>
          <w:highlight w:val="none"/>
          <w:lang w:val="en-US" w:eastAsia="zh-CN" w:bidi="ar"/>
        </w:rPr>
        <w:t>8</w:t>
      </w:r>
      <w:r>
        <w:rPr>
          <w:rFonts w:hint="eastAsia" w:ascii="宋体" w:hAnsi="宋体" w:cs="宋体"/>
          <w:color w:val="auto"/>
          <w:kern w:val="0"/>
          <w:sz w:val="24"/>
          <w:szCs w:val="24"/>
          <w:highlight w:val="none"/>
          <w:lang w:bidi="ar"/>
        </w:rPr>
        <w:t xml:space="preserve">.供货期：自合同签订之日起 </w:t>
      </w:r>
      <w:r>
        <w:rPr>
          <w:rFonts w:hint="eastAsia" w:ascii="宋体" w:hAnsi="宋体" w:cs="宋体"/>
          <w:color w:val="auto"/>
          <w:kern w:val="0"/>
          <w:sz w:val="24"/>
          <w:szCs w:val="24"/>
          <w:highlight w:val="none"/>
          <w:lang w:val="en-US" w:eastAsia="zh-CN" w:bidi="ar"/>
        </w:rPr>
        <w:t>60日历日</w:t>
      </w:r>
      <w:r>
        <w:rPr>
          <w:rFonts w:hint="eastAsia" w:ascii="宋体" w:hAnsi="宋体" w:cs="宋体"/>
          <w:color w:val="auto"/>
          <w:kern w:val="0"/>
          <w:sz w:val="24"/>
          <w:szCs w:val="24"/>
          <w:highlight w:val="none"/>
          <w:lang w:bidi="ar"/>
        </w:rPr>
        <w:t>内完成供货并安装调试完毕；</w:t>
      </w:r>
    </w:p>
    <w:p w14:paraId="752DE74C">
      <w:pPr>
        <w:autoSpaceDE w:val="0"/>
        <w:spacing w:line="440" w:lineRule="exact"/>
        <w:ind w:firstLine="480" w:firstLineChars="200"/>
        <w:jc w:val="left"/>
        <w:rPr>
          <w:rFonts w:hint="eastAsia" w:ascii="宋体" w:hAnsi="宋体" w:cs="宋体"/>
          <w:color w:val="auto"/>
          <w:kern w:val="0"/>
          <w:sz w:val="24"/>
          <w:szCs w:val="24"/>
          <w:highlight w:val="none"/>
          <w:lang w:bidi="ar"/>
        </w:rPr>
      </w:pPr>
      <w:r>
        <w:rPr>
          <w:rFonts w:hint="eastAsia" w:ascii="宋体" w:hAnsi="宋体" w:cs="宋体"/>
          <w:color w:val="auto"/>
          <w:kern w:val="0"/>
          <w:sz w:val="24"/>
          <w:szCs w:val="24"/>
          <w:highlight w:val="none"/>
          <w:lang w:val="en-US" w:eastAsia="zh-CN" w:bidi="ar"/>
        </w:rPr>
        <w:t>9</w:t>
      </w:r>
      <w:r>
        <w:rPr>
          <w:rFonts w:hint="eastAsia" w:ascii="宋体" w:hAnsi="宋体" w:cs="宋体"/>
          <w:color w:val="auto"/>
          <w:kern w:val="0"/>
          <w:sz w:val="24"/>
          <w:szCs w:val="24"/>
          <w:highlight w:val="none"/>
          <w:lang w:bidi="ar"/>
        </w:rPr>
        <w:t>.供货地点：</w:t>
      </w:r>
      <w:r>
        <w:rPr>
          <w:rFonts w:hint="eastAsia" w:ascii="宋体" w:hAnsi="宋体" w:cs="宋体"/>
          <w:color w:val="auto"/>
          <w:kern w:val="0"/>
          <w:sz w:val="24"/>
          <w:szCs w:val="24"/>
          <w:highlight w:val="none"/>
          <w:lang w:eastAsia="zh-CN" w:bidi="ar"/>
        </w:rPr>
        <w:t>吉林市第六人民医院</w:t>
      </w:r>
      <w:r>
        <w:rPr>
          <w:rFonts w:hint="eastAsia" w:ascii="宋体" w:hAnsi="宋体" w:cs="宋体"/>
          <w:color w:val="auto"/>
          <w:kern w:val="0"/>
          <w:sz w:val="24"/>
          <w:szCs w:val="24"/>
          <w:highlight w:val="none"/>
          <w:lang w:bidi="ar"/>
        </w:rPr>
        <w:t>；</w:t>
      </w:r>
    </w:p>
    <w:p w14:paraId="3E838183">
      <w:pPr>
        <w:autoSpaceDE w:val="0"/>
        <w:spacing w:line="440" w:lineRule="exact"/>
        <w:ind w:firstLine="480" w:firstLineChars="200"/>
        <w:jc w:val="left"/>
        <w:rPr>
          <w:rFonts w:hint="eastAsia" w:ascii="宋体" w:hAnsi="宋体" w:cs="宋体"/>
          <w:color w:val="auto"/>
          <w:kern w:val="0"/>
          <w:sz w:val="24"/>
          <w:szCs w:val="24"/>
          <w:highlight w:val="none"/>
          <w:lang w:bidi="ar"/>
        </w:rPr>
      </w:pPr>
      <w:r>
        <w:rPr>
          <w:rFonts w:hint="eastAsia" w:ascii="宋体" w:hAnsi="宋体" w:cs="宋体"/>
          <w:color w:val="auto"/>
          <w:kern w:val="0"/>
          <w:sz w:val="24"/>
          <w:szCs w:val="24"/>
          <w:highlight w:val="none"/>
          <w:lang w:val="en-US" w:eastAsia="zh-CN" w:bidi="ar"/>
        </w:rPr>
        <w:t>10.</w:t>
      </w:r>
      <w:r>
        <w:rPr>
          <w:rFonts w:hint="eastAsia" w:ascii="宋体" w:hAnsi="宋体" w:cs="宋体"/>
          <w:color w:val="auto"/>
          <w:kern w:val="0"/>
          <w:sz w:val="24"/>
          <w:szCs w:val="24"/>
          <w:highlight w:val="none"/>
          <w:lang w:bidi="ar"/>
        </w:rPr>
        <w:t>合同履行期限：自合同签订之日起至合同履行完毕；</w:t>
      </w:r>
    </w:p>
    <w:p w14:paraId="050A3938">
      <w:pPr>
        <w:autoSpaceDE w:val="0"/>
        <w:spacing w:line="440" w:lineRule="exact"/>
        <w:ind w:firstLine="480" w:firstLineChars="200"/>
        <w:jc w:val="left"/>
        <w:rPr>
          <w:rFonts w:hint="eastAsia" w:ascii="宋体" w:hAnsi="宋体" w:cs="宋体"/>
          <w:color w:val="auto"/>
          <w:kern w:val="0"/>
          <w:sz w:val="24"/>
          <w:szCs w:val="24"/>
          <w:highlight w:val="none"/>
          <w:lang w:bidi="ar"/>
        </w:rPr>
      </w:pPr>
      <w:r>
        <w:rPr>
          <w:rFonts w:hint="eastAsia" w:ascii="宋体" w:hAnsi="宋体" w:cs="宋体"/>
          <w:color w:val="auto"/>
          <w:kern w:val="0"/>
          <w:sz w:val="24"/>
          <w:szCs w:val="24"/>
          <w:highlight w:val="none"/>
          <w:lang w:val="en-US" w:eastAsia="zh-CN" w:bidi="ar"/>
        </w:rPr>
        <w:t>11</w:t>
      </w:r>
      <w:r>
        <w:rPr>
          <w:rFonts w:hint="eastAsia" w:ascii="宋体" w:hAnsi="宋体" w:cs="宋体"/>
          <w:color w:val="auto"/>
          <w:kern w:val="0"/>
          <w:sz w:val="24"/>
          <w:szCs w:val="24"/>
          <w:highlight w:val="none"/>
          <w:lang w:bidi="ar"/>
        </w:rPr>
        <w:t>资格审查方式：资格后审；</w:t>
      </w:r>
    </w:p>
    <w:p w14:paraId="25EBE988">
      <w:pPr>
        <w:autoSpaceDE w:val="0"/>
        <w:spacing w:line="440" w:lineRule="exact"/>
        <w:ind w:firstLine="480" w:firstLineChars="200"/>
        <w:jc w:val="left"/>
        <w:rPr>
          <w:rFonts w:hint="eastAsia" w:ascii="宋体" w:hAnsi="宋体" w:cs="宋体"/>
          <w:color w:val="auto"/>
          <w:kern w:val="0"/>
          <w:sz w:val="24"/>
          <w:szCs w:val="24"/>
          <w:highlight w:val="none"/>
          <w:lang w:bidi="ar"/>
        </w:rPr>
      </w:pPr>
      <w:r>
        <w:rPr>
          <w:rFonts w:hint="eastAsia" w:ascii="宋体" w:hAnsi="宋体" w:cs="宋体"/>
          <w:color w:val="auto"/>
          <w:kern w:val="0"/>
          <w:sz w:val="24"/>
          <w:szCs w:val="24"/>
          <w:highlight w:val="none"/>
          <w:lang w:bidi="ar"/>
        </w:rPr>
        <w:t>1</w:t>
      </w:r>
      <w:r>
        <w:rPr>
          <w:rFonts w:hint="eastAsia" w:ascii="宋体" w:hAnsi="宋体" w:cs="宋体"/>
          <w:color w:val="auto"/>
          <w:kern w:val="0"/>
          <w:sz w:val="24"/>
          <w:szCs w:val="24"/>
          <w:highlight w:val="none"/>
          <w:lang w:val="en-US" w:eastAsia="zh-CN" w:bidi="ar"/>
        </w:rPr>
        <w:t>2</w:t>
      </w:r>
      <w:r>
        <w:rPr>
          <w:rFonts w:hint="eastAsia" w:ascii="宋体" w:hAnsi="宋体" w:cs="宋体"/>
          <w:color w:val="auto"/>
          <w:kern w:val="0"/>
          <w:sz w:val="24"/>
          <w:szCs w:val="24"/>
          <w:highlight w:val="none"/>
          <w:lang w:bidi="ar"/>
        </w:rPr>
        <w:t>.本项目不接受联合体。</w:t>
      </w:r>
    </w:p>
    <w:p w14:paraId="60AF6D42">
      <w:pPr>
        <w:autoSpaceDE w:val="0"/>
        <w:spacing w:line="440" w:lineRule="exact"/>
        <w:rPr>
          <w:rFonts w:ascii="宋体" w:hAnsi="宋体" w:cs="宋体"/>
          <w:color w:val="auto"/>
          <w:kern w:val="0"/>
          <w:sz w:val="24"/>
          <w:highlight w:val="none"/>
        </w:rPr>
      </w:pPr>
      <w:r>
        <w:rPr>
          <w:rFonts w:hint="eastAsia" w:ascii="宋体" w:hAnsi="宋体" w:cs="宋体"/>
          <w:b/>
          <w:color w:val="auto"/>
          <w:kern w:val="0"/>
          <w:sz w:val="24"/>
          <w:highlight w:val="none"/>
          <w:lang w:bidi="ar"/>
        </w:rPr>
        <w:t>二、申请人的资格要求</w:t>
      </w:r>
    </w:p>
    <w:p w14:paraId="3C21D154">
      <w:pPr>
        <w:autoSpaceDE w:val="0"/>
        <w:spacing w:line="440" w:lineRule="exact"/>
        <w:ind w:firstLine="241" w:firstLineChars="100"/>
        <w:rPr>
          <w:rFonts w:ascii="宋体" w:hAnsi="宋体" w:cs="宋体"/>
          <w:color w:val="auto"/>
          <w:kern w:val="0"/>
          <w:sz w:val="24"/>
          <w:highlight w:val="none"/>
          <w:lang w:bidi="ar"/>
        </w:rPr>
      </w:pPr>
      <w:r>
        <w:rPr>
          <w:rFonts w:hint="eastAsia" w:ascii="宋体" w:hAnsi="宋体" w:cs="宋体"/>
          <w:b/>
          <w:bCs/>
          <w:color w:val="auto"/>
          <w:kern w:val="0"/>
          <w:sz w:val="24"/>
          <w:highlight w:val="none"/>
          <w:lang w:bidi="ar"/>
        </w:rPr>
        <w:t>1、满足《中华人民共和国政府采购法》第二十二条规定：</w:t>
      </w:r>
    </w:p>
    <w:p w14:paraId="609EFAE9">
      <w:pPr>
        <w:keepNext w:val="0"/>
        <w:keepLines w:val="0"/>
        <w:pageBreakBefore w:val="0"/>
        <w:widowControl w:val="0"/>
        <w:suppressLineNumbers w:val="0"/>
        <w:kinsoku/>
        <w:wordWrap/>
        <w:overflowPunct/>
        <w:topLinePunct w:val="0"/>
        <w:autoSpaceDE w:val="0"/>
        <w:autoSpaceDN/>
        <w:bidi w:val="0"/>
        <w:adjustRightInd/>
        <w:snapToGrid/>
        <w:spacing w:beforeAutospacing="0" w:after="0" w:afterAutospacing="0" w:line="440" w:lineRule="exact"/>
        <w:ind w:left="0" w:right="0" w:firstLine="720" w:firstLineChars="300"/>
        <w:jc w:val="both"/>
        <w:textAlignment w:val="auto"/>
        <w:outlineLvl w:val="9"/>
        <w:rPr>
          <w:rFonts w:hint="eastAsia" w:ascii="宋体" w:hAnsi="宋体" w:eastAsia="宋体" w:cs="宋体"/>
          <w:color w:val="auto"/>
          <w:spacing w:val="0"/>
          <w:kern w:val="0"/>
          <w:sz w:val="24"/>
          <w:szCs w:val="24"/>
          <w:highlight w:val="none"/>
          <w:lang w:val="en-US" w:eastAsia="zh-CN" w:bidi="ar"/>
        </w:rPr>
      </w:pPr>
      <w:r>
        <w:rPr>
          <w:rFonts w:hint="eastAsia" w:ascii="宋体" w:hAnsi="宋体" w:eastAsia="宋体" w:cs="宋体"/>
          <w:color w:val="auto"/>
          <w:spacing w:val="0"/>
          <w:kern w:val="0"/>
          <w:sz w:val="24"/>
          <w:szCs w:val="24"/>
          <w:highlight w:val="none"/>
          <w:lang w:val="en-US" w:eastAsia="zh-CN" w:bidi="ar"/>
        </w:rPr>
        <w:t>(1)具有独立承担民事责任的能力；</w:t>
      </w:r>
    </w:p>
    <w:p w14:paraId="7727025C">
      <w:pPr>
        <w:keepNext w:val="0"/>
        <w:keepLines w:val="0"/>
        <w:pageBreakBefore w:val="0"/>
        <w:widowControl w:val="0"/>
        <w:suppressLineNumbers w:val="0"/>
        <w:kinsoku/>
        <w:wordWrap/>
        <w:overflowPunct/>
        <w:topLinePunct w:val="0"/>
        <w:autoSpaceDE w:val="0"/>
        <w:autoSpaceDN/>
        <w:bidi w:val="0"/>
        <w:adjustRightInd/>
        <w:snapToGrid/>
        <w:spacing w:beforeAutospacing="0" w:after="0" w:afterAutospacing="0" w:line="440" w:lineRule="exact"/>
        <w:ind w:left="0" w:right="0" w:firstLine="720" w:firstLineChars="300"/>
        <w:jc w:val="both"/>
        <w:textAlignment w:val="auto"/>
        <w:outlineLvl w:val="9"/>
        <w:rPr>
          <w:rFonts w:hint="eastAsia" w:ascii="宋体" w:hAnsi="宋体" w:eastAsia="宋体" w:cs="宋体"/>
          <w:color w:val="auto"/>
          <w:spacing w:val="0"/>
          <w:kern w:val="0"/>
          <w:sz w:val="24"/>
          <w:szCs w:val="24"/>
          <w:highlight w:val="none"/>
          <w:lang w:val="en-US" w:eastAsia="zh-CN" w:bidi="ar"/>
        </w:rPr>
      </w:pPr>
      <w:r>
        <w:rPr>
          <w:rFonts w:hint="eastAsia" w:ascii="宋体" w:hAnsi="宋体" w:eastAsia="宋体" w:cs="宋体"/>
          <w:color w:val="auto"/>
          <w:spacing w:val="0"/>
          <w:kern w:val="0"/>
          <w:sz w:val="24"/>
          <w:szCs w:val="24"/>
          <w:highlight w:val="none"/>
          <w:lang w:val="en-US" w:eastAsia="zh-CN" w:bidi="ar"/>
        </w:rPr>
        <w:t>(2)具有良好的商业信誉和健全的财务会计制度；</w:t>
      </w:r>
    </w:p>
    <w:p w14:paraId="3BB0EBEF">
      <w:pPr>
        <w:keepNext w:val="0"/>
        <w:keepLines w:val="0"/>
        <w:pageBreakBefore w:val="0"/>
        <w:widowControl w:val="0"/>
        <w:suppressLineNumbers w:val="0"/>
        <w:kinsoku/>
        <w:wordWrap/>
        <w:overflowPunct/>
        <w:topLinePunct w:val="0"/>
        <w:autoSpaceDE w:val="0"/>
        <w:autoSpaceDN/>
        <w:bidi w:val="0"/>
        <w:adjustRightInd/>
        <w:snapToGrid/>
        <w:spacing w:beforeAutospacing="0" w:after="0" w:afterAutospacing="0" w:line="440" w:lineRule="exact"/>
        <w:ind w:left="0" w:right="0" w:firstLine="720" w:firstLineChars="300"/>
        <w:jc w:val="both"/>
        <w:textAlignment w:val="auto"/>
        <w:outlineLvl w:val="9"/>
        <w:rPr>
          <w:rFonts w:hint="eastAsia" w:ascii="宋体" w:hAnsi="宋体" w:eastAsia="宋体" w:cs="宋体"/>
          <w:color w:val="auto"/>
          <w:spacing w:val="0"/>
          <w:kern w:val="0"/>
          <w:sz w:val="24"/>
          <w:szCs w:val="24"/>
          <w:highlight w:val="none"/>
          <w:lang w:val="en-US" w:eastAsia="zh-CN" w:bidi="ar"/>
        </w:rPr>
      </w:pPr>
      <w:r>
        <w:rPr>
          <w:rFonts w:hint="eastAsia" w:ascii="宋体" w:hAnsi="宋体" w:eastAsia="宋体" w:cs="宋体"/>
          <w:color w:val="auto"/>
          <w:spacing w:val="0"/>
          <w:kern w:val="0"/>
          <w:sz w:val="24"/>
          <w:szCs w:val="24"/>
          <w:highlight w:val="none"/>
          <w:lang w:val="en-US" w:eastAsia="zh-CN" w:bidi="ar"/>
        </w:rPr>
        <w:t>(3)具有履行合同所必需的设备和专业技术能力；</w:t>
      </w:r>
    </w:p>
    <w:p w14:paraId="0798D91C">
      <w:pPr>
        <w:keepNext w:val="0"/>
        <w:keepLines w:val="0"/>
        <w:pageBreakBefore w:val="0"/>
        <w:widowControl w:val="0"/>
        <w:suppressLineNumbers w:val="0"/>
        <w:kinsoku/>
        <w:wordWrap/>
        <w:overflowPunct/>
        <w:topLinePunct w:val="0"/>
        <w:autoSpaceDE w:val="0"/>
        <w:autoSpaceDN/>
        <w:bidi w:val="0"/>
        <w:adjustRightInd/>
        <w:snapToGrid/>
        <w:spacing w:beforeAutospacing="0" w:after="0" w:afterAutospacing="0" w:line="440" w:lineRule="exact"/>
        <w:ind w:left="0" w:right="0" w:firstLine="720" w:firstLineChars="300"/>
        <w:jc w:val="both"/>
        <w:textAlignment w:val="auto"/>
        <w:outlineLvl w:val="9"/>
        <w:rPr>
          <w:rFonts w:hint="eastAsia" w:ascii="宋体" w:hAnsi="宋体" w:eastAsia="宋体" w:cs="宋体"/>
          <w:color w:val="auto"/>
          <w:spacing w:val="0"/>
          <w:kern w:val="0"/>
          <w:sz w:val="24"/>
          <w:szCs w:val="24"/>
          <w:highlight w:val="none"/>
          <w:lang w:val="en-US" w:eastAsia="zh-CN" w:bidi="ar"/>
        </w:rPr>
      </w:pPr>
      <w:r>
        <w:rPr>
          <w:rFonts w:hint="eastAsia" w:ascii="宋体" w:hAnsi="宋体" w:eastAsia="宋体" w:cs="宋体"/>
          <w:color w:val="auto"/>
          <w:spacing w:val="0"/>
          <w:kern w:val="0"/>
          <w:sz w:val="24"/>
          <w:szCs w:val="24"/>
          <w:highlight w:val="none"/>
          <w:lang w:val="en-US" w:eastAsia="zh-CN" w:bidi="ar"/>
        </w:rPr>
        <w:t>(4)有依法缴纳税收和社会保障资金的良好记录；</w:t>
      </w:r>
    </w:p>
    <w:p w14:paraId="50E7E733">
      <w:pPr>
        <w:keepNext w:val="0"/>
        <w:keepLines w:val="0"/>
        <w:pageBreakBefore w:val="0"/>
        <w:widowControl w:val="0"/>
        <w:suppressLineNumbers w:val="0"/>
        <w:kinsoku/>
        <w:wordWrap/>
        <w:overflowPunct/>
        <w:topLinePunct w:val="0"/>
        <w:autoSpaceDE w:val="0"/>
        <w:autoSpaceDN/>
        <w:bidi w:val="0"/>
        <w:adjustRightInd/>
        <w:snapToGrid/>
        <w:spacing w:beforeAutospacing="0" w:after="0" w:afterAutospacing="0" w:line="440" w:lineRule="exact"/>
        <w:ind w:left="0" w:right="0" w:firstLine="720" w:firstLineChars="300"/>
        <w:jc w:val="both"/>
        <w:textAlignment w:val="auto"/>
        <w:outlineLvl w:val="9"/>
        <w:rPr>
          <w:rFonts w:hint="eastAsia" w:ascii="宋体" w:hAnsi="宋体" w:eastAsia="宋体" w:cs="宋体"/>
          <w:color w:val="auto"/>
          <w:spacing w:val="0"/>
          <w:kern w:val="0"/>
          <w:sz w:val="24"/>
          <w:szCs w:val="24"/>
          <w:highlight w:val="none"/>
          <w:lang w:val="en-US" w:eastAsia="zh-CN" w:bidi="ar"/>
        </w:rPr>
      </w:pPr>
      <w:r>
        <w:rPr>
          <w:rFonts w:hint="eastAsia" w:ascii="宋体" w:hAnsi="宋体" w:eastAsia="宋体" w:cs="宋体"/>
          <w:color w:val="auto"/>
          <w:spacing w:val="0"/>
          <w:kern w:val="0"/>
          <w:sz w:val="24"/>
          <w:szCs w:val="24"/>
          <w:highlight w:val="none"/>
          <w:lang w:val="en-US" w:eastAsia="zh-CN" w:bidi="ar"/>
        </w:rPr>
        <w:t>(5)参加政府采购活动前三年内，在经营活动中没有重大违法记录；</w:t>
      </w:r>
    </w:p>
    <w:p w14:paraId="2BB135E8">
      <w:pPr>
        <w:keepNext w:val="0"/>
        <w:keepLines w:val="0"/>
        <w:pageBreakBefore w:val="0"/>
        <w:widowControl w:val="0"/>
        <w:suppressLineNumbers w:val="0"/>
        <w:kinsoku/>
        <w:wordWrap/>
        <w:overflowPunct/>
        <w:topLinePunct w:val="0"/>
        <w:autoSpaceDE w:val="0"/>
        <w:autoSpaceDN/>
        <w:bidi w:val="0"/>
        <w:adjustRightInd/>
        <w:snapToGrid/>
        <w:spacing w:beforeAutospacing="0" w:after="0" w:afterAutospacing="0" w:line="440" w:lineRule="exact"/>
        <w:ind w:left="0" w:right="0" w:firstLine="720" w:firstLineChars="300"/>
        <w:jc w:val="both"/>
        <w:textAlignment w:val="auto"/>
        <w:outlineLvl w:val="9"/>
        <w:rPr>
          <w:rFonts w:hint="eastAsia" w:ascii="宋体" w:hAnsi="宋体" w:eastAsia="宋体" w:cs="宋体"/>
          <w:color w:val="auto"/>
          <w:spacing w:val="0"/>
          <w:kern w:val="0"/>
          <w:sz w:val="24"/>
          <w:szCs w:val="24"/>
          <w:highlight w:val="none"/>
          <w:lang w:val="en-US" w:eastAsia="zh-CN" w:bidi="ar"/>
        </w:rPr>
      </w:pPr>
      <w:r>
        <w:rPr>
          <w:rFonts w:hint="eastAsia" w:ascii="宋体" w:hAnsi="宋体" w:eastAsia="宋体" w:cs="宋体"/>
          <w:color w:val="auto"/>
          <w:spacing w:val="0"/>
          <w:kern w:val="0"/>
          <w:sz w:val="24"/>
          <w:szCs w:val="24"/>
          <w:highlight w:val="none"/>
          <w:lang w:val="en-US" w:eastAsia="zh-CN" w:bidi="ar"/>
        </w:rPr>
        <w:t>(6)法律、行政法规规定的其他条件。</w:t>
      </w:r>
    </w:p>
    <w:p w14:paraId="2CF95048">
      <w:pPr>
        <w:pStyle w:val="16"/>
        <w:spacing w:before="153" w:line="219" w:lineRule="auto"/>
        <w:ind w:firstLine="241" w:firstLineChars="100"/>
        <w:rPr>
          <w:sz w:val="24"/>
          <w:szCs w:val="24"/>
        </w:rPr>
      </w:pPr>
      <w:r>
        <w:rPr>
          <w:rFonts w:hint="eastAsia" w:ascii="宋体" w:hAnsi="宋体" w:eastAsia="宋体" w:cs="宋体"/>
          <w:b/>
          <w:bCs/>
          <w:color w:val="auto"/>
          <w:spacing w:val="0"/>
          <w:kern w:val="0"/>
          <w:sz w:val="24"/>
          <w:szCs w:val="24"/>
          <w:highlight w:val="none"/>
          <w:lang w:val="en-US" w:eastAsia="zh-CN" w:bidi="ar"/>
        </w:rPr>
        <w:t>2、落实政府采购政策需满足的资格要求：</w:t>
      </w:r>
      <w:r>
        <w:rPr>
          <w:spacing w:val="-1"/>
          <w:sz w:val="24"/>
          <w:szCs w:val="24"/>
        </w:rPr>
        <w:t>本项目为专门</w:t>
      </w:r>
      <w:r>
        <w:rPr>
          <w:spacing w:val="-2"/>
          <w:sz w:val="24"/>
          <w:szCs w:val="24"/>
        </w:rPr>
        <w:t>面向中小企业的项目。</w:t>
      </w:r>
    </w:p>
    <w:p w14:paraId="4FD475EA">
      <w:pPr>
        <w:keepNext w:val="0"/>
        <w:keepLines w:val="0"/>
        <w:pageBreakBefore w:val="0"/>
        <w:widowControl w:val="0"/>
        <w:suppressLineNumbers w:val="0"/>
        <w:kinsoku/>
        <w:wordWrap/>
        <w:overflowPunct/>
        <w:topLinePunct w:val="0"/>
        <w:autoSpaceDE w:val="0"/>
        <w:autoSpaceDN/>
        <w:bidi w:val="0"/>
        <w:adjustRightInd/>
        <w:snapToGrid/>
        <w:spacing w:beforeAutospacing="0" w:after="0" w:afterAutospacing="0" w:line="440" w:lineRule="exact"/>
        <w:ind w:right="0" w:firstLine="241" w:firstLineChars="100"/>
        <w:jc w:val="both"/>
        <w:textAlignment w:val="auto"/>
        <w:outlineLvl w:val="9"/>
        <w:rPr>
          <w:rFonts w:hint="eastAsia" w:ascii="宋体" w:hAnsi="宋体" w:eastAsia="宋体" w:cs="宋体"/>
          <w:b w:val="0"/>
          <w:bCs w:val="0"/>
          <w:color w:val="auto"/>
          <w:spacing w:val="0"/>
          <w:kern w:val="0"/>
          <w:sz w:val="24"/>
          <w:szCs w:val="24"/>
          <w:highlight w:val="none"/>
          <w:lang w:val="en-US" w:eastAsia="zh-CN" w:bidi="ar"/>
        </w:rPr>
      </w:pPr>
      <w:r>
        <w:rPr>
          <w:rFonts w:hint="eastAsia" w:ascii="宋体" w:hAnsi="宋体" w:eastAsia="宋体" w:cs="宋体"/>
          <w:b/>
          <w:bCs/>
          <w:color w:val="auto"/>
          <w:spacing w:val="0"/>
          <w:kern w:val="0"/>
          <w:sz w:val="24"/>
          <w:szCs w:val="24"/>
          <w:highlight w:val="none"/>
          <w:lang w:val="en-US" w:eastAsia="zh-CN" w:bidi="ar"/>
        </w:rPr>
        <w:t>3、本项目的特定资格要求：</w:t>
      </w:r>
    </w:p>
    <w:p w14:paraId="53E9B5EA">
      <w:pPr>
        <w:pStyle w:val="16"/>
        <w:spacing w:before="44" w:line="219" w:lineRule="auto"/>
        <w:ind w:left="824"/>
        <w:rPr>
          <w:spacing w:val="-1"/>
          <w:sz w:val="24"/>
          <w:szCs w:val="24"/>
        </w:rPr>
      </w:pPr>
      <w:r>
        <w:rPr>
          <w:spacing w:val="-1"/>
          <w:sz w:val="24"/>
          <w:szCs w:val="24"/>
        </w:rPr>
        <w:t>3.1</w:t>
      </w:r>
      <w:r>
        <w:rPr>
          <w:spacing w:val="-42"/>
          <w:sz w:val="24"/>
          <w:szCs w:val="24"/>
        </w:rPr>
        <w:t xml:space="preserve"> </w:t>
      </w:r>
      <w:r>
        <w:rPr>
          <w:spacing w:val="-1"/>
          <w:sz w:val="24"/>
          <w:szCs w:val="24"/>
        </w:rPr>
        <w:t>供应商须是具有独立法人资格的企业或其他组织，具有有效营业执照；</w:t>
      </w:r>
    </w:p>
    <w:p w14:paraId="16805A8E">
      <w:pPr>
        <w:pStyle w:val="16"/>
        <w:spacing w:before="87" w:line="264" w:lineRule="auto"/>
        <w:ind w:left="8" w:firstLine="719"/>
        <w:rPr>
          <w:rFonts w:hint="eastAsia" w:ascii="宋体" w:hAnsi="宋体" w:eastAsia="宋体" w:cs="宋体"/>
          <w:color w:val="auto"/>
          <w:spacing w:val="0"/>
          <w:kern w:val="0"/>
          <w:sz w:val="24"/>
          <w:szCs w:val="24"/>
          <w:highlight w:val="none"/>
          <w:lang w:val="en-US" w:eastAsia="zh-CN" w:bidi="ar"/>
        </w:rPr>
      </w:pPr>
      <w:r>
        <w:rPr>
          <w:rFonts w:hint="eastAsia" w:ascii="宋体" w:hAnsi="宋体" w:eastAsia="宋体" w:cs="宋体"/>
          <w:color w:val="auto"/>
          <w:spacing w:val="0"/>
          <w:kern w:val="0"/>
          <w:sz w:val="24"/>
          <w:szCs w:val="24"/>
          <w:highlight w:val="none"/>
          <w:lang w:val="en-US" w:eastAsia="zh-CN" w:bidi="ar"/>
        </w:rPr>
        <w:t>3.2 供应商须具有《医疗器械经营许可证》或《医疗器械生产许可证》或《第二类医疗器械经营备案凭证》；</w:t>
      </w:r>
    </w:p>
    <w:p w14:paraId="41D418E4">
      <w:pPr>
        <w:pStyle w:val="16"/>
        <w:spacing w:before="89" w:line="219" w:lineRule="auto"/>
        <w:ind w:left="734"/>
        <w:rPr>
          <w:sz w:val="24"/>
          <w:szCs w:val="24"/>
        </w:rPr>
      </w:pPr>
      <w:r>
        <w:rPr>
          <w:spacing w:val="-1"/>
          <w:sz w:val="24"/>
          <w:szCs w:val="24"/>
        </w:rPr>
        <w:t>3.3</w:t>
      </w:r>
      <w:r>
        <w:rPr>
          <w:spacing w:val="-48"/>
          <w:sz w:val="24"/>
          <w:szCs w:val="24"/>
        </w:rPr>
        <w:t xml:space="preserve"> </w:t>
      </w:r>
      <w:r>
        <w:rPr>
          <w:spacing w:val="-1"/>
          <w:sz w:val="24"/>
          <w:szCs w:val="24"/>
        </w:rPr>
        <w:t>拒绝列入政府取消投标资格记录期间的企业或个人投标；</w:t>
      </w:r>
    </w:p>
    <w:p w14:paraId="519FDCDE">
      <w:pPr>
        <w:pStyle w:val="16"/>
        <w:spacing w:before="86" w:line="273" w:lineRule="auto"/>
        <w:ind w:left="10" w:right="105" w:firstLine="723"/>
        <w:rPr>
          <w:sz w:val="24"/>
          <w:szCs w:val="24"/>
        </w:rPr>
      </w:pPr>
      <w:r>
        <w:rPr>
          <w:spacing w:val="-2"/>
          <w:sz w:val="24"/>
          <w:szCs w:val="24"/>
        </w:rPr>
        <w:t>3.4</w:t>
      </w:r>
      <w:r>
        <w:rPr>
          <w:spacing w:val="-47"/>
          <w:sz w:val="24"/>
          <w:szCs w:val="24"/>
        </w:rPr>
        <w:t xml:space="preserve"> </w:t>
      </w:r>
      <w:r>
        <w:rPr>
          <w:spacing w:val="-2"/>
          <w:sz w:val="24"/>
          <w:szCs w:val="24"/>
        </w:rPr>
        <w:t>不得为“信用中国</w:t>
      </w:r>
      <w:r>
        <w:rPr>
          <w:spacing w:val="-88"/>
          <w:sz w:val="24"/>
          <w:szCs w:val="24"/>
        </w:rPr>
        <w:t xml:space="preserve"> </w:t>
      </w:r>
      <w:r>
        <w:rPr>
          <w:spacing w:val="-2"/>
          <w:sz w:val="24"/>
          <w:szCs w:val="24"/>
        </w:rPr>
        <w:t>”网站（www.cred</w:t>
      </w:r>
      <w:r>
        <w:rPr>
          <w:spacing w:val="-3"/>
          <w:sz w:val="24"/>
          <w:szCs w:val="24"/>
        </w:rPr>
        <w:t>itchina.gov.cn）中列入失信被执行人和</w:t>
      </w:r>
      <w:r>
        <w:rPr>
          <w:sz w:val="24"/>
          <w:szCs w:val="24"/>
        </w:rPr>
        <w:t xml:space="preserve"> 重大税收违法失信主体供应商；不得为中国政府采购网（www.ccpg.</w:t>
      </w:r>
      <w:r>
        <w:rPr>
          <w:spacing w:val="-1"/>
          <w:sz w:val="24"/>
          <w:szCs w:val="24"/>
        </w:rPr>
        <w:t>gov.cn）政府采购严</w:t>
      </w:r>
      <w:r>
        <w:rPr>
          <w:sz w:val="24"/>
          <w:szCs w:val="24"/>
        </w:rPr>
        <w:t xml:space="preserve"> </w:t>
      </w:r>
      <w:r>
        <w:rPr>
          <w:spacing w:val="-3"/>
          <w:sz w:val="24"/>
          <w:szCs w:val="24"/>
        </w:rPr>
        <w:t>重违法失信行为记录名单中被财政部门禁止参加政府采</w:t>
      </w:r>
      <w:r>
        <w:rPr>
          <w:spacing w:val="-4"/>
          <w:sz w:val="24"/>
          <w:szCs w:val="24"/>
        </w:rPr>
        <w:t>购活动的供应商（在处罚决定规定</w:t>
      </w:r>
      <w:r>
        <w:rPr>
          <w:sz w:val="24"/>
          <w:szCs w:val="24"/>
        </w:rPr>
        <w:t xml:space="preserve"> </w:t>
      </w:r>
      <w:r>
        <w:rPr>
          <w:spacing w:val="-1"/>
          <w:sz w:val="24"/>
          <w:szCs w:val="24"/>
        </w:rPr>
        <w:t>的时间和地域范围内</w:t>
      </w:r>
      <w:r>
        <w:rPr>
          <w:spacing w:val="-3"/>
          <w:sz w:val="24"/>
          <w:szCs w:val="24"/>
        </w:rPr>
        <w:t>）（</w:t>
      </w:r>
      <w:r>
        <w:rPr>
          <w:spacing w:val="-1"/>
          <w:sz w:val="24"/>
          <w:szCs w:val="24"/>
        </w:rPr>
        <w:t>详见财库[2016]125</w:t>
      </w:r>
      <w:r>
        <w:rPr>
          <w:spacing w:val="-42"/>
          <w:sz w:val="24"/>
          <w:szCs w:val="24"/>
        </w:rPr>
        <w:t xml:space="preserve"> </w:t>
      </w:r>
      <w:r>
        <w:rPr>
          <w:spacing w:val="-1"/>
          <w:sz w:val="24"/>
          <w:szCs w:val="24"/>
        </w:rPr>
        <w:t>号</w:t>
      </w:r>
      <w:r>
        <w:rPr>
          <w:spacing w:val="-3"/>
          <w:sz w:val="24"/>
          <w:szCs w:val="24"/>
        </w:rPr>
        <w:t>）；</w:t>
      </w:r>
      <w:r>
        <w:rPr>
          <w:spacing w:val="-1"/>
          <w:sz w:val="24"/>
          <w:szCs w:val="24"/>
        </w:rPr>
        <w:t>在</w:t>
      </w:r>
      <w:r>
        <w:rPr>
          <w:spacing w:val="-48"/>
          <w:sz w:val="24"/>
          <w:szCs w:val="24"/>
        </w:rPr>
        <w:t xml:space="preserve"> </w:t>
      </w:r>
      <w:r>
        <w:rPr>
          <w:spacing w:val="-1"/>
          <w:sz w:val="24"/>
          <w:szCs w:val="24"/>
        </w:rPr>
        <w:t>2020</w:t>
      </w:r>
      <w:r>
        <w:rPr>
          <w:spacing w:val="-50"/>
          <w:sz w:val="24"/>
          <w:szCs w:val="24"/>
        </w:rPr>
        <w:t xml:space="preserve"> </w:t>
      </w:r>
      <w:r>
        <w:rPr>
          <w:spacing w:val="-1"/>
          <w:sz w:val="24"/>
          <w:szCs w:val="24"/>
        </w:rPr>
        <w:t>年至今供应商和其法定代表</w:t>
      </w:r>
      <w:r>
        <w:rPr>
          <w:sz w:val="24"/>
          <w:szCs w:val="24"/>
        </w:rPr>
        <w:t xml:space="preserve"> </w:t>
      </w:r>
      <w:r>
        <w:rPr>
          <w:spacing w:val="-2"/>
          <w:sz w:val="24"/>
          <w:szCs w:val="24"/>
        </w:rPr>
        <w:t>人在“</w:t>
      </w:r>
      <w:r>
        <w:rPr>
          <w:spacing w:val="-82"/>
          <w:sz w:val="24"/>
          <w:szCs w:val="24"/>
        </w:rPr>
        <w:t xml:space="preserve"> </w:t>
      </w:r>
      <w:r>
        <w:rPr>
          <w:spacing w:val="-2"/>
          <w:sz w:val="24"/>
          <w:szCs w:val="24"/>
        </w:rPr>
        <w:t>中国裁判文书网</w:t>
      </w:r>
      <w:r>
        <w:rPr>
          <w:spacing w:val="-88"/>
          <w:sz w:val="24"/>
          <w:szCs w:val="24"/>
        </w:rPr>
        <w:t xml:space="preserve"> </w:t>
      </w:r>
      <w:r>
        <w:rPr>
          <w:spacing w:val="-2"/>
          <w:sz w:val="24"/>
          <w:szCs w:val="24"/>
        </w:rPr>
        <w:t>”(wenshu.court.gov.cn)上无行贿犯罪行为；</w:t>
      </w:r>
    </w:p>
    <w:p w14:paraId="1CB3BB32">
      <w:pPr>
        <w:pStyle w:val="16"/>
        <w:spacing w:before="98" w:line="252" w:lineRule="auto"/>
        <w:ind w:left="13" w:right="105" w:firstLine="720"/>
        <w:rPr>
          <w:sz w:val="24"/>
          <w:szCs w:val="24"/>
        </w:rPr>
      </w:pPr>
      <w:r>
        <w:rPr>
          <w:spacing w:val="-2"/>
          <w:sz w:val="24"/>
          <w:szCs w:val="24"/>
        </w:rPr>
        <w:t>3.5</w:t>
      </w:r>
      <w:r>
        <w:rPr>
          <w:spacing w:val="-49"/>
          <w:sz w:val="24"/>
          <w:szCs w:val="24"/>
        </w:rPr>
        <w:t xml:space="preserve"> </w:t>
      </w:r>
      <w:r>
        <w:rPr>
          <w:spacing w:val="-2"/>
          <w:sz w:val="24"/>
          <w:szCs w:val="24"/>
        </w:rPr>
        <w:t>单位负责人为同一人或者存在直接控股、管理关</w:t>
      </w:r>
      <w:r>
        <w:rPr>
          <w:spacing w:val="-3"/>
          <w:sz w:val="24"/>
          <w:szCs w:val="24"/>
        </w:rPr>
        <w:t>系的不同供应商，不得参加同</w:t>
      </w:r>
      <w:r>
        <w:rPr>
          <w:sz w:val="24"/>
          <w:szCs w:val="24"/>
        </w:rPr>
        <w:t xml:space="preserve"> </w:t>
      </w:r>
      <w:r>
        <w:rPr>
          <w:spacing w:val="-2"/>
          <w:sz w:val="24"/>
          <w:szCs w:val="24"/>
        </w:rPr>
        <w:t>一合同项下的政府采购活动；</w:t>
      </w:r>
    </w:p>
    <w:p w14:paraId="3C27F861">
      <w:pPr>
        <w:autoSpaceDE w:val="0"/>
        <w:spacing w:line="440" w:lineRule="exact"/>
        <w:rPr>
          <w:spacing w:val="-1"/>
          <w:sz w:val="24"/>
          <w:szCs w:val="24"/>
        </w:rPr>
      </w:pPr>
      <w:r>
        <w:rPr>
          <w:spacing w:val="-1"/>
          <w:sz w:val="24"/>
          <w:szCs w:val="24"/>
        </w:rPr>
        <w:t>3.6</w:t>
      </w:r>
      <w:r>
        <w:rPr>
          <w:spacing w:val="-45"/>
          <w:sz w:val="24"/>
          <w:szCs w:val="24"/>
        </w:rPr>
        <w:t xml:space="preserve"> </w:t>
      </w:r>
      <w:r>
        <w:rPr>
          <w:spacing w:val="-1"/>
          <w:sz w:val="24"/>
          <w:szCs w:val="24"/>
        </w:rPr>
        <w:t>参加政府采购活动前三年内，在经营活动中没有重大违法记录。</w:t>
      </w:r>
    </w:p>
    <w:p w14:paraId="064C90CE">
      <w:pPr>
        <w:autoSpaceDE w:val="0"/>
        <w:spacing w:line="440" w:lineRule="exact"/>
        <w:rPr>
          <w:rFonts w:hint="eastAsia" w:ascii="宋体" w:hAnsi="宋体" w:cs="宋体"/>
          <w:b/>
          <w:color w:val="auto"/>
          <w:kern w:val="0"/>
          <w:sz w:val="24"/>
          <w:szCs w:val="24"/>
          <w:highlight w:val="none"/>
        </w:rPr>
      </w:pPr>
      <w:r>
        <w:rPr>
          <w:rFonts w:hint="eastAsia" w:ascii="宋体" w:hAnsi="宋体" w:cs="宋体"/>
          <w:b/>
          <w:color w:val="auto"/>
          <w:kern w:val="0"/>
          <w:sz w:val="24"/>
          <w:szCs w:val="24"/>
          <w:highlight w:val="none"/>
          <w:lang w:bidi="ar"/>
        </w:rPr>
        <w:t>三、获取招标文件</w:t>
      </w:r>
    </w:p>
    <w:p w14:paraId="62BAC650">
      <w:pPr>
        <w:autoSpaceDE w:val="0"/>
        <w:spacing w:line="440" w:lineRule="exact"/>
        <w:ind w:firstLine="480" w:firstLineChars="200"/>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lang w:bidi="ar"/>
        </w:rPr>
        <w:t>时间：</w:t>
      </w:r>
      <w:r>
        <w:rPr>
          <w:rFonts w:hint="eastAsia" w:ascii="宋体" w:hAnsi="宋体" w:cs="宋体"/>
          <w:color w:val="auto"/>
          <w:kern w:val="0"/>
          <w:sz w:val="24"/>
          <w:szCs w:val="24"/>
          <w:highlight w:val="none"/>
          <w:lang w:eastAsia="zh-CN" w:bidi="ar"/>
        </w:rPr>
        <w:t>2024年10月21日至2024年10月28日</w:t>
      </w:r>
      <w:r>
        <w:rPr>
          <w:rFonts w:hint="eastAsia" w:ascii="宋体" w:hAnsi="宋体" w:cs="宋体"/>
          <w:color w:val="auto"/>
          <w:kern w:val="0"/>
          <w:sz w:val="24"/>
          <w:szCs w:val="24"/>
          <w:highlight w:val="none"/>
          <w:lang w:bidi="ar"/>
        </w:rPr>
        <w:t>， 每天上午08:</w:t>
      </w:r>
      <w:r>
        <w:rPr>
          <w:rFonts w:hint="eastAsia" w:ascii="宋体" w:hAnsi="宋体" w:cs="宋体"/>
          <w:color w:val="auto"/>
          <w:kern w:val="0"/>
          <w:sz w:val="24"/>
          <w:szCs w:val="24"/>
          <w:highlight w:val="none"/>
          <w:lang w:val="en-US" w:eastAsia="zh-CN" w:bidi="ar"/>
        </w:rPr>
        <w:t>3</w:t>
      </w:r>
      <w:r>
        <w:rPr>
          <w:rFonts w:hint="eastAsia" w:ascii="宋体" w:hAnsi="宋体" w:cs="宋体"/>
          <w:color w:val="auto"/>
          <w:kern w:val="0"/>
          <w:sz w:val="24"/>
          <w:szCs w:val="24"/>
          <w:highlight w:val="none"/>
          <w:lang w:bidi="ar"/>
        </w:rPr>
        <w:t>0至11:30 ，下午13:</w:t>
      </w:r>
      <w:r>
        <w:rPr>
          <w:rFonts w:hint="eastAsia" w:ascii="宋体" w:hAnsi="宋体" w:cs="宋体"/>
          <w:color w:val="auto"/>
          <w:kern w:val="0"/>
          <w:sz w:val="24"/>
          <w:szCs w:val="24"/>
          <w:highlight w:val="none"/>
          <w:lang w:val="en-US" w:eastAsia="zh-CN" w:bidi="ar"/>
        </w:rPr>
        <w:t>3</w:t>
      </w:r>
      <w:r>
        <w:rPr>
          <w:rFonts w:hint="eastAsia" w:ascii="宋体" w:hAnsi="宋体" w:cs="宋体"/>
          <w:color w:val="auto"/>
          <w:kern w:val="0"/>
          <w:sz w:val="24"/>
          <w:szCs w:val="24"/>
          <w:highlight w:val="none"/>
          <w:lang w:bidi="ar"/>
        </w:rPr>
        <w:t>0至16:00（北京时间，法定节假日除外）</w:t>
      </w:r>
    </w:p>
    <w:p w14:paraId="1D3A18A2">
      <w:pPr>
        <w:autoSpaceDE w:val="0"/>
        <w:spacing w:line="440" w:lineRule="exact"/>
        <w:ind w:firstLine="480" w:firstLineChars="200"/>
        <w:rPr>
          <w:rFonts w:hint="eastAsia" w:ascii="宋体" w:hAnsi="宋体" w:cs="宋体"/>
          <w:color w:val="auto"/>
          <w:kern w:val="0"/>
          <w:sz w:val="24"/>
          <w:szCs w:val="24"/>
          <w:highlight w:val="none"/>
          <w:lang w:bidi="ar"/>
        </w:rPr>
      </w:pPr>
      <w:r>
        <w:rPr>
          <w:rFonts w:hint="eastAsia" w:ascii="宋体" w:hAnsi="宋体" w:cs="宋体"/>
          <w:color w:val="auto"/>
          <w:kern w:val="0"/>
          <w:sz w:val="24"/>
          <w:szCs w:val="24"/>
          <w:highlight w:val="none"/>
          <w:lang w:bidi="ar"/>
        </w:rPr>
        <w:t>地点：</w:t>
      </w:r>
      <w:r>
        <w:rPr>
          <w:rFonts w:hint="eastAsia" w:ascii="宋体" w:hAnsi="宋体" w:eastAsia="宋体" w:cs="宋体"/>
          <w:color w:val="auto"/>
          <w:sz w:val="24"/>
          <w:highlight w:val="none"/>
          <w:lang w:val="en-US" w:eastAsia="zh-CN"/>
        </w:rPr>
        <w:t>“政采云”平台（https://www.zcygov.cn）</w:t>
      </w:r>
    </w:p>
    <w:p w14:paraId="6AA7C17B">
      <w:pPr>
        <w:autoSpaceDE w:val="0"/>
        <w:spacing w:line="440" w:lineRule="exact"/>
        <w:ind w:firstLine="480" w:firstLineChars="200"/>
        <w:rPr>
          <w:rFonts w:hint="eastAsia" w:ascii="宋体" w:hAnsi="宋体" w:eastAsia="宋体" w:cs="宋体"/>
          <w:color w:val="auto"/>
          <w:sz w:val="24"/>
          <w:highlight w:val="none"/>
          <w:lang w:val="zh-CN" w:eastAsia="zh-CN"/>
        </w:rPr>
      </w:pPr>
      <w:r>
        <w:rPr>
          <w:rFonts w:hint="eastAsia" w:ascii="宋体" w:hAnsi="宋体" w:eastAsia="宋体" w:cs="宋体"/>
          <w:color w:val="auto"/>
          <w:sz w:val="24"/>
          <w:highlight w:val="none"/>
          <w:lang w:val="en-US" w:eastAsia="zh-CN"/>
        </w:rPr>
        <w:t>方式：拟参与本项目的供应商，首先在“政采云”平台上免费进行供应商注册（“政采云”供应商注册流程：https://middle.zcygov.cn/v-settle-front/registry），注册后可在“政采云”平台免费</w:t>
      </w:r>
      <w:r>
        <w:rPr>
          <w:rFonts w:hint="eastAsia" w:ascii="宋体" w:hAnsi="宋体" w:eastAsia="宋体" w:cs="宋体"/>
          <w:color w:val="auto"/>
          <w:sz w:val="24"/>
          <w:highlight w:val="none"/>
          <w:lang w:val="zh-CN" w:eastAsia="zh-CN"/>
        </w:rPr>
        <w:t>自行下载招标文件（下载地址：http://</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lang w:val="en-US" w:eastAsia="zh-CN"/>
        </w:rPr>
        <w:fldChar w:fldCharType="begin"/>
      </w:r>
      <w:r>
        <w:rPr>
          <w:rFonts w:hint="eastAsia" w:ascii="宋体" w:hAnsi="宋体" w:eastAsia="宋体" w:cs="宋体"/>
          <w:color w:val="auto"/>
          <w:sz w:val="24"/>
          <w:highlight w:val="none"/>
          <w:lang w:val="en-US" w:eastAsia="zh-CN"/>
        </w:rPr>
        <w:instrText xml:space="preserve"> HYPERLINK "http://www.zcygov.cn）征集文件。" </w:instrText>
      </w:r>
      <w:r>
        <w:rPr>
          <w:rFonts w:hint="eastAsia" w:ascii="宋体" w:hAnsi="宋体" w:eastAsia="宋体" w:cs="宋体"/>
          <w:color w:val="auto"/>
          <w:sz w:val="24"/>
          <w:highlight w:val="none"/>
          <w:lang w:val="en-US" w:eastAsia="zh-CN"/>
        </w:rPr>
        <w:fldChar w:fldCharType="separate"/>
      </w:r>
      <w:r>
        <w:rPr>
          <w:rFonts w:hint="eastAsia" w:ascii="宋体" w:hAnsi="宋体" w:eastAsia="宋体" w:cs="宋体"/>
          <w:color w:val="auto"/>
          <w:sz w:val="24"/>
          <w:highlight w:val="none"/>
          <w:lang w:val="en-US" w:eastAsia="zh-CN"/>
        </w:rPr>
        <w:t>www.zcygov.cn</w:t>
      </w:r>
      <w:r>
        <w:rPr>
          <w:rFonts w:hint="eastAsia" w:ascii="宋体" w:hAnsi="宋体" w:eastAsia="宋体" w:cs="宋体"/>
          <w:color w:val="auto"/>
          <w:sz w:val="24"/>
          <w:highlight w:val="none"/>
          <w:lang w:val="en-US" w:eastAsia="zh-CN"/>
        </w:rPr>
        <w:fldChar w:fldCharType="end"/>
      </w:r>
      <w:r>
        <w:rPr>
          <w:rFonts w:hint="eastAsia" w:ascii="宋体" w:hAnsi="宋体" w:eastAsia="宋体" w:cs="宋体"/>
          <w:color w:val="auto"/>
          <w:sz w:val="24"/>
          <w:highlight w:val="none"/>
          <w:lang w:val="en-US" w:eastAsia="zh-CN"/>
        </w:rPr>
        <w:t>；</w:t>
      </w:r>
      <w:r>
        <w:rPr>
          <w:rFonts w:hint="eastAsia" w:ascii="宋体" w:hAnsi="宋体" w:eastAsia="宋体" w:cs="宋体"/>
          <w:color w:val="auto"/>
          <w:sz w:val="24"/>
          <w:highlight w:val="none"/>
          <w:lang w:val="zh-CN" w:eastAsia="zh-CN"/>
        </w:rPr>
        <w:t>下载</w:t>
      </w:r>
      <w:r>
        <w:rPr>
          <w:rFonts w:hint="eastAsia" w:ascii="宋体" w:hAnsi="宋体" w:eastAsia="宋体" w:cs="宋体"/>
          <w:color w:val="auto"/>
          <w:sz w:val="24"/>
          <w:highlight w:val="none"/>
          <w:lang w:val="en-US" w:eastAsia="zh-CN"/>
        </w:rPr>
        <w:t>招标文件</w:t>
      </w:r>
      <w:r>
        <w:rPr>
          <w:rFonts w:hint="eastAsia" w:ascii="宋体" w:hAnsi="宋体" w:eastAsia="宋体" w:cs="宋体"/>
          <w:color w:val="auto"/>
          <w:sz w:val="24"/>
          <w:highlight w:val="none"/>
          <w:lang w:val="zh-CN" w:eastAsia="zh-CN"/>
        </w:rPr>
        <w:t>操作路径：登录“政采云”平台-</w:t>
      </w:r>
      <w:r>
        <w:rPr>
          <w:rFonts w:hint="eastAsia" w:ascii="宋体" w:hAnsi="宋体" w:eastAsia="宋体" w:cs="宋体"/>
          <w:color w:val="auto"/>
          <w:sz w:val="24"/>
          <w:highlight w:val="none"/>
          <w:lang w:val="en-US" w:eastAsia="zh-CN"/>
        </w:rPr>
        <w:t>登录账号-我的工作台-项目采购-获取采购文件</w:t>
      </w:r>
      <w:r>
        <w:rPr>
          <w:rFonts w:hint="eastAsia" w:ascii="宋体" w:hAnsi="宋体" w:eastAsia="宋体" w:cs="宋体"/>
          <w:color w:val="auto"/>
          <w:sz w:val="24"/>
          <w:highlight w:val="none"/>
          <w:lang w:val="zh-CN" w:eastAsia="zh-CN"/>
        </w:rPr>
        <w:t>-找到本项目-点击“申请获取文件”）。</w:t>
      </w:r>
    </w:p>
    <w:p w14:paraId="2288CAF1">
      <w:pPr>
        <w:autoSpaceDE w:val="0"/>
        <w:spacing w:line="440" w:lineRule="exact"/>
        <w:ind w:firstLine="480" w:firstLineChars="200"/>
        <w:rPr>
          <w:rFonts w:hint="eastAsia"/>
          <w:lang w:val="en-US" w:eastAsia="zh-CN"/>
        </w:rPr>
      </w:pPr>
      <w:r>
        <w:rPr>
          <w:rFonts w:hint="eastAsia" w:ascii="宋体" w:hAnsi="宋体" w:eastAsia="宋体" w:cs="宋体"/>
          <w:color w:val="auto"/>
          <w:sz w:val="24"/>
          <w:highlight w:val="none"/>
          <w:lang w:val="zh-CN" w:eastAsia="zh-CN"/>
        </w:rPr>
        <w:t>供应商根据免费下载的招标文件内容决定是否参与本次投标活动，如确定参与本次投标活动，请于本项目投标文件提交截止时间前按招标文件中规定的方式缴存投标保证金或提交保函，未按上述要求办理的，评审时一律按无效文件处理。</w:t>
      </w:r>
    </w:p>
    <w:p w14:paraId="01CB941D">
      <w:pPr>
        <w:autoSpaceDE w:val="0"/>
        <w:spacing w:line="440" w:lineRule="exact"/>
        <w:ind w:firstLine="480" w:firstLineChars="200"/>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lang w:bidi="ar"/>
        </w:rPr>
        <w:t>售价：0</w:t>
      </w:r>
      <w:r>
        <w:rPr>
          <w:rFonts w:hint="eastAsia" w:ascii="宋体" w:hAnsi="宋体" w:cs="宋体"/>
          <w:color w:val="auto"/>
          <w:kern w:val="0"/>
          <w:sz w:val="24"/>
          <w:szCs w:val="24"/>
          <w:highlight w:val="none"/>
          <w:lang w:val="en-US" w:eastAsia="zh-CN" w:bidi="ar"/>
        </w:rPr>
        <w:t>.00元</w:t>
      </w:r>
    </w:p>
    <w:p w14:paraId="45E14A5F">
      <w:pPr>
        <w:autoSpaceDE w:val="0"/>
        <w:spacing w:line="440" w:lineRule="exact"/>
        <w:rPr>
          <w:rFonts w:hint="eastAsia" w:ascii="宋体" w:hAnsi="宋体" w:cs="宋体"/>
          <w:b/>
          <w:color w:val="auto"/>
          <w:kern w:val="0"/>
          <w:sz w:val="24"/>
          <w:szCs w:val="24"/>
          <w:highlight w:val="none"/>
        </w:rPr>
      </w:pPr>
      <w:r>
        <w:rPr>
          <w:rFonts w:hint="eastAsia" w:ascii="宋体" w:hAnsi="宋体" w:cs="宋体"/>
          <w:b/>
          <w:color w:val="auto"/>
          <w:kern w:val="0"/>
          <w:sz w:val="24"/>
          <w:szCs w:val="24"/>
          <w:highlight w:val="none"/>
          <w:lang w:bidi="ar"/>
        </w:rPr>
        <w:t>四、提交投标文件截止时间、开标时间和地点</w:t>
      </w:r>
    </w:p>
    <w:p w14:paraId="580D92A2">
      <w:pPr>
        <w:autoSpaceDE w:val="0"/>
        <w:spacing w:line="440" w:lineRule="exact"/>
        <w:ind w:firstLine="480" w:firstLineChars="200"/>
        <w:rPr>
          <w:rFonts w:hint="eastAsia" w:ascii="宋体" w:hAnsi="宋体" w:cs="宋体"/>
          <w:color w:val="auto"/>
          <w:kern w:val="0"/>
          <w:sz w:val="24"/>
          <w:szCs w:val="24"/>
          <w:highlight w:val="none"/>
          <w:lang w:bidi="ar"/>
        </w:rPr>
      </w:pPr>
      <w:r>
        <w:rPr>
          <w:rFonts w:hint="eastAsia" w:ascii="宋体" w:hAnsi="宋体" w:cs="宋体"/>
          <w:color w:val="auto"/>
          <w:kern w:val="0"/>
          <w:sz w:val="24"/>
          <w:szCs w:val="24"/>
          <w:highlight w:val="none"/>
          <w:lang w:bidi="ar"/>
        </w:rPr>
        <w:t>投标文件截止时间、开标时间：2024年11月11日9时00分（北京时间）</w:t>
      </w:r>
    </w:p>
    <w:p w14:paraId="1C985E8C">
      <w:pPr>
        <w:autoSpaceDE w:val="0"/>
        <w:spacing w:line="440" w:lineRule="exact"/>
        <w:ind w:firstLine="480" w:firstLineChars="200"/>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lang w:bidi="ar"/>
        </w:rPr>
        <w:t>地点：</w:t>
      </w:r>
      <w:r>
        <w:rPr>
          <w:rFonts w:hint="eastAsia" w:ascii="宋体" w:hAnsi="宋体" w:eastAsia="宋体" w:cs="宋体"/>
          <w:color w:val="auto"/>
          <w:sz w:val="24"/>
          <w:szCs w:val="24"/>
          <w:highlight w:val="none"/>
          <w:lang w:eastAsia="zh-CN"/>
        </w:rPr>
        <w:t>请登录“政采云”平台(</w:t>
      </w:r>
      <w:r>
        <w:rPr>
          <w:rFonts w:hint="eastAsia" w:ascii="宋体" w:hAnsi="宋体" w:cs="宋体"/>
          <w:color w:val="auto"/>
          <w:sz w:val="24"/>
          <w:szCs w:val="24"/>
          <w:highlight w:val="none"/>
          <w:lang w:eastAsia="zh-CN"/>
        </w:rPr>
        <w:t>https://www.zcygov.cn</w:t>
      </w:r>
      <w:r>
        <w:rPr>
          <w:rFonts w:hint="eastAsia" w:ascii="宋体" w:hAnsi="宋体" w:eastAsia="宋体" w:cs="宋体"/>
          <w:color w:val="auto"/>
          <w:sz w:val="24"/>
          <w:szCs w:val="24"/>
          <w:highlight w:val="none"/>
          <w:lang w:eastAsia="zh-CN"/>
        </w:rPr>
        <w:t>)上传投标，逾期未上传电子响应文件，将不予受理。</w:t>
      </w:r>
    </w:p>
    <w:p w14:paraId="5E648DDB">
      <w:pPr>
        <w:autoSpaceDE w:val="0"/>
        <w:spacing w:line="440" w:lineRule="exact"/>
        <w:rPr>
          <w:rFonts w:hint="eastAsia" w:ascii="宋体" w:hAnsi="宋体" w:cs="宋体"/>
          <w:b/>
          <w:color w:val="auto"/>
          <w:kern w:val="0"/>
          <w:sz w:val="24"/>
          <w:szCs w:val="24"/>
          <w:highlight w:val="none"/>
        </w:rPr>
      </w:pPr>
      <w:r>
        <w:rPr>
          <w:rFonts w:hint="eastAsia" w:ascii="宋体" w:hAnsi="宋体" w:cs="宋体"/>
          <w:b/>
          <w:color w:val="auto"/>
          <w:kern w:val="0"/>
          <w:sz w:val="24"/>
          <w:szCs w:val="24"/>
          <w:highlight w:val="none"/>
          <w:lang w:bidi="ar"/>
        </w:rPr>
        <w:t>五、公告期限</w:t>
      </w:r>
    </w:p>
    <w:p w14:paraId="33365AF1">
      <w:pPr>
        <w:autoSpaceDE w:val="0"/>
        <w:spacing w:line="440" w:lineRule="exact"/>
        <w:ind w:firstLine="420"/>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lang w:bidi="ar"/>
        </w:rPr>
        <w:t>自本公告发布之日起5个工作日。</w:t>
      </w:r>
    </w:p>
    <w:p w14:paraId="346C531D">
      <w:pPr>
        <w:autoSpaceDE w:val="0"/>
        <w:spacing w:line="440" w:lineRule="exact"/>
        <w:rPr>
          <w:rFonts w:hint="eastAsia" w:ascii="宋体" w:hAnsi="宋体" w:cs="宋体"/>
          <w:b/>
          <w:color w:val="auto"/>
          <w:kern w:val="0"/>
          <w:sz w:val="24"/>
          <w:szCs w:val="24"/>
          <w:highlight w:val="none"/>
        </w:rPr>
      </w:pPr>
      <w:r>
        <w:rPr>
          <w:rFonts w:hint="eastAsia" w:ascii="宋体" w:hAnsi="宋体" w:cs="宋体"/>
          <w:b/>
          <w:color w:val="auto"/>
          <w:kern w:val="0"/>
          <w:sz w:val="24"/>
          <w:szCs w:val="24"/>
          <w:highlight w:val="none"/>
          <w:lang w:bidi="ar"/>
        </w:rPr>
        <w:t>六、其它补充事宜</w:t>
      </w:r>
    </w:p>
    <w:p w14:paraId="7B2A82B9">
      <w:pPr>
        <w:keepNext w:val="0"/>
        <w:keepLines w:val="0"/>
        <w:pageBreakBefore w:val="0"/>
        <w:widowControl/>
        <w:kinsoku/>
        <w:wordWrap w:val="0"/>
        <w:overflowPunct/>
        <w:topLinePunct w:val="0"/>
        <w:autoSpaceDE w:val="0"/>
        <w:autoSpaceDN/>
        <w:bidi w:val="0"/>
        <w:adjustRightInd/>
        <w:snapToGrid/>
        <w:spacing w:line="440" w:lineRule="exact"/>
        <w:ind w:firstLine="480" w:firstLineChars="200"/>
        <w:textAlignment w:val="auto"/>
        <w:rPr>
          <w:rFonts w:hint="eastAsia" w:ascii="宋体" w:hAnsi="宋体" w:eastAsia="宋体" w:cs="宋体"/>
          <w:color w:val="auto"/>
          <w:sz w:val="24"/>
          <w:highlight w:val="none"/>
          <w:lang w:val="zh-CN" w:eastAsia="zh-CN"/>
        </w:rPr>
      </w:pP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lang w:val="zh-CN" w:eastAsia="zh-CN"/>
        </w:rPr>
        <w:t>.1本项目为全流程电子化项目，通过“政采云”平台 (</w:t>
      </w:r>
      <w:r>
        <w:rPr>
          <w:rFonts w:hint="eastAsia" w:ascii="宋体" w:hAnsi="宋体" w:cs="宋体"/>
          <w:color w:val="auto"/>
          <w:sz w:val="24"/>
          <w:highlight w:val="none"/>
          <w:lang w:val="zh-CN" w:eastAsia="zh-CN"/>
        </w:rPr>
        <w:t>https://www.zcygov.cn</w:t>
      </w:r>
      <w:r>
        <w:rPr>
          <w:rFonts w:hint="eastAsia" w:ascii="宋体" w:hAnsi="宋体" w:eastAsia="宋体" w:cs="宋体"/>
          <w:color w:val="auto"/>
          <w:sz w:val="24"/>
          <w:highlight w:val="none"/>
          <w:lang w:val="zh-CN" w:eastAsia="zh-CN"/>
        </w:rPr>
        <w:t>) 实行在线电子投标，</w:t>
      </w:r>
      <w:r>
        <w:rPr>
          <w:rFonts w:hint="eastAsia" w:ascii="宋体" w:hAnsi="宋体" w:eastAsia="宋体" w:cs="宋体"/>
          <w:color w:val="auto"/>
          <w:sz w:val="24"/>
          <w:highlight w:val="none"/>
          <w:lang w:val="en-US" w:eastAsia="zh-CN"/>
        </w:rPr>
        <w:t>供应商</w:t>
      </w:r>
      <w:r>
        <w:rPr>
          <w:rFonts w:hint="eastAsia" w:ascii="宋体" w:hAnsi="宋体" w:eastAsia="宋体" w:cs="宋体"/>
          <w:color w:val="auto"/>
          <w:sz w:val="24"/>
          <w:highlight w:val="none"/>
          <w:lang w:val="zh-CN" w:eastAsia="zh-CN"/>
        </w:rPr>
        <w:t>应先安装“政采云投标客户端”(请自行前往“政采云”平台进行下载，政采云投标客户端</w:t>
      </w:r>
      <w:r>
        <w:rPr>
          <w:rFonts w:hint="eastAsia" w:ascii="宋体" w:hAnsi="宋体" w:eastAsia="宋体" w:cs="宋体"/>
          <w:color w:val="auto"/>
          <w:sz w:val="24"/>
          <w:highlight w:val="none"/>
          <w:lang w:val="en-US" w:eastAsia="zh-Hans"/>
        </w:rPr>
        <w:t>及</w:t>
      </w:r>
      <w:r>
        <w:rPr>
          <w:rFonts w:hint="eastAsia" w:ascii="宋体" w:hAnsi="宋体" w:eastAsia="宋体" w:cs="宋体"/>
          <w:color w:val="auto"/>
          <w:sz w:val="24"/>
          <w:highlight w:val="none"/>
          <w:lang w:val="en-US" w:eastAsia="zh-CN"/>
        </w:rPr>
        <w:t>吉林安信</w:t>
      </w:r>
      <w:r>
        <w:rPr>
          <w:rFonts w:hint="default" w:ascii="宋体" w:hAnsi="宋体" w:eastAsia="宋体" w:cs="宋体"/>
          <w:color w:val="auto"/>
          <w:sz w:val="24"/>
          <w:highlight w:val="none"/>
          <w:lang w:val="zh-CN" w:eastAsia="zh-Hans"/>
        </w:rPr>
        <w:t>CA</w:t>
      </w:r>
      <w:r>
        <w:rPr>
          <w:rFonts w:hint="eastAsia" w:ascii="宋体" w:hAnsi="宋体" w:eastAsia="宋体" w:cs="宋体"/>
          <w:color w:val="auto"/>
          <w:sz w:val="24"/>
          <w:highlight w:val="none"/>
          <w:lang w:val="en-US" w:eastAsia="zh-Hans"/>
        </w:rPr>
        <w:t>驱动下载地址</w:t>
      </w:r>
      <w:r>
        <w:rPr>
          <w:rFonts w:hint="default" w:ascii="宋体" w:hAnsi="宋体" w:eastAsia="宋体" w:cs="宋体"/>
          <w:color w:val="auto"/>
          <w:sz w:val="24"/>
          <w:highlight w:val="none"/>
          <w:lang w:val="zh-CN" w:eastAsia="zh-Hans"/>
        </w:rPr>
        <w:t>：</w:t>
      </w:r>
      <w:r>
        <w:rPr>
          <w:rFonts w:hint="eastAsia" w:ascii="宋体" w:hAnsi="宋体" w:eastAsia="宋体" w:cs="宋体"/>
          <w:color w:val="auto"/>
          <w:sz w:val="24"/>
          <w:highlight w:val="none"/>
          <w:lang w:val="zh-CN" w:eastAsia="zh-CN"/>
        </w:rPr>
        <w:t>https://customer.zcygov.cn/CA-driver-download?utm=web-login-front.52cebfa2.0.0.04df4040034511edaac705fda12edb43 )，并按照本项目</w:t>
      </w:r>
      <w:r>
        <w:rPr>
          <w:rFonts w:hint="eastAsia" w:ascii="宋体" w:hAnsi="宋体" w:eastAsia="宋体" w:cs="宋体"/>
          <w:color w:val="auto"/>
          <w:sz w:val="24"/>
          <w:highlight w:val="none"/>
          <w:lang w:val="en-US" w:eastAsia="zh-CN"/>
        </w:rPr>
        <w:t>招标</w:t>
      </w:r>
      <w:r>
        <w:rPr>
          <w:rFonts w:hint="eastAsia" w:ascii="宋体" w:hAnsi="宋体" w:eastAsia="宋体" w:cs="宋体"/>
          <w:color w:val="auto"/>
          <w:sz w:val="24"/>
          <w:highlight w:val="none"/>
          <w:lang w:val="zh-CN" w:eastAsia="zh-CN"/>
        </w:rPr>
        <w:t>文件和“政采云”平台的要求编制、加密投标文件后在投标文件提交截止时间前通过网络上传至“政采云”平台，</w:t>
      </w:r>
      <w:r>
        <w:rPr>
          <w:rFonts w:hint="eastAsia" w:ascii="宋体" w:hAnsi="宋体" w:eastAsia="宋体" w:cs="宋体"/>
          <w:color w:val="auto"/>
          <w:sz w:val="24"/>
          <w:highlight w:val="none"/>
          <w:lang w:val="en-US" w:eastAsia="zh-CN"/>
        </w:rPr>
        <w:t>供应商</w:t>
      </w:r>
      <w:r>
        <w:rPr>
          <w:rFonts w:hint="eastAsia" w:ascii="宋体" w:hAnsi="宋体" w:eastAsia="宋体" w:cs="宋体"/>
          <w:color w:val="auto"/>
          <w:sz w:val="24"/>
          <w:highlight w:val="none"/>
          <w:lang w:val="zh-CN" w:eastAsia="zh-CN"/>
        </w:rPr>
        <w:t>在“政采云”平台提交电子版</w:t>
      </w:r>
      <w:r>
        <w:rPr>
          <w:rFonts w:hint="eastAsia" w:ascii="宋体" w:hAnsi="宋体" w:eastAsia="宋体" w:cs="宋体"/>
          <w:color w:val="auto"/>
          <w:sz w:val="24"/>
          <w:highlight w:val="none"/>
          <w:lang w:val="en-US" w:eastAsia="zh-CN"/>
        </w:rPr>
        <w:t>投标</w:t>
      </w:r>
      <w:r>
        <w:rPr>
          <w:rFonts w:hint="eastAsia" w:ascii="宋体" w:hAnsi="宋体" w:eastAsia="宋体" w:cs="宋体"/>
          <w:color w:val="auto"/>
          <w:sz w:val="24"/>
          <w:highlight w:val="none"/>
          <w:lang w:val="zh-CN" w:eastAsia="zh-CN"/>
        </w:rPr>
        <w:t>文件时，请填写参加开</w:t>
      </w:r>
      <w:r>
        <w:rPr>
          <w:rFonts w:hint="eastAsia" w:ascii="宋体" w:hAnsi="宋体" w:eastAsia="宋体" w:cs="宋体"/>
          <w:color w:val="auto"/>
          <w:sz w:val="24"/>
          <w:highlight w:val="none"/>
          <w:lang w:val="en-US" w:eastAsia="zh-CN"/>
        </w:rPr>
        <w:t>启</w:t>
      </w:r>
      <w:r>
        <w:rPr>
          <w:rFonts w:hint="eastAsia" w:ascii="宋体" w:hAnsi="宋体" w:eastAsia="宋体" w:cs="宋体"/>
          <w:color w:val="auto"/>
          <w:sz w:val="24"/>
          <w:highlight w:val="none"/>
          <w:lang w:val="zh-CN" w:eastAsia="zh-CN"/>
        </w:rPr>
        <w:t>活动经办人联系方式。</w:t>
      </w:r>
    </w:p>
    <w:p w14:paraId="22B66E95">
      <w:pPr>
        <w:autoSpaceDE w:val="0"/>
        <w:spacing w:line="440" w:lineRule="exact"/>
        <w:ind w:firstLine="480" w:firstLineChars="200"/>
        <w:rPr>
          <w:rFonts w:hint="eastAsia" w:ascii="宋体" w:hAnsi="宋体" w:eastAsia="宋体" w:cs="宋体"/>
          <w:color w:val="auto"/>
          <w:sz w:val="24"/>
          <w:highlight w:val="none"/>
          <w:lang w:val="zh-CN" w:eastAsia="zh-CN"/>
        </w:rPr>
      </w:pPr>
      <w:r>
        <w:rPr>
          <w:rFonts w:hint="eastAsia" w:ascii="宋体" w:hAnsi="宋体" w:eastAsia="宋体" w:cs="宋体"/>
          <w:color w:val="auto"/>
          <w:sz w:val="24"/>
          <w:highlight w:val="none"/>
          <w:lang w:val="en-US" w:eastAsia="zh-CN"/>
        </w:rPr>
        <w:t>6.2</w:t>
      </w:r>
      <w:r>
        <w:rPr>
          <w:rFonts w:hint="eastAsia" w:ascii="宋体" w:hAnsi="宋体" w:eastAsia="宋体" w:cs="宋体"/>
          <w:color w:val="auto"/>
          <w:sz w:val="24"/>
          <w:highlight w:val="none"/>
          <w:lang w:val="zh-CN" w:eastAsia="zh-CN"/>
        </w:rPr>
        <w:t>电子</w:t>
      </w:r>
      <w:r>
        <w:rPr>
          <w:rFonts w:hint="eastAsia" w:ascii="宋体" w:hAnsi="宋体" w:eastAsia="宋体" w:cs="宋体"/>
          <w:color w:val="auto"/>
          <w:sz w:val="24"/>
          <w:highlight w:val="none"/>
          <w:lang w:val="en-US" w:eastAsia="zh-CN"/>
        </w:rPr>
        <w:t>投标</w:t>
      </w:r>
      <w:r>
        <w:rPr>
          <w:rFonts w:hint="eastAsia" w:ascii="宋体" w:hAnsi="宋体" w:eastAsia="宋体" w:cs="宋体"/>
          <w:color w:val="auto"/>
          <w:sz w:val="24"/>
          <w:highlight w:val="none"/>
          <w:lang w:val="zh-CN" w:eastAsia="zh-CN"/>
        </w:rPr>
        <w:t>文件制作需要基于“政采云”平台获取的</w:t>
      </w:r>
      <w:r>
        <w:rPr>
          <w:rFonts w:hint="eastAsia" w:ascii="宋体" w:hAnsi="宋体" w:eastAsia="宋体" w:cs="宋体"/>
          <w:color w:val="auto"/>
          <w:sz w:val="24"/>
          <w:highlight w:val="none"/>
          <w:lang w:val="en-US" w:eastAsia="zh-CN"/>
        </w:rPr>
        <w:t>招标</w:t>
      </w:r>
      <w:r>
        <w:rPr>
          <w:rFonts w:hint="eastAsia" w:ascii="宋体" w:hAnsi="宋体" w:eastAsia="宋体" w:cs="宋体"/>
          <w:color w:val="auto"/>
          <w:sz w:val="24"/>
          <w:highlight w:val="none"/>
          <w:lang w:val="zh-CN" w:eastAsia="zh-CN"/>
        </w:rPr>
        <w:t>文件进行制作，</w:t>
      </w:r>
      <w:r>
        <w:rPr>
          <w:rFonts w:hint="eastAsia" w:ascii="宋体" w:hAnsi="宋体" w:eastAsia="宋体" w:cs="宋体"/>
          <w:color w:val="auto"/>
          <w:sz w:val="24"/>
          <w:highlight w:val="none"/>
          <w:lang w:val="en-US" w:eastAsia="zh-CN"/>
        </w:rPr>
        <w:t>制作投标文件时需要完成CA与账号的绑定。</w:t>
      </w:r>
      <w:r>
        <w:rPr>
          <w:rFonts w:hint="eastAsia" w:ascii="宋体" w:hAnsi="宋体" w:eastAsia="宋体" w:cs="宋体"/>
          <w:color w:val="auto"/>
          <w:sz w:val="24"/>
          <w:highlight w:val="none"/>
          <w:lang w:val="zh-CN" w:eastAsia="zh-CN"/>
        </w:rPr>
        <w:t>未办理CA的供应商，请先免费申请CA（CA申请流程：http://www.anxinca.com/kehu/zcy/kh-zcy-zsshenqing.html ；选择吉林省公共资源</w:t>
      </w:r>
      <w:r>
        <w:rPr>
          <w:rFonts w:hint="eastAsia" w:ascii="宋体" w:hAnsi="宋体" w:eastAsia="宋体" w:cs="宋体"/>
          <w:color w:val="auto"/>
          <w:sz w:val="24"/>
          <w:highlight w:val="none"/>
          <w:lang w:val="en-US" w:eastAsia="zh-CN"/>
        </w:rPr>
        <w:t>-供应商后按具体操作流程办理</w:t>
      </w:r>
      <w:r>
        <w:rPr>
          <w:rFonts w:hint="eastAsia" w:ascii="宋体" w:hAnsi="宋体" w:eastAsia="宋体" w:cs="宋体"/>
          <w:color w:val="auto"/>
          <w:sz w:val="24"/>
          <w:highlight w:val="none"/>
          <w:lang w:val="zh-CN" w:eastAsia="zh-CN"/>
        </w:rPr>
        <w:t>），并</w:t>
      </w:r>
      <w:r>
        <w:rPr>
          <w:rFonts w:hint="eastAsia" w:ascii="宋体" w:hAnsi="宋体" w:eastAsia="宋体" w:cs="宋体"/>
          <w:color w:val="auto"/>
          <w:sz w:val="24"/>
          <w:highlight w:val="none"/>
          <w:lang w:val="en-US" w:eastAsia="zh-CN"/>
        </w:rPr>
        <w:t>完成CA与账号绑定（</w:t>
      </w:r>
      <w:r>
        <w:rPr>
          <w:rFonts w:hint="eastAsia" w:ascii="宋体" w:hAnsi="宋体" w:eastAsia="宋体" w:cs="宋体"/>
          <w:color w:val="auto"/>
          <w:sz w:val="24"/>
          <w:highlight w:val="none"/>
          <w:lang w:val="zh-CN" w:eastAsia="zh-CN"/>
        </w:rPr>
        <w:t xml:space="preserve"> CA绑定政采云平台流程：我的工作台-系统管理-CA管理-CA绑定与解绑；安信CA的安装要确保《电子签章》，《安信CA签名工具https版》这两个程序以管理员身份运行后再进行绑定以及签章操作，安信CA客服电话：0431-85177688</w:t>
      </w:r>
      <w:r>
        <w:rPr>
          <w:rFonts w:hint="eastAsia" w:ascii="宋体" w:hAnsi="宋体" w:eastAsia="宋体" w:cs="宋体"/>
          <w:color w:val="auto"/>
          <w:sz w:val="24"/>
          <w:highlight w:val="none"/>
          <w:lang w:val="en-US" w:eastAsia="zh-CN"/>
        </w:rPr>
        <w:t>）。</w:t>
      </w:r>
    </w:p>
    <w:p w14:paraId="10DB257B">
      <w:pPr>
        <w:autoSpaceDE w:val="0"/>
        <w:spacing w:line="440" w:lineRule="exact"/>
        <w:ind w:left="240" w:leftChars="120" w:firstLine="240" w:firstLineChars="100"/>
        <w:rPr>
          <w:rFonts w:hint="eastAsia" w:ascii="宋体" w:hAnsi="宋体" w:eastAsia="宋体" w:cs="宋体"/>
          <w:color w:val="auto"/>
          <w:sz w:val="24"/>
          <w:highlight w:val="yellow"/>
          <w:lang w:val="en-US" w:eastAsia="zh-CN"/>
        </w:rPr>
      </w:pP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lang w:val="zh-CN" w:eastAsia="zh-CN"/>
        </w:rPr>
        <w:t>.</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lang w:val="zh-CN" w:eastAsia="zh-CN"/>
        </w:rPr>
        <w:t>投标文件提交截止时间（开标时间）和地点：投标文件提交截止时间为2024年11月11日9时00分，编制、加密后的投标文件须在投标文件提交截止时间前通过网络上传至“政采云”平台，逾期未上传电子投标文件，将不予受理。</w:t>
      </w:r>
    </w:p>
    <w:p w14:paraId="24D3CEAA">
      <w:pPr>
        <w:autoSpaceDE w:val="0"/>
        <w:spacing w:line="440" w:lineRule="exact"/>
        <w:ind w:firstLine="480" w:firstLineChars="200"/>
        <w:rPr>
          <w:rFonts w:hint="eastAsia" w:ascii="宋体" w:hAnsi="宋体" w:eastAsia="宋体" w:cs="宋体"/>
          <w:color w:val="auto"/>
          <w:sz w:val="24"/>
          <w:highlight w:val="none"/>
          <w:lang w:val="zh-CN" w:eastAsia="zh-CN"/>
        </w:rPr>
      </w:pP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lang w:val="zh-CN" w:eastAsia="zh-CN"/>
        </w:rPr>
        <w:t>.4远程不见面开标具体要求：</w:t>
      </w:r>
    </w:p>
    <w:p w14:paraId="0B51F132">
      <w:pPr>
        <w:autoSpaceDE w:val="0"/>
        <w:spacing w:line="440" w:lineRule="exact"/>
        <w:ind w:firstLine="480" w:firstLineChars="200"/>
        <w:rPr>
          <w:rFonts w:hint="eastAsia" w:ascii="宋体" w:hAnsi="宋体" w:eastAsia="宋体" w:cs="宋体"/>
          <w:color w:val="auto"/>
          <w:sz w:val="24"/>
          <w:highlight w:val="none"/>
          <w:lang w:val="zh-CN" w:eastAsia="zh-CN"/>
        </w:rPr>
      </w:pP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lang w:val="zh-CN" w:eastAsia="zh-CN"/>
        </w:rPr>
        <w:t>.4.1开标项目的时间均以国家授时中心发布的时间为准。</w:t>
      </w:r>
    </w:p>
    <w:p w14:paraId="1BBF035D">
      <w:pPr>
        <w:autoSpaceDE w:val="0"/>
        <w:spacing w:line="440" w:lineRule="exact"/>
        <w:ind w:firstLine="480" w:firstLineChars="200"/>
        <w:rPr>
          <w:rFonts w:hint="eastAsia" w:ascii="宋体" w:hAnsi="宋体" w:eastAsia="宋体" w:cs="宋体"/>
          <w:color w:val="auto"/>
          <w:sz w:val="24"/>
          <w:highlight w:val="none"/>
          <w:lang w:val="zh-CN" w:eastAsia="zh-CN"/>
        </w:rPr>
      </w:pP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lang w:val="zh-CN" w:eastAsia="zh-CN"/>
        </w:rPr>
        <w:t>.4.</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lang w:val="zh-CN" w:eastAsia="zh-CN"/>
        </w:rPr>
        <w:t>依照招标文件的规定完成电子投标文件的编制和提交。如未按招标文件要求编制、提交电子投标文件，将可能导致否决投标，其后果由供应商自负。</w:t>
      </w:r>
    </w:p>
    <w:p w14:paraId="183A8703">
      <w:pPr>
        <w:autoSpaceDE w:val="0"/>
        <w:spacing w:line="440" w:lineRule="exact"/>
        <w:ind w:firstLine="480" w:firstLineChars="200"/>
        <w:rPr>
          <w:rFonts w:hint="eastAsia" w:ascii="宋体" w:hAnsi="宋体" w:eastAsia="宋体" w:cs="宋体"/>
          <w:color w:val="auto"/>
          <w:sz w:val="24"/>
          <w:highlight w:val="none"/>
          <w:lang w:val="zh-CN" w:eastAsia="zh-CN"/>
        </w:rPr>
      </w:pP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lang w:val="zh-CN" w:eastAsia="zh-CN"/>
        </w:rPr>
        <w:t>.4.</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lang w:val="zh-CN" w:eastAsia="zh-CN"/>
        </w:rPr>
        <w:t>供应商应充分考虑到网络及系统平台可能存在的突发状况，在投标文件编制完成后尽早完成上传。</w:t>
      </w:r>
    </w:p>
    <w:p w14:paraId="3325CC47">
      <w:pPr>
        <w:autoSpaceDE w:val="0"/>
        <w:spacing w:line="440" w:lineRule="exact"/>
        <w:ind w:firstLine="480" w:firstLineChars="200"/>
        <w:rPr>
          <w:rFonts w:hint="eastAsia" w:ascii="宋体" w:hAnsi="宋体" w:eastAsia="宋体" w:cs="宋体"/>
          <w:color w:val="auto"/>
          <w:sz w:val="24"/>
          <w:highlight w:val="none"/>
          <w:lang w:val="zh-CN" w:eastAsia="zh-CN"/>
        </w:rPr>
      </w:pP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lang w:val="zh-CN" w:eastAsia="zh-CN"/>
        </w:rPr>
        <w:t>.4.</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lang w:val="zh-CN" w:eastAsia="zh-CN"/>
        </w:rPr>
        <w:t>开标当日，供应商不必抵达开标现场，须于投标文件提交截止时间前登录系统，进入所参与项目。投标文件提交截止时间后，通过系统开启投标文件解密的指令，供应商可在任意地点按规定时间自行实施远程解密，解密限定在规定时间内完成。</w:t>
      </w:r>
    </w:p>
    <w:p w14:paraId="3DB37B6F">
      <w:pPr>
        <w:autoSpaceDE w:val="0"/>
        <w:spacing w:line="44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lang w:val="zh-CN" w:eastAsia="zh-CN"/>
        </w:rPr>
        <w:t>.4.</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lang w:val="zh-CN" w:eastAsia="zh-CN"/>
        </w:rPr>
        <w:t>供应商必须使用能正确解密投标文件的CA在规定的时间内完成远程解密（</w:t>
      </w:r>
      <w:r>
        <w:rPr>
          <w:rFonts w:hint="eastAsia" w:ascii="宋体" w:hAnsi="宋体" w:eastAsia="宋体" w:cs="宋体"/>
          <w:color w:val="auto"/>
          <w:sz w:val="24"/>
          <w:highlight w:val="none"/>
          <w:lang w:val="en-US" w:eastAsia="zh-Hans"/>
        </w:rPr>
        <w:t>如遇见</w:t>
      </w:r>
      <w:r>
        <w:rPr>
          <w:rFonts w:hint="default" w:ascii="宋体" w:hAnsi="宋体" w:eastAsia="宋体" w:cs="宋体"/>
          <w:color w:val="auto"/>
          <w:sz w:val="24"/>
          <w:highlight w:val="none"/>
          <w:lang w:val="zh-CN" w:eastAsia="zh-Hans"/>
        </w:rPr>
        <w:t>CA</w:t>
      </w:r>
      <w:r>
        <w:rPr>
          <w:rFonts w:hint="eastAsia" w:ascii="宋体" w:hAnsi="宋体" w:eastAsia="宋体" w:cs="宋体"/>
          <w:color w:val="auto"/>
          <w:sz w:val="24"/>
          <w:highlight w:val="none"/>
          <w:lang w:val="en-US" w:eastAsia="zh-Hans"/>
        </w:rPr>
        <w:t>故障无法解密可联系</w:t>
      </w:r>
      <w:r>
        <w:rPr>
          <w:rFonts w:hint="eastAsia" w:ascii="宋体" w:hAnsi="宋体" w:eastAsia="宋体" w:cs="宋体"/>
          <w:color w:val="auto"/>
          <w:sz w:val="24"/>
          <w:highlight w:val="none"/>
          <w:lang w:val="en-US" w:eastAsia="zh-CN"/>
        </w:rPr>
        <w:t>客服。</w:t>
      </w:r>
      <w:r>
        <w:rPr>
          <w:rFonts w:hint="default" w:ascii="宋体" w:hAnsi="宋体" w:eastAsia="宋体" w:cs="宋体"/>
          <w:color w:val="auto"/>
          <w:sz w:val="24"/>
          <w:highlight w:val="none"/>
          <w:lang w:val="zh-CN" w:eastAsia="zh-Hans"/>
        </w:rPr>
        <w:t>CA</w:t>
      </w:r>
      <w:r>
        <w:rPr>
          <w:rFonts w:hint="eastAsia" w:ascii="宋体" w:hAnsi="宋体" w:eastAsia="宋体" w:cs="宋体"/>
          <w:color w:val="auto"/>
          <w:sz w:val="24"/>
          <w:highlight w:val="none"/>
          <w:lang w:val="en-US" w:eastAsia="zh-Hans"/>
        </w:rPr>
        <w:t>安信客服</w:t>
      </w:r>
      <w:r>
        <w:rPr>
          <w:rFonts w:hint="default" w:ascii="宋体" w:hAnsi="宋体" w:eastAsia="宋体" w:cs="宋体"/>
          <w:color w:val="auto"/>
          <w:sz w:val="24"/>
          <w:highlight w:val="none"/>
          <w:lang w:val="zh-CN" w:eastAsia="zh-Hans"/>
        </w:rPr>
        <w:t>：</w:t>
      </w:r>
      <w:r>
        <w:rPr>
          <w:rFonts w:hint="eastAsia" w:ascii="宋体" w:hAnsi="宋体" w:eastAsia="宋体" w:cs="宋体"/>
          <w:color w:val="auto"/>
          <w:sz w:val="24"/>
          <w:highlight w:val="none"/>
          <w:lang w:val="zh-CN" w:eastAsia="zh-CN"/>
        </w:rPr>
        <w:t>0431-85177688</w:t>
      </w:r>
      <w:r>
        <w:rPr>
          <w:rFonts w:hint="default" w:ascii="宋体" w:hAnsi="宋体" w:eastAsia="宋体" w:cs="宋体"/>
          <w:color w:val="auto"/>
          <w:sz w:val="24"/>
          <w:highlight w:val="none"/>
          <w:lang w:val="zh-CN" w:eastAsia="zh-CN"/>
        </w:rPr>
        <w:t>，</w:t>
      </w:r>
      <w:r>
        <w:rPr>
          <w:rFonts w:hint="eastAsia" w:ascii="宋体" w:hAnsi="宋体" w:eastAsia="宋体" w:cs="宋体"/>
          <w:color w:val="auto"/>
          <w:sz w:val="24"/>
          <w:highlight w:val="none"/>
          <w:lang w:val="en-US" w:eastAsia="zh-Hans"/>
        </w:rPr>
        <w:t>政</w:t>
      </w:r>
      <w:r>
        <w:rPr>
          <w:rFonts w:hint="eastAsia" w:ascii="宋体" w:hAnsi="宋体" w:eastAsia="宋体" w:cs="宋体"/>
          <w:color w:val="auto"/>
          <w:sz w:val="24"/>
          <w:highlight w:val="none"/>
          <w:lang w:val="en-US" w:eastAsia="zh-CN"/>
        </w:rPr>
        <w:t>采</w:t>
      </w:r>
      <w:r>
        <w:rPr>
          <w:rFonts w:hint="eastAsia" w:ascii="宋体" w:hAnsi="宋体" w:eastAsia="宋体" w:cs="宋体"/>
          <w:color w:val="auto"/>
          <w:sz w:val="24"/>
          <w:highlight w:val="none"/>
          <w:lang w:val="en-US" w:eastAsia="zh-Hans"/>
        </w:rPr>
        <w:t>云客服</w:t>
      </w:r>
      <w:r>
        <w:rPr>
          <w:rFonts w:hint="default" w:ascii="宋体" w:hAnsi="宋体" w:eastAsia="宋体" w:cs="宋体"/>
          <w:color w:val="auto"/>
          <w:sz w:val="24"/>
          <w:highlight w:val="none"/>
          <w:lang w:val="zh-CN" w:eastAsia="zh-Hans"/>
        </w:rPr>
        <w:t>：95763</w:t>
      </w:r>
      <w:r>
        <w:rPr>
          <w:rFonts w:hint="eastAsia" w:ascii="宋体" w:hAnsi="宋体" w:eastAsia="宋体" w:cs="宋体"/>
          <w:color w:val="auto"/>
          <w:sz w:val="24"/>
          <w:highlight w:val="none"/>
          <w:lang w:val="zh-CN" w:eastAsia="zh-CN"/>
        </w:rPr>
        <w:t>），因供应商原因未能解密、解密失败或解密超时，视为供应商撤销其投标文件；因招标人或系统原因，导致无法按时完成投标文件解密或开标、评标工作无法进行的，可根据实际情况相应延迟解密时间或调整开标、评标时间。</w:t>
      </w:r>
    </w:p>
    <w:p w14:paraId="0FE4694B">
      <w:pPr>
        <w:autoSpaceDE w:val="0"/>
        <w:spacing w:line="440" w:lineRule="exact"/>
        <w:ind w:firstLine="480" w:firstLineChars="200"/>
        <w:rPr>
          <w:rFonts w:hint="eastAsia" w:ascii="宋体" w:hAnsi="宋体" w:eastAsia="宋体" w:cs="宋体"/>
          <w:color w:val="auto"/>
          <w:kern w:val="0"/>
          <w:sz w:val="24"/>
          <w:szCs w:val="24"/>
          <w:highlight w:val="none"/>
          <w:lang w:bidi="ar"/>
        </w:rPr>
      </w:pPr>
      <w:r>
        <w:rPr>
          <w:rFonts w:hint="eastAsia" w:ascii="宋体" w:hAnsi="宋体" w:cs="宋体"/>
          <w:color w:val="auto"/>
          <w:kern w:val="0"/>
          <w:sz w:val="24"/>
          <w:szCs w:val="24"/>
          <w:highlight w:val="none"/>
          <w:lang w:val="en-US" w:eastAsia="zh-CN" w:bidi="ar"/>
        </w:rPr>
        <w:t>6.5</w:t>
      </w:r>
      <w:r>
        <w:rPr>
          <w:rFonts w:hint="eastAsia" w:ascii="宋体" w:hAnsi="宋体" w:cs="宋体"/>
          <w:color w:val="auto"/>
          <w:kern w:val="0"/>
          <w:sz w:val="24"/>
          <w:szCs w:val="24"/>
          <w:highlight w:val="none"/>
          <w:lang w:bidi="ar"/>
        </w:rPr>
        <w:t>本次</w:t>
      </w:r>
      <w:r>
        <w:rPr>
          <w:rFonts w:hint="eastAsia" w:ascii="宋体" w:hAnsi="宋体" w:cs="宋体"/>
          <w:color w:val="auto"/>
          <w:kern w:val="0"/>
          <w:sz w:val="24"/>
          <w:szCs w:val="24"/>
          <w:highlight w:val="none"/>
          <w:lang w:val="en-US" w:eastAsia="zh-CN" w:bidi="ar"/>
        </w:rPr>
        <w:t>招标</w:t>
      </w:r>
      <w:r>
        <w:rPr>
          <w:rFonts w:hint="eastAsia" w:ascii="宋体" w:hAnsi="宋体" w:cs="宋体"/>
          <w:color w:val="auto"/>
          <w:kern w:val="0"/>
          <w:sz w:val="24"/>
          <w:szCs w:val="24"/>
          <w:highlight w:val="none"/>
          <w:lang w:bidi="ar"/>
        </w:rPr>
        <w:t>公告在“政采云”平台(http：//www.zcygov.cn)（同步推送到吉林省政府采购网）、中国政府采购网同时发布</w:t>
      </w:r>
      <w:r>
        <w:rPr>
          <w:rFonts w:hint="eastAsia" w:ascii="宋体" w:hAnsi="宋体" w:eastAsia="宋体" w:cs="宋体"/>
          <w:color w:val="auto"/>
          <w:kern w:val="0"/>
          <w:sz w:val="24"/>
          <w:szCs w:val="24"/>
          <w:highlight w:val="none"/>
          <w:lang w:bidi="ar"/>
        </w:rPr>
        <w:t>。</w:t>
      </w:r>
    </w:p>
    <w:p w14:paraId="489AD965">
      <w:pPr>
        <w:autoSpaceDE w:val="0"/>
        <w:spacing w:line="440" w:lineRule="exact"/>
        <w:rPr>
          <w:rFonts w:hint="eastAsia" w:ascii="宋体" w:hAnsi="宋体" w:cs="宋体"/>
          <w:b/>
          <w:color w:val="auto"/>
          <w:kern w:val="0"/>
          <w:sz w:val="24"/>
          <w:szCs w:val="24"/>
          <w:highlight w:val="none"/>
        </w:rPr>
      </w:pPr>
      <w:bookmarkStart w:id="2" w:name="_Toc28359018"/>
      <w:bookmarkEnd w:id="2"/>
      <w:bookmarkStart w:id="3" w:name="_Toc28359095"/>
      <w:bookmarkEnd w:id="3"/>
      <w:bookmarkStart w:id="4" w:name="_Toc35393636"/>
      <w:bookmarkEnd w:id="4"/>
      <w:bookmarkStart w:id="5" w:name="_Toc35393805"/>
      <w:r>
        <w:rPr>
          <w:rFonts w:hint="eastAsia" w:ascii="宋体" w:hAnsi="宋体" w:cs="宋体"/>
          <w:b/>
          <w:color w:val="auto"/>
          <w:kern w:val="0"/>
          <w:sz w:val="24"/>
          <w:szCs w:val="24"/>
          <w:highlight w:val="none"/>
          <w:lang w:bidi="ar"/>
        </w:rPr>
        <w:t>七、对本次</w:t>
      </w:r>
      <w:bookmarkEnd w:id="5"/>
      <w:r>
        <w:rPr>
          <w:rFonts w:hint="eastAsia" w:ascii="宋体" w:hAnsi="宋体" w:cs="宋体"/>
          <w:b/>
          <w:color w:val="auto"/>
          <w:kern w:val="0"/>
          <w:sz w:val="24"/>
          <w:szCs w:val="24"/>
          <w:highlight w:val="none"/>
          <w:lang w:bidi="ar"/>
        </w:rPr>
        <w:t>招标提出询问，请按以下方式联系</w:t>
      </w:r>
    </w:p>
    <w:p w14:paraId="176DF850">
      <w:pPr>
        <w:autoSpaceDE w:val="0"/>
        <w:spacing w:line="440" w:lineRule="exact"/>
        <w:ind w:firstLine="480"/>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lang w:bidi="ar"/>
        </w:rPr>
        <w:t>1</w:t>
      </w:r>
      <w:r>
        <w:rPr>
          <w:rFonts w:hint="eastAsia" w:ascii="宋体" w:hAnsi="宋体" w:cs="宋体"/>
          <w:color w:val="auto"/>
          <w:kern w:val="0"/>
          <w:sz w:val="24"/>
          <w:szCs w:val="24"/>
          <w:highlight w:val="none"/>
          <w:lang w:val="en-US" w:eastAsia="zh-CN" w:bidi="ar"/>
        </w:rPr>
        <w:t>.</w:t>
      </w:r>
      <w:r>
        <w:rPr>
          <w:rFonts w:hint="eastAsia" w:ascii="宋体" w:hAnsi="宋体" w:cs="宋体"/>
          <w:color w:val="auto"/>
          <w:kern w:val="0"/>
          <w:sz w:val="24"/>
          <w:szCs w:val="24"/>
          <w:highlight w:val="none"/>
          <w:lang w:bidi="ar"/>
        </w:rPr>
        <w:t>采购人信息</w:t>
      </w:r>
    </w:p>
    <w:p w14:paraId="1BA172F5">
      <w:pPr>
        <w:autoSpaceDE w:val="0"/>
        <w:spacing w:line="440" w:lineRule="exact"/>
        <w:ind w:firstLine="480" w:firstLineChars="200"/>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名    称：</w:t>
      </w:r>
      <w:r>
        <w:rPr>
          <w:rFonts w:hint="eastAsia" w:ascii="宋体" w:hAnsi="宋体" w:cs="宋体"/>
          <w:color w:val="auto"/>
          <w:kern w:val="0"/>
          <w:sz w:val="24"/>
          <w:szCs w:val="24"/>
          <w:highlight w:val="none"/>
          <w:lang w:val="en-US" w:eastAsia="zh-CN" w:bidi="ar"/>
        </w:rPr>
        <w:t>吉林市第六人民医院</w:t>
      </w:r>
    </w:p>
    <w:p w14:paraId="49D9E35D">
      <w:pPr>
        <w:autoSpaceDE w:val="0"/>
        <w:spacing w:line="440" w:lineRule="exact"/>
        <w:ind w:firstLine="480" w:firstLineChars="200"/>
        <w:rPr>
          <w:rFonts w:hint="default" w:ascii="宋体" w:hAnsi="宋体" w:eastAsia="宋体" w:cs="宋体"/>
          <w:color w:val="auto"/>
          <w:kern w:val="0"/>
          <w:sz w:val="24"/>
          <w:szCs w:val="24"/>
          <w:highlight w:val="none"/>
          <w:lang w:val="en-US" w:bidi="ar"/>
        </w:rPr>
      </w:pPr>
      <w:r>
        <w:rPr>
          <w:rFonts w:hint="eastAsia" w:ascii="宋体" w:hAnsi="宋体" w:eastAsia="宋体" w:cs="宋体"/>
          <w:color w:val="auto"/>
          <w:kern w:val="0"/>
          <w:sz w:val="24"/>
          <w:szCs w:val="24"/>
          <w:highlight w:val="none"/>
          <w:lang w:bidi="ar"/>
        </w:rPr>
        <w:t>地    址：</w:t>
      </w:r>
      <w:r>
        <w:rPr>
          <w:rFonts w:hint="eastAsia" w:ascii="宋体" w:hAnsi="宋体" w:cs="宋体"/>
          <w:color w:val="auto"/>
          <w:kern w:val="0"/>
          <w:sz w:val="24"/>
          <w:szCs w:val="24"/>
          <w:highlight w:val="none"/>
          <w:lang w:val="en-US" w:eastAsia="zh-CN" w:bidi="ar"/>
        </w:rPr>
        <w:t>吉林市船营区沙河子广场北100米</w:t>
      </w:r>
    </w:p>
    <w:p w14:paraId="6EECE30E">
      <w:pPr>
        <w:autoSpaceDE w:val="0"/>
        <w:spacing w:line="440" w:lineRule="exact"/>
        <w:ind w:firstLine="480" w:firstLineChars="200"/>
        <w:rPr>
          <w:rFonts w:hint="default" w:ascii="宋体" w:hAnsi="宋体" w:eastAsia="宋体" w:cs="宋体"/>
          <w:color w:val="auto"/>
          <w:kern w:val="0"/>
          <w:sz w:val="24"/>
          <w:szCs w:val="24"/>
          <w:highlight w:val="yellow"/>
          <w:lang w:val="en-US" w:bidi="ar"/>
        </w:rPr>
      </w:pPr>
      <w:r>
        <w:rPr>
          <w:rFonts w:hint="eastAsia" w:ascii="宋体" w:hAnsi="宋体" w:eastAsia="宋体" w:cs="宋体"/>
          <w:color w:val="auto"/>
          <w:kern w:val="0"/>
          <w:sz w:val="24"/>
          <w:szCs w:val="24"/>
          <w:highlight w:val="none"/>
          <w:lang w:bidi="ar"/>
        </w:rPr>
        <w:t>联系方式：</w:t>
      </w:r>
      <w:r>
        <w:rPr>
          <w:rFonts w:hint="eastAsia" w:ascii="宋体" w:hAnsi="宋体" w:cs="宋体"/>
          <w:color w:val="auto"/>
          <w:kern w:val="0"/>
          <w:sz w:val="24"/>
          <w:szCs w:val="24"/>
          <w:highlight w:val="none"/>
          <w:lang w:val="en-US" w:eastAsia="zh-CN" w:bidi="ar"/>
        </w:rPr>
        <w:t>刘雪婷 0432-63298953</w:t>
      </w:r>
    </w:p>
    <w:p w14:paraId="2BE94170">
      <w:pPr>
        <w:keepNext w:val="0"/>
        <w:keepLines w:val="0"/>
        <w:pageBreakBefore w:val="0"/>
        <w:widowControl w:val="0"/>
        <w:suppressLineNumbers w:val="0"/>
        <w:kinsoku/>
        <w:wordWrap/>
        <w:overflowPunct/>
        <w:topLinePunct w:val="0"/>
        <w:autoSpaceDE w:val="0"/>
        <w:autoSpaceDN/>
        <w:bidi w:val="0"/>
        <w:adjustRightInd/>
        <w:snapToGrid/>
        <w:spacing w:beforeAutospacing="0" w:after="0" w:afterAutospacing="0" w:line="440" w:lineRule="exact"/>
        <w:ind w:left="0" w:right="0" w:firstLine="480" w:firstLineChars="200"/>
        <w:jc w:val="both"/>
        <w:textAlignment w:val="auto"/>
        <w:outlineLvl w:val="9"/>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lang w:val="en-US" w:eastAsia="zh-CN" w:bidi="ar"/>
        </w:rPr>
        <w:t>2</w:t>
      </w:r>
      <w:r>
        <w:rPr>
          <w:rFonts w:hint="eastAsia" w:ascii="宋体" w:hAnsi="宋体" w:cs="宋体"/>
          <w:color w:val="auto"/>
          <w:spacing w:val="0"/>
          <w:kern w:val="0"/>
          <w:sz w:val="24"/>
          <w:szCs w:val="24"/>
          <w:highlight w:val="none"/>
          <w:lang w:val="en-US" w:eastAsia="zh-CN" w:bidi="ar"/>
        </w:rPr>
        <w:t>.</w:t>
      </w:r>
      <w:r>
        <w:rPr>
          <w:rFonts w:hint="eastAsia" w:ascii="宋体" w:hAnsi="宋体" w:eastAsia="宋体" w:cs="宋体"/>
          <w:color w:val="auto"/>
          <w:spacing w:val="0"/>
          <w:kern w:val="0"/>
          <w:sz w:val="24"/>
          <w:szCs w:val="24"/>
          <w:highlight w:val="none"/>
          <w:lang w:val="en-US" w:eastAsia="zh-CN" w:bidi="ar"/>
        </w:rPr>
        <w:t>采购代理机构信息</w:t>
      </w:r>
    </w:p>
    <w:p w14:paraId="6D1A6F86">
      <w:pPr>
        <w:autoSpaceDE w:val="0"/>
        <w:spacing w:line="440" w:lineRule="exact"/>
        <w:ind w:firstLine="480" w:firstLineChars="200"/>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名    称：</w:t>
      </w:r>
      <w:r>
        <w:rPr>
          <w:rFonts w:hint="eastAsia" w:ascii="宋体" w:hAnsi="宋体" w:cs="宋体"/>
          <w:color w:val="auto"/>
          <w:kern w:val="0"/>
          <w:sz w:val="24"/>
          <w:szCs w:val="24"/>
          <w:highlight w:val="none"/>
          <w:lang w:val="zh-CN" w:eastAsia="zh-CN" w:bidi="ar"/>
        </w:rPr>
        <w:t>吉林华鑫德润项目管理咨询有限公司</w:t>
      </w:r>
    </w:p>
    <w:p w14:paraId="5F6982F4">
      <w:pPr>
        <w:autoSpaceDE w:val="0"/>
        <w:spacing w:line="440" w:lineRule="exact"/>
        <w:ind w:firstLine="480" w:firstLineChars="200"/>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地    址：</w:t>
      </w:r>
      <w:r>
        <w:rPr>
          <w:rFonts w:hint="eastAsia" w:ascii="宋体" w:hAnsi="宋体" w:cs="宋体"/>
          <w:color w:val="auto"/>
          <w:kern w:val="0"/>
          <w:sz w:val="24"/>
          <w:szCs w:val="24"/>
          <w:highlight w:val="none"/>
          <w:lang w:val="zh-CN" w:eastAsia="zh-CN" w:bidi="ar"/>
        </w:rPr>
        <w:t>吉林市船营区雾凇西路百业五金十一路A29-17</w:t>
      </w:r>
    </w:p>
    <w:p w14:paraId="1FB5ED47">
      <w:pPr>
        <w:autoSpaceDE w:val="0"/>
        <w:spacing w:line="440" w:lineRule="exact"/>
        <w:ind w:firstLine="480" w:firstLineChars="200"/>
        <w:rPr>
          <w:rFonts w:hint="default" w:ascii="宋体" w:hAnsi="宋体" w:eastAsia="宋体" w:cs="宋体"/>
          <w:color w:val="auto"/>
          <w:kern w:val="0"/>
          <w:sz w:val="24"/>
          <w:szCs w:val="24"/>
          <w:highlight w:val="none"/>
          <w:lang w:val="en-US" w:bidi="ar"/>
        </w:rPr>
      </w:pPr>
      <w:r>
        <w:rPr>
          <w:rFonts w:hint="eastAsia" w:ascii="宋体" w:hAnsi="宋体" w:eastAsia="宋体" w:cs="宋体"/>
          <w:color w:val="auto"/>
          <w:kern w:val="0"/>
          <w:sz w:val="24"/>
          <w:szCs w:val="24"/>
          <w:highlight w:val="none"/>
          <w:lang w:bidi="ar"/>
        </w:rPr>
        <w:t>联系方式：</w:t>
      </w:r>
      <w:r>
        <w:rPr>
          <w:rFonts w:hint="eastAsia" w:ascii="宋体" w:hAnsi="宋体" w:cs="宋体"/>
          <w:color w:val="auto"/>
          <w:kern w:val="0"/>
          <w:sz w:val="24"/>
          <w:szCs w:val="24"/>
          <w:highlight w:val="none"/>
          <w:lang w:val="en-US" w:eastAsia="zh-CN" w:bidi="ar"/>
        </w:rPr>
        <w:t xml:space="preserve">陈鑫淼  </w:t>
      </w:r>
      <w:r>
        <w:rPr>
          <w:rFonts w:hint="eastAsia" w:ascii="宋体" w:hAnsi="宋体" w:eastAsia="宋体" w:cs="宋体"/>
          <w:color w:val="auto"/>
          <w:kern w:val="0"/>
          <w:sz w:val="24"/>
          <w:szCs w:val="24"/>
          <w:highlight w:val="none"/>
          <w:lang w:bidi="ar"/>
        </w:rPr>
        <w:t xml:space="preserve"> </w:t>
      </w:r>
      <w:r>
        <w:rPr>
          <w:rFonts w:hint="eastAsia" w:ascii="宋体" w:hAnsi="宋体" w:cs="宋体"/>
          <w:color w:val="auto"/>
          <w:kern w:val="0"/>
          <w:sz w:val="24"/>
          <w:szCs w:val="24"/>
          <w:highlight w:val="none"/>
          <w:lang w:val="en-US" w:eastAsia="zh-CN" w:bidi="ar"/>
        </w:rPr>
        <w:t>0432-62296699</w:t>
      </w:r>
    </w:p>
    <w:p w14:paraId="2642FD43">
      <w:pPr>
        <w:autoSpaceDE w:val="0"/>
        <w:spacing w:line="440" w:lineRule="exact"/>
        <w:ind w:firstLine="480" w:firstLineChars="200"/>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3</w:t>
      </w:r>
      <w:r>
        <w:rPr>
          <w:rFonts w:hint="eastAsia" w:ascii="宋体" w:hAnsi="宋体" w:eastAsia="宋体" w:cs="宋体"/>
          <w:color w:val="auto"/>
          <w:kern w:val="0"/>
          <w:sz w:val="24"/>
          <w:szCs w:val="24"/>
          <w:highlight w:val="none"/>
          <w:lang w:val="en-US" w:eastAsia="zh-CN" w:bidi="ar"/>
        </w:rPr>
        <w:t>.</w:t>
      </w:r>
      <w:r>
        <w:rPr>
          <w:rFonts w:hint="eastAsia" w:ascii="宋体" w:hAnsi="宋体" w:eastAsia="宋体" w:cs="宋体"/>
          <w:color w:val="auto"/>
          <w:kern w:val="0"/>
          <w:sz w:val="24"/>
          <w:szCs w:val="24"/>
          <w:highlight w:val="none"/>
          <w:lang w:bidi="ar"/>
        </w:rPr>
        <w:t>项目联系方式</w:t>
      </w:r>
    </w:p>
    <w:p w14:paraId="7BCD148B">
      <w:pPr>
        <w:autoSpaceDE w:val="0"/>
        <w:spacing w:line="440" w:lineRule="exact"/>
        <w:ind w:firstLine="480" w:firstLineChars="200"/>
        <w:rPr>
          <w:rFonts w:hint="eastAsia" w:ascii="宋体" w:hAnsi="宋体" w:eastAsia="宋体" w:cs="宋体"/>
          <w:color w:val="auto"/>
          <w:kern w:val="0"/>
          <w:sz w:val="24"/>
          <w:szCs w:val="24"/>
          <w:highlight w:val="none"/>
          <w:lang w:eastAsia="zh-CN" w:bidi="ar"/>
        </w:rPr>
      </w:pPr>
      <w:r>
        <w:rPr>
          <w:rFonts w:hint="eastAsia" w:ascii="宋体" w:hAnsi="宋体" w:eastAsia="宋体" w:cs="宋体"/>
          <w:color w:val="auto"/>
          <w:kern w:val="0"/>
          <w:sz w:val="24"/>
          <w:szCs w:val="24"/>
          <w:highlight w:val="none"/>
          <w:lang w:bidi="ar"/>
        </w:rPr>
        <w:t>项目联系人：</w:t>
      </w:r>
      <w:r>
        <w:rPr>
          <w:rFonts w:hint="eastAsia" w:ascii="宋体" w:hAnsi="宋体" w:cs="宋体"/>
          <w:color w:val="auto"/>
          <w:kern w:val="0"/>
          <w:sz w:val="24"/>
          <w:szCs w:val="24"/>
          <w:highlight w:val="none"/>
          <w:lang w:val="en-US" w:eastAsia="zh-CN" w:bidi="ar"/>
        </w:rPr>
        <w:t>陈鑫淼</w:t>
      </w:r>
    </w:p>
    <w:p w14:paraId="0F6B93D9">
      <w:pPr>
        <w:autoSpaceDE w:val="0"/>
        <w:spacing w:line="440" w:lineRule="exact"/>
        <w:ind w:firstLine="480" w:firstLineChars="200"/>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bidi="ar"/>
        </w:rPr>
        <w:t>电      话：</w:t>
      </w:r>
      <w:r>
        <w:rPr>
          <w:rFonts w:hint="eastAsia" w:ascii="宋体" w:hAnsi="宋体" w:cs="宋体"/>
          <w:color w:val="auto"/>
          <w:kern w:val="0"/>
          <w:sz w:val="24"/>
          <w:szCs w:val="24"/>
          <w:highlight w:val="none"/>
          <w:lang w:val="en-US" w:eastAsia="zh-CN" w:bidi="ar"/>
        </w:rPr>
        <w:t>0432-62296699</w:t>
      </w:r>
    </w:p>
    <w:p w14:paraId="4DD59F88">
      <w:pPr>
        <w:autoSpaceDE w:val="0"/>
        <w:spacing w:line="440" w:lineRule="exact"/>
        <w:ind w:firstLine="480" w:firstLineChars="200"/>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val="en-US" w:eastAsia="zh-CN" w:bidi="ar"/>
        </w:rPr>
        <w:t>邮  箱：</w:t>
      </w:r>
      <w:r>
        <w:rPr>
          <w:rFonts w:hint="eastAsia" w:ascii="宋体" w:hAnsi="宋体" w:cs="宋体"/>
          <w:color w:val="auto"/>
          <w:kern w:val="0"/>
          <w:sz w:val="24"/>
          <w:szCs w:val="24"/>
          <w:highlight w:val="none"/>
          <w:lang w:val="en-US" w:eastAsia="zh-CN" w:bidi="ar"/>
        </w:rPr>
        <w:t>1138990710@qq.com</w:t>
      </w:r>
    </w:p>
    <w:p w14:paraId="601EE1ED">
      <w:pPr>
        <w:autoSpaceDE w:val="0"/>
        <w:spacing w:line="440" w:lineRule="exact"/>
        <w:ind w:firstLine="480" w:firstLineChars="200"/>
        <w:rPr>
          <w:rFonts w:hint="eastAsia" w:ascii="宋体" w:hAnsi="宋体" w:eastAsia="宋体" w:cs="宋体"/>
          <w:color w:val="000000" w:themeColor="text1"/>
          <w:kern w:val="0"/>
          <w:sz w:val="24"/>
          <w:szCs w:val="24"/>
          <w:highlight w:val="none"/>
          <w:lang w:eastAsia="zh-CN" w:bidi="ar"/>
          <w14:textFill>
            <w14:solidFill>
              <w14:schemeClr w14:val="tx1"/>
            </w14:solidFill>
          </w14:textFill>
        </w:rPr>
      </w:pPr>
      <w:r>
        <w:rPr>
          <w:rFonts w:hint="eastAsia" w:ascii="宋体" w:hAnsi="宋体" w:eastAsia="宋体" w:cs="宋体"/>
          <w:color w:val="000000" w:themeColor="text1"/>
          <w:kern w:val="0"/>
          <w:sz w:val="24"/>
          <w:szCs w:val="24"/>
          <w:highlight w:val="none"/>
          <w:lang w:bidi="ar"/>
          <w14:textFill>
            <w14:solidFill>
              <w14:schemeClr w14:val="tx1"/>
            </w14:solidFill>
          </w14:textFill>
        </w:rPr>
        <w:t>4</w:t>
      </w:r>
      <w: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t>.</w:t>
      </w:r>
      <w:r>
        <w:rPr>
          <w:rFonts w:hint="eastAsia" w:ascii="宋体" w:hAnsi="宋体" w:eastAsia="宋体" w:cs="宋体"/>
          <w:color w:val="000000" w:themeColor="text1"/>
          <w:kern w:val="0"/>
          <w:sz w:val="24"/>
          <w:szCs w:val="24"/>
          <w:highlight w:val="none"/>
          <w:lang w:bidi="ar"/>
          <w14:textFill>
            <w14:solidFill>
              <w14:schemeClr w14:val="tx1"/>
            </w14:solidFill>
          </w14:textFill>
        </w:rPr>
        <w:t>招标监督管理部门：吉林市</w:t>
      </w:r>
      <w:r>
        <w:rPr>
          <w:rFonts w:hint="eastAsia" w:ascii="宋体" w:hAnsi="宋体" w:cs="宋体"/>
          <w:color w:val="000000" w:themeColor="text1"/>
          <w:kern w:val="0"/>
          <w:sz w:val="24"/>
          <w:szCs w:val="24"/>
          <w:highlight w:val="none"/>
          <w:lang w:val="en-US" w:eastAsia="zh-CN" w:bidi="ar"/>
          <w14:textFill>
            <w14:solidFill>
              <w14:schemeClr w14:val="tx1"/>
            </w14:solidFill>
          </w14:textFill>
        </w:rPr>
        <w:t>船营区</w:t>
      </w:r>
      <w:r>
        <w:rPr>
          <w:rFonts w:hint="eastAsia" w:ascii="宋体" w:hAnsi="宋体" w:eastAsia="宋体" w:cs="宋体"/>
          <w:color w:val="000000" w:themeColor="text1"/>
          <w:kern w:val="0"/>
          <w:sz w:val="24"/>
          <w:szCs w:val="24"/>
          <w:highlight w:val="none"/>
          <w:lang w:bidi="ar"/>
          <w14:textFill>
            <w14:solidFill>
              <w14:schemeClr w14:val="tx1"/>
            </w14:solidFill>
          </w14:textFill>
        </w:rPr>
        <w:t>政府采购管理工作办公室</w:t>
      </w:r>
    </w:p>
    <w:p w14:paraId="4420DE97">
      <w:pPr>
        <w:autoSpaceDE w:val="0"/>
        <w:spacing w:line="440" w:lineRule="exact"/>
        <w:ind w:firstLine="480" w:firstLineChars="200"/>
        <w:rPr>
          <w:rFonts w:hint="default" w:ascii="宋体" w:hAnsi="宋体" w:eastAsia="宋体" w:cs="宋体"/>
          <w:color w:val="auto"/>
          <w:kern w:val="0"/>
          <w:sz w:val="24"/>
          <w:szCs w:val="24"/>
          <w:highlight w:val="none"/>
          <w:lang w:val="en-US" w:eastAsia="zh-CN" w:bidi="ar"/>
        </w:rPr>
      </w:pPr>
    </w:p>
    <w:p w14:paraId="64AFFEB5">
      <w:pPr>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38BC5418">
      <w:pPr>
        <w:rPr>
          <w:rFonts w:hint="eastAsia" w:ascii="宋体" w:hAnsi="宋体" w:eastAsia="宋体" w:cs="宋体"/>
          <w:color w:val="auto"/>
          <w:highlight w:val="none"/>
        </w:rPr>
      </w:pPr>
    </w:p>
    <w:p w14:paraId="19ECFEDB">
      <w:pPr>
        <w:pStyle w:val="3"/>
        <w:keepNext/>
        <w:keepLines/>
        <w:pageBreakBefore w:val="0"/>
        <w:widowControl/>
        <w:kinsoku/>
        <w:wordWrap/>
        <w:overflowPunct/>
        <w:topLinePunct w:val="0"/>
        <w:autoSpaceDE/>
        <w:autoSpaceDN/>
        <w:bidi w:val="0"/>
        <w:adjustRightInd/>
        <w:snapToGrid/>
        <w:spacing w:before="0" w:after="0" w:line="360" w:lineRule="auto"/>
        <w:jc w:val="center"/>
        <w:textAlignment w:val="auto"/>
        <w:rPr>
          <w:rFonts w:hint="eastAsia" w:ascii="宋体" w:hAnsi="宋体" w:eastAsia="宋体" w:cs="宋体"/>
          <w:color w:val="auto"/>
          <w:sz w:val="36"/>
          <w:szCs w:val="36"/>
          <w:highlight w:val="none"/>
        </w:rPr>
      </w:pPr>
      <w:bookmarkStart w:id="6" w:name="_Toc28014"/>
      <w:r>
        <w:rPr>
          <w:rFonts w:hint="eastAsia" w:ascii="宋体" w:hAnsi="宋体" w:eastAsia="宋体" w:cs="宋体"/>
          <w:color w:val="auto"/>
          <w:sz w:val="36"/>
          <w:szCs w:val="36"/>
          <w:highlight w:val="none"/>
        </w:rPr>
        <w:t>第二部分  供应商须知</w:t>
      </w:r>
      <w:bookmarkEnd w:id="6"/>
    </w:p>
    <w:p w14:paraId="3BDC8E3E">
      <w:pPr>
        <w:pStyle w:val="9"/>
        <w:pageBreakBefore w:val="0"/>
        <w:kinsoku/>
        <w:overflowPunct/>
        <w:topLinePunct w:val="0"/>
        <w:bidi w:val="0"/>
        <w:spacing w:line="288"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一、供应商须知前附表</w:t>
      </w:r>
    </w:p>
    <w:tbl>
      <w:tblPr>
        <w:tblStyle w:val="44"/>
        <w:tblW w:w="996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22"/>
        <w:gridCol w:w="1692"/>
        <w:gridCol w:w="7050"/>
      </w:tblGrid>
      <w:tr w14:paraId="7CA63B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1222" w:type="dxa"/>
            <w:noWrap w:val="0"/>
            <w:vAlign w:val="center"/>
          </w:tcPr>
          <w:p w14:paraId="62328C07">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lang w:val="zh-CN"/>
              </w:rPr>
              <w:t>序号</w:t>
            </w:r>
          </w:p>
        </w:tc>
        <w:tc>
          <w:tcPr>
            <w:tcW w:w="1692" w:type="dxa"/>
            <w:noWrap w:val="0"/>
            <w:vAlign w:val="center"/>
          </w:tcPr>
          <w:p w14:paraId="34A050B7">
            <w:pPr>
              <w:pStyle w:val="28"/>
              <w:keepNext w:val="0"/>
              <w:keepLines w:val="0"/>
              <w:pageBreakBefore w:val="0"/>
              <w:widowControl w:val="0"/>
              <w:pBdr>
                <w:bottom w:val="none" w:color="auto" w:sz="0" w:space="0"/>
              </w:pBdr>
              <w:tabs>
                <w:tab w:val="clear" w:pos="4153"/>
                <w:tab w:val="clear" w:pos="8306"/>
              </w:tabs>
              <w:kinsoku/>
              <w:wordWrap w:val="0"/>
              <w:overflowPunct/>
              <w:topLinePunct w:val="0"/>
              <w:autoSpaceDE/>
              <w:autoSpaceDN/>
              <w:bidi w:val="0"/>
              <w:adjustRightInd w:val="0"/>
              <w:snapToGrid/>
              <w:spacing w:line="440" w:lineRule="exact"/>
              <w:textAlignment w:val="auto"/>
              <w:rPr>
                <w:rFonts w:hint="eastAsia" w:ascii="宋体" w:hAnsi="宋体" w:eastAsia="宋体" w:cs="宋体"/>
                <w:b/>
                <w:color w:val="auto"/>
                <w:kern w:val="2"/>
                <w:sz w:val="24"/>
                <w:szCs w:val="24"/>
                <w:highlight w:val="none"/>
                <w:lang w:val="zh-CN" w:eastAsia="zh-CN"/>
              </w:rPr>
            </w:pPr>
            <w:r>
              <w:rPr>
                <w:rFonts w:hint="eastAsia" w:ascii="宋体" w:hAnsi="宋体" w:eastAsia="宋体" w:cs="宋体"/>
                <w:b/>
                <w:color w:val="auto"/>
                <w:kern w:val="2"/>
                <w:sz w:val="24"/>
                <w:szCs w:val="24"/>
                <w:highlight w:val="none"/>
                <w:lang w:val="zh-CN" w:eastAsia="zh-CN"/>
              </w:rPr>
              <w:t>条款名称</w:t>
            </w:r>
          </w:p>
        </w:tc>
        <w:tc>
          <w:tcPr>
            <w:tcW w:w="7050" w:type="dxa"/>
            <w:noWrap w:val="0"/>
            <w:vAlign w:val="center"/>
          </w:tcPr>
          <w:p w14:paraId="0B39CE5A">
            <w:pPr>
              <w:pStyle w:val="28"/>
              <w:keepNext w:val="0"/>
              <w:keepLines w:val="0"/>
              <w:pageBreakBefore w:val="0"/>
              <w:widowControl w:val="0"/>
              <w:pBdr>
                <w:bottom w:val="none" w:color="auto" w:sz="0" w:space="0"/>
              </w:pBdr>
              <w:tabs>
                <w:tab w:val="clear" w:pos="4153"/>
                <w:tab w:val="clear" w:pos="8306"/>
              </w:tabs>
              <w:kinsoku/>
              <w:wordWrap w:val="0"/>
              <w:overflowPunct/>
              <w:topLinePunct w:val="0"/>
              <w:autoSpaceDE/>
              <w:autoSpaceDN/>
              <w:bidi w:val="0"/>
              <w:adjustRightInd w:val="0"/>
              <w:snapToGrid/>
              <w:spacing w:line="440" w:lineRule="exact"/>
              <w:textAlignment w:val="auto"/>
              <w:rPr>
                <w:rFonts w:hint="eastAsia" w:ascii="宋体" w:hAnsi="宋体" w:eastAsia="宋体" w:cs="宋体"/>
                <w:b/>
                <w:color w:val="auto"/>
                <w:kern w:val="2"/>
                <w:sz w:val="24"/>
                <w:szCs w:val="24"/>
                <w:highlight w:val="none"/>
                <w:lang w:val="zh-CN" w:eastAsia="zh-CN"/>
              </w:rPr>
            </w:pPr>
            <w:r>
              <w:rPr>
                <w:rFonts w:hint="eastAsia" w:ascii="宋体" w:hAnsi="宋体" w:eastAsia="宋体" w:cs="宋体"/>
                <w:b/>
                <w:color w:val="auto"/>
                <w:kern w:val="2"/>
                <w:sz w:val="24"/>
                <w:szCs w:val="24"/>
                <w:highlight w:val="none"/>
                <w:lang w:val="zh-CN" w:eastAsia="zh-CN"/>
              </w:rPr>
              <w:t>编列内容</w:t>
            </w:r>
          </w:p>
        </w:tc>
      </w:tr>
      <w:tr w14:paraId="38B97C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222" w:type="dxa"/>
            <w:noWrap w:val="0"/>
            <w:vAlign w:val="center"/>
          </w:tcPr>
          <w:p w14:paraId="29E88C8C">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1.1.2</w:t>
            </w:r>
          </w:p>
        </w:tc>
        <w:tc>
          <w:tcPr>
            <w:tcW w:w="1692" w:type="dxa"/>
            <w:noWrap w:val="0"/>
            <w:vAlign w:val="center"/>
          </w:tcPr>
          <w:p w14:paraId="27C24CDD">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采购人</w:t>
            </w:r>
          </w:p>
        </w:tc>
        <w:tc>
          <w:tcPr>
            <w:tcW w:w="7050" w:type="dxa"/>
            <w:noWrap w:val="0"/>
            <w:vAlign w:val="top"/>
          </w:tcPr>
          <w:p w14:paraId="1BC3DBAE">
            <w:pPr>
              <w:autoSpaceDE w:val="0"/>
              <w:spacing w:line="440" w:lineRule="exact"/>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名    称：</w:t>
            </w:r>
            <w:r>
              <w:rPr>
                <w:rFonts w:hint="eastAsia" w:ascii="宋体" w:hAnsi="宋体" w:cs="宋体"/>
                <w:color w:val="auto"/>
                <w:kern w:val="0"/>
                <w:sz w:val="24"/>
                <w:szCs w:val="24"/>
                <w:highlight w:val="none"/>
                <w:lang w:val="en-US" w:eastAsia="zh-CN" w:bidi="ar"/>
              </w:rPr>
              <w:t>吉林市第六人民医院</w:t>
            </w:r>
          </w:p>
          <w:p w14:paraId="4CD364C4">
            <w:pPr>
              <w:autoSpaceDE w:val="0"/>
              <w:spacing w:line="440" w:lineRule="exact"/>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地    址：</w:t>
            </w:r>
            <w:r>
              <w:rPr>
                <w:rFonts w:hint="eastAsia" w:ascii="宋体" w:hAnsi="宋体" w:cs="宋体"/>
                <w:color w:val="auto"/>
                <w:kern w:val="0"/>
                <w:sz w:val="24"/>
                <w:szCs w:val="24"/>
                <w:highlight w:val="none"/>
                <w:lang w:val="en-US" w:eastAsia="zh-CN" w:bidi="ar"/>
              </w:rPr>
              <w:t>吉林市船营区沙河子广场北100米</w:t>
            </w:r>
          </w:p>
          <w:p w14:paraId="7C77F18B">
            <w:pPr>
              <w:keepNext w:val="0"/>
              <w:keepLines w:val="0"/>
              <w:pageBreakBefore w:val="0"/>
              <w:widowControl w:val="0"/>
              <w:kinsoku/>
              <w:wordWrap w:val="0"/>
              <w:overflowPunct/>
              <w:topLinePunct w:val="0"/>
              <w:autoSpaceDE/>
              <w:autoSpaceDN/>
              <w:bidi w:val="0"/>
              <w:spacing w:line="440" w:lineRule="exact"/>
              <w:textAlignment w:val="auto"/>
              <w:rPr>
                <w:rFonts w:hint="default" w:ascii="宋体" w:hAnsi="宋体" w:eastAsia="宋体" w:cs="宋体"/>
                <w:bCs/>
                <w:color w:val="auto"/>
                <w:sz w:val="24"/>
                <w:szCs w:val="24"/>
                <w:highlight w:val="none"/>
                <w:lang w:val="en-US"/>
              </w:rPr>
            </w:pPr>
            <w:r>
              <w:rPr>
                <w:rFonts w:hint="default" w:ascii="宋体" w:hAnsi="宋体" w:eastAsia="宋体" w:cs="宋体"/>
                <w:bCs/>
                <w:color w:val="auto"/>
                <w:sz w:val="24"/>
                <w:szCs w:val="24"/>
                <w:highlight w:val="none"/>
                <w:lang w:val="en-US"/>
              </w:rPr>
              <w:t>联系方式：</w:t>
            </w:r>
            <w:r>
              <w:rPr>
                <w:rFonts w:hint="eastAsia" w:ascii="宋体" w:hAnsi="宋体" w:cs="宋体"/>
                <w:bCs/>
                <w:color w:val="auto"/>
                <w:sz w:val="24"/>
                <w:szCs w:val="24"/>
                <w:highlight w:val="none"/>
                <w:lang w:val="en-US" w:eastAsia="zh-CN"/>
              </w:rPr>
              <w:t>刘雪婷 0432-63298953</w:t>
            </w:r>
          </w:p>
        </w:tc>
      </w:tr>
      <w:tr w14:paraId="38EDAC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222" w:type="dxa"/>
            <w:noWrap w:val="0"/>
            <w:vAlign w:val="center"/>
          </w:tcPr>
          <w:p w14:paraId="39C996C6">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1.1.3</w:t>
            </w:r>
          </w:p>
        </w:tc>
        <w:tc>
          <w:tcPr>
            <w:tcW w:w="1692" w:type="dxa"/>
            <w:noWrap w:val="0"/>
            <w:vAlign w:val="center"/>
          </w:tcPr>
          <w:p w14:paraId="7C7D956E">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采购代理机构</w:t>
            </w:r>
          </w:p>
        </w:tc>
        <w:tc>
          <w:tcPr>
            <w:tcW w:w="7050" w:type="dxa"/>
            <w:noWrap w:val="0"/>
            <w:vAlign w:val="center"/>
          </w:tcPr>
          <w:p w14:paraId="0600E752">
            <w:pPr>
              <w:autoSpaceDE w:val="0"/>
              <w:spacing w:line="440" w:lineRule="exact"/>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名    称：</w:t>
            </w:r>
            <w:r>
              <w:rPr>
                <w:rFonts w:hint="eastAsia" w:ascii="宋体" w:hAnsi="宋体" w:cs="宋体"/>
                <w:color w:val="auto"/>
                <w:kern w:val="0"/>
                <w:sz w:val="24"/>
                <w:szCs w:val="24"/>
                <w:highlight w:val="none"/>
                <w:lang w:val="zh-CN" w:eastAsia="zh-CN" w:bidi="ar"/>
              </w:rPr>
              <w:t>吉林华鑫德润项目管理咨询有限公司</w:t>
            </w:r>
          </w:p>
          <w:p w14:paraId="6B3C371B">
            <w:pPr>
              <w:autoSpaceDE w:val="0"/>
              <w:spacing w:line="440" w:lineRule="exact"/>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地    址：</w:t>
            </w:r>
            <w:r>
              <w:rPr>
                <w:rFonts w:hint="eastAsia" w:ascii="宋体" w:hAnsi="宋体" w:cs="宋体"/>
                <w:color w:val="auto"/>
                <w:kern w:val="0"/>
                <w:sz w:val="24"/>
                <w:szCs w:val="24"/>
                <w:highlight w:val="none"/>
                <w:lang w:val="zh-CN" w:eastAsia="zh-CN" w:bidi="ar"/>
              </w:rPr>
              <w:t>吉林市船营区雾凇西路百业五金十一路A29-17</w:t>
            </w:r>
          </w:p>
          <w:p w14:paraId="7338B678">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联系方式：</w:t>
            </w:r>
            <w:r>
              <w:rPr>
                <w:rFonts w:hint="eastAsia" w:ascii="宋体" w:hAnsi="宋体" w:cs="宋体"/>
                <w:bCs/>
                <w:color w:val="auto"/>
                <w:sz w:val="24"/>
                <w:szCs w:val="24"/>
                <w:highlight w:val="none"/>
                <w:lang w:val="en-US" w:eastAsia="zh-CN"/>
              </w:rPr>
              <w:t>陈鑫淼</w:t>
            </w:r>
            <w:r>
              <w:rPr>
                <w:rFonts w:hint="eastAsia" w:ascii="宋体" w:hAnsi="宋体" w:eastAsia="宋体" w:cs="宋体"/>
                <w:bCs/>
                <w:color w:val="auto"/>
                <w:sz w:val="24"/>
                <w:szCs w:val="24"/>
                <w:highlight w:val="none"/>
                <w:lang w:val="en-US" w:eastAsia="zh-CN"/>
              </w:rPr>
              <w:t xml:space="preserve">  </w:t>
            </w:r>
            <w:r>
              <w:rPr>
                <w:rFonts w:hint="eastAsia" w:ascii="宋体" w:hAnsi="宋体" w:eastAsia="宋体" w:cs="宋体"/>
                <w:bCs/>
                <w:color w:val="auto"/>
                <w:sz w:val="24"/>
                <w:szCs w:val="24"/>
                <w:highlight w:val="none"/>
              </w:rPr>
              <w:t xml:space="preserve"> </w:t>
            </w:r>
            <w:r>
              <w:rPr>
                <w:rFonts w:hint="eastAsia" w:ascii="宋体" w:hAnsi="宋体" w:cs="宋体"/>
                <w:bCs/>
                <w:color w:val="auto"/>
                <w:sz w:val="24"/>
                <w:szCs w:val="24"/>
                <w:highlight w:val="none"/>
                <w:lang w:val="en-US" w:eastAsia="zh-CN"/>
              </w:rPr>
              <w:t>0432-62296699</w:t>
            </w:r>
          </w:p>
        </w:tc>
      </w:tr>
      <w:tr w14:paraId="11D340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222" w:type="dxa"/>
            <w:noWrap w:val="0"/>
            <w:vAlign w:val="center"/>
          </w:tcPr>
          <w:p w14:paraId="709698B4">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1.1.4</w:t>
            </w:r>
          </w:p>
        </w:tc>
        <w:tc>
          <w:tcPr>
            <w:tcW w:w="1692" w:type="dxa"/>
            <w:noWrap w:val="0"/>
            <w:vAlign w:val="center"/>
          </w:tcPr>
          <w:p w14:paraId="504E8103">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项目名称</w:t>
            </w:r>
          </w:p>
        </w:tc>
        <w:tc>
          <w:tcPr>
            <w:tcW w:w="7050" w:type="dxa"/>
            <w:noWrap w:val="0"/>
            <w:vAlign w:val="center"/>
          </w:tcPr>
          <w:p w14:paraId="219C3684">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bCs/>
                <w:color w:val="auto"/>
                <w:kern w:val="0"/>
                <w:sz w:val="24"/>
                <w:szCs w:val="24"/>
                <w:highlight w:val="none"/>
              </w:rPr>
            </w:pPr>
            <w:r>
              <w:rPr>
                <w:rFonts w:hint="eastAsia" w:ascii="宋体" w:hAnsi="宋体" w:cs="宋体"/>
                <w:bCs/>
                <w:color w:val="auto"/>
                <w:kern w:val="0"/>
                <w:sz w:val="24"/>
                <w:szCs w:val="24"/>
                <w:highlight w:val="none"/>
                <w:lang w:val="en-US" w:eastAsia="zh-CN"/>
              </w:rPr>
              <w:t>吉林市第六人民医院购置高效液相色谱串联质谱设备</w:t>
            </w:r>
          </w:p>
        </w:tc>
      </w:tr>
      <w:tr w14:paraId="3FBC25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222" w:type="dxa"/>
            <w:noWrap w:val="0"/>
            <w:vAlign w:val="center"/>
          </w:tcPr>
          <w:p w14:paraId="3E32A1CE">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1.1.5</w:t>
            </w:r>
          </w:p>
        </w:tc>
        <w:tc>
          <w:tcPr>
            <w:tcW w:w="1692" w:type="dxa"/>
            <w:noWrap w:val="0"/>
            <w:vAlign w:val="center"/>
          </w:tcPr>
          <w:p w14:paraId="09FDE920">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供货地点</w:t>
            </w:r>
          </w:p>
        </w:tc>
        <w:tc>
          <w:tcPr>
            <w:tcW w:w="7050" w:type="dxa"/>
            <w:noWrap w:val="0"/>
            <w:vAlign w:val="center"/>
          </w:tcPr>
          <w:p w14:paraId="3EEE1E05">
            <w:pPr>
              <w:keepNext w:val="0"/>
              <w:keepLines w:val="0"/>
              <w:pageBreakBefore w:val="0"/>
              <w:widowControl w:val="0"/>
              <w:kinsoku/>
              <w:wordWrap w:val="0"/>
              <w:overflowPunct/>
              <w:topLinePunct w:val="0"/>
              <w:autoSpaceDE/>
              <w:autoSpaceDN/>
              <w:bidi w:val="0"/>
              <w:spacing w:line="440" w:lineRule="exact"/>
              <w:textAlignment w:val="auto"/>
              <w:rPr>
                <w:rFonts w:hint="default" w:ascii="宋体" w:hAnsi="宋体" w:eastAsia="宋体" w:cs="宋体"/>
                <w:bCs/>
                <w:color w:val="auto"/>
                <w:kern w:val="0"/>
                <w:sz w:val="24"/>
                <w:szCs w:val="24"/>
                <w:highlight w:val="none"/>
                <w:lang w:val="en-US"/>
              </w:rPr>
            </w:pPr>
            <w:r>
              <w:rPr>
                <w:rFonts w:hint="eastAsia" w:ascii="宋体" w:hAnsi="宋体" w:cs="宋体"/>
                <w:bCs/>
                <w:color w:val="auto"/>
                <w:kern w:val="0"/>
                <w:sz w:val="24"/>
                <w:szCs w:val="24"/>
                <w:highlight w:val="none"/>
                <w:lang w:val="en-US" w:eastAsia="zh-CN"/>
              </w:rPr>
              <w:t>吉林市第六人民医院</w:t>
            </w:r>
          </w:p>
        </w:tc>
      </w:tr>
      <w:tr w14:paraId="55BD5A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222" w:type="dxa"/>
            <w:noWrap w:val="0"/>
            <w:vAlign w:val="center"/>
          </w:tcPr>
          <w:p w14:paraId="696EC1EA">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l.2.1</w:t>
            </w:r>
          </w:p>
        </w:tc>
        <w:tc>
          <w:tcPr>
            <w:tcW w:w="1692" w:type="dxa"/>
            <w:noWrap w:val="0"/>
            <w:vAlign w:val="center"/>
          </w:tcPr>
          <w:p w14:paraId="122DEE31">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kern w:val="0"/>
                <w:sz w:val="24"/>
                <w:szCs w:val="24"/>
                <w:highlight w:val="none"/>
              </w:rPr>
            </w:pPr>
            <w:r>
              <w:rPr>
                <w:rFonts w:hint="eastAsia" w:ascii="宋体" w:hAnsi="宋体" w:eastAsia="宋体" w:cs="宋体"/>
                <w:color w:val="auto"/>
                <w:kern w:val="0"/>
                <w:sz w:val="24"/>
                <w:szCs w:val="24"/>
                <w:highlight w:val="none"/>
                <w:lang w:eastAsia="zh-CN" w:bidi="ar"/>
              </w:rPr>
              <w:t>资金来源</w:t>
            </w:r>
            <w:r>
              <w:rPr>
                <w:rFonts w:hint="eastAsia" w:ascii="宋体" w:hAnsi="宋体" w:eastAsia="宋体" w:cs="宋体"/>
                <w:color w:val="auto"/>
                <w:kern w:val="0"/>
                <w:sz w:val="24"/>
                <w:szCs w:val="24"/>
                <w:highlight w:val="none"/>
                <w:lang w:val="en-US" w:eastAsia="zh-CN" w:bidi="ar"/>
              </w:rPr>
              <w:t>采购预算</w:t>
            </w:r>
          </w:p>
        </w:tc>
        <w:tc>
          <w:tcPr>
            <w:tcW w:w="7050" w:type="dxa"/>
            <w:noWrap w:val="0"/>
            <w:vAlign w:val="center"/>
          </w:tcPr>
          <w:p w14:paraId="10D3E692">
            <w:pPr>
              <w:keepNext w:val="0"/>
              <w:keepLines w:val="0"/>
              <w:pageBreakBefore w:val="0"/>
              <w:widowControl w:val="0"/>
              <w:kinsoku/>
              <w:wordWrap w:val="0"/>
              <w:overflowPunct/>
              <w:topLinePunct w:val="0"/>
              <w:autoSpaceDE/>
              <w:autoSpaceDN/>
              <w:bidi w:val="0"/>
              <w:spacing w:line="440" w:lineRule="exact"/>
              <w:textAlignment w:val="auto"/>
              <w:rPr>
                <w:rFonts w:hint="default" w:ascii="宋体" w:hAnsi="宋体" w:eastAsia="宋体" w:cs="宋体"/>
                <w:bCs/>
                <w:color w:val="auto"/>
                <w:kern w:val="0"/>
                <w:sz w:val="24"/>
                <w:szCs w:val="24"/>
                <w:highlight w:val="none"/>
                <w:lang w:val="en-US"/>
              </w:rPr>
            </w:pPr>
            <w:r>
              <w:rPr>
                <w:rFonts w:hint="eastAsia" w:ascii="宋体" w:hAnsi="宋体" w:cs="宋体"/>
                <w:color w:val="auto"/>
                <w:kern w:val="0"/>
                <w:sz w:val="24"/>
                <w:szCs w:val="24"/>
                <w:highlight w:val="none"/>
                <w:lang w:val="en-US" w:eastAsia="zh-CN" w:bidi="ar"/>
              </w:rPr>
              <w:t xml:space="preserve">160万元（最高限价） </w:t>
            </w:r>
          </w:p>
        </w:tc>
      </w:tr>
      <w:tr w14:paraId="17CE88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222" w:type="dxa"/>
            <w:noWrap w:val="0"/>
            <w:vAlign w:val="center"/>
          </w:tcPr>
          <w:p w14:paraId="46CF5DF1">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1.2.2</w:t>
            </w:r>
          </w:p>
        </w:tc>
        <w:tc>
          <w:tcPr>
            <w:tcW w:w="1692" w:type="dxa"/>
            <w:noWrap w:val="0"/>
            <w:vAlign w:val="center"/>
          </w:tcPr>
          <w:p w14:paraId="5B9C2076">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color w:val="auto"/>
                <w:kern w:val="0"/>
                <w:sz w:val="24"/>
                <w:szCs w:val="24"/>
                <w:highlight w:val="none"/>
                <w:lang w:eastAsia="zh-CN" w:bidi="ar"/>
              </w:rPr>
            </w:pPr>
            <w:r>
              <w:rPr>
                <w:rFonts w:hint="eastAsia" w:ascii="宋体" w:hAnsi="宋体" w:eastAsia="宋体" w:cs="宋体"/>
                <w:color w:val="auto"/>
                <w:kern w:val="0"/>
                <w:sz w:val="24"/>
                <w:szCs w:val="24"/>
                <w:highlight w:val="none"/>
                <w:lang w:val="en-US" w:eastAsia="zh-CN" w:bidi="ar"/>
              </w:rPr>
              <w:t>采购预算</w:t>
            </w:r>
          </w:p>
        </w:tc>
        <w:tc>
          <w:tcPr>
            <w:tcW w:w="7050" w:type="dxa"/>
            <w:noWrap w:val="0"/>
            <w:vAlign w:val="center"/>
          </w:tcPr>
          <w:p w14:paraId="2A7F6F72">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部分财政资金</w:t>
            </w:r>
          </w:p>
        </w:tc>
      </w:tr>
      <w:tr w14:paraId="69525A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222" w:type="dxa"/>
            <w:noWrap w:val="0"/>
            <w:vAlign w:val="center"/>
          </w:tcPr>
          <w:p w14:paraId="73758411">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zh-CN"/>
              </w:rPr>
              <w:t>1.2.</w:t>
            </w:r>
            <w:r>
              <w:rPr>
                <w:rFonts w:hint="eastAsia" w:ascii="宋体" w:hAnsi="宋体" w:cs="宋体"/>
                <w:bCs/>
                <w:color w:val="auto"/>
                <w:sz w:val="24"/>
                <w:szCs w:val="24"/>
                <w:highlight w:val="none"/>
                <w:lang w:val="en-US" w:eastAsia="zh-CN"/>
              </w:rPr>
              <w:t>3</w:t>
            </w:r>
          </w:p>
        </w:tc>
        <w:tc>
          <w:tcPr>
            <w:tcW w:w="1692" w:type="dxa"/>
            <w:noWrap w:val="0"/>
            <w:vAlign w:val="center"/>
          </w:tcPr>
          <w:p w14:paraId="1F0C3393">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资金落实情况</w:t>
            </w:r>
          </w:p>
        </w:tc>
        <w:tc>
          <w:tcPr>
            <w:tcW w:w="7050" w:type="dxa"/>
            <w:noWrap w:val="0"/>
            <w:vAlign w:val="center"/>
          </w:tcPr>
          <w:p w14:paraId="7ACF97F5">
            <w:pPr>
              <w:keepNext w:val="0"/>
              <w:keepLines w:val="0"/>
              <w:pageBreakBefore w:val="0"/>
              <w:widowControl w:val="0"/>
              <w:kinsoku/>
              <w:wordWrap w:val="0"/>
              <w:overflowPunct/>
              <w:topLinePunct w:val="0"/>
              <w:autoSpaceDE/>
              <w:autoSpaceDN/>
              <w:bidi w:val="0"/>
              <w:adjustRightInd w:val="0"/>
              <w:spacing w:line="440" w:lineRule="exact"/>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已落实</w:t>
            </w:r>
          </w:p>
        </w:tc>
      </w:tr>
      <w:tr w14:paraId="61FED0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5" w:hRule="atLeast"/>
          <w:jc w:val="center"/>
        </w:trPr>
        <w:tc>
          <w:tcPr>
            <w:tcW w:w="1222" w:type="dxa"/>
            <w:noWrap w:val="0"/>
            <w:vAlign w:val="center"/>
          </w:tcPr>
          <w:p w14:paraId="5248A95F">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1.3.1</w:t>
            </w:r>
          </w:p>
        </w:tc>
        <w:tc>
          <w:tcPr>
            <w:tcW w:w="1692" w:type="dxa"/>
            <w:noWrap w:val="0"/>
            <w:vAlign w:val="center"/>
          </w:tcPr>
          <w:p w14:paraId="0D4D0A85">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招标内容</w:t>
            </w:r>
          </w:p>
        </w:tc>
        <w:tc>
          <w:tcPr>
            <w:tcW w:w="7050" w:type="dxa"/>
            <w:noWrap w:val="0"/>
            <w:vAlign w:val="center"/>
          </w:tcPr>
          <w:p w14:paraId="7397DAD2">
            <w:pPr>
              <w:keepNext w:val="0"/>
              <w:keepLines w:val="0"/>
              <w:pageBreakBefore w:val="0"/>
              <w:widowControl w:val="0"/>
              <w:kinsoku/>
              <w:wordWrap w:val="0"/>
              <w:overflowPunct/>
              <w:topLinePunct w:val="0"/>
              <w:autoSpaceDE/>
              <w:autoSpaceDN/>
              <w:bidi w:val="0"/>
              <w:spacing w:line="440" w:lineRule="exact"/>
              <w:textAlignment w:val="auto"/>
              <w:rPr>
                <w:rFonts w:hint="default" w:ascii="宋体" w:hAnsi="宋体" w:eastAsia="宋体" w:cs="宋体"/>
                <w:bCs/>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bidi="ar"/>
              </w:rPr>
              <w:t>购置高效液相色谱串联质谱设备1套，详见招标文件 “第四部分 采购需求 ”。</w:t>
            </w:r>
          </w:p>
        </w:tc>
      </w:tr>
      <w:tr w14:paraId="27BFF2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222" w:type="dxa"/>
            <w:noWrap w:val="0"/>
            <w:vAlign w:val="center"/>
          </w:tcPr>
          <w:p w14:paraId="0CDBCAD6">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1.3.2</w:t>
            </w:r>
          </w:p>
        </w:tc>
        <w:tc>
          <w:tcPr>
            <w:tcW w:w="1692" w:type="dxa"/>
            <w:noWrap w:val="0"/>
            <w:vAlign w:val="center"/>
          </w:tcPr>
          <w:p w14:paraId="1B62DFBA">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供货期</w:t>
            </w:r>
          </w:p>
        </w:tc>
        <w:tc>
          <w:tcPr>
            <w:tcW w:w="7050" w:type="dxa"/>
            <w:noWrap w:val="0"/>
            <w:vAlign w:val="center"/>
          </w:tcPr>
          <w:p w14:paraId="741E8AA4">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bCs/>
                <w:color w:val="auto"/>
                <w:sz w:val="24"/>
                <w:szCs w:val="24"/>
                <w:highlight w:val="yellow"/>
              </w:rPr>
            </w:pPr>
            <w:r>
              <w:rPr>
                <w:rFonts w:hint="eastAsia" w:ascii="宋体" w:hAnsi="宋体" w:cs="宋体"/>
                <w:color w:val="auto"/>
                <w:kern w:val="0"/>
                <w:sz w:val="24"/>
                <w:szCs w:val="24"/>
                <w:highlight w:val="none"/>
                <w:lang w:bidi="ar"/>
              </w:rPr>
              <w:t xml:space="preserve">自合同签订之日起 </w:t>
            </w:r>
            <w:r>
              <w:rPr>
                <w:rFonts w:hint="eastAsia" w:ascii="宋体" w:hAnsi="宋体" w:cs="宋体"/>
                <w:color w:val="auto"/>
                <w:kern w:val="0"/>
                <w:sz w:val="24"/>
                <w:szCs w:val="24"/>
                <w:highlight w:val="none"/>
                <w:lang w:val="en-US" w:eastAsia="zh-CN" w:bidi="ar"/>
              </w:rPr>
              <w:t>60日历日</w:t>
            </w:r>
            <w:r>
              <w:rPr>
                <w:rFonts w:hint="eastAsia" w:ascii="宋体" w:hAnsi="宋体" w:cs="宋体"/>
                <w:color w:val="auto"/>
                <w:kern w:val="0"/>
                <w:sz w:val="24"/>
                <w:szCs w:val="24"/>
                <w:highlight w:val="none"/>
                <w:lang w:bidi="ar"/>
              </w:rPr>
              <w:t>内完成供货并安装调试完毕；</w:t>
            </w:r>
          </w:p>
        </w:tc>
      </w:tr>
      <w:tr w14:paraId="0510C1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222" w:type="dxa"/>
            <w:noWrap w:val="0"/>
            <w:vAlign w:val="center"/>
          </w:tcPr>
          <w:p w14:paraId="4E356FBE">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1.3.3</w:t>
            </w:r>
          </w:p>
        </w:tc>
        <w:tc>
          <w:tcPr>
            <w:tcW w:w="1692" w:type="dxa"/>
            <w:noWrap w:val="0"/>
            <w:vAlign w:val="center"/>
          </w:tcPr>
          <w:p w14:paraId="36E89BAD">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质量标准</w:t>
            </w:r>
          </w:p>
        </w:tc>
        <w:tc>
          <w:tcPr>
            <w:tcW w:w="7050" w:type="dxa"/>
            <w:noWrap w:val="0"/>
            <w:vAlign w:val="center"/>
          </w:tcPr>
          <w:p w14:paraId="76485995">
            <w:pPr>
              <w:keepNext w:val="0"/>
              <w:keepLines w:val="0"/>
              <w:pageBreakBefore w:val="0"/>
              <w:widowControl w:val="0"/>
              <w:kinsoku/>
              <w:wordWrap w:val="0"/>
              <w:overflowPunct/>
              <w:topLinePunct w:val="0"/>
              <w:autoSpaceDE/>
              <w:autoSpaceDN/>
              <w:bidi w:val="0"/>
              <w:adjustRightInd w:val="0"/>
              <w:spacing w:line="440" w:lineRule="exact"/>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符合国家及相关行业合格标准</w:t>
            </w:r>
          </w:p>
        </w:tc>
      </w:tr>
      <w:tr w14:paraId="0B497C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222" w:type="dxa"/>
            <w:noWrap w:val="0"/>
            <w:vAlign w:val="center"/>
          </w:tcPr>
          <w:p w14:paraId="3A30B3F4">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000000" w:themeColor="text1"/>
                <w:sz w:val="24"/>
                <w:szCs w:val="24"/>
                <w:highlight w:val="none"/>
                <w:lang w:val="zh-CN"/>
                <w14:textFill>
                  <w14:solidFill>
                    <w14:schemeClr w14:val="tx1"/>
                  </w14:solidFill>
                </w14:textFill>
              </w:rPr>
            </w:pPr>
            <w:r>
              <w:rPr>
                <w:rFonts w:hint="eastAsia" w:ascii="宋体" w:hAnsi="宋体" w:eastAsia="宋体" w:cs="宋体"/>
                <w:bCs/>
                <w:color w:val="000000" w:themeColor="text1"/>
                <w:sz w:val="24"/>
                <w:szCs w:val="24"/>
                <w:highlight w:val="none"/>
                <w:lang w:val="zh-CN"/>
                <w14:textFill>
                  <w14:solidFill>
                    <w14:schemeClr w14:val="tx1"/>
                  </w14:solidFill>
                </w14:textFill>
              </w:rPr>
              <w:t>1.4.1</w:t>
            </w:r>
          </w:p>
        </w:tc>
        <w:tc>
          <w:tcPr>
            <w:tcW w:w="1692" w:type="dxa"/>
            <w:noWrap w:val="0"/>
            <w:vAlign w:val="center"/>
          </w:tcPr>
          <w:p w14:paraId="69B2A23B">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lang w:eastAsia="zh-CN"/>
                <w14:textFill>
                  <w14:solidFill>
                    <w14:schemeClr w14:val="tx1"/>
                  </w14:solidFill>
                </w14:textFill>
              </w:rPr>
              <w:t>供应商</w:t>
            </w:r>
            <w:r>
              <w:rPr>
                <w:rFonts w:hint="eastAsia" w:ascii="宋体" w:hAnsi="宋体" w:eastAsia="宋体" w:cs="宋体"/>
                <w:bCs/>
                <w:color w:val="000000" w:themeColor="text1"/>
                <w:sz w:val="24"/>
                <w:szCs w:val="24"/>
                <w:highlight w:val="none"/>
                <w14:textFill>
                  <w14:solidFill>
                    <w14:schemeClr w14:val="tx1"/>
                  </w14:solidFill>
                </w14:textFill>
              </w:rPr>
              <w:t>资格条件、能力和信誉</w:t>
            </w:r>
          </w:p>
        </w:tc>
        <w:tc>
          <w:tcPr>
            <w:tcW w:w="7050" w:type="dxa"/>
            <w:noWrap w:val="0"/>
            <w:vAlign w:val="center"/>
          </w:tcPr>
          <w:p w14:paraId="5FF111F0">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cs="宋体"/>
                <w:color w:val="auto"/>
                <w:kern w:val="0"/>
                <w:sz w:val="24"/>
                <w:szCs w:val="24"/>
                <w:highlight w:val="none"/>
                <w:lang w:bidi="ar"/>
              </w:rPr>
            </w:pPr>
            <w:r>
              <w:rPr>
                <w:rFonts w:hint="eastAsia" w:ascii="宋体" w:hAnsi="宋体" w:cs="宋体"/>
                <w:color w:val="auto"/>
                <w:kern w:val="0"/>
                <w:sz w:val="24"/>
                <w:szCs w:val="24"/>
                <w:highlight w:val="none"/>
                <w:lang w:bidi="ar"/>
              </w:rPr>
              <w:t>1、满足《中华人民共和国政府采购法》第二十二条规定：</w:t>
            </w:r>
          </w:p>
          <w:p w14:paraId="5C1A7F17">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(1)具有独立承担民事责任的能力；</w:t>
            </w:r>
          </w:p>
          <w:p w14:paraId="21AB8126">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(2)具有良好的商业信誉和健全的财务会计制度；</w:t>
            </w:r>
          </w:p>
          <w:p w14:paraId="1BF98356">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(3)具有履行合同所必需的设备和专业技术能力；</w:t>
            </w:r>
          </w:p>
          <w:p w14:paraId="51EAEE6F">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(4)有依法缴纳税收和社会保障资金的良好记录；</w:t>
            </w:r>
          </w:p>
          <w:p w14:paraId="5612455D">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(5)参加政府采购活动前三年内，在经营活动中没有重大违法记录；</w:t>
            </w:r>
          </w:p>
          <w:p w14:paraId="6B7DA405">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(6)法律、行政法规规定的其他条件。</w:t>
            </w:r>
          </w:p>
          <w:p w14:paraId="687821C0">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cs="宋体"/>
                <w:color w:val="auto"/>
                <w:kern w:val="0"/>
                <w:sz w:val="24"/>
                <w:szCs w:val="24"/>
                <w:highlight w:val="none"/>
                <w:lang w:bidi="ar"/>
              </w:rPr>
            </w:pPr>
            <w:r>
              <w:rPr>
                <w:rFonts w:hint="eastAsia" w:ascii="宋体" w:hAnsi="宋体" w:cs="宋体"/>
                <w:color w:val="auto"/>
                <w:kern w:val="0"/>
                <w:sz w:val="24"/>
                <w:szCs w:val="24"/>
                <w:highlight w:val="none"/>
                <w:lang w:val="en-US" w:eastAsia="zh-CN" w:bidi="ar"/>
              </w:rPr>
              <w:t>2、落实政府采购政策需满足的资格要求：</w:t>
            </w:r>
            <w:r>
              <w:rPr>
                <w:rFonts w:hint="eastAsia" w:ascii="宋体" w:hAnsi="宋体" w:cs="宋体"/>
                <w:color w:val="auto"/>
                <w:kern w:val="0"/>
                <w:sz w:val="24"/>
                <w:szCs w:val="24"/>
                <w:highlight w:val="none"/>
                <w:lang w:bidi="ar"/>
              </w:rPr>
              <w:t>本项目为专门面向中小企业的项目。</w:t>
            </w:r>
          </w:p>
          <w:p w14:paraId="4743271D">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3、本项目的特定资格要求：</w:t>
            </w:r>
          </w:p>
          <w:p w14:paraId="5F8F1F64">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cs="宋体"/>
                <w:color w:val="auto"/>
                <w:kern w:val="0"/>
                <w:sz w:val="24"/>
                <w:szCs w:val="24"/>
                <w:highlight w:val="none"/>
                <w:lang w:bidi="ar"/>
              </w:rPr>
            </w:pPr>
            <w:r>
              <w:rPr>
                <w:rFonts w:hint="eastAsia" w:ascii="宋体" w:hAnsi="宋体" w:cs="宋体"/>
                <w:color w:val="auto"/>
                <w:kern w:val="0"/>
                <w:sz w:val="24"/>
                <w:szCs w:val="24"/>
                <w:highlight w:val="none"/>
                <w:lang w:bidi="ar"/>
              </w:rPr>
              <w:t>3.1 供应商须是具有独立法人资格的企业或其他组织，具有有效营业执照；</w:t>
            </w:r>
          </w:p>
          <w:p w14:paraId="1EC0242A">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3.2 供应商须具有《医疗器械经营许可证》或《医疗器械生产许可证》或《第二类医疗器械经营备案凭证》；</w:t>
            </w:r>
          </w:p>
          <w:p w14:paraId="0D03DF80">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cs="宋体"/>
                <w:color w:val="auto"/>
                <w:kern w:val="0"/>
                <w:sz w:val="24"/>
                <w:szCs w:val="24"/>
                <w:highlight w:val="none"/>
                <w:lang w:bidi="ar"/>
              </w:rPr>
            </w:pPr>
            <w:r>
              <w:rPr>
                <w:rFonts w:hint="eastAsia" w:ascii="宋体" w:hAnsi="宋体" w:cs="宋体"/>
                <w:color w:val="auto"/>
                <w:kern w:val="0"/>
                <w:sz w:val="24"/>
                <w:szCs w:val="24"/>
                <w:highlight w:val="none"/>
                <w:lang w:bidi="ar"/>
              </w:rPr>
              <w:t>3.3 拒绝列入政府取消投标资格记录期间的企业或个人投标；</w:t>
            </w:r>
          </w:p>
          <w:p w14:paraId="31FF1432">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cs="宋体"/>
                <w:color w:val="auto"/>
                <w:kern w:val="0"/>
                <w:sz w:val="24"/>
                <w:szCs w:val="24"/>
                <w:highlight w:val="none"/>
                <w:lang w:bidi="ar"/>
              </w:rPr>
            </w:pPr>
            <w:r>
              <w:rPr>
                <w:rFonts w:hint="eastAsia" w:ascii="宋体" w:hAnsi="宋体" w:cs="宋体"/>
                <w:color w:val="auto"/>
                <w:kern w:val="0"/>
                <w:sz w:val="24"/>
                <w:szCs w:val="24"/>
                <w:highlight w:val="none"/>
                <w:lang w:bidi="ar"/>
              </w:rPr>
              <w:t>3.4 不得为“信用中国 ”网站（www.creditchina.gov.cn）中列入失信被执行人和 重大税收违法失信主体供应商；不得为中国政府采购网（www.ccpg.gov.cn）政府采购严 重违法失信行为记录名单中被财政部门禁止参加政府采购活动的供应商（在处罚决定规定 的时间和地域范围内）（详见财库[2016]125 号）；在 2020 年至今供应商和其法定代表 人在“ 中国裁判文书网 ”(wenshu.court.gov.cn)上无行贿犯罪行为；</w:t>
            </w:r>
          </w:p>
          <w:p w14:paraId="2CA31911">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cs="宋体"/>
                <w:color w:val="auto"/>
                <w:kern w:val="0"/>
                <w:sz w:val="24"/>
                <w:szCs w:val="24"/>
                <w:highlight w:val="none"/>
                <w:lang w:bidi="ar"/>
              </w:rPr>
            </w:pPr>
            <w:r>
              <w:rPr>
                <w:rFonts w:hint="eastAsia" w:ascii="宋体" w:hAnsi="宋体" w:cs="宋体"/>
                <w:color w:val="auto"/>
                <w:kern w:val="0"/>
                <w:sz w:val="24"/>
                <w:szCs w:val="24"/>
                <w:highlight w:val="none"/>
                <w:lang w:bidi="ar"/>
              </w:rPr>
              <w:t>3.5 单位负责人为同一人或者存在直接控股、管理关系的不同供应商，不得参加同 一合同项下的政府采购活动；</w:t>
            </w:r>
          </w:p>
          <w:p w14:paraId="23A42A82">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cs="宋体"/>
                <w:color w:val="auto"/>
                <w:kern w:val="0"/>
                <w:sz w:val="24"/>
                <w:szCs w:val="24"/>
                <w:highlight w:val="none"/>
                <w:lang w:bidi="ar"/>
              </w:rPr>
            </w:pPr>
            <w:r>
              <w:rPr>
                <w:rFonts w:hint="eastAsia" w:ascii="宋体" w:hAnsi="宋体" w:cs="宋体"/>
                <w:color w:val="auto"/>
                <w:kern w:val="0"/>
                <w:sz w:val="24"/>
                <w:szCs w:val="24"/>
                <w:highlight w:val="none"/>
                <w:lang w:bidi="ar"/>
              </w:rPr>
              <w:t>3.6 参加政府采购活动前三年内，在经营活动中没有重大违法记录。</w:t>
            </w:r>
          </w:p>
        </w:tc>
      </w:tr>
      <w:tr w14:paraId="445435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222" w:type="dxa"/>
            <w:noWrap w:val="0"/>
            <w:vAlign w:val="center"/>
          </w:tcPr>
          <w:p w14:paraId="018B4710">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1.4.2</w:t>
            </w:r>
          </w:p>
        </w:tc>
        <w:tc>
          <w:tcPr>
            <w:tcW w:w="1692" w:type="dxa"/>
            <w:noWrap w:val="0"/>
            <w:vAlign w:val="center"/>
          </w:tcPr>
          <w:p w14:paraId="63C40287">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是否接受联合体投标</w:t>
            </w:r>
          </w:p>
        </w:tc>
        <w:tc>
          <w:tcPr>
            <w:tcW w:w="7050" w:type="dxa"/>
            <w:noWrap w:val="0"/>
            <w:vAlign w:val="center"/>
          </w:tcPr>
          <w:p w14:paraId="0BEDEC9F">
            <w:pPr>
              <w:keepNext w:val="0"/>
              <w:keepLines w:val="0"/>
              <w:pageBreakBefore w:val="0"/>
              <w:widowControl w:val="0"/>
              <w:kinsoku/>
              <w:wordWrap w:val="0"/>
              <w:overflowPunct/>
              <w:topLinePunct w:val="0"/>
              <w:autoSpaceDE/>
              <w:autoSpaceDN/>
              <w:bidi w:val="0"/>
              <w:adjustRightInd w:val="0"/>
              <w:spacing w:line="440" w:lineRule="exac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kern w:val="15"/>
                <w:sz w:val="24"/>
                <w:szCs w:val="24"/>
                <w:highlight w:val="none"/>
              </w:rPr>
              <w:fldChar w:fldCharType="begin"/>
            </w:r>
            <w:r>
              <w:rPr>
                <w:rFonts w:hint="eastAsia" w:ascii="宋体" w:hAnsi="宋体" w:eastAsia="宋体" w:cs="宋体"/>
                <w:bCs/>
                <w:color w:val="auto"/>
                <w:kern w:val="15"/>
                <w:sz w:val="24"/>
                <w:szCs w:val="24"/>
                <w:highlight w:val="none"/>
              </w:rPr>
              <w:instrText xml:space="preserve">eq \o\ac(□,√)</w:instrText>
            </w:r>
            <w:r>
              <w:rPr>
                <w:rFonts w:hint="eastAsia" w:ascii="宋体" w:hAnsi="宋体" w:eastAsia="宋体" w:cs="宋体"/>
                <w:bCs/>
                <w:color w:val="auto"/>
                <w:kern w:val="15"/>
                <w:sz w:val="24"/>
                <w:szCs w:val="24"/>
                <w:highlight w:val="none"/>
              </w:rPr>
              <w:fldChar w:fldCharType="end"/>
            </w:r>
            <w:r>
              <w:rPr>
                <w:rFonts w:hint="eastAsia" w:ascii="宋体" w:hAnsi="宋体" w:eastAsia="宋体" w:cs="宋体"/>
                <w:bCs/>
                <w:color w:val="auto"/>
                <w:sz w:val="24"/>
                <w:szCs w:val="24"/>
                <w:highlight w:val="none"/>
              </w:rPr>
              <w:t>不接受</w:t>
            </w:r>
          </w:p>
          <w:p w14:paraId="25E83A5F">
            <w:pPr>
              <w:keepNext w:val="0"/>
              <w:keepLines w:val="0"/>
              <w:pageBreakBefore w:val="0"/>
              <w:widowControl w:val="0"/>
              <w:kinsoku/>
              <w:wordWrap w:val="0"/>
              <w:overflowPunct/>
              <w:topLinePunct w:val="0"/>
              <w:autoSpaceDE/>
              <w:autoSpaceDN/>
              <w:bidi w:val="0"/>
              <w:adjustRightInd w:val="0"/>
              <w:spacing w:line="440" w:lineRule="exact"/>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rPr>
              <w:t>□接受，应满足下列要求：/</w:t>
            </w:r>
          </w:p>
        </w:tc>
      </w:tr>
      <w:tr w14:paraId="26A05C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222" w:type="dxa"/>
            <w:noWrap w:val="0"/>
            <w:vAlign w:val="center"/>
          </w:tcPr>
          <w:p w14:paraId="0641E976">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1.9.1</w:t>
            </w:r>
          </w:p>
        </w:tc>
        <w:tc>
          <w:tcPr>
            <w:tcW w:w="1692" w:type="dxa"/>
            <w:noWrap w:val="0"/>
            <w:vAlign w:val="center"/>
          </w:tcPr>
          <w:p w14:paraId="1B6A6CB9">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踏勘现场</w:t>
            </w:r>
          </w:p>
        </w:tc>
        <w:tc>
          <w:tcPr>
            <w:tcW w:w="7050" w:type="dxa"/>
            <w:tcBorders>
              <w:top w:val="single" w:color="auto" w:sz="4" w:space="0"/>
            </w:tcBorders>
            <w:noWrap w:val="0"/>
            <w:vAlign w:val="center"/>
          </w:tcPr>
          <w:p w14:paraId="25F867E4">
            <w:pPr>
              <w:keepNext w:val="0"/>
              <w:keepLines w:val="0"/>
              <w:pageBreakBefore w:val="0"/>
              <w:widowControl w:val="0"/>
              <w:kinsoku/>
              <w:wordWrap w:val="0"/>
              <w:overflowPunct/>
              <w:topLinePunct w:val="0"/>
              <w:autoSpaceDE/>
              <w:autoSpaceDN/>
              <w:bidi w:val="0"/>
              <w:adjustRightInd w:val="0"/>
              <w:spacing w:line="440" w:lineRule="exact"/>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fldChar w:fldCharType="begin"/>
            </w:r>
            <w:r>
              <w:rPr>
                <w:rFonts w:hint="eastAsia" w:ascii="宋体" w:hAnsi="宋体" w:eastAsia="宋体" w:cs="宋体"/>
                <w:bCs/>
                <w:color w:val="auto"/>
                <w:sz w:val="24"/>
                <w:szCs w:val="24"/>
                <w:highlight w:val="none"/>
                <w:lang w:val="zh-CN"/>
              </w:rPr>
              <w:instrText xml:space="preserve">eq \o\ac(□,√)</w:instrText>
            </w:r>
            <w:r>
              <w:rPr>
                <w:rFonts w:hint="eastAsia" w:ascii="宋体" w:hAnsi="宋体" w:eastAsia="宋体" w:cs="宋体"/>
                <w:bCs/>
                <w:color w:val="auto"/>
                <w:sz w:val="24"/>
                <w:szCs w:val="24"/>
                <w:highlight w:val="none"/>
                <w:lang w:val="zh-CN"/>
              </w:rPr>
              <w:fldChar w:fldCharType="end"/>
            </w:r>
            <w:r>
              <w:rPr>
                <w:rFonts w:hint="eastAsia" w:ascii="宋体" w:hAnsi="宋体" w:eastAsia="宋体" w:cs="宋体"/>
                <w:bCs/>
                <w:color w:val="auto"/>
                <w:sz w:val="24"/>
                <w:szCs w:val="24"/>
                <w:highlight w:val="none"/>
                <w:lang w:val="zh-CN"/>
              </w:rPr>
              <w:t>不组织</w:t>
            </w:r>
          </w:p>
          <w:p w14:paraId="6EB8F4BC">
            <w:pPr>
              <w:keepNext w:val="0"/>
              <w:keepLines w:val="0"/>
              <w:pageBreakBefore w:val="0"/>
              <w:widowControl w:val="0"/>
              <w:kinsoku/>
              <w:wordWrap w:val="0"/>
              <w:overflowPunct/>
              <w:topLinePunct w:val="0"/>
              <w:autoSpaceDE/>
              <w:autoSpaceDN/>
              <w:bidi w:val="0"/>
              <w:adjustRightInd w:val="0"/>
              <w:spacing w:line="440" w:lineRule="exac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□组织，踏勘时间：/</w:t>
            </w:r>
          </w:p>
          <w:p w14:paraId="2A040392">
            <w:pPr>
              <w:keepNext w:val="0"/>
              <w:keepLines w:val="0"/>
              <w:pageBreakBefore w:val="0"/>
              <w:widowControl w:val="0"/>
              <w:kinsoku/>
              <w:wordWrap w:val="0"/>
              <w:overflowPunct/>
              <w:topLinePunct w:val="0"/>
              <w:autoSpaceDE/>
              <w:autoSpaceDN/>
              <w:bidi w:val="0"/>
              <w:adjustRightInd w:val="0"/>
              <w:spacing w:line="440" w:lineRule="exact"/>
              <w:ind w:firstLine="960" w:firstLineChars="400"/>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rPr>
              <w:t>踏勘集中地点：/</w:t>
            </w:r>
          </w:p>
        </w:tc>
      </w:tr>
      <w:tr w14:paraId="629C1A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222" w:type="dxa"/>
            <w:noWrap w:val="0"/>
            <w:vAlign w:val="center"/>
          </w:tcPr>
          <w:p w14:paraId="666C2C73">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1.10.1</w:t>
            </w:r>
          </w:p>
        </w:tc>
        <w:tc>
          <w:tcPr>
            <w:tcW w:w="1692" w:type="dxa"/>
            <w:noWrap w:val="0"/>
            <w:vAlign w:val="center"/>
          </w:tcPr>
          <w:p w14:paraId="62D5252A">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投标预备会</w:t>
            </w:r>
          </w:p>
        </w:tc>
        <w:tc>
          <w:tcPr>
            <w:tcW w:w="7050" w:type="dxa"/>
            <w:noWrap w:val="0"/>
            <w:vAlign w:val="center"/>
          </w:tcPr>
          <w:p w14:paraId="5CC6D594">
            <w:pPr>
              <w:keepNext w:val="0"/>
              <w:keepLines w:val="0"/>
              <w:pageBreakBefore w:val="0"/>
              <w:widowControl w:val="0"/>
              <w:kinsoku/>
              <w:wordWrap w:val="0"/>
              <w:overflowPunct/>
              <w:topLinePunct w:val="0"/>
              <w:autoSpaceDE/>
              <w:autoSpaceDN/>
              <w:bidi w:val="0"/>
              <w:adjustRightInd w:val="0"/>
              <w:spacing w:line="440" w:lineRule="exact"/>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fldChar w:fldCharType="begin"/>
            </w:r>
            <w:r>
              <w:rPr>
                <w:rFonts w:hint="eastAsia" w:ascii="宋体" w:hAnsi="宋体" w:eastAsia="宋体" w:cs="宋体"/>
                <w:bCs/>
                <w:color w:val="auto"/>
                <w:sz w:val="24"/>
                <w:szCs w:val="24"/>
                <w:highlight w:val="none"/>
                <w:lang w:val="zh-CN"/>
              </w:rPr>
              <w:instrText xml:space="preserve">eq \o\ac(□,√)</w:instrText>
            </w:r>
            <w:r>
              <w:rPr>
                <w:rFonts w:hint="eastAsia" w:ascii="宋体" w:hAnsi="宋体" w:eastAsia="宋体" w:cs="宋体"/>
                <w:bCs/>
                <w:color w:val="auto"/>
                <w:sz w:val="24"/>
                <w:szCs w:val="24"/>
                <w:highlight w:val="none"/>
                <w:lang w:val="zh-CN"/>
              </w:rPr>
              <w:fldChar w:fldCharType="end"/>
            </w:r>
            <w:r>
              <w:rPr>
                <w:rFonts w:hint="eastAsia" w:ascii="宋体" w:hAnsi="宋体" w:eastAsia="宋体" w:cs="宋体"/>
                <w:bCs/>
                <w:color w:val="auto"/>
                <w:sz w:val="24"/>
                <w:szCs w:val="24"/>
                <w:highlight w:val="none"/>
                <w:lang w:val="zh-CN"/>
              </w:rPr>
              <w:t>不召开</w:t>
            </w:r>
          </w:p>
          <w:p w14:paraId="3A311FEF">
            <w:pPr>
              <w:keepNext w:val="0"/>
              <w:keepLines w:val="0"/>
              <w:pageBreakBefore w:val="0"/>
              <w:widowControl w:val="0"/>
              <w:kinsoku/>
              <w:wordWrap w:val="0"/>
              <w:overflowPunct/>
              <w:topLinePunct w:val="0"/>
              <w:autoSpaceDE/>
              <w:autoSpaceDN/>
              <w:bidi w:val="0"/>
              <w:adjustRightInd w:val="0"/>
              <w:spacing w:line="440" w:lineRule="exac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□召开,召开时间：/</w:t>
            </w:r>
          </w:p>
          <w:p w14:paraId="54D9A879">
            <w:pPr>
              <w:keepNext w:val="0"/>
              <w:keepLines w:val="0"/>
              <w:pageBreakBefore w:val="0"/>
              <w:widowControl w:val="0"/>
              <w:kinsoku/>
              <w:wordWrap w:val="0"/>
              <w:overflowPunct/>
              <w:topLinePunct w:val="0"/>
              <w:autoSpaceDE/>
              <w:autoSpaceDN/>
              <w:bidi w:val="0"/>
              <w:adjustRightInd w:val="0"/>
              <w:spacing w:line="440" w:lineRule="exact"/>
              <w:ind w:firstLine="840" w:firstLineChars="350"/>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rPr>
              <w:t>召开地点：/</w:t>
            </w:r>
          </w:p>
        </w:tc>
      </w:tr>
      <w:tr w14:paraId="069BE4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222" w:type="dxa"/>
            <w:vMerge w:val="restart"/>
            <w:noWrap w:val="0"/>
            <w:vAlign w:val="center"/>
          </w:tcPr>
          <w:p w14:paraId="54FDD822">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1.10.2</w:t>
            </w:r>
          </w:p>
        </w:tc>
        <w:tc>
          <w:tcPr>
            <w:tcW w:w="1692" w:type="dxa"/>
            <w:vMerge w:val="restart"/>
            <w:noWrap w:val="0"/>
            <w:vAlign w:val="center"/>
          </w:tcPr>
          <w:p w14:paraId="198564BD">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在投标预备会前提出问题</w:t>
            </w:r>
          </w:p>
        </w:tc>
        <w:tc>
          <w:tcPr>
            <w:tcW w:w="7050" w:type="dxa"/>
            <w:noWrap w:val="0"/>
            <w:vAlign w:val="center"/>
          </w:tcPr>
          <w:p w14:paraId="7B71943A">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时间：</w:t>
            </w:r>
            <w:r>
              <w:rPr>
                <w:rFonts w:hint="eastAsia" w:ascii="宋体" w:hAnsi="宋体" w:eastAsia="宋体" w:cs="宋体"/>
                <w:bCs/>
                <w:color w:val="auto"/>
                <w:sz w:val="24"/>
                <w:szCs w:val="24"/>
                <w:highlight w:val="none"/>
                <w:lang w:val="zh-CN"/>
              </w:rPr>
              <w:t>/</w:t>
            </w:r>
          </w:p>
        </w:tc>
      </w:tr>
      <w:tr w14:paraId="6E9FE3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222" w:type="dxa"/>
            <w:vMerge w:val="continue"/>
            <w:noWrap w:val="0"/>
            <w:vAlign w:val="center"/>
          </w:tcPr>
          <w:p w14:paraId="5CA90267">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p>
        </w:tc>
        <w:tc>
          <w:tcPr>
            <w:tcW w:w="1692" w:type="dxa"/>
            <w:vMerge w:val="continue"/>
            <w:noWrap w:val="0"/>
            <w:vAlign w:val="center"/>
          </w:tcPr>
          <w:p w14:paraId="626FA66D">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p>
        </w:tc>
        <w:tc>
          <w:tcPr>
            <w:tcW w:w="7050" w:type="dxa"/>
            <w:noWrap w:val="0"/>
            <w:vAlign w:val="center"/>
          </w:tcPr>
          <w:p w14:paraId="6928BFC9">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rPr>
              <w:t>形式：</w:t>
            </w:r>
            <w:r>
              <w:rPr>
                <w:rFonts w:hint="eastAsia" w:ascii="宋体" w:hAnsi="宋体" w:eastAsia="宋体" w:cs="宋体"/>
                <w:bCs/>
                <w:color w:val="auto"/>
                <w:sz w:val="24"/>
                <w:szCs w:val="24"/>
                <w:highlight w:val="none"/>
                <w:lang w:val="zh-CN"/>
              </w:rPr>
              <w:t>/</w:t>
            </w:r>
          </w:p>
        </w:tc>
      </w:tr>
      <w:tr w14:paraId="7002FB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222" w:type="dxa"/>
            <w:noWrap w:val="0"/>
            <w:vAlign w:val="center"/>
          </w:tcPr>
          <w:p w14:paraId="07509BBB">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1.11.1</w:t>
            </w:r>
          </w:p>
        </w:tc>
        <w:tc>
          <w:tcPr>
            <w:tcW w:w="1692" w:type="dxa"/>
            <w:noWrap w:val="0"/>
            <w:vAlign w:val="center"/>
          </w:tcPr>
          <w:p w14:paraId="77B6696E">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分包</w:t>
            </w:r>
          </w:p>
        </w:tc>
        <w:tc>
          <w:tcPr>
            <w:tcW w:w="7050" w:type="dxa"/>
            <w:noWrap w:val="0"/>
            <w:vAlign w:val="center"/>
          </w:tcPr>
          <w:p w14:paraId="082F3292">
            <w:pPr>
              <w:keepNext w:val="0"/>
              <w:keepLines w:val="0"/>
              <w:pageBreakBefore w:val="0"/>
              <w:widowControl w:val="0"/>
              <w:kinsoku/>
              <w:wordWrap w:val="0"/>
              <w:overflowPunct/>
              <w:topLinePunct w:val="0"/>
              <w:autoSpaceDE/>
              <w:autoSpaceDN/>
              <w:bidi w:val="0"/>
              <w:adjustRightInd w:val="0"/>
              <w:spacing w:line="440" w:lineRule="exact"/>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highlight w:val="none"/>
                <w:lang w:val="zh-CN"/>
              </w:rPr>
              <w:fldChar w:fldCharType="begin"/>
            </w:r>
            <w:r>
              <w:rPr>
                <w:rFonts w:hint="eastAsia" w:ascii="宋体" w:hAnsi="宋体" w:eastAsia="宋体" w:cs="宋体"/>
                <w:bCs/>
                <w:color w:val="auto"/>
                <w:sz w:val="24"/>
                <w:highlight w:val="none"/>
                <w:lang w:val="zh-CN"/>
              </w:rPr>
              <w:instrText xml:space="preserve">eq \o\ac(□,√)</w:instrText>
            </w:r>
            <w:r>
              <w:rPr>
                <w:rFonts w:hint="eastAsia" w:ascii="宋体" w:hAnsi="宋体" w:eastAsia="宋体" w:cs="宋体"/>
                <w:bCs/>
                <w:color w:val="auto"/>
                <w:sz w:val="24"/>
                <w:highlight w:val="none"/>
                <w:lang w:val="zh-CN"/>
              </w:rPr>
              <w:fldChar w:fldCharType="end"/>
            </w:r>
            <w:r>
              <w:rPr>
                <w:rFonts w:hint="eastAsia" w:ascii="宋体" w:hAnsi="宋体" w:eastAsia="宋体" w:cs="宋体"/>
                <w:bCs/>
                <w:color w:val="auto"/>
                <w:sz w:val="24"/>
                <w:szCs w:val="24"/>
                <w:highlight w:val="none"/>
                <w:lang w:val="zh-CN"/>
              </w:rPr>
              <w:t>不允许</w:t>
            </w:r>
          </w:p>
          <w:p w14:paraId="47936C66">
            <w:pPr>
              <w:keepNext w:val="0"/>
              <w:keepLines w:val="0"/>
              <w:pageBreakBefore w:val="0"/>
              <w:widowControl w:val="0"/>
              <w:kinsoku/>
              <w:wordWrap w:val="0"/>
              <w:overflowPunct/>
              <w:topLinePunct w:val="0"/>
              <w:autoSpaceDE/>
              <w:autoSpaceDN/>
              <w:bidi w:val="0"/>
              <w:adjustRightInd w:val="0"/>
              <w:spacing w:line="440" w:lineRule="exact"/>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□允许，分包内容：/</w:t>
            </w:r>
          </w:p>
        </w:tc>
      </w:tr>
      <w:tr w14:paraId="4C8A88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222" w:type="dxa"/>
            <w:noWrap w:val="0"/>
            <w:vAlign w:val="center"/>
          </w:tcPr>
          <w:p w14:paraId="38F31814">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color w:val="auto"/>
                <w:sz w:val="24"/>
                <w:szCs w:val="24"/>
                <w:highlight w:val="none"/>
              </w:rPr>
              <w:t>1.12.3</w:t>
            </w:r>
          </w:p>
        </w:tc>
        <w:tc>
          <w:tcPr>
            <w:tcW w:w="1692" w:type="dxa"/>
            <w:noWrap w:val="0"/>
            <w:vAlign w:val="center"/>
          </w:tcPr>
          <w:p w14:paraId="1A0B7705">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000000" w:themeColor="text1"/>
                <w:sz w:val="24"/>
                <w:szCs w:val="24"/>
                <w:highlight w:val="none"/>
                <w:lang w:val="en-US" w:eastAsia="zh-CN"/>
                <w14:textFill>
                  <w14:solidFill>
                    <w14:schemeClr w14:val="tx1"/>
                  </w14:solidFill>
                </w14:textFill>
              </w:rPr>
            </w:pPr>
            <w:r>
              <w:rPr>
                <w:rFonts w:hint="eastAsia" w:ascii="宋体" w:hAnsi="宋体" w:cs="宋体"/>
                <w:bCs/>
                <w:color w:val="000000" w:themeColor="text1"/>
                <w:sz w:val="24"/>
                <w:szCs w:val="24"/>
                <w:highlight w:val="none"/>
                <w:lang w:val="en-US" w:eastAsia="zh-CN"/>
                <w14:textFill>
                  <w14:solidFill>
                    <w14:schemeClr w14:val="tx1"/>
                  </w14:solidFill>
                </w14:textFill>
              </w:rPr>
              <w:t>偏离</w:t>
            </w:r>
          </w:p>
        </w:tc>
        <w:tc>
          <w:tcPr>
            <w:tcW w:w="7050" w:type="dxa"/>
            <w:noWrap w:val="0"/>
            <w:vAlign w:val="center"/>
          </w:tcPr>
          <w:p w14:paraId="5BE0BA4C">
            <w:pPr>
              <w:keepNext w:val="0"/>
              <w:keepLines w:val="0"/>
              <w:pageBreakBefore w:val="0"/>
              <w:widowControl w:val="0"/>
              <w:kinsoku/>
              <w:wordWrap w:val="0"/>
              <w:overflowPunct/>
              <w:topLinePunct w:val="0"/>
              <w:autoSpaceDE/>
              <w:autoSpaceDN/>
              <w:bidi w:val="0"/>
              <w:adjustRightInd w:val="0"/>
              <w:spacing w:line="440" w:lineRule="exact"/>
              <w:textAlignment w:val="auto"/>
              <w:rPr>
                <w:rFonts w:hint="default" w:ascii="宋体" w:hAnsi="宋体" w:eastAsia="宋体" w:cs="宋体"/>
                <w:bCs/>
                <w:color w:val="000000" w:themeColor="text1"/>
                <w:sz w:val="24"/>
                <w:szCs w:val="24"/>
                <w:highlight w:val="none"/>
                <w:lang w:val="en-US" w:eastAsia="zh-CN"/>
                <w14:textFill>
                  <w14:solidFill>
                    <w14:schemeClr w14:val="tx1"/>
                  </w14:solidFill>
                </w14:textFill>
              </w:rPr>
            </w:pPr>
            <w:r>
              <w:rPr>
                <w:rFonts w:hint="default" w:ascii="宋体" w:hAnsi="宋体" w:eastAsia="宋体" w:cs="宋体"/>
                <w:bCs/>
                <w:color w:val="000000" w:themeColor="text1"/>
                <w:sz w:val="24"/>
                <w:szCs w:val="24"/>
                <w:highlight w:val="none"/>
                <w:lang w:val="en-US" w:eastAsia="zh-CN"/>
                <w14:textFill>
                  <w14:solidFill>
                    <w14:schemeClr w14:val="tx1"/>
                  </w14:solidFill>
                </w14:textFill>
              </w:rPr>
              <w:t>对招标文件</w:t>
            </w:r>
            <w:r>
              <w:rPr>
                <w:rFonts w:hint="eastAsia" w:ascii="宋体" w:hAnsi="宋体" w:cs="宋体"/>
                <w:bCs/>
                <w:color w:val="000000" w:themeColor="text1"/>
                <w:sz w:val="24"/>
                <w:szCs w:val="24"/>
                <w:highlight w:val="none"/>
                <w:lang w:val="en-US" w:eastAsia="zh-CN"/>
                <w14:textFill>
                  <w14:solidFill>
                    <w14:schemeClr w14:val="tx1"/>
                  </w14:solidFill>
                </w14:textFill>
              </w:rPr>
              <w:t>带“▲”</w:t>
            </w:r>
            <w:r>
              <w:rPr>
                <w:rFonts w:hint="default" w:ascii="宋体" w:hAnsi="宋体" w:eastAsia="宋体" w:cs="宋体"/>
                <w:bCs/>
                <w:color w:val="000000" w:themeColor="text1"/>
                <w:sz w:val="24"/>
                <w:szCs w:val="24"/>
                <w:highlight w:val="none"/>
                <w:lang w:val="en-US" w:eastAsia="zh-CN"/>
                <w14:textFill>
                  <w14:solidFill>
                    <w14:schemeClr w14:val="tx1"/>
                  </w14:solidFill>
                </w14:textFill>
              </w:rPr>
              <w:t>参数要求条款不允许负偏离</w:t>
            </w:r>
          </w:p>
        </w:tc>
      </w:tr>
      <w:tr w14:paraId="26BACC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222" w:type="dxa"/>
            <w:noWrap w:val="0"/>
            <w:vAlign w:val="center"/>
          </w:tcPr>
          <w:p w14:paraId="0D496860">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2.1</w:t>
            </w:r>
          </w:p>
        </w:tc>
        <w:tc>
          <w:tcPr>
            <w:tcW w:w="1692" w:type="dxa"/>
            <w:noWrap w:val="0"/>
            <w:vAlign w:val="center"/>
          </w:tcPr>
          <w:p w14:paraId="45971A53">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构成招标文件的其他材料</w:t>
            </w:r>
          </w:p>
        </w:tc>
        <w:tc>
          <w:tcPr>
            <w:tcW w:w="7050" w:type="dxa"/>
            <w:noWrap w:val="0"/>
            <w:vAlign w:val="center"/>
          </w:tcPr>
          <w:p w14:paraId="33AE9E01">
            <w:pPr>
              <w:keepNext w:val="0"/>
              <w:keepLines w:val="0"/>
              <w:pageBreakBefore w:val="0"/>
              <w:widowControl w:val="0"/>
              <w:kinsoku/>
              <w:wordWrap w:val="0"/>
              <w:overflowPunct/>
              <w:topLinePunct w:val="0"/>
              <w:autoSpaceDE/>
              <w:autoSpaceDN/>
              <w:bidi w:val="0"/>
              <w:adjustRightInd w:val="0"/>
              <w:spacing w:line="440" w:lineRule="exac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zh-CN"/>
              </w:rPr>
              <w:t>本项目的澄清、修改、补充说明文件</w:t>
            </w:r>
            <w:r>
              <w:rPr>
                <w:rFonts w:hint="eastAsia" w:ascii="宋体" w:hAnsi="宋体" w:eastAsia="宋体" w:cs="宋体"/>
                <w:bCs/>
                <w:color w:val="auto"/>
                <w:sz w:val="24"/>
                <w:szCs w:val="24"/>
                <w:highlight w:val="none"/>
              </w:rPr>
              <w:t>（如有）。</w:t>
            </w:r>
          </w:p>
          <w:p w14:paraId="3FA970B0">
            <w:pPr>
              <w:keepNext w:val="0"/>
              <w:keepLines w:val="0"/>
              <w:pageBreakBefore w:val="0"/>
              <w:widowControl w:val="0"/>
              <w:kinsoku/>
              <w:wordWrap w:val="0"/>
              <w:overflowPunct/>
              <w:topLinePunct w:val="0"/>
              <w:autoSpaceDE/>
              <w:autoSpaceDN/>
              <w:bidi w:val="0"/>
              <w:adjustRightInd w:val="0"/>
              <w:spacing w:line="440" w:lineRule="exact"/>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rPr>
              <w:t>注：采购代理机构将上述内容以带有编号的补遗文件发送到</w:t>
            </w:r>
            <w:r>
              <w:rPr>
                <w:rFonts w:hint="eastAsia" w:ascii="宋体" w:hAnsi="宋体" w:eastAsia="宋体" w:cs="宋体"/>
                <w:color w:val="auto"/>
                <w:sz w:val="24"/>
                <w:szCs w:val="24"/>
                <w:highlight w:val="none"/>
                <w:lang w:eastAsia="zh-CN"/>
              </w:rPr>
              <w:t>“政采云”平台(</w:t>
            </w:r>
            <w:r>
              <w:rPr>
                <w:rFonts w:hint="eastAsia" w:ascii="宋体" w:hAnsi="宋体" w:cs="宋体"/>
                <w:color w:val="auto"/>
                <w:sz w:val="24"/>
                <w:szCs w:val="24"/>
                <w:highlight w:val="none"/>
                <w:lang w:eastAsia="zh-CN"/>
              </w:rPr>
              <w:t>https://www.zcygov.cn</w:t>
            </w:r>
            <w:r>
              <w:rPr>
                <w:rFonts w:hint="eastAsia" w:ascii="宋体" w:hAnsi="宋体" w:eastAsia="宋体" w:cs="宋体"/>
                <w:color w:val="auto"/>
                <w:sz w:val="24"/>
                <w:szCs w:val="24"/>
                <w:highlight w:val="none"/>
                <w:lang w:eastAsia="zh-CN"/>
              </w:rPr>
              <w:t>)</w:t>
            </w:r>
            <w:r>
              <w:rPr>
                <w:rFonts w:hint="eastAsia" w:ascii="宋体" w:hAnsi="宋体" w:eastAsia="宋体" w:cs="宋体"/>
                <w:bCs/>
                <w:color w:val="auto"/>
                <w:sz w:val="24"/>
                <w:szCs w:val="24"/>
                <w:highlight w:val="none"/>
                <w:lang w:val="zh-CN"/>
              </w:rPr>
              <w:t>答疑文件</w:t>
            </w:r>
            <w:r>
              <w:rPr>
                <w:rFonts w:hint="eastAsia" w:ascii="宋体" w:hAnsi="宋体" w:eastAsia="宋体" w:cs="宋体"/>
                <w:bCs/>
                <w:color w:val="auto"/>
                <w:sz w:val="24"/>
                <w:szCs w:val="24"/>
                <w:highlight w:val="none"/>
              </w:rPr>
              <w:t>中，各</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登录</w:t>
            </w:r>
            <w:r>
              <w:rPr>
                <w:rFonts w:hint="eastAsia" w:ascii="宋体" w:hAnsi="宋体" w:eastAsia="宋体" w:cs="宋体"/>
                <w:color w:val="auto"/>
                <w:sz w:val="24"/>
                <w:szCs w:val="24"/>
                <w:highlight w:val="none"/>
                <w:lang w:eastAsia="zh-CN"/>
              </w:rPr>
              <w:t>“政采云”平台(</w:t>
            </w:r>
            <w:r>
              <w:rPr>
                <w:rFonts w:hint="eastAsia" w:ascii="宋体" w:hAnsi="宋体" w:cs="宋体"/>
                <w:color w:val="auto"/>
                <w:sz w:val="24"/>
                <w:szCs w:val="24"/>
                <w:highlight w:val="none"/>
                <w:lang w:eastAsia="zh-CN"/>
              </w:rPr>
              <w:t>https://www.zcygov.cn</w:t>
            </w:r>
            <w:r>
              <w:rPr>
                <w:rFonts w:hint="eastAsia" w:ascii="宋体" w:hAnsi="宋体" w:eastAsia="宋体" w:cs="宋体"/>
                <w:color w:val="auto"/>
                <w:sz w:val="24"/>
                <w:szCs w:val="24"/>
                <w:highlight w:val="none"/>
                <w:lang w:eastAsia="zh-CN"/>
              </w:rPr>
              <w:t>)</w:t>
            </w:r>
            <w:r>
              <w:rPr>
                <w:rFonts w:hint="eastAsia" w:ascii="宋体" w:hAnsi="宋体" w:eastAsia="宋体" w:cs="宋体"/>
                <w:bCs/>
                <w:color w:val="auto"/>
                <w:sz w:val="24"/>
                <w:szCs w:val="24"/>
                <w:highlight w:val="none"/>
              </w:rPr>
              <w:t>答疑文件处自行下载。如果</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未在上述答疑文件中收到相应文件，请及时与采购代理机构联系，否则采购人和采购代理机构不承担任何责任。</w:t>
            </w:r>
          </w:p>
        </w:tc>
      </w:tr>
      <w:tr w14:paraId="17D4BB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222" w:type="dxa"/>
            <w:vMerge w:val="restart"/>
            <w:noWrap w:val="0"/>
            <w:vAlign w:val="center"/>
          </w:tcPr>
          <w:p w14:paraId="2B3B90D8">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2.2.1</w:t>
            </w:r>
          </w:p>
        </w:tc>
        <w:tc>
          <w:tcPr>
            <w:tcW w:w="1692" w:type="dxa"/>
            <w:vMerge w:val="restart"/>
            <w:noWrap w:val="0"/>
            <w:vAlign w:val="center"/>
          </w:tcPr>
          <w:p w14:paraId="38F32AA3">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供应商要求澄</w:t>
            </w:r>
            <w:r>
              <w:rPr>
                <w:rFonts w:hint="eastAsia" w:ascii="宋体" w:hAnsi="宋体" w:eastAsia="宋体" w:cs="宋体"/>
                <w:bCs/>
                <w:color w:val="000000" w:themeColor="text1"/>
                <w:sz w:val="24"/>
                <w:szCs w:val="24"/>
                <w:highlight w:val="none"/>
                <w:lang w:val="zh-CN"/>
                <w14:textFill>
                  <w14:solidFill>
                    <w14:schemeClr w14:val="tx1"/>
                  </w14:solidFill>
                </w14:textFill>
              </w:rPr>
              <w:t>清招标文件</w:t>
            </w:r>
          </w:p>
        </w:tc>
        <w:tc>
          <w:tcPr>
            <w:tcW w:w="7050" w:type="dxa"/>
            <w:noWrap w:val="0"/>
            <w:vAlign w:val="center"/>
          </w:tcPr>
          <w:p w14:paraId="4640F250">
            <w:pPr>
              <w:keepNext w:val="0"/>
              <w:keepLines w:val="0"/>
              <w:pageBreakBefore w:val="0"/>
              <w:widowControl w:val="0"/>
              <w:kinsoku/>
              <w:wordWrap w:val="0"/>
              <w:overflowPunct/>
              <w:topLinePunct w:val="0"/>
              <w:autoSpaceDE/>
              <w:autoSpaceDN/>
              <w:bidi w:val="0"/>
              <w:spacing w:line="440" w:lineRule="exac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时间：递交投标文件截止之日</w:t>
            </w:r>
            <w:r>
              <w:rPr>
                <w:rFonts w:hint="eastAsia" w:ascii="宋体" w:hAnsi="宋体" w:eastAsia="宋体" w:cs="宋体"/>
                <w:bCs/>
                <w:color w:val="auto"/>
                <w:sz w:val="24"/>
                <w:szCs w:val="24"/>
                <w:highlight w:val="none"/>
                <w:u w:val="single"/>
              </w:rPr>
              <w:t>10</w:t>
            </w:r>
            <w:r>
              <w:rPr>
                <w:rFonts w:hint="eastAsia" w:ascii="宋体" w:hAnsi="宋体" w:eastAsia="宋体" w:cs="宋体"/>
                <w:bCs/>
                <w:color w:val="auto"/>
                <w:sz w:val="24"/>
                <w:szCs w:val="24"/>
                <w:highlight w:val="none"/>
              </w:rPr>
              <w:t>天前</w:t>
            </w:r>
          </w:p>
        </w:tc>
      </w:tr>
      <w:tr w14:paraId="1415F0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222" w:type="dxa"/>
            <w:vMerge w:val="continue"/>
            <w:noWrap w:val="0"/>
            <w:vAlign w:val="center"/>
          </w:tcPr>
          <w:p w14:paraId="47783E0E">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p>
        </w:tc>
        <w:tc>
          <w:tcPr>
            <w:tcW w:w="1692" w:type="dxa"/>
            <w:vMerge w:val="continue"/>
            <w:noWrap w:val="0"/>
            <w:vAlign w:val="center"/>
          </w:tcPr>
          <w:p w14:paraId="78D32D5B">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p>
        </w:tc>
        <w:tc>
          <w:tcPr>
            <w:tcW w:w="7050" w:type="dxa"/>
            <w:noWrap w:val="0"/>
            <w:vAlign w:val="center"/>
          </w:tcPr>
          <w:p w14:paraId="193FE7A3">
            <w:pPr>
              <w:keepNext w:val="0"/>
              <w:keepLines w:val="0"/>
              <w:pageBreakBefore w:val="0"/>
              <w:widowControl w:val="0"/>
              <w:kinsoku/>
              <w:wordWrap w:val="0"/>
              <w:overflowPunct/>
              <w:topLinePunct w:val="0"/>
              <w:autoSpaceDE/>
              <w:autoSpaceDN/>
              <w:bidi w:val="0"/>
              <w:spacing w:line="440" w:lineRule="exac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zh-CN"/>
              </w:rPr>
              <w:t>形式：各供应商使用CA数字证书登录</w:t>
            </w:r>
            <w:r>
              <w:rPr>
                <w:rFonts w:hint="eastAsia" w:ascii="宋体" w:hAnsi="宋体" w:eastAsia="宋体" w:cs="宋体"/>
                <w:color w:val="auto"/>
                <w:sz w:val="24"/>
                <w:szCs w:val="24"/>
                <w:highlight w:val="none"/>
                <w:lang w:eastAsia="zh-CN"/>
              </w:rPr>
              <w:t>“政采云”平台(</w:t>
            </w:r>
            <w:r>
              <w:rPr>
                <w:rFonts w:hint="eastAsia" w:ascii="宋体" w:hAnsi="宋体" w:cs="宋体"/>
                <w:color w:val="auto"/>
                <w:sz w:val="24"/>
                <w:szCs w:val="24"/>
                <w:highlight w:val="none"/>
                <w:lang w:eastAsia="zh-CN"/>
              </w:rPr>
              <w:t>https://www.zcygov.cn</w:t>
            </w:r>
            <w:r>
              <w:rPr>
                <w:rFonts w:hint="eastAsia" w:ascii="宋体" w:hAnsi="宋体" w:eastAsia="宋体" w:cs="宋体"/>
                <w:color w:val="auto"/>
                <w:sz w:val="24"/>
                <w:szCs w:val="24"/>
                <w:highlight w:val="none"/>
                <w:lang w:eastAsia="zh-CN"/>
              </w:rPr>
              <w:t>)</w:t>
            </w:r>
            <w:r>
              <w:rPr>
                <w:rFonts w:hint="eastAsia" w:ascii="宋体" w:hAnsi="宋体" w:eastAsia="宋体" w:cs="宋体"/>
                <w:bCs/>
                <w:color w:val="auto"/>
                <w:sz w:val="24"/>
                <w:szCs w:val="24"/>
                <w:highlight w:val="none"/>
                <w:lang w:val="zh-CN"/>
              </w:rPr>
              <w:t>供应商提问栏在线提问，并致电采购代理机构</w:t>
            </w:r>
            <w:r>
              <w:rPr>
                <w:rFonts w:hint="eastAsia" w:ascii="宋体" w:hAnsi="宋体" w:cs="宋体"/>
                <w:color w:val="auto"/>
                <w:sz w:val="24"/>
                <w:szCs w:val="24"/>
                <w:highlight w:val="none"/>
                <w:lang w:eastAsia="zh-CN"/>
              </w:rPr>
              <w:t>0432-62296699</w:t>
            </w:r>
            <w:r>
              <w:rPr>
                <w:rFonts w:hint="eastAsia" w:ascii="宋体" w:hAnsi="宋体" w:eastAsia="宋体" w:cs="宋体"/>
                <w:bCs/>
                <w:color w:val="auto"/>
                <w:sz w:val="24"/>
                <w:szCs w:val="24"/>
                <w:highlight w:val="none"/>
                <w:lang w:val="zh-CN"/>
              </w:rPr>
              <w:t>（供应商在此时间之后提出的问题，采购人不再进行澄清和答复）。</w:t>
            </w:r>
          </w:p>
        </w:tc>
      </w:tr>
      <w:tr w14:paraId="10603D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222" w:type="dxa"/>
            <w:noWrap w:val="0"/>
            <w:vAlign w:val="center"/>
          </w:tcPr>
          <w:p w14:paraId="7357649E">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2.2.2</w:t>
            </w:r>
          </w:p>
        </w:tc>
        <w:tc>
          <w:tcPr>
            <w:tcW w:w="1692" w:type="dxa"/>
            <w:noWrap w:val="0"/>
            <w:vAlign w:val="center"/>
          </w:tcPr>
          <w:p w14:paraId="6CB36F44">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招标文件澄清发出的形式</w:t>
            </w:r>
          </w:p>
        </w:tc>
        <w:tc>
          <w:tcPr>
            <w:tcW w:w="7050" w:type="dxa"/>
            <w:noWrap w:val="0"/>
            <w:vAlign w:val="center"/>
          </w:tcPr>
          <w:p w14:paraId="1F5BED79">
            <w:pPr>
              <w:keepNext w:val="0"/>
              <w:keepLines w:val="0"/>
              <w:pageBreakBefore w:val="0"/>
              <w:widowControl w:val="0"/>
              <w:kinsoku/>
              <w:wordWrap w:val="0"/>
              <w:overflowPunct/>
              <w:topLinePunct w:val="0"/>
              <w:autoSpaceDE/>
              <w:autoSpaceDN/>
              <w:bidi w:val="0"/>
              <w:adjustRightInd w:val="0"/>
              <w:spacing w:line="440" w:lineRule="exac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zh-CN"/>
              </w:rPr>
              <w:t>详见本章2.1款。</w:t>
            </w:r>
          </w:p>
        </w:tc>
      </w:tr>
      <w:tr w14:paraId="0A0B83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222" w:type="dxa"/>
            <w:vMerge w:val="restart"/>
            <w:noWrap w:val="0"/>
            <w:vAlign w:val="center"/>
          </w:tcPr>
          <w:p w14:paraId="77633234">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2.2.3</w:t>
            </w:r>
          </w:p>
        </w:tc>
        <w:tc>
          <w:tcPr>
            <w:tcW w:w="1692" w:type="dxa"/>
            <w:vMerge w:val="restart"/>
            <w:noWrap w:val="0"/>
            <w:vAlign w:val="center"/>
          </w:tcPr>
          <w:p w14:paraId="4E9AB41D">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供应商确认收到招标文件澄清</w:t>
            </w:r>
          </w:p>
        </w:tc>
        <w:tc>
          <w:tcPr>
            <w:tcW w:w="7050" w:type="dxa"/>
            <w:noWrap w:val="0"/>
            <w:vAlign w:val="center"/>
          </w:tcPr>
          <w:p w14:paraId="7778ED73">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时间：收到澄清后</w:t>
            </w:r>
            <w:r>
              <w:rPr>
                <w:rFonts w:hint="eastAsia" w:ascii="宋体" w:hAnsi="宋体" w:eastAsia="宋体" w:cs="宋体"/>
                <w:bCs/>
                <w:color w:val="auto"/>
                <w:sz w:val="24"/>
                <w:szCs w:val="24"/>
                <w:highlight w:val="none"/>
                <w:u w:val="single"/>
              </w:rPr>
              <w:t>24小时</w:t>
            </w:r>
            <w:r>
              <w:rPr>
                <w:rFonts w:hint="eastAsia" w:ascii="宋体" w:hAnsi="宋体" w:eastAsia="宋体" w:cs="宋体"/>
                <w:bCs/>
                <w:color w:val="auto"/>
                <w:sz w:val="24"/>
                <w:szCs w:val="24"/>
                <w:highlight w:val="none"/>
              </w:rPr>
              <w:t>内（以发出时间为准）。</w:t>
            </w:r>
          </w:p>
        </w:tc>
      </w:tr>
      <w:tr w14:paraId="564838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222" w:type="dxa"/>
            <w:vMerge w:val="continue"/>
            <w:noWrap w:val="0"/>
            <w:vAlign w:val="center"/>
          </w:tcPr>
          <w:p w14:paraId="28E95AE0">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p>
        </w:tc>
        <w:tc>
          <w:tcPr>
            <w:tcW w:w="1692" w:type="dxa"/>
            <w:vMerge w:val="continue"/>
            <w:noWrap w:val="0"/>
            <w:vAlign w:val="center"/>
          </w:tcPr>
          <w:p w14:paraId="03AE072D">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p>
        </w:tc>
        <w:tc>
          <w:tcPr>
            <w:tcW w:w="7050" w:type="dxa"/>
            <w:noWrap w:val="0"/>
            <w:vAlign w:val="center"/>
          </w:tcPr>
          <w:p w14:paraId="2C5A82B0">
            <w:pPr>
              <w:keepNext w:val="0"/>
              <w:keepLines w:val="0"/>
              <w:pageBreakBefore w:val="0"/>
              <w:widowControl w:val="0"/>
              <w:kinsoku/>
              <w:wordWrap w:val="0"/>
              <w:overflowPunct/>
              <w:topLinePunct w:val="0"/>
              <w:autoSpaceDE/>
              <w:autoSpaceDN/>
              <w:bidi w:val="0"/>
              <w:adjustRightInd w:val="0"/>
              <w:spacing w:line="440" w:lineRule="exac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zh-CN"/>
              </w:rPr>
              <w:t>形式：本项目所有修改文件均在</w:t>
            </w:r>
            <w:r>
              <w:rPr>
                <w:rFonts w:hint="eastAsia" w:ascii="宋体" w:hAnsi="宋体" w:eastAsia="宋体" w:cs="宋体"/>
                <w:color w:val="auto"/>
                <w:sz w:val="24"/>
                <w:szCs w:val="24"/>
                <w:highlight w:val="none"/>
                <w:lang w:eastAsia="zh-CN"/>
              </w:rPr>
              <w:t>“政采云”平台(</w:t>
            </w:r>
            <w:r>
              <w:rPr>
                <w:rFonts w:hint="eastAsia" w:ascii="宋体" w:hAnsi="宋体" w:cs="宋体"/>
                <w:color w:val="auto"/>
                <w:sz w:val="24"/>
                <w:szCs w:val="24"/>
                <w:highlight w:val="none"/>
                <w:lang w:eastAsia="zh-CN"/>
              </w:rPr>
              <w:t>https://www.zcygov.cn</w:t>
            </w:r>
            <w:r>
              <w:rPr>
                <w:rFonts w:hint="eastAsia" w:ascii="宋体" w:hAnsi="宋体" w:eastAsia="宋体" w:cs="宋体"/>
                <w:color w:val="auto"/>
                <w:sz w:val="24"/>
                <w:szCs w:val="24"/>
                <w:highlight w:val="none"/>
                <w:lang w:eastAsia="zh-CN"/>
              </w:rPr>
              <w:t>)</w:t>
            </w:r>
            <w:r>
              <w:rPr>
                <w:rFonts w:hint="eastAsia" w:ascii="宋体" w:hAnsi="宋体" w:eastAsia="宋体" w:cs="宋体"/>
                <w:bCs/>
                <w:color w:val="auto"/>
                <w:sz w:val="24"/>
                <w:szCs w:val="24"/>
                <w:highlight w:val="none"/>
                <w:lang w:val="zh-CN"/>
              </w:rPr>
              <w:t>”中发布，供应商收到后必须以确认函的形式发送至采购代理机构的邮箱</w:t>
            </w:r>
            <w:r>
              <w:rPr>
                <w:rFonts w:hint="eastAsia" w:ascii="宋体" w:hAnsi="宋体" w:cs="宋体"/>
                <w:bCs/>
                <w:color w:val="auto"/>
                <w:sz w:val="24"/>
                <w:szCs w:val="24"/>
                <w:highlight w:val="none"/>
                <w:lang w:val="en-US" w:eastAsia="zh-CN"/>
              </w:rPr>
              <w:t>1138990710@qq.com</w:t>
            </w:r>
            <w:r>
              <w:rPr>
                <w:rFonts w:hint="eastAsia" w:ascii="宋体" w:hAnsi="宋体" w:eastAsia="宋体" w:cs="宋体"/>
                <w:bCs/>
                <w:color w:val="auto"/>
                <w:sz w:val="24"/>
                <w:szCs w:val="24"/>
                <w:highlight w:val="none"/>
                <w:lang w:val="zh-CN"/>
              </w:rPr>
              <w:t>，因供应商自身原因未能及时查阅下载所导致的对本项目有关文件理解错误由供应商自行承担。</w:t>
            </w:r>
          </w:p>
        </w:tc>
      </w:tr>
      <w:tr w14:paraId="54A0B7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222" w:type="dxa"/>
            <w:noWrap w:val="0"/>
            <w:vAlign w:val="center"/>
          </w:tcPr>
          <w:p w14:paraId="4F514653">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2.3.1</w:t>
            </w:r>
          </w:p>
        </w:tc>
        <w:tc>
          <w:tcPr>
            <w:tcW w:w="1692" w:type="dxa"/>
            <w:noWrap w:val="0"/>
            <w:vAlign w:val="center"/>
          </w:tcPr>
          <w:p w14:paraId="637CB69C">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招标文件修改发出的形式</w:t>
            </w:r>
          </w:p>
        </w:tc>
        <w:tc>
          <w:tcPr>
            <w:tcW w:w="7050" w:type="dxa"/>
            <w:noWrap w:val="0"/>
            <w:vAlign w:val="center"/>
          </w:tcPr>
          <w:p w14:paraId="2BB7DA4A">
            <w:pPr>
              <w:pStyle w:val="28"/>
              <w:keepNext w:val="0"/>
              <w:keepLines w:val="0"/>
              <w:pageBreakBefore w:val="0"/>
              <w:widowControl w:val="0"/>
              <w:pBdr>
                <w:bottom w:val="none" w:color="auto" w:sz="0" w:space="0"/>
              </w:pBdr>
              <w:tabs>
                <w:tab w:val="clear" w:pos="4153"/>
                <w:tab w:val="clear" w:pos="8306"/>
              </w:tabs>
              <w:kinsoku/>
              <w:wordWrap w:val="0"/>
              <w:overflowPunct/>
              <w:topLinePunct w:val="0"/>
              <w:autoSpaceDE/>
              <w:autoSpaceDN/>
              <w:bidi w:val="0"/>
              <w:adjustRightInd w:val="0"/>
              <w:snapToGrid/>
              <w:spacing w:line="440" w:lineRule="exact"/>
              <w:jc w:val="both"/>
              <w:textAlignment w:val="auto"/>
              <w:rPr>
                <w:rFonts w:hint="eastAsia" w:ascii="宋体" w:hAnsi="宋体" w:eastAsia="宋体" w:cs="宋体"/>
                <w:bCs/>
                <w:color w:val="auto"/>
                <w:kern w:val="2"/>
                <w:sz w:val="24"/>
                <w:szCs w:val="24"/>
                <w:highlight w:val="none"/>
                <w:lang w:val="zh-CN" w:eastAsia="zh-CN"/>
              </w:rPr>
            </w:pPr>
            <w:r>
              <w:rPr>
                <w:rFonts w:hint="eastAsia" w:ascii="宋体" w:hAnsi="宋体" w:eastAsia="宋体" w:cs="宋体"/>
                <w:bCs/>
                <w:color w:val="auto"/>
                <w:sz w:val="24"/>
                <w:szCs w:val="24"/>
                <w:highlight w:val="none"/>
                <w:lang w:val="zh-CN" w:eastAsia="zh-CN"/>
              </w:rPr>
              <w:t>详见本章2.1款。</w:t>
            </w:r>
          </w:p>
        </w:tc>
      </w:tr>
      <w:tr w14:paraId="1C3E01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0" w:hRule="atLeast"/>
          <w:jc w:val="center"/>
        </w:trPr>
        <w:tc>
          <w:tcPr>
            <w:tcW w:w="1222" w:type="dxa"/>
            <w:noWrap w:val="0"/>
            <w:vAlign w:val="center"/>
          </w:tcPr>
          <w:p w14:paraId="7A823F3E">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2.3.2</w:t>
            </w:r>
          </w:p>
        </w:tc>
        <w:tc>
          <w:tcPr>
            <w:tcW w:w="1692" w:type="dxa"/>
            <w:noWrap w:val="0"/>
            <w:vAlign w:val="center"/>
          </w:tcPr>
          <w:p w14:paraId="6A1C3BD7">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供应商确认收到招标文件修改</w:t>
            </w:r>
          </w:p>
        </w:tc>
        <w:tc>
          <w:tcPr>
            <w:tcW w:w="7050" w:type="dxa"/>
            <w:noWrap w:val="0"/>
            <w:vAlign w:val="center"/>
          </w:tcPr>
          <w:p w14:paraId="0013FD5B">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详见本章2.2.3款。</w:t>
            </w:r>
          </w:p>
        </w:tc>
      </w:tr>
      <w:tr w14:paraId="5D6328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222" w:type="dxa"/>
            <w:noWrap w:val="0"/>
            <w:vAlign w:val="center"/>
          </w:tcPr>
          <w:p w14:paraId="6D2EDE98">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3.2.4</w:t>
            </w:r>
          </w:p>
        </w:tc>
        <w:tc>
          <w:tcPr>
            <w:tcW w:w="1692" w:type="dxa"/>
            <w:noWrap w:val="0"/>
            <w:vAlign w:val="center"/>
          </w:tcPr>
          <w:p w14:paraId="3DD8CC43">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kern w:val="15"/>
                <w:sz w:val="24"/>
                <w:szCs w:val="24"/>
                <w:highlight w:val="none"/>
              </w:rPr>
              <w:t>最高投标限价</w:t>
            </w:r>
          </w:p>
        </w:tc>
        <w:tc>
          <w:tcPr>
            <w:tcW w:w="7050" w:type="dxa"/>
            <w:noWrap w:val="0"/>
            <w:vAlign w:val="center"/>
          </w:tcPr>
          <w:p w14:paraId="777FDED8">
            <w:pPr>
              <w:keepNext w:val="0"/>
              <w:keepLines w:val="0"/>
              <w:pageBreakBefore w:val="0"/>
              <w:widowControl w:val="0"/>
              <w:kinsoku/>
              <w:wordWrap w:val="0"/>
              <w:overflowPunct/>
              <w:topLinePunct w:val="0"/>
              <w:autoSpaceDE/>
              <w:autoSpaceDN/>
              <w:bidi w:val="0"/>
              <w:adjustRightInd w:val="0"/>
              <w:spacing w:line="440" w:lineRule="exact"/>
              <w:textAlignment w:val="auto"/>
              <w:rPr>
                <w:rFonts w:hint="default" w:ascii="宋体" w:hAnsi="宋体" w:eastAsia="宋体" w:cs="宋体"/>
                <w:bCs/>
                <w:color w:val="auto"/>
                <w:sz w:val="24"/>
                <w:szCs w:val="24"/>
                <w:highlight w:val="none"/>
                <w:lang w:val="en-US"/>
              </w:rPr>
            </w:pPr>
            <w:r>
              <w:rPr>
                <w:rFonts w:hint="eastAsia" w:ascii="宋体" w:hAnsi="宋体" w:cs="宋体"/>
                <w:color w:val="auto"/>
                <w:kern w:val="0"/>
                <w:sz w:val="24"/>
                <w:szCs w:val="24"/>
                <w:highlight w:val="none"/>
                <w:lang w:val="en-US" w:eastAsia="zh-CN" w:bidi="ar"/>
              </w:rPr>
              <w:t>160万元</w:t>
            </w:r>
          </w:p>
        </w:tc>
      </w:tr>
      <w:tr w14:paraId="09430E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222" w:type="dxa"/>
            <w:noWrap w:val="0"/>
            <w:vAlign w:val="center"/>
          </w:tcPr>
          <w:p w14:paraId="510AB802">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3.3.1</w:t>
            </w:r>
          </w:p>
        </w:tc>
        <w:tc>
          <w:tcPr>
            <w:tcW w:w="1692" w:type="dxa"/>
            <w:noWrap w:val="0"/>
            <w:vAlign w:val="center"/>
          </w:tcPr>
          <w:p w14:paraId="0DA21507">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投标有效期</w:t>
            </w:r>
          </w:p>
        </w:tc>
        <w:tc>
          <w:tcPr>
            <w:tcW w:w="7050" w:type="dxa"/>
            <w:noWrap w:val="0"/>
            <w:vAlign w:val="center"/>
          </w:tcPr>
          <w:p w14:paraId="2D220412">
            <w:pPr>
              <w:keepNext w:val="0"/>
              <w:keepLines w:val="0"/>
              <w:pageBreakBefore w:val="0"/>
              <w:widowControl w:val="0"/>
              <w:kinsoku/>
              <w:wordWrap w:val="0"/>
              <w:overflowPunct/>
              <w:topLinePunct w:val="0"/>
              <w:autoSpaceDE/>
              <w:autoSpaceDN/>
              <w:bidi w:val="0"/>
              <w:adjustRightInd w:val="0"/>
              <w:spacing w:line="440" w:lineRule="exact"/>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投标截止之日后90天（日历天），从开标截止之日算起。</w:t>
            </w:r>
          </w:p>
        </w:tc>
      </w:tr>
      <w:tr w14:paraId="1D101A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jc w:val="center"/>
        </w:trPr>
        <w:tc>
          <w:tcPr>
            <w:tcW w:w="1222" w:type="dxa"/>
            <w:noWrap w:val="0"/>
            <w:vAlign w:val="center"/>
          </w:tcPr>
          <w:p w14:paraId="18F89C6F">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3.4.1</w:t>
            </w:r>
          </w:p>
        </w:tc>
        <w:tc>
          <w:tcPr>
            <w:tcW w:w="1692" w:type="dxa"/>
            <w:noWrap w:val="0"/>
            <w:vAlign w:val="center"/>
          </w:tcPr>
          <w:p w14:paraId="0A93D254">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投标保证金</w:t>
            </w:r>
          </w:p>
        </w:tc>
        <w:tc>
          <w:tcPr>
            <w:tcW w:w="7050" w:type="dxa"/>
            <w:noWrap w:val="0"/>
            <w:vAlign w:val="center"/>
          </w:tcPr>
          <w:p w14:paraId="02CCF9BE">
            <w:pPr>
              <w:pageBreakBefore w:val="0"/>
              <w:kinsoku/>
              <w:overflowPunct/>
              <w:topLinePunct w:val="0"/>
              <w:bidi w:val="0"/>
              <w:spacing w:line="288"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投标保证金形式：投标保证金应当以</w:t>
            </w:r>
            <w:r>
              <w:rPr>
                <w:rFonts w:hint="eastAsia" w:ascii="宋体" w:hAnsi="宋体" w:cs="宋体"/>
                <w:color w:val="auto"/>
                <w:sz w:val="24"/>
                <w:szCs w:val="24"/>
                <w:highlight w:val="none"/>
                <w:lang w:val="en-US" w:eastAsia="zh-CN"/>
              </w:rPr>
              <w:t>网上银行转账、</w:t>
            </w:r>
            <w:r>
              <w:rPr>
                <w:rFonts w:hint="eastAsia" w:ascii="宋体" w:hAnsi="宋体" w:eastAsia="宋体" w:cs="宋体"/>
                <w:color w:val="auto"/>
                <w:sz w:val="24"/>
                <w:szCs w:val="24"/>
                <w:highlight w:val="none"/>
                <w:lang w:val="en-US" w:eastAsia="zh-CN"/>
              </w:rPr>
              <w:t>支票、汇票、本票或者金融机构、担保机构出具的保函等非现金形式提交。供应商未按照采购文件要求提交投标保证金的，投标无效。以支票形式提交的投标保证金应当从供应商的基本账户转出。</w:t>
            </w:r>
          </w:p>
          <w:p w14:paraId="5581906C">
            <w:pPr>
              <w:keepNext w:val="0"/>
              <w:keepLines w:val="0"/>
              <w:pageBreakBefore w:val="0"/>
              <w:widowControl w:val="0"/>
              <w:tabs>
                <w:tab w:val="right" w:pos="8306"/>
              </w:tabs>
              <w:kinsoku/>
              <w:wordWrap w:val="0"/>
              <w:overflowPunct/>
              <w:topLinePunct w:val="0"/>
              <w:autoSpaceDE/>
              <w:autoSpaceDN/>
              <w:bidi w:val="0"/>
              <w:spacing w:line="440" w:lineRule="exact"/>
              <w:textAlignment w:val="auto"/>
              <w:rPr>
                <w:rFonts w:hint="eastAsia" w:ascii="宋体" w:hAnsi="宋体" w:eastAsia="宋体" w:cs="宋体"/>
                <w:bCs/>
                <w:color w:val="auto"/>
                <w:kern w:val="15"/>
                <w:sz w:val="24"/>
                <w:highlight w:val="none"/>
                <w:lang w:eastAsia="zh-CN"/>
              </w:rPr>
            </w:pPr>
            <w:r>
              <w:rPr>
                <w:rFonts w:hint="eastAsia" w:ascii="宋体" w:hAnsi="宋体" w:eastAsia="宋体" w:cs="宋体"/>
                <w:color w:val="auto"/>
                <w:sz w:val="24"/>
                <w:szCs w:val="24"/>
                <w:highlight w:val="none"/>
                <w:lang w:val="en-US" w:eastAsia="zh-CN"/>
              </w:rPr>
              <w:t>投标保证金截止时间：投标保证金须在投标文件递交截止时间前到账；投标保证金的确认以最终到账日期为准。</w:t>
            </w:r>
            <w:bookmarkStart w:id="53" w:name="_GoBack"/>
            <w:bookmarkEnd w:id="53"/>
          </w:p>
          <w:p w14:paraId="68CDAB5B">
            <w:pPr>
              <w:keepNext w:val="0"/>
              <w:keepLines w:val="0"/>
              <w:pageBreakBefore w:val="0"/>
              <w:widowControl w:val="0"/>
              <w:tabs>
                <w:tab w:val="right" w:pos="8306"/>
              </w:tabs>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Cs/>
                <w:color w:val="auto"/>
                <w:kern w:val="15"/>
                <w:sz w:val="24"/>
                <w:highlight w:val="none"/>
                <w:lang w:eastAsia="zh-CN"/>
              </w:rPr>
              <w:t>投标保证金的金</w:t>
            </w:r>
            <w:r>
              <w:rPr>
                <w:rFonts w:hint="eastAsia" w:ascii="宋体" w:hAnsi="宋体" w:eastAsia="宋体" w:cs="宋体"/>
                <w:color w:val="auto"/>
                <w:sz w:val="24"/>
                <w:szCs w:val="24"/>
                <w:highlight w:val="none"/>
                <w:lang w:val="en-US" w:eastAsia="zh-CN"/>
              </w:rPr>
              <w:t>额：</w:t>
            </w:r>
            <w:r>
              <w:rPr>
                <w:rFonts w:hint="eastAsia" w:ascii="宋体" w:hAnsi="宋体" w:cs="宋体"/>
                <w:color w:val="auto"/>
                <w:sz w:val="24"/>
                <w:szCs w:val="24"/>
                <w:highlight w:val="none"/>
                <w:lang w:val="en-US" w:eastAsia="zh-CN"/>
              </w:rPr>
              <w:t>1.6万</w:t>
            </w:r>
            <w:r>
              <w:rPr>
                <w:rFonts w:hint="eastAsia" w:ascii="宋体" w:hAnsi="宋体" w:eastAsia="宋体" w:cs="宋体"/>
                <w:color w:val="auto"/>
                <w:sz w:val="24"/>
                <w:szCs w:val="24"/>
                <w:highlight w:val="none"/>
                <w:lang w:val="en-US" w:eastAsia="zh-CN"/>
              </w:rPr>
              <w:t>元</w:t>
            </w:r>
          </w:p>
          <w:p w14:paraId="270E596D">
            <w:pPr>
              <w:keepNext w:val="0"/>
              <w:keepLines w:val="0"/>
              <w:pageBreakBefore w:val="0"/>
              <w:widowControl w:val="0"/>
              <w:tabs>
                <w:tab w:val="right" w:pos="8306"/>
              </w:tabs>
              <w:kinsoku/>
              <w:wordWrap w:val="0"/>
              <w:overflowPunct/>
              <w:topLinePunct w:val="0"/>
              <w:autoSpaceDE/>
              <w:autoSpaceDN/>
              <w:bidi w:val="0"/>
              <w:spacing w:line="440" w:lineRule="exact"/>
              <w:textAlignment w:val="auto"/>
              <w:rPr>
                <w:rFonts w:hint="default" w:ascii="宋体" w:hAnsi="宋体" w:eastAsia="宋体" w:cs="宋体"/>
                <w:bCs/>
                <w:color w:val="auto"/>
                <w:kern w:val="15"/>
                <w:sz w:val="24"/>
                <w:highlight w:val="yellow"/>
                <w:lang w:val="en-US" w:eastAsia="zh-CN"/>
              </w:rPr>
            </w:pPr>
            <w:r>
              <w:rPr>
                <w:rFonts w:hint="eastAsia" w:ascii="宋体" w:hAnsi="宋体" w:eastAsia="宋体" w:cs="宋体"/>
                <w:color w:val="auto"/>
                <w:sz w:val="24"/>
                <w:szCs w:val="24"/>
                <w:highlight w:val="none"/>
                <w:lang w:val="en-US" w:eastAsia="zh-CN"/>
              </w:rPr>
              <w:t>递交截止时间：2024年11月11日9时00分</w:t>
            </w:r>
          </w:p>
          <w:p w14:paraId="10FBB42F">
            <w:pPr>
              <w:pStyle w:val="14"/>
              <w:keepNext w:val="0"/>
              <w:keepLines w:val="0"/>
              <w:pageBreakBefore w:val="0"/>
              <w:widowControl w:val="0"/>
              <w:kinsoku/>
              <w:wordWrap w:val="0"/>
              <w:overflowPunct/>
              <w:topLinePunct w:val="0"/>
              <w:autoSpaceDE/>
              <w:autoSpaceDN/>
              <w:bidi w:val="0"/>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收款单位：</w:t>
            </w:r>
            <w:r>
              <w:rPr>
                <w:rFonts w:hint="eastAsia" w:ascii="宋体" w:hAnsi="宋体" w:cs="宋体"/>
                <w:b w:val="0"/>
                <w:bCs w:val="0"/>
                <w:kern w:val="2"/>
                <w:sz w:val="24"/>
                <w:szCs w:val="24"/>
                <w:highlight w:val="none"/>
                <w:lang w:val="en-US" w:eastAsia="zh-CN" w:bidi="ar-SA"/>
              </w:rPr>
              <w:t>吉林华鑫德润项目管理咨询有限公司</w:t>
            </w:r>
          </w:p>
          <w:p w14:paraId="027D302E">
            <w:pPr>
              <w:pStyle w:val="14"/>
              <w:keepNext w:val="0"/>
              <w:keepLines w:val="0"/>
              <w:pageBreakBefore w:val="0"/>
              <w:widowControl w:val="0"/>
              <w:kinsoku/>
              <w:wordWrap w:val="0"/>
              <w:overflowPunct/>
              <w:topLinePunct w:val="0"/>
              <w:autoSpaceDE/>
              <w:autoSpaceDN/>
              <w:bidi w:val="0"/>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开户银行：</w:t>
            </w:r>
            <w:r>
              <w:rPr>
                <w:rFonts w:hint="eastAsia" w:ascii="宋体" w:hAnsi="宋体" w:cs="宋体"/>
                <w:b w:val="0"/>
                <w:bCs w:val="0"/>
                <w:kern w:val="2"/>
                <w:sz w:val="24"/>
                <w:szCs w:val="24"/>
                <w:highlight w:val="none"/>
                <w:lang w:val="en-US" w:eastAsia="zh-CN" w:bidi="ar-SA"/>
              </w:rPr>
              <w:t>吉林环城农村商业银行股份有限公司政务服务中心支行</w:t>
            </w:r>
          </w:p>
          <w:p w14:paraId="22922E34">
            <w:pPr>
              <w:pStyle w:val="14"/>
              <w:keepNext w:val="0"/>
              <w:keepLines w:val="0"/>
              <w:pageBreakBefore w:val="0"/>
              <w:widowControl w:val="0"/>
              <w:kinsoku/>
              <w:wordWrap w:val="0"/>
              <w:overflowPunct/>
              <w:topLinePunct w:val="0"/>
              <w:autoSpaceDE/>
              <w:autoSpaceDN/>
              <w:bidi w:val="0"/>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账号：</w:t>
            </w:r>
            <w:r>
              <w:rPr>
                <w:rFonts w:hint="eastAsia" w:cs="宋体"/>
                <w:b w:val="0"/>
                <w:bCs w:val="0"/>
                <w:kern w:val="2"/>
                <w:sz w:val="24"/>
                <w:szCs w:val="24"/>
                <w:highlight w:val="none"/>
                <w:lang w:val="en-US" w:eastAsia="zh-CN" w:bidi="ar-SA"/>
              </w:rPr>
              <w:t>0720622011015200009035</w:t>
            </w:r>
          </w:p>
          <w:p w14:paraId="0D848DE3">
            <w:pPr>
              <w:keepNext w:val="0"/>
              <w:keepLines w:val="0"/>
              <w:pageBreakBefore w:val="0"/>
              <w:widowControl w:val="0"/>
              <w:kinsoku/>
              <w:wordWrap w:val="0"/>
              <w:overflowPunct/>
              <w:topLinePunct w:val="0"/>
              <w:autoSpaceDE/>
              <w:autoSpaceDN/>
              <w:bidi w:val="0"/>
              <w:spacing w:line="440" w:lineRule="exact"/>
              <w:jc w:val="left"/>
              <w:rPr>
                <w:rFonts w:hint="default" w:ascii="宋体" w:hAnsi="宋体" w:eastAsia="宋体" w:cs="宋体"/>
                <w:color w:val="auto"/>
                <w:sz w:val="24"/>
                <w:highlight w:val="none"/>
                <w:lang w:val="en-US"/>
              </w:rPr>
            </w:pPr>
            <w:r>
              <w:rPr>
                <w:rFonts w:hint="eastAsia" w:ascii="宋体" w:hAnsi="宋体" w:eastAsia="宋体" w:cs="宋体"/>
                <w:color w:val="auto"/>
                <w:sz w:val="24"/>
                <w:highlight w:val="none"/>
              </w:rPr>
              <w:t>联系人：</w:t>
            </w:r>
            <w:r>
              <w:rPr>
                <w:rFonts w:hint="eastAsia" w:ascii="宋体" w:hAnsi="宋体" w:cs="宋体"/>
                <w:color w:val="auto"/>
                <w:kern w:val="0"/>
                <w:sz w:val="24"/>
                <w:szCs w:val="24"/>
                <w:highlight w:val="none"/>
                <w:lang w:val="en-US" w:eastAsia="zh-CN" w:bidi="ar"/>
              </w:rPr>
              <w:t>陈鑫淼</w:t>
            </w:r>
          </w:p>
          <w:p w14:paraId="333C87F4">
            <w:pPr>
              <w:keepNext w:val="0"/>
              <w:keepLines w:val="0"/>
              <w:pageBreakBefore w:val="0"/>
              <w:widowControl w:val="0"/>
              <w:kinsoku/>
              <w:wordWrap w:val="0"/>
              <w:overflowPunct/>
              <w:topLinePunct w:val="0"/>
              <w:autoSpaceDE/>
              <w:autoSpaceDN/>
              <w:bidi w:val="0"/>
              <w:adjustRightInd/>
              <w:snapToGrid/>
              <w:spacing w:line="440" w:lineRule="exact"/>
              <w:textAlignment w:val="auto"/>
              <w:rPr>
                <w:rFonts w:hint="default" w:ascii="宋体" w:hAnsi="宋体" w:eastAsia="宋体" w:cs="宋体"/>
                <w:b/>
                <w:color w:val="auto"/>
                <w:sz w:val="24"/>
                <w:szCs w:val="24"/>
                <w:highlight w:val="none"/>
                <w:lang w:val="en-US" w:eastAsia="zh-CN"/>
              </w:rPr>
            </w:pPr>
            <w:r>
              <w:rPr>
                <w:rFonts w:hint="eastAsia" w:ascii="宋体" w:hAnsi="宋体" w:eastAsia="宋体" w:cs="宋体"/>
                <w:color w:val="auto"/>
                <w:sz w:val="24"/>
                <w:highlight w:val="none"/>
              </w:rPr>
              <w:t>联系电话：</w:t>
            </w:r>
            <w:r>
              <w:rPr>
                <w:rFonts w:hint="eastAsia" w:ascii="宋体" w:hAnsi="宋体" w:cs="宋体"/>
                <w:color w:val="auto"/>
                <w:kern w:val="0"/>
                <w:sz w:val="24"/>
                <w:szCs w:val="24"/>
                <w:highlight w:val="none"/>
                <w:lang w:eastAsia="zh-CN" w:bidi="ar"/>
              </w:rPr>
              <w:t>0432-62296699</w:t>
            </w:r>
          </w:p>
          <w:p w14:paraId="15A690C3">
            <w:pPr>
              <w:wordWrap w:val="0"/>
              <w:autoSpaceDE w:val="0"/>
              <w:autoSpaceDN w:val="0"/>
              <w:spacing w:line="440" w:lineRule="exact"/>
              <w:rPr>
                <w:rFonts w:hint="eastAsia" w:ascii="宋体" w:hAnsi="宋体" w:eastAsia="宋体" w:cs="宋体"/>
                <w:bCs/>
                <w:color w:val="auto"/>
                <w:sz w:val="24"/>
                <w:szCs w:val="24"/>
                <w:highlight w:val="none"/>
              </w:rPr>
            </w:pPr>
            <w:r>
              <w:rPr>
                <w:rFonts w:hint="eastAsia" w:ascii="宋体" w:hAnsi="宋体" w:eastAsia="宋体" w:cs="宋体"/>
                <w:b/>
                <w:color w:val="auto"/>
                <w:kern w:val="15"/>
                <w:sz w:val="24"/>
                <w:szCs w:val="24"/>
                <w:highlight w:val="none"/>
              </w:rPr>
              <w:t>注：</w:t>
            </w:r>
            <w:r>
              <w:rPr>
                <w:rFonts w:hint="eastAsia" w:ascii="宋体" w:hAnsi="宋体" w:eastAsia="宋体" w:cs="宋体"/>
                <w:color w:val="auto"/>
                <w:kern w:val="15"/>
                <w:sz w:val="24"/>
                <w:highlight w:val="none"/>
              </w:rPr>
              <w:t>以转账、电汇形式提交的投标保证金应当从投标单位的基本账户一次性转出</w:t>
            </w:r>
            <w:r>
              <w:rPr>
                <w:rFonts w:hint="eastAsia" w:ascii="宋体" w:hAnsi="宋体" w:eastAsia="宋体" w:cs="宋体"/>
                <w:color w:val="auto"/>
                <w:kern w:val="15"/>
                <w:sz w:val="24"/>
                <w:highlight w:val="none"/>
                <w:lang w:eastAsia="zh-CN"/>
              </w:rPr>
              <w:t>，</w:t>
            </w:r>
            <w:r>
              <w:rPr>
                <w:rFonts w:hint="eastAsia" w:ascii="宋体" w:hAnsi="宋体" w:eastAsia="宋体" w:cs="宋体"/>
                <w:color w:val="auto"/>
                <w:kern w:val="15"/>
                <w:sz w:val="24"/>
                <w:highlight w:val="none"/>
              </w:rPr>
              <w:t>并在进帐凭证上明确用途、投标项目名称（可简写）及项目编号、联系人及电话，以便核对查实</w:t>
            </w:r>
            <w:r>
              <w:rPr>
                <w:rFonts w:hint="eastAsia" w:ascii="宋体" w:hAnsi="宋体" w:eastAsia="宋体" w:cs="宋体"/>
                <w:color w:val="auto"/>
                <w:kern w:val="15"/>
                <w:sz w:val="24"/>
                <w:highlight w:val="none"/>
                <w:lang w:eastAsia="zh-CN"/>
              </w:rPr>
              <w:t>。除</w:t>
            </w:r>
            <w:r>
              <w:rPr>
                <w:rFonts w:hint="eastAsia" w:ascii="宋体" w:hAnsi="宋体" w:eastAsia="宋体" w:cs="宋体"/>
                <w:color w:val="auto"/>
                <w:kern w:val="15"/>
                <w:sz w:val="24"/>
                <w:highlight w:val="none"/>
              </w:rPr>
              <w:t>转账、电汇</w:t>
            </w:r>
            <w:r>
              <w:rPr>
                <w:rFonts w:hint="eastAsia" w:ascii="宋体" w:hAnsi="宋体" w:eastAsia="宋体" w:cs="宋体"/>
                <w:color w:val="auto"/>
                <w:kern w:val="15"/>
                <w:sz w:val="24"/>
                <w:highlight w:val="none"/>
                <w:lang w:eastAsia="zh-CN"/>
              </w:rPr>
              <w:t>形式外，</w:t>
            </w:r>
            <w:r>
              <w:rPr>
                <w:rFonts w:hint="eastAsia" w:ascii="宋体" w:hAnsi="宋体" w:eastAsia="宋体" w:cs="Times New Roman"/>
                <w:color w:val="auto"/>
                <w:kern w:val="0"/>
                <w:sz w:val="24"/>
                <w:szCs w:val="21"/>
                <w:highlight w:val="none"/>
              </w:rPr>
              <w:t>也可提供</w:t>
            </w:r>
            <w:r>
              <w:rPr>
                <w:rFonts w:hint="eastAsia" w:ascii="宋体" w:hAnsi="宋体" w:eastAsia="宋体" w:cs="宋体"/>
                <w:bCs/>
                <w:color w:val="auto"/>
                <w:kern w:val="15"/>
                <w:sz w:val="24"/>
                <w:highlight w:val="none"/>
              </w:rPr>
              <w:t>支票、汇票、本票</w:t>
            </w:r>
            <w:r>
              <w:rPr>
                <w:rFonts w:hint="eastAsia" w:ascii="宋体" w:hAnsi="宋体" w:eastAsia="宋体" w:cs="宋体"/>
                <w:bCs/>
                <w:color w:val="auto"/>
                <w:kern w:val="15"/>
                <w:sz w:val="24"/>
                <w:highlight w:val="none"/>
                <w:lang w:eastAsia="zh-CN"/>
              </w:rPr>
              <w:t>或者</w:t>
            </w:r>
            <w:r>
              <w:rPr>
                <w:rFonts w:hint="eastAsia" w:ascii="宋体" w:hAnsi="宋体" w:eastAsia="宋体" w:cs="宋体"/>
                <w:bCs/>
                <w:color w:val="auto"/>
                <w:kern w:val="15"/>
                <w:sz w:val="24"/>
                <w:highlight w:val="none"/>
              </w:rPr>
              <w:t>金融机构、担保机构出具的保函</w:t>
            </w:r>
            <w:r>
              <w:rPr>
                <w:rFonts w:hint="eastAsia" w:ascii="宋体" w:hAnsi="宋体" w:eastAsia="宋体" w:cs="宋体"/>
                <w:color w:val="auto"/>
                <w:kern w:val="0"/>
                <w:sz w:val="24"/>
                <w:szCs w:val="21"/>
                <w:highlight w:val="none"/>
              </w:rPr>
              <w:t>，</w:t>
            </w:r>
            <w:r>
              <w:rPr>
                <w:rFonts w:hint="eastAsia" w:ascii="宋体" w:hAnsi="宋体" w:eastAsia="宋体" w:cs="宋体"/>
                <w:color w:val="auto"/>
                <w:spacing w:val="0"/>
                <w:sz w:val="24"/>
                <w:highlight w:val="none"/>
                <w:lang w:eastAsia="zh-CN"/>
              </w:rPr>
              <w:t>供应商</w:t>
            </w:r>
            <w:r>
              <w:rPr>
                <w:rFonts w:hint="eastAsia" w:ascii="宋体" w:hAnsi="宋体" w:eastAsia="宋体" w:cs="宋体"/>
                <w:color w:val="auto"/>
                <w:spacing w:val="0"/>
                <w:sz w:val="24"/>
                <w:highlight w:val="none"/>
              </w:rPr>
              <w:t>的投标保证金如采用</w:t>
            </w:r>
            <w:r>
              <w:rPr>
                <w:rFonts w:hint="eastAsia" w:ascii="宋体" w:hAnsi="宋体" w:eastAsia="宋体" w:cs="宋体"/>
                <w:bCs/>
                <w:color w:val="auto"/>
                <w:kern w:val="15"/>
                <w:sz w:val="24"/>
                <w:highlight w:val="none"/>
              </w:rPr>
              <w:t>金融机构、担保机构出具的保函</w:t>
            </w:r>
            <w:r>
              <w:rPr>
                <w:rFonts w:hint="eastAsia" w:ascii="宋体" w:hAnsi="宋体" w:eastAsia="宋体" w:cs="宋体"/>
                <w:color w:val="auto"/>
                <w:kern w:val="15"/>
                <w:sz w:val="24"/>
                <w:highlight w:val="none"/>
                <w:lang w:val="zh-CN" w:eastAsia="zh-CN"/>
              </w:rPr>
              <w:t>，</w:t>
            </w:r>
            <w:r>
              <w:rPr>
                <w:rFonts w:hint="eastAsia" w:ascii="宋体" w:hAnsi="宋体" w:eastAsia="宋体" w:cs="宋体"/>
                <w:color w:val="auto"/>
                <w:spacing w:val="0"/>
                <w:sz w:val="24"/>
                <w:highlight w:val="none"/>
              </w:rPr>
              <w:t>应通过</w:t>
            </w:r>
            <w:r>
              <w:rPr>
                <w:rFonts w:hint="eastAsia" w:ascii="宋体" w:hAnsi="宋体" w:eastAsia="宋体" w:cs="宋体"/>
                <w:color w:val="auto"/>
                <w:sz w:val="24"/>
                <w:szCs w:val="24"/>
                <w:highlight w:val="none"/>
                <w:lang w:eastAsia="zh-CN"/>
              </w:rPr>
              <w:t>“政采云”平台(</w:t>
            </w:r>
            <w:r>
              <w:rPr>
                <w:rFonts w:hint="eastAsia" w:ascii="宋体" w:hAnsi="宋体" w:cs="宋体"/>
                <w:color w:val="auto"/>
                <w:sz w:val="24"/>
                <w:szCs w:val="24"/>
                <w:highlight w:val="none"/>
                <w:lang w:eastAsia="zh-CN"/>
              </w:rPr>
              <w:t>https://www.zcygov.cn</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pacing w:val="0"/>
                <w:sz w:val="24"/>
                <w:highlight w:val="none"/>
              </w:rPr>
              <w:t>保函系统办理</w:t>
            </w:r>
            <w:r>
              <w:rPr>
                <w:rFonts w:hint="eastAsia" w:ascii="宋体" w:hAnsi="宋体" w:eastAsia="宋体" w:cs="宋体"/>
                <w:color w:val="auto"/>
                <w:spacing w:val="0"/>
                <w:sz w:val="24"/>
                <w:highlight w:val="none"/>
                <w:lang w:eastAsia="zh-CN"/>
              </w:rPr>
              <w:t>。</w:t>
            </w:r>
            <w:r>
              <w:rPr>
                <w:rFonts w:hint="eastAsia" w:ascii="宋体" w:hAnsi="宋体" w:eastAsia="宋体" w:cs="宋体"/>
                <w:color w:val="auto"/>
                <w:kern w:val="15"/>
                <w:sz w:val="24"/>
                <w:highlight w:val="none"/>
                <w:lang w:val="zh-CN" w:eastAsia="zh-CN"/>
              </w:rPr>
              <w:t>递交保函的供应商，均须在保证金递交截止日期前，由被授权委托人携带授权委托书原件、被授权人身份证原件、投标保函原件或</w:t>
            </w:r>
            <w:r>
              <w:rPr>
                <w:rFonts w:hint="eastAsia" w:ascii="宋体" w:hAnsi="宋体" w:eastAsia="宋体" w:cs="宋体"/>
                <w:color w:val="auto"/>
                <w:spacing w:val="0"/>
                <w:sz w:val="24"/>
                <w:highlight w:val="none"/>
              </w:rPr>
              <w:t>应通过</w:t>
            </w:r>
            <w:r>
              <w:rPr>
                <w:rFonts w:hint="eastAsia" w:ascii="宋体" w:hAnsi="宋体" w:eastAsia="宋体" w:cs="宋体"/>
                <w:color w:val="auto"/>
                <w:sz w:val="24"/>
                <w:szCs w:val="24"/>
                <w:highlight w:val="none"/>
                <w:lang w:eastAsia="zh-CN"/>
              </w:rPr>
              <w:t>“政采云”平台(</w:t>
            </w:r>
            <w:r>
              <w:rPr>
                <w:rFonts w:hint="eastAsia" w:ascii="宋体" w:hAnsi="宋体" w:cs="宋体"/>
                <w:color w:val="auto"/>
                <w:sz w:val="24"/>
                <w:szCs w:val="24"/>
                <w:highlight w:val="none"/>
                <w:lang w:eastAsia="zh-CN"/>
              </w:rPr>
              <w:t>https://www.zcygov.cn</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kern w:val="15"/>
                <w:sz w:val="24"/>
                <w:highlight w:val="none"/>
                <w:lang w:val="zh-CN" w:eastAsia="zh-CN"/>
              </w:rPr>
              <w:t>嵌入的电子保函证明材料、投标文件下载码原件到代理机构进行核验保函的真实有效性，同时供应商应备份好保函扫描件，对不能查证属实的，代理机构可拒绝接收。对于伪造保函的，代理机构会及时向公安机关举报。</w:t>
            </w:r>
            <w:r>
              <w:rPr>
                <w:rFonts w:hint="eastAsia" w:ascii="宋体" w:hAnsi="宋体" w:eastAsia="宋体" w:cs="宋体"/>
                <w:color w:val="auto"/>
                <w:kern w:val="15"/>
                <w:sz w:val="24"/>
                <w:highlight w:val="none"/>
                <w:lang w:eastAsia="zh-CN"/>
              </w:rPr>
              <w:t>（为保证投标企业投标保证金、纸质保函</w:t>
            </w:r>
            <w:r>
              <w:rPr>
                <w:rFonts w:hint="eastAsia" w:ascii="宋体" w:hAnsi="宋体" w:eastAsia="宋体" w:cs="宋体"/>
                <w:color w:val="auto"/>
                <w:kern w:val="15"/>
                <w:sz w:val="24"/>
                <w:highlight w:val="none"/>
                <w:lang w:val="zh-CN" w:eastAsia="zh-CN"/>
              </w:rPr>
              <w:t>或电子保函</w:t>
            </w:r>
            <w:r>
              <w:rPr>
                <w:rFonts w:hint="eastAsia" w:ascii="宋体" w:hAnsi="宋体" w:eastAsia="宋体" w:cs="宋体"/>
                <w:color w:val="auto"/>
                <w:kern w:val="15"/>
                <w:sz w:val="24"/>
                <w:highlight w:val="none"/>
                <w:lang w:eastAsia="zh-CN"/>
              </w:rPr>
              <w:t>准确存入指定账户及保函合法性，避免出现因投标保证金递交失误而导致的废标，投标单位须在保证金递交截止日期前，将</w:t>
            </w:r>
            <w:r>
              <w:rPr>
                <w:rFonts w:hint="eastAsia" w:ascii="宋体" w:hAnsi="宋体" w:eastAsia="宋体" w:cs="宋体"/>
                <w:b/>
                <w:bCs w:val="0"/>
                <w:color w:val="auto"/>
                <w:kern w:val="15"/>
                <w:sz w:val="24"/>
                <w:szCs w:val="24"/>
                <w:highlight w:val="none"/>
                <w:u w:val="single"/>
              </w:rPr>
              <w:t>汇款凭证</w:t>
            </w:r>
            <w:r>
              <w:rPr>
                <w:rFonts w:hint="eastAsia" w:ascii="宋体" w:hAnsi="宋体" w:eastAsia="宋体" w:cs="宋体"/>
                <w:b/>
                <w:bCs w:val="0"/>
                <w:color w:val="auto"/>
                <w:kern w:val="15"/>
                <w:sz w:val="24"/>
                <w:szCs w:val="24"/>
                <w:highlight w:val="none"/>
                <w:u w:val="single"/>
                <w:lang w:eastAsia="zh-CN"/>
              </w:rPr>
              <w:t>、纸质保函、电子保函回执</w:t>
            </w:r>
            <w:r>
              <w:rPr>
                <w:rFonts w:hint="eastAsia" w:ascii="宋体" w:hAnsi="宋体" w:eastAsia="宋体" w:cs="宋体"/>
                <w:color w:val="auto"/>
                <w:kern w:val="15"/>
                <w:sz w:val="24"/>
                <w:highlight w:val="none"/>
                <w:lang w:eastAsia="zh-CN"/>
              </w:rPr>
              <w:t>扫描件发送至</w:t>
            </w:r>
            <w:r>
              <w:rPr>
                <w:rFonts w:hint="eastAsia" w:ascii="宋体" w:hAnsi="宋体" w:eastAsia="宋体" w:cs="宋体"/>
                <w:bCs/>
                <w:color w:val="auto"/>
                <w:sz w:val="24"/>
                <w:szCs w:val="24"/>
                <w:highlight w:val="none"/>
              </w:rPr>
              <w:t>代理机构指定邮箱</w:t>
            </w:r>
            <w:r>
              <w:rPr>
                <w:rFonts w:hint="eastAsia" w:ascii="宋体" w:hAnsi="宋体" w:eastAsia="宋体" w:cs="宋体"/>
                <w:b/>
                <w:bCs w:val="0"/>
                <w:color w:val="auto"/>
                <w:sz w:val="24"/>
                <w:szCs w:val="24"/>
                <w:highlight w:val="none"/>
              </w:rPr>
              <w:fldChar w:fldCharType="begin"/>
            </w:r>
            <w:r>
              <w:rPr>
                <w:rFonts w:hint="eastAsia" w:ascii="宋体" w:hAnsi="宋体" w:eastAsia="宋体" w:cs="宋体"/>
                <w:b/>
                <w:bCs w:val="0"/>
                <w:color w:val="auto"/>
                <w:sz w:val="24"/>
                <w:szCs w:val="24"/>
                <w:highlight w:val="none"/>
              </w:rPr>
              <w:instrText xml:space="preserve"> HYPERLINK "mailto:468518798@qq.com" </w:instrText>
            </w:r>
            <w:r>
              <w:rPr>
                <w:rFonts w:hint="eastAsia" w:ascii="宋体" w:hAnsi="宋体" w:eastAsia="宋体" w:cs="宋体"/>
                <w:b/>
                <w:bCs w:val="0"/>
                <w:color w:val="auto"/>
                <w:sz w:val="24"/>
                <w:szCs w:val="24"/>
                <w:highlight w:val="none"/>
              </w:rPr>
              <w:fldChar w:fldCharType="separate"/>
            </w:r>
            <w:r>
              <w:rPr>
                <w:rFonts w:hint="eastAsia" w:ascii="宋体" w:hAnsi="宋体" w:cs="宋体"/>
                <w:b/>
                <w:bCs w:val="0"/>
                <w:color w:val="auto"/>
                <w:sz w:val="24"/>
                <w:szCs w:val="24"/>
                <w:highlight w:val="none"/>
                <w:lang w:val="en-US" w:eastAsia="zh-CN"/>
              </w:rPr>
              <w:t>1138990710@qq.com</w:t>
            </w:r>
            <w:r>
              <w:rPr>
                <w:rFonts w:hint="eastAsia" w:ascii="宋体" w:hAnsi="宋体" w:eastAsia="宋体" w:cs="宋体"/>
                <w:b/>
                <w:bCs w:val="0"/>
                <w:color w:val="auto"/>
                <w:sz w:val="24"/>
                <w:szCs w:val="24"/>
                <w:highlight w:val="none"/>
              </w:rPr>
              <w:fldChar w:fldCharType="end"/>
            </w:r>
            <w:r>
              <w:rPr>
                <w:rFonts w:hint="eastAsia" w:ascii="宋体" w:hAnsi="宋体" w:eastAsia="宋体" w:cs="宋体"/>
                <w:color w:val="auto"/>
                <w:kern w:val="15"/>
                <w:sz w:val="24"/>
                <w:highlight w:val="none"/>
                <w:lang w:eastAsia="zh-CN"/>
              </w:rPr>
              <w:t>进行确认，</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应确保此笔款项或保函在投标保证金递交截止时间前送达，投标保证金交付时间以保证金到帐或收到保函的时间为准</w:t>
            </w:r>
            <w:r>
              <w:rPr>
                <w:rFonts w:hint="eastAsia" w:ascii="宋体" w:hAnsi="宋体" w:eastAsia="宋体" w:cs="宋体"/>
                <w:color w:val="auto"/>
                <w:kern w:val="15"/>
                <w:sz w:val="24"/>
                <w:highlight w:val="none"/>
                <w:lang w:eastAsia="zh-CN"/>
              </w:rPr>
              <w:t>）。</w:t>
            </w:r>
          </w:p>
          <w:p w14:paraId="54D0209B">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投标保证金是投标文件的组成部分，未按以上相关要求递交投标保证金的</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，视为投标保证金无效，初步评审不通过，不再进入详细评审，一切后果由</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自行承担。</w:t>
            </w:r>
          </w:p>
        </w:tc>
      </w:tr>
      <w:tr w14:paraId="793573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0" w:hRule="atLeast"/>
          <w:jc w:val="center"/>
        </w:trPr>
        <w:tc>
          <w:tcPr>
            <w:tcW w:w="1222" w:type="dxa"/>
            <w:noWrap w:val="0"/>
            <w:vAlign w:val="center"/>
          </w:tcPr>
          <w:p w14:paraId="6AF75E0D">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3.4.4</w:t>
            </w:r>
          </w:p>
        </w:tc>
        <w:tc>
          <w:tcPr>
            <w:tcW w:w="1692" w:type="dxa"/>
            <w:noWrap w:val="0"/>
            <w:vAlign w:val="center"/>
          </w:tcPr>
          <w:p w14:paraId="5B335F51">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其他可以不予退还投标保证金的情形</w:t>
            </w:r>
          </w:p>
        </w:tc>
        <w:tc>
          <w:tcPr>
            <w:tcW w:w="7050" w:type="dxa"/>
            <w:noWrap w:val="0"/>
            <w:vAlign w:val="center"/>
          </w:tcPr>
          <w:p w14:paraId="764C8E31">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在投标过程中借用他人资质，互相串通、结盟，伪造虚假业绩、人员、财务、履约情况等，或违反国家有关规定，损害招标的公正性和竞争性进行投标者。</w:t>
            </w:r>
          </w:p>
        </w:tc>
      </w:tr>
      <w:tr w14:paraId="5748C4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222" w:type="dxa"/>
            <w:noWrap w:val="0"/>
            <w:vAlign w:val="center"/>
          </w:tcPr>
          <w:p w14:paraId="0DDD4D74">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3.5.2</w:t>
            </w:r>
          </w:p>
        </w:tc>
        <w:tc>
          <w:tcPr>
            <w:tcW w:w="1692" w:type="dxa"/>
            <w:noWrap w:val="0"/>
            <w:vAlign w:val="center"/>
          </w:tcPr>
          <w:p w14:paraId="022B8DEC">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近年财务状况的年份要求</w:t>
            </w:r>
          </w:p>
        </w:tc>
        <w:tc>
          <w:tcPr>
            <w:tcW w:w="7050" w:type="dxa"/>
            <w:noWrap w:val="0"/>
            <w:vAlign w:val="center"/>
          </w:tcPr>
          <w:p w14:paraId="3C7AFD6A">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bCs/>
                <w:color w:val="auto"/>
                <w:sz w:val="24"/>
                <w:szCs w:val="24"/>
                <w:highlight w:val="none"/>
              </w:rPr>
            </w:pPr>
            <w:r>
              <w:rPr>
                <w:rFonts w:hint="eastAsia" w:ascii="宋体" w:hAnsi="宋体" w:cs="宋体"/>
                <w:i w:val="0"/>
                <w:iCs w:val="0"/>
                <w:color w:val="auto"/>
                <w:kern w:val="24"/>
                <w:sz w:val="24"/>
                <w:szCs w:val="24"/>
                <w:highlight w:val="none"/>
                <w:u w:val="none"/>
                <w:lang w:eastAsia="zh-CN"/>
              </w:rPr>
              <w:t>20</w:t>
            </w:r>
            <w:r>
              <w:rPr>
                <w:rFonts w:hint="eastAsia" w:ascii="宋体" w:hAnsi="宋体" w:cs="宋体"/>
                <w:i w:val="0"/>
                <w:iCs w:val="0"/>
                <w:color w:val="auto"/>
                <w:kern w:val="24"/>
                <w:sz w:val="24"/>
                <w:szCs w:val="24"/>
                <w:highlight w:val="none"/>
                <w:u w:val="none"/>
                <w:lang w:val="en-US" w:eastAsia="zh-CN"/>
              </w:rPr>
              <w:t>21</w:t>
            </w:r>
            <w:r>
              <w:rPr>
                <w:rFonts w:hint="eastAsia" w:ascii="宋体" w:hAnsi="宋体" w:eastAsia="宋体" w:cs="宋体"/>
                <w:i w:val="0"/>
                <w:iCs w:val="0"/>
                <w:color w:val="auto"/>
                <w:kern w:val="24"/>
                <w:sz w:val="24"/>
                <w:szCs w:val="24"/>
                <w:highlight w:val="none"/>
                <w:u w:val="none"/>
              </w:rPr>
              <w:t xml:space="preserve"> 年 1 月 1 日起至 </w:t>
            </w:r>
            <w:r>
              <w:rPr>
                <w:rFonts w:hint="eastAsia" w:ascii="宋体" w:hAnsi="宋体" w:cs="宋体"/>
                <w:i w:val="0"/>
                <w:iCs w:val="0"/>
                <w:color w:val="auto"/>
                <w:kern w:val="24"/>
                <w:sz w:val="24"/>
                <w:szCs w:val="24"/>
                <w:highlight w:val="none"/>
                <w:u w:val="none"/>
                <w:lang w:eastAsia="zh-CN"/>
              </w:rPr>
              <w:t>202</w:t>
            </w:r>
            <w:r>
              <w:rPr>
                <w:rFonts w:hint="eastAsia" w:ascii="宋体" w:hAnsi="宋体" w:cs="宋体"/>
                <w:i w:val="0"/>
                <w:iCs w:val="0"/>
                <w:color w:val="auto"/>
                <w:kern w:val="24"/>
                <w:sz w:val="24"/>
                <w:szCs w:val="24"/>
                <w:highlight w:val="none"/>
                <w:u w:val="none"/>
                <w:lang w:val="en-US" w:eastAsia="zh-CN"/>
              </w:rPr>
              <w:t>3</w:t>
            </w:r>
            <w:r>
              <w:rPr>
                <w:rFonts w:hint="eastAsia" w:ascii="宋体" w:hAnsi="宋体" w:eastAsia="宋体" w:cs="宋体"/>
                <w:i w:val="0"/>
                <w:iCs w:val="0"/>
                <w:color w:val="auto"/>
                <w:kern w:val="24"/>
                <w:sz w:val="24"/>
                <w:szCs w:val="24"/>
                <w:highlight w:val="none"/>
                <w:u w:val="none"/>
              </w:rPr>
              <w:t>年 12 月 31 日止。（</w:t>
            </w:r>
            <w:r>
              <w:rPr>
                <w:rFonts w:hint="eastAsia" w:ascii="宋体" w:hAnsi="宋体" w:cs="宋体"/>
                <w:i w:val="0"/>
                <w:iCs w:val="0"/>
                <w:color w:val="auto"/>
                <w:kern w:val="24"/>
                <w:sz w:val="24"/>
                <w:szCs w:val="24"/>
                <w:highlight w:val="none"/>
                <w:u w:val="none"/>
                <w:lang w:val="zh-CN"/>
              </w:rPr>
              <w:t>投标人</w:t>
            </w:r>
            <w:r>
              <w:rPr>
                <w:rFonts w:hint="eastAsia" w:ascii="宋体" w:hAnsi="宋体" w:eastAsia="宋体" w:cs="宋体"/>
                <w:i w:val="0"/>
                <w:iCs w:val="0"/>
                <w:color w:val="auto"/>
                <w:kern w:val="24"/>
                <w:sz w:val="24"/>
                <w:szCs w:val="24"/>
                <w:highlight w:val="none"/>
                <w:u w:val="none"/>
                <w:lang w:val="zh-CN"/>
              </w:rPr>
              <w:t>的成立时间少于规定年份的，应提供成立以来至</w:t>
            </w:r>
            <w:r>
              <w:rPr>
                <w:rFonts w:hint="eastAsia" w:ascii="宋体" w:hAnsi="宋体" w:cs="宋体"/>
                <w:i w:val="0"/>
                <w:iCs w:val="0"/>
                <w:color w:val="auto"/>
                <w:kern w:val="24"/>
                <w:sz w:val="24"/>
                <w:szCs w:val="24"/>
                <w:highlight w:val="none"/>
                <w:u w:val="none"/>
                <w:lang w:val="zh-CN"/>
              </w:rPr>
              <w:t>202</w:t>
            </w:r>
            <w:r>
              <w:rPr>
                <w:rFonts w:hint="eastAsia" w:ascii="宋体" w:hAnsi="宋体" w:cs="宋体"/>
                <w:i w:val="0"/>
                <w:iCs w:val="0"/>
                <w:color w:val="auto"/>
                <w:kern w:val="24"/>
                <w:sz w:val="24"/>
                <w:szCs w:val="24"/>
                <w:highlight w:val="none"/>
                <w:u w:val="none"/>
                <w:lang w:val="en-US" w:eastAsia="zh-CN"/>
              </w:rPr>
              <w:t>3</w:t>
            </w:r>
            <w:r>
              <w:rPr>
                <w:rFonts w:hint="eastAsia" w:ascii="宋体" w:hAnsi="宋体" w:eastAsia="宋体" w:cs="宋体"/>
                <w:i w:val="0"/>
                <w:iCs w:val="0"/>
                <w:color w:val="auto"/>
                <w:kern w:val="24"/>
                <w:sz w:val="24"/>
                <w:szCs w:val="24"/>
                <w:highlight w:val="none"/>
                <w:u w:val="none"/>
                <w:lang w:val="zh-CN"/>
              </w:rPr>
              <w:t>年</w:t>
            </w:r>
            <w:r>
              <w:rPr>
                <w:rFonts w:hint="eastAsia" w:ascii="宋体" w:hAnsi="宋体" w:cs="宋体"/>
                <w:i w:val="0"/>
                <w:iCs w:val="0"/>
                <w:color w:val="auto"/>
                <w:kern w:val="24"/>
                <w:sz w:val="24"/>
                <w:szCs w:val="24"/>
                <w:highlight w:val="none"/>
                <w:u w:val="none"/>
                <w:lang w:val="en-US" w:eastAsia="zh-CN"/>
              </w:rPr>
              <w:t>的</w:t>
            </w:r>
            <w:r>
              <w:rPr>
                <w:rFonts w:hint="eastAsia" w:ascii="宋体" w:hAnsi="宋体" w:eastAsia="宋体" w:cs="宋体"/>
                <w:i w:val="0"/>
                <w:iCs w:val="0"/>
                <w:color w:val="auto"/>
                <w:kern w:val="24"/>
                <w:sz w:val="24"/>
                <w:szCs w:val="24"/>
                <w:highlight w:val="none"/>
                <w:u w:val="none"/>
                <w:lang w:val="zh-CN"/>
              </w:rPr>
              <w:t>；</w:t>
            </w:r>
            <w:r>
              <w:rPr>
                <w:rFonts w:hint="eastAsia" w:ascii="宋体" w:hAnsi="宋体" w:cs="宋体"/>
                <w:i w:val="0"/>
                <w:iCs w:val="0"/>
                <w:color w:val="auto"/>
                <w:kern w:val="24"/>
                <w:sz w:val="24"/>
                <w:szCs w:val="24"/>
                <w:highlight w:val="none"/>
                <w:u w:val="none"/>
                <w:lang w:val="zh-CN"/>
              </w:rPr>
              <w:t>202</w:t>
            </w:r>
            <w:r>
              <w:rPr>
                <w:rFonts w:hint="eastAsia" w:ascii="宋体" w:hAnsi="宋体" w:cs="宋体"/>
                <w:i w:val="0"/>
                <w:iCs w:val="0"/>
                <w:color w:val="auto"/>
                <w:kern w:val="24"/>
                <w:sz w:val="24"/>
                <w:szCs w:val="24"/>
                <w:highlight w:val="none"/>
                <w:u w:val="none"/>
                <w:lang w:val="en-US" w:eastAsia="zh-CN"/>
              </w:rPr>
              <w:t>4</w:t>
            </w:r>
            <w:r>
              <w:rPr>
                <w:rFonts w:hint="eastAsia" w:ascii="宋体" w:hAnsi="宋体" w:eastAsia="宋体" w:cs="宋体"/>
                <w:i w:val="0"/>
                <w:iCs w:val="0"/>
                <w:color w:val="auto"/>
                <w:kern w:val="24"/>
                <w:sz w:val="24"/>
                <w:szCs w:val="24"/>
                <w:highlight w:val="none"/>
                <w:u w:val="none"/>
                <w:lang w:val="zh-CN"/>
              </w:rPr>
              <w:t>年新成立企业需提供当年银行出具的公司资信证明）。</w:t>
            </w:r>
          </w:p>
        </w:tc>
      </w:tr>
      <w:tr w14:paraId="13A179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222" w:type="dxa"/>
            <w:noWrap w:val="0"/>
            <w:vAlign w:val="center"/>
          </w:tcPr>
          <w:p w14:paraId="47086D31">
            <w:pPr>
              <w:keepNext w:val="0"/>
              <w:keepLines w:val="0"/>
              <w:pageBreakBefore w:val="0"/>
              <w:widowControl w:val="0"/>
              <w:kinsoku/>
              <w:wordWrap w:val="0"/>
              <w:overflowPunct/>
              <w:topLinePunct w:val="0"/>
              <w:autoSpaceDE/>
              <w:autoSpaceDN/>
              <w:bidi w:val="0"/>
              <w:adjustRightInd w:val="0"/>
              <w:snapToGrid w:val="0"/>
              <w:spacing w:line="440" w:lineRule="exact"/>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3.5.3</w:t>
            </w:r>
          </w:p>
        </w:tc>
        <w:tc>
          <w:tcPr>
            <w:tcW w:w="1692" w:type="dxa"/>
            <w:noWrap w:val="0"/>
            <w:vAlign w:val="center"/>
          </w:tcPr>
          <w:p w14:paraId="4759FECF">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近年发生的诉讼及仲裁情况的年份要求</w:t>
            </w:r>
          </w:p>
        </w:tc>
        <w:tc>
          <w:tcPr>
            <w:tcW w:w="7050" w:type="dxa"/>
            <w:noWrap w:val="0"/>
            <w:vAlign w:val="center"/>
          </w:tcPr>
          <w:p w14:paraId="5EFEEC31">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sz w:val="24"/>
                <w:szCs w:val="24"/>
                <w:highlight w:val="none"/>
                <w:lang w:eastAsia="zh-CN"/>
              </w:rPr>
              <w:t>20</w:t>
            </w:r>
            <w:r>
              <w:rPr>
                <w:rFonts w:hint="eastAsia" w:ascii="宋体" w:hAnsi="宋体" w:eastAsia="宋体" w:cs="宋体"/>
                <w:bCs/>
                <w:color w:val="auto"/>
                <w:sz w:val="24"/>
                <w:szCs w:val="24"/>
                <w:highlight w:val="none"/>
                <w:lang w:val="en-US" w:eastAsia="zh-CN"/>
              </w:rPr>
              <w:t>2</w:t>
            </w:r>
            <w:r>
              <w:rPr>
                <w:rFonts w:hint="eastAsia" w:ascii="宋体" w:hAnsi="宋体" w:cs="宋体"/>
                <w:bCs/>
                <w:color w:val="auto"/>
                <w:sz w:val="24"/>
                <w:szCs w:val="24"/>
                <w:highlight w:val="none"/>
                <w:lang w:val="en-US" w:eastAsia="zh-CN"/>
              </w:rPr>
              <w:t>1</w:t>
            </w:r>
            <w:r>
              <w:rPr>
                <w:rFonts w:hint="eastAsia" w:ascii="宋体" w:hAnsi="宋体" w:eastAsia="宋体" w:cs="宋体"/>
                <w:bCs/>
                <w:color w:val="auto"/>
                <w:sz w:val="24"/>
                <w:szCs w:val="24"/>
                <w:highlight w:val="none"/>
              </w:rPr>
              <w:t>年1月1日至招标公告发布之日止。</w:t>
            </w:r>
          </w:p>
        </w:tc>
      </w:tr>
      <w:tr w14:paraId="4B388D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222" w:type="dxa"/>
            <w:noWrap w:val="0"/>
            <w:vAlign w:val="center"/>
          </w:tcPr>
          <w:p w14:paraId="08123750">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3.6.1</w:t>
            </w:r>
          </w:p>
        </w:tc>
        <w:tc>
          <w:tcPr>
            <w:tcW w:w="1692" w:type="dxa"/>
            <w:noWrap w:val="0"/>
            <w:vAlign w:val="center"/>
          </w:tcPr>
          <w:p w14:paraId="56A10F74">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是否允许递交备选投标方案</w:t>
            </w:r>
          </w:p>
        </w:tc>
        <w:tc>
          <w:tcPr>
            <w:tcW w:w="7050" w:type="dxa"/>
            <w:noWrap w:val="0"/>
            <w:vAlign w:val="center"/>
          </w:tcPr>
          <w:p w14:paraId="19B0CF1A">
            <w:pPr>
              <w:keepNext w:val="0"/>
              <w:keepLines w:val="0"/>
              <w:pageBreakBefore w:val="0"/>
              <w:widowControl w:val="0"/>
              <w:kinsoku/>
              <w:wordWrap w:val="0"/>
              <w:overflowPunct/>
              <w:topLinePunct w:val="0"/>
              <w:autoSpaceDE/>
              <w:autoSpaceDN/>
              <w:bidi w:val="0"/>
              <w:adjustRightInd w:val="0"/>
              <w:spacing w:line="400" w:lineRule="exact"/>
              <w:textAlignment w:val="auto"/>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fldChar w:fldCharType="begin"/>
            </w:r>
            <w:r>
              <w:rPr>
                <w:rFonts w:hint="eastAsia" w:ascii="宋体" w:hAnsi="宋体" w:eastAsia="宋体" w:cs="宋体"/>
                <w:bCs/>
                <w:color w:val="auto"/>
                <w:sz w:val="24"/>
                <w:highlight w:val="none"/>
                <w:lang w:val="zh-CN"/>
              </w:rPr>
              <w:instrText xml:space="preserve">eq \o\ac(□,√)</w:instrText>
            </w:r>
            <w:r>
              <w:rPr>
                <w:rFonts w:hint="eastAsia" w:ascii="宋体" w:hAnsi="宋体" w:eastAsia="宋体" w:cs="宋体"/>
                <w:bCs/>
                <w:color w:val="auto"/>
                <w:sz w:val="24"/>
                <w:highlight w:val="none"/>
                <w:lang w:val="zh-CN"/>
              </w:rPr>
              <w:fldChar w:fldCharType="end"/>
            </w:r>
            <w:r>
              <w:rPr>
                <w:rFonts w:hint="eastAsia" w:ascii="宋体" w:hAnsi="宋体" w:eastAsia="宋体" w:cs="宋体"/>
                <w:bCs/>
                <w:color w:val="auto"/>
                <w:sz w:val="24"/>
                <w:highlight w:val="none"/>
                <w:lang w:val="zh-CN"/>
              </w:rPr>
              <w:t>不允许</w:t>
            </w:r>
          </w:p>
          <w:p w14:paraId="0B044EB4">
            <w:pPr>
              <w:keepNext w:val="0"/>
              <w:keepLines w:val="0"/>
              <w:pageBreakBefore w:val="0"/>
              <w:widowControl w:val="0"/>
              <w:kinsoku/>
              <w:wordWrap w:val="0"/>
              <w:overflowPunct/>
              <w:topLinePunct w:val="0"/>
              <w:autoSpaceDE/>
              <w:autoSpaceDN/>
              <w:bidi w:val="0"/>
              <w:adjustRightInd w:val="0"/>
              <w:spacing w:line="440" w:lineRule="exact"/>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highlight w:val="none"/>
              </w:rPr>
              <w:t>□</w:t>
            </w:r>
            <w:r>
              <w:rPr>
                <w:rFonts w:hint="eastAsia" w:ascii="宋体" w:hAnsi="宋体" w:eastAsia="宋体" w:cs="宋体"/>
                <w:bCs/>
                <w:color w:val="auto"/>
                <w:sz w:val="24"/>
                <w:highlight w:val="none"/>
                <w:lang w:val="zh-CN"/>
              </w:rPr>
              <w:t>允许</w:t>
            </w:r>
          </w:p>
        </w:tc>
      </w:tr>
      <w:tr w14:paraId="68EBD3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222" w:type="dxa"/>
            <w:noWrap w:val="0"/>
            <w:vAlign w:val="center"/>
          </w:tcPr>
          <w:p w14:paraId="5D142BCD">
            <w:pPr>
              <w:keepNext w:val="0"/>
              <w:keepLines w:val="0"/>
              <w:pageBreakBefore w:val="0"/>
              <w:widowControl w:val="0"/>
              <w:kinsoku/>
              <w:wordWrap w:val="0"/>
              <w:overflowPunct/>
              <w:topLinePunct w:val="0"/>
              <w:autoSpaceDE/>
              <w:autoSpaceDN/>
              <w:bidi w:val="0"/>
              <w:adjustRightInd w:val="0"/>
              <w:spacing w:line="36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highlight w:val="none"/>
                <w:lang w:val="zh-CN"/>
              </w:rPr>
              <w:t>3.7.3（</w:t>
            </w:r>
            <w:r>
              <w:rPr>
                <w:rFonts w:hint="eastAsia" w:ascii="宋体" w:hAnsi="宋体" w:eastAsia="宋体" w:cs="宋体"/>
                <w:bCs/>
                <w:color w:val="auto"/>
                <w:sz w:val="24"/>
                <w:highlight w:val="none"/>
              </w:rPr>
              <w:t>3</w:t>
            </w:r>
            <w:r>
              <w:rPr>
                <w:rFonts w:hint="eastAsia" w:ascii="宋体" w:hAnsi="宋体" w:eastAsia="宋体" w:cs="宋体"/>
                <w:bCs/>
                <w:color w:val="auto"/>
                <w:sz w:val="24"/>
                <w:highlight w:val="none"/>
                <w:lang w:val="zh-CN"/>
              </w:rPr>
              <w:t>）</w:t>
            </w:r>
          </w:p>
        </w:tc>
        <w:tc>
          <w:tcPr>
            <w:tcW w:w="1692" w:type="dxa"/>
            <w:noWrap w:val="0"/>
            <w:vAlign w:val="center"/>
          </w:tcPr>
          <w:p w14:paraId="52269F4F">
            <w:pPr>
              <w:keepNext w:val="0"/>
              <w:keepLines w:val="0"/>
              <w:pageBreakBefore w:val="0"/>
              <w:widowControl w:val="0"/>
              <w:kinsoku/>
              <w:wordWrap w:val="0"/>
              <w:overflowPunct/>
              <w:topLinePunct w:val="0"/>
              <w:autoSpaceDE/>
              <w:autoSpaceDN/>
              <w:bidi w:val="0"/>
              <w:adjustRightInd w:val="0"/>
              <w:spacing w:line="36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highlight w:val="none"/>
                <w:lang w:val="zh-CN"/>
              </w:rPr>
              <w:t>投标文件是否需要分册装订</w:t>
            </w:r>
          </w:p>
        </w:tc>
        <w:tc>
          <w:tcPr>
            <w:tcW w:w="7050" w:type="dxa"/>
            <w:noWrap w:val="0"/>
            <w:vAlign w:val="center"/>
          </w:tcPr>
          <w:p w14:paraId="7323A895">
            <w:pPr>
              <w:keepNext w:val="0"/>
              <w:keepLines w:val="0"/>
              <w:pageBreakBefore w:val="0"/>
              <w:widowControl w:val="0"/>
              <w:kinsoku/>
              <w:wordWrap w:val="0"/>
              <w:overflowPunct/>
              <w:topLinePunct w:val="0"/>
              <w:autoSpaceDE/>
              <w:autoSpaceDN/>
              <w:bidi w:val="0"/>
              <w:adjustRightInd w:val="0"/>
              <w:spacing w:line="360" w:lineRule="exact"/>
              <w:textAlignment w:val="auto"/>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rPr>
              <w:t>□</w:t>
            </w:r>
            <w:r>
              <w:rPr>
                <w:rFonts w:hint="eastAsia" w:ascii="宋体" w:hAnsi="宋体" w:eastAsia="宋体" w:cs="宋体"/>
                <w:bCs/>
                <w:color w:val="auto"/>
                <w:sz w:val="24"/>
                <w:highlight w:val="none"/>
                <w:lang w:val="zh-CN"/>
              </w:rPr>
              <w:t>是</w:t>
            </w:r>
          </w:p>
          <w:p w14:paraId="2059F50E">
            <w:pPr>
              <w:keepNext w:val="0"/>
              <w:keepLines w:val="0"/>
              <w:pageBreakBefore w:val="0"/>
              <w:widowControl w:val="0"/>
              <w:kinsoku/>
              <w:wordWrap w:val="0"/>
              <w:overflowPunct/>
              <w:topLinePunct w:val="0"/>
              <w:autoSpaceDE/>
              <w:autoSpaceDN/>
              <w:bidi w:val="0"/>
              <w:adjustRightInd w:val="0"/>
              <w:spacing w:line="360" w:lineRule="exact"/>
              <w:textAlignment w:val="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lang w:val="zh-CN"/>
              </w:rPr>
              <w:fldChar w:fldCharType="begin"/>
            </w:r>
            <w:r>
              <w:rPr>
                <w:rFonts w:hint="eastAsia" w:ascii="宋体" w:hAnsi="宋体" w:eastAsia="宋体" w:cs="宋体"/>
                <w:bCs/>
                <w:color w:val="auto"/>
                <w:sz w:val="24"/>
                <w:highlight w:val="none"/>
                <w:lang w:val="zh-CN"/>
              </w:rPr>
              <w:instrText xml:space="preserve">eq \o\ac(□,√)</w:instrText>
            </w:r>
            <w:r>
              <w:rPr>
                <w:rFonts w:hint="eastAsia" w:ascii="宋体" w:hAnsi="宋体" w:eastAsia="宋体" w:cs="宋体"/>
                <w:bCs/>
                <w:color w:val="auto"/>
                <w:sz w:val="24"/>
                <w:highlight w:val="none"/>
                <w:lang w:val="zh-CN"/>
              </w:rPr>
              <w:fldChar w:fldCharType="end"/>
            </w:r>
            <w:r>
              <w:rPr>
                <w:rFonts w:hint="eastAsia" w:ascii="宋体" w:hAnsi="宋体" w:eastAsia="宋体" w:cs="宋体"/>
                <w:bCs/>
                <w:color w:val="auto"/>
                <w:sz w:val="24"/>
                <w:highlight w:val="none"/>
                <w:lang w:val="zh-CN"/>
              </w:rPr>
              <w:t>否</w:t>
            </w:r>
          </w:p>
        </w:tc>
      </w:tr>
      <w:tr w14:paraId="303B3C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222" w:type="dxa"/>
            <w:noWrap w:val="0"/>
            <w:vAlign w:val="center"/>
          </w:tcPr>
          <w:p w14:paraId="7F801AF5">
            <w:pPr>
              <w:keepNext w:val="0"/>
              <w:keepLines w:val="0"/>
              <w:pageBreakBefore w:val="0"/>
              <w:widowControl w:val="0"/>
              <w:kinsoku/>
              <w:wordWrap w:val="0"/>
              <w:overflowPunct/>
              <w:topLinePunct w:val="0"/>
              <w:autoSpaceDE/>
              <w:autoSpaceDN/>
              <w:bidi w:val="0"/>
              <w:adjustRightInd w:val="0"/>
              <w:spacing w:line="36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highlight w:val="none"/>
                <w:lang w:val="zh-CN"/>
              </w:rPr>
              <w:t>3.7.3（</w:t>
            </w:r>
            <w:r>
              <w:rPr>
                <w:rFonts w:hint="eastAsia" w:ascii="宋体" w:hAnsi="宋体" w:eastAsia="宋体" w:cs="宋体"/>
                <w:bCs/>
                <w:color w:val="auto"/>
                <w:sz w:val="24"/>
                <w:highlight w:val="none"/>
              </w:rPr>
              <w:t>4</w:t>
            </w:r>
            <w:r>
              <w:rPr>
                <w:rFonts w:hint="eastAsia" w:ascii="宋体" w:hAnsi="宋体" w:eastAsia="宋体" w:cs="宋体"/>
                <w:bCs/>
                <w:color w:val="auto"/>
                <w:sz w:val="24"/>
                <w:highlight w:val="none"/>
                <w:lang w:val="zh-CN"/>
              </w:rPr>
              <w:t>）</w:t>
            </w:r>
          </w:p>
        </w:tc>
        <w:tc>
          <w:tcPr>
            <w:tcW w:w="1692" w:type="dxa"/>
            <w:noWrap w:val="0"/>
            <w:vAlign w:val="center"/>
          </w:tcPr>
          <w:p w14:paraId="00BA2024">
            <w:pPr>
              <w:keepNext w:val="0"/>
              <w:keepLines w:val="0"/>
              <w:pageBreakBefore w:val="0"/>
              <w:widowControl w:val="0"/>
              <w:kinsoku/>
              <w:wordWrap w:val="0"/>
              <w:overflowPunct/>
              <w:topLinePunct w:val="0"/>
              <w:autoSpaceDE/>
              <w:autoSpaceDN/>
              <w:bidi w:val="0"/>
              <w:adjustRightInd w:val="0"/>
              <w:spacing w:line="36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highlight w:val="none"/>
                <w:lang w:val="zh-CN"/>
              </w:rPr>
              <w:t>投标文件的补充递交</w:t>
            </w:r>
          </w:p>
        </w:tc>
        <w:tc>
          <w:tcPr>
            <w:tcW w:w="7050" w:type="dxa"/>
            <w:noWrap w:val="0"/>
            <w:vAlign w:val="center"/>
          </w:tcPr>
          <w:p w14:paraId="0B434B2E">
            <w:pPr>
              <w:keepNext w:val="0"/>
              <w:keepLines w:val="0"/>
              <w:pageBreakBefore w:val="0"/>
              <w:widowControl w:val="0"/>
              <w:kinsoku/>
              <w:wordWrap w:val="0"/>
              <w:overflowPunct/>
              <w:topLinePunct w:val="0"/>
              <w:autoSpaceDE/>
              <w:autoSpaceDN/>
              <w:bidi w:val="0"/>
              <w:adjustRightInd w:val="0"/>
              <w:spacing w:line="360" w:lineRule="exact"/>
              <w:textAlignment w:val="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lang w:val="zh-CN"/>
              </w:rPr>
              <w:t>中标单位需在中标通知书领取之前到采购代理机构提交纸质版投标文件</w:t>
            </w:r>
            <w:r>
              <w:rPr>
                <w:rFonts w:hint="eastAsia" w:ascii="宋体" w:hAnsi="宋体" w:cs="宋体"/>
                <w:bCs/>
                <w:color w:val="auto"/>
                <w:sz w:val="24"/>
                <w:highlight w:val="none"/>
                <w:lang w:val="en-US" w:eastAsia="zh-CN"/>
              </w:rPr>
              <w:t>正本1份、</w:t>
            </w:r>
            <w:r>
              <w:rPr>
                <w:rFonts w:hint="eastAsia" w:ascii="宋体" w:hAnsi="宋体" w:eastAsia="宋体" w:cs="宋体"/>
                <w:bCs/>
                <w:color w:val="auto"/>
                <w:sz w:val="24"/>
                <w:highlight w:val="none"/>
                <w:lang w:val="zh-CN"/>
              </w:rPr>
              <w:t>副本</w:t>
            </w:r>
            <w:r>
              <w:rPr>
                <w:rFonts w:hint="eastAsia" w:ascii="宋体" w:hAnsi="宋体" w:cs="宋体"/>
                <w:bCs/>
                <w:color w:val="auto"/>
                <w:sz w:val="24"/>
                <w:highlight w:val="none"/>
                <w:lang w:val="en-US" w:eastAsia="zh-CN"/>
              </w:rPr>
              <w:t>4份</w:t>
            </w:r>
            <w:r>
              <w:rPr>
                <w:rFonts w:hint="eastAsia" w:ascii="宋体" w:hAnsi="宋体" w:eastAsia="宋体" w:cs="宋体"/>
                <w:bCs/>
                <w:color w:val="auto"/>
                <w:sz w:val="24"/>
                <w:highlight w:val="none"/>
                <w:lang w:val="zh-CN"/>
              </w:rPr>
              <w:t>（中标单位提交的纸质版投标文件副本，必须与上传的电子投标文件以及开标截止时间前递交的纸质版投标文件正本相同，装订要整齐、牢固、采用左侧纵向无线胶订机胶订，编制目录及页码，使用标准的宋体字、A4纸打印胶装装订成册），否则视为放弃中标。</w:t>
            </w:r>
          </w:p>
        </w:tc>
      </w:tr>
      <w:tr w14:paraId="6BB65F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222" w:type="dxa"/>
            <w:noWrap w:val="0"/>
            <w:vAlign w:val="center"/>
          </w:tcPr>
          <w:p w14:paraId="4BA68A22">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3.7.</w:t>
            </w:r>
            <w:r>
              <w:rPr>
                <w:rFonts w:hint="eastAsia" w:ascii="宋体" w:hAnsi="宋体" w:eastAsia="宋体" w:cs="宋体"/>
                <w:bCs/>
                <w:color w:val="auto"/>
                <w:sz w:val="24"/>
                <w:szCs w:val="24"/>
                <w:highlight w:val="none"/>
              </w:rPr>
              <w:t>4</w:t>
            </w:r>
          </w:p>
        </w:tc>
        <w:tc>
          <w:tcPr>
            <w:tcW w:w="1692" w:type="dxa"/>
            <w:noWrap w:val="0"/>
            <w:vAlign w:val="center"/>
          </w:tcPr>
          <w:p w14:paraId="6E1908DE">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投标文件上传</w:t>
            </w:r>
          </w:p>
        </w:tc>
        <w:tc>
          <w:tcPr>
            <w:tcW w:w="7050" w:type="dxa"/>
            <w:noWrap w:val="0"/>
            <w:vAlign w:val="center"/>
          </w:tcPr>
          <w:p w14:paraId="372D81AF">
            <w:pPr>
              <w:keepNext w:val="0"/>
              <w:keepLines w:val="0"/>
              <w:pageBreakBefore w:val="0"/>
              <w:widowControl w:val="0"/>
              <w:kinsoku/>
              <w:wordWrap w:val="0"/>
              <w:overflowPunct/>
              <w:topLinePunct w:val="0"/>
              <w:autoSpaceDE/>
              <w:autoSpaceDN/>
              <w:bidi w:val="0"/>
              <w:adjustRightInd w:val="0"/>
              <w:spacing w:line="440" w:lineRule="exact"/>
              <w:textAlignment w:val="auto"/>
              <w:rPr>
                <w:rFonts w:hint="eastAsia" w:ascii="宋体" w:hAnsi="宋体" w:eastAsia="宋体" w:cs="宋体"/>
                <w:bCs/>
                <w:color w:val="auto"/>
                <w:kern w:val="15"/>
                <w:sz w:val="24"/>
                <w:szCs w:val="24"/>
                <w:highlight w:val="none"/>
              </w:rPr>
            </w:pPr>
            <w:r>
              <w:rPr>
                <w:rFonts w:hint="eastAsia" w:ascii="宋体" w:hAnsi="宋体" w:eastAsia="宋体" w:cs="宋体"/>
                <w:bCs/>
                <w:color w:val="auto"/>
                <w:kern w:val="15"/>
                <w:sz w:val="24"/>
                <w:szCs w:val="24"/>
                <w:highlight w:val="none"/>
                <w:lang w:eastAsia="zh-CN"/>
              </w:rPr>
              <w:t>供应商</w:t>
            </w:r>
            <w:r>
              <w:rPr>
                <w:rFonts w:hint="eastAsia" w:ascii="宋体" w:hAnsi="宋体" w:eastAsia="宋体" w:cs="宋体"/>
                <w:bCs/>
                <w:color w:val="auto"/>
                <w:kern w:val="15"/>
                <w:sz w:val="24"/>
                <w:szCs w:val="24"/>
                <w:highlight w:val="none"/>
              </w:rPr>
              <w:t>需在开标前将投标文件制作工具生成的加密文件上传到</w:t>
            </w:r>
            <w:r>
              <w:rPr>
                <w:rFonts w:hint="eastAsia" w:ascii="宋体" w:hAnsi="宋体" w:cs="宋体"/>
                <w:bCs/>
                <w:color w:val="auto"/>
                <w:sz w:val="24"/>
                <w:szCs w:val="24"/>
                <w:highlight w:val="none"/>
              </w:rPr>
              <w:t>政府采购云平台（网址：http://www.zcygov.cn）</w:t>
            </w:r>
            <w:r>
              <w:rPr>
                <w:rFonts w:hint="eastAsia" w:ascii="宋体" w:hAnsi="宋体" w:eastAsia="宋体" w:cs="宋体"/>
                <w:bCs/>
                <w:color w:val="auto"/>
                <w:kern w:val="15"/>
                <w:sz w:val="24"/>
                <w:szCs w:val="24"/>
                <w:highlight w:val="none"/>
              </w:rPr>
              <w:t>。</w:t>
            </w:r>
          </w:p>
        </w:tc>
      </w:tr>
      <w:tr w14:paraId="124E06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222" w:type="dxa"/>
            <w:noWrap w:val="0"/>
            <w:vAlign w:val="center"/>
          </w:tcPr>
          <w:p w14:paraId="079676BD">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4.2.1</w:t>
            </w:r>
          </w:p>
        </w:tc>
        <w:tc>
          <w:tcPr>
            <w:tcW w:w="1692" w:type="dxa"/>
            <w:noWrap w:val="0"/>
            <w:vAlign w:val="center"/>
          </w:tcPr>
          <w:p w14:paraId="00C46983">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供应商上传提交投标文件的截止时间(开标时间）</w:t>
            </w:r>
          </w:p>
        </w:tc>
        <w:tc>
          <w:tcPr>
            <w:tcW w:w="7050" w:type="dxa"/>
            <w:noWrap w:val="0"/>
            <w:vAlign w:val="center"/>
          </w:tcPr>
          <w:p w14:paraId="5A38C609">
            <w:pPr>
              <w:keepNext w:val="0"/>
              <w:keepLines w:val="0"/>
              <w:pageBreakBefore w:val="0"/>
              <w:widowControl w:val="0"/>
              <w:kinsoku/>
              <w:wordWrap w:val="0"/>
              <w:overflowPunct/>
              <w:topLinePunct w:val="0"/>
              <w:autoSpaceDE/>
              <w:autoSpaceDN/>
              <w:bidi w:val="0"/>
              <w:adjustRightInd w:val="0"/>
              <w:spacing w:line="440" w:lineRule="exact"/>
              <w:textAlignment w:val="auto"/>
              <w:rPr>
                <w:rFonts w:hint="eastAsia" w:ascii="宋体" w:hAnsi="宋体" w:eastAsia="宋体" w:cs="宋体"/>
                <w:bCs/>
                <w:color w:val="auto"/>
                <w:sz w:val="24"/>
                <w:szCs w:val="24"/>
                <w:highlight w:val="none"/>
              </w:rPr>
            </w:pPr>
            <w:r>
              <w:rPr>
                <w:rFonts w:hint="eastAsia" w:ascii="宋体" w:hAnsi="宋体" w:cs="宋体"/>
                <w:bCs/>
                <w:color w:val="auto"/>
                <w:sz w:val="24"/>
                <w:szCs w:val="24"/>
                <w:highlight w:val="none"/>
                <w:lang w:eastAsia="zh-CN"/>
              </w:rPr>
              <w:t>2024年11月11日9时00分（北京时间）</w:t>
            </w:r>
          </w:p>
        </w:tc>
      </w:tr>
      <w:tr w14:paraId="51E2F7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222" w:type="dxa"/>
            <w:noWrap w:val="0"/>
            <w:vAlign w:val="center"/>
          </w:tcPr>
          <w:p w14:paraId="2F5814A4">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4.</w:t>
            </w:r>
            <w:r>
              <w:rPr>
                <w:rFonts w:hint="eastAsia" w:ascii="宋体" w:hAnsi="宋体" w:eastAsia="宋体" w:cs="宋体"/>
                <w:bCs/>
                <w:color w:val="auto"/>
                <w:sz w:val="24"/>
                <w:szCs w:val="24"/>
                <w:highlight w:val="none"/>
              </w:rPr>
              <w:t>2</w:t>
            </w:r>
            <w:r>
              <w:rPr>
                <w:rFonts w:hint="eastAsia" w:ascii="宋体" w:hAnsi="宋体" w:eastAsia="宋体" w:cs="宋体"/>
                <w:bCs/>
                <w:color w:val="auto"/>
                <w:sz w:val="24"/>
                <w:szCs w:val="24"/>
                <w:highlight w:val="none"/>
                <w:lang w:val="zh-CN"/>
              </w:rPr>
              <w:t>.2</w:t>
            </w:r>
          </w:p>
        </w:tc>
        <w:tc>
          <w:tcPr>
            <w:tcW w:w="1692" w:type="dxa"/>
            <w:noWrap w:val="0"/>
            <w:vAlign w:val="center"/>
          </w:tcPr>
          <w:p w14:paraId="2ECE5C47">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供应商上传提交投标文件的平台</w:t>
            </w:r>
          </w:p>
        </w:tc>
        <w:tc>
          <w:tcPr>
            <w:tcW w:w="7050" w:type="dxa"/>
            <w:noWrap w:val="0"/>
            <w:vAlign w:val="top"/>
          </w:tcPr>
          <w:p w14:paraId="365768B6">
            <w:pPr>
              <w:keepNext w:val="0"/>
              <w:keepLines w:val="0"/>
              <w:pageBreakBefore w:val="0"/>
              <w:widowControl w:val="0"/>
              <w:kinsoku/>
              <w:wordWrap w:val="0"/>
              <w:overflowPunct/>
              <w:topLinePunct w:val="0"/>
              <w:autoSpaceDE/>
              <w:autoSpaceDN/>
              <w:bidi w:val="0"/>
              <w:adjustRightInd w:val="0"/>
              <w:spacing w:line="440" w:lineRule="exact"/>
              <w:textAlignment w:val="auto"/>
              <w:rPr>
                <w:rFonts w:hint="eastAsia" w:ascii="宋体" w:hAnsi="宋体" w:eastAsia="宋体" w:cs="宋体"/>
                <w:bCs/>
                <w:color w:val="auto"/>
                <w:sz w:val="24"/>
                <w:szCs w:val="24"/>
                <w:highlight w:val="none"/>
              </w:rPr>
            </w:pPr>
            <w:r>
              <w:rPr>
                <w:rFonts w:hint="eastAsia" w:ascii="宋体" w:hAnsi="宋体" w:cs="宋体"/>
                <w:bCs/>
                <w:color w:val="auto"/>
                <w:sz w:val="24"/>
                <w:szCs w:val="24"/>
                <w:highlight w:val="none"/>
              </w:rPr>
              <w:t>本项目执行电子化招投标，供应商须通过政府采购云平台（网址：http://www.zcygov.cn）递交电子版</w:t>
            </w:r>
            <w:r>
              <w:rPr>
                <w:rFonts w:hint="eastAsia" w:ascii="宋体" w:hAnsi="宋体" w:cs="宋体"/>
                <w:bCs/>
                <w:color w:val="auto"/>
                <w:sz w:val="24"/>
                <w:szCs w:val="24"/>
                <w:highlight w:val="none"/>
                <w:lang w:val="en-US" w:eastAsia="zh-CN"/>
              </w:rPr>
              <w:t>投标</w:t>
            </w:r>
            <w:r>
              <w:rPr>
                <w:rFonts w:hint="eastAsia" w:ascii="宋体" w:hAnsi="宋体" w:cs="宋体"/>
                <w:bCs/>
                <w:color w:val="auto"/>
                <w:sz w:val="24"/>
                <w:szCs w:val="24"/>
                <w:highlight w:val="none"/>
              </w:rPr>
              <w:t>文件</w:t>
            </w:r>
            <w:r>
              <w:rPr>
                <w:rFonts w:hint="eastAsia" w:ascii="宋体" w:hAnsi="宋体" w:cs="宋体"/>
                <w:bCs/>
                <w:color w:val="auto"/>
                <w:sz w:val="24"/>
                <w:szCs w:val="24"/>
                <w:highlight w:val="none"/>
                <w:lang w:eastAsia="zh-CN"/>
              </w:rPr>
              <w:t>。</w:t>
            </w:r>
          </w:p>
        </w:tc>
      </w:tr>
      <w:tr w14:paraId="593F5B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222" w:type="dxa"/>
            <w:noWrap w:val="0"/>
            <w:vAlign w:val="center"/>
          </w:tcPr>
          <w:p w14:paraId="72BAC9EE">
            <w:pPr>
              <w:keepNext w:val="0"/>
              <w:keepLines w:val="0"/>
              <w:pageBreakBefore w:val="0"/>
              <w:widowControl w:val="0"/>
              <w:kinsoku/>
              <w:wordWrap w:val="0"/>
              <w:overflowPunct/>
              <w:topLinePunct w:val="0"/>
              <w:autoSpaceDE/>
              <w:autoSpaceDN/>
              <w:bidi w:val="0"/>
              <w:adjustRightInd w:val="0"/>
              <w:spacing w:line="36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highlight w:val="none"/>
                <w:lang w:val="zh-CN"/>
              </w:rPr>
              <w:t>4.2.3</w:t>
            </w:r>
          </w:p>
        </w:tc>
        <w:tc>
          <w:tcPr>
            <w:tcW w:w="1692" w:type="dxa"/>
            <w:noWrap w:val="0"/>
            <w:vAlign w:val="center"/>
          </w:tcPr>
          <w:p w14:paraId="768C3D38">
            <w:pPr>
              <w:keepNext w:val="0"/>
              <w:keepLines w:val="0"/>
              <w:pageBreakBefore w:val="0"/>
              <w:widowControl w:val="0"/>
              <w:kinsoku/>
              <w:wordWrap w:val="0"/>
              <w:overflowPunct/>
              <w:topLinePunct w:val="0"/>
              <w:autoSpaceDE/>
              <w:autoSpaceDN/>
              <w:bidi w:val="0"/>
              <w:adjustRightInd w:val="0"/>
              <w:spacing w:line="36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highlight w:val="none"/>
              </w:rPr>
              <w:t>投标文件是否退还</w:t>
            </w:r>
          </w:p>
        </w:tc>
        <w:tc>
          <w:tcPr>
            <w:tcW w:w="7050" w:type="dxa"/>
            <w:noWrap w:val="0"/>
            <w:vAlign w:val="center"/>
          </w:tcPr>
          <w:p w14:paraId="3CD260F0">
            <w:pPr>
              <w:keepNext w:val="0"/>
              <w:keepLines w:val="0"/>
              <w:pageBreakBefore w:val="0"/>
              <w:widowControl w:val="0"/>
              <w:kinsoku/>
              <w:wordWrap w:val="0"/>
              <w:overflowPunct/>
              <w:topLinePunct w:val="0"/>
              <w:autoSpaceDE/>
              <w:autoSpaceDN/>
              <w:bidi w:val="0"/>
              <w:adjustRightInd w:val="0"/>
              <w:spacing w:line="360" w:lineRule="exact"/>
              <w:textAlignment w:val="auto"/>
              <w:rPr>
                <w:rFonts w:hint="eastAsia" w:ascii="宋体" w:hAnsi="宋体" w:eastAsia="宋体" w:cs="宋体"/>
                <w:bCs/>
                <w:color w:val="auto"/>
                <w:kern w:val="0"/>
                <w:sz w:val="24"/>
                <w:highlight w:val="none"/>
                <w:lang w:val="zh-CN"/>
              </w:rPr>
            </w:pPr>
            <w:r>
              <w:rPr>
                <w:rFonts w:hint="eastAsia" w:ascii="宋体" w:hAnsi="宋体" w:eastAsia="宋体" w:cs="宋体"/>
                <w:bCs/>
                <w:color w:val="auto"/>
                <w:sz w:val="24"/>
                <w:highlight w:val="none"/>
              </w:rPr>
              <w:t>□</w:t>
            </w:r>
            <w:r>
              <w:rPr>
                <w:rFonts w:hint="eastAsia" w:ascii="宋体" w:hAnsi="宋体" w:eastAsia="宋体" w:cs="宋体"/>
                <w:bCs/>
                <w:color w:val="auto"/>
                <w:kern w:val="0"/>
                <w:sz w:val="24"/>
                <w:highlight w:val="none"/>
                <w:lang w:val="zh-CN"/>
              </w:rPr>
              <w:t>是</w:t>
            </w:r>
          </w:p>
          <w:p w14:paraId="760FFA7A">
            <w:pPr>
              <w:keepNext w:val="0"/>
              <w:keepLines w:val="0"/>
              <w:pageBreakBefore w:val="0"/>
              <w:widowControl w:val="0"/>
              <w:kinsoku/>
              <w:wordWrap w:val="0"/>
              <w:overflowPunct/>
              <w:topLinePunct w:val="0"/>
              <w:autoSpaceDE/>
              <w:autoSpaceDN/>
              <w:bidi w:val="0"/>
              <w:adjustRightInd w:val="0"/>
              <w:spacing w:line="360" w:lineRule="exac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kern w:val="0"/>
                <w:sz w:val="24"/>
                <w:highlight w:val="none"/>
                <w:lang w:val="zh-CN"/>
              </w:rPr>
              <w:fldChar w:fldCharType="begin"/>
            </w:r>
            <w:r>
              <w:rPr>
                <w:rFonts w:hint="eastAsia" w:ascii="宋体" w:hAnsi="宋体" w:eastAsia="宋体" w:cs="宋体"/>
                <w:bCs/>
                <w:color w:val="auto"/>
                <w:kern w:val="0"/>
                <w:sz w:val="24"/>
                <w:highlight w:val="none"/>
                <w:lang w:val="zh-CN"/>
              </w:rPr>
              <w:instrText xml:space="preserve">eq \o\ac(□,√)</w:instrText>
            </w:r>
            <w:r>
              <w:rPr>
                <w:rFonts w:hint="eastAsia" w:ascii="宋体" w:hAnsi="宋体" w:eastAsia="宋体" w:cs="宋体"/>
                <w:bCs/>
                <w:color w:val="auto"/>
                <w:kern w:val="0"/>
                <w:sz w:val="24"/>
                <w:highlight w:val="none"/>
                <w:lang w:val="zh-CN"/>
              </w:rPr>
              <w:fldChar w:fldCharType="end"/>
            </w:r>
            <w:r>
              <w:rPr>
                <w:rFonts w:hint="eastAsia" w:ascii="宋体" w:hAnsi="宋体" w:eastAsia="宋体" w:cs="宋体"/>
                <w:bCs/>
                <w:color w:val="auto"/>
                <w:kern w:val="0"/>
                <w:sz w:val="24"/>
                <w:highlight w:val="none"/>
                <w:lang w:val="zh-CN"/>
              </w:rPr>
              <w:t>否</w:t>
            </w:r>
            <w:r>
              <w:rPr>
                <w:rFonts w:hint="eastAsia" w:ascii="宋体" w:hAnsi="宋体" w:eastAsia="宋体" w:cs="宋体"/>
                <w:bCs/>
                <w:color w:val="auto"/>
                <w:sz w:val="24"/>
                <w:highlight w:val="none"/>
                <w:lang w:val="zh-CN"/>
              </w:rPr>
              <w:t>，已递交的投标文件不予返还，请供应商自行做好备份工作。</w:t>
            </w:r>
          </w:p>
        </w:tc>
      </w:tr>
      <w:tr w14:paraId="0FC4F2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222" w:type="dxa"/>
            <w:noWrap w:val="0"/>
            <w:vAlign w:val="center"/>
          </w:tcPr>
          <w:p w14:paraId="303B79AD">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6.1.1</w:t>
            </w:r>
          </w:p>
        </w:tc>
        <w:tc>
          <w:tcPr>
            <w:tcW w:w="1692" w:type="dxa"/>
            <w:noWrap w:val="0"/>
            <w:vAlign w:val="center"/>
          </w:tcPr>
          <w:p w14:paraId="3731D877">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评标委员会的组建</w:t>
            </w:r>
          </w:p>
        </w:tc>
        <w:tc>
          <w:tcPr>
            <w:tcW w:w="7050" w:type="dxa"/>
            <w:noWrap w:val="0"/>
            <w:vAlign w:val="top"/>
          </w:tcPr>
          <w:p w14:paraId="0136DEBF">
            <w:pPr>
              <w:keepNext w:val="0"/>
              <w:keepLines w:val="0"/>
              <w:pageBreakBefore w:val="0"/>
              <w:widowControl w:val="0"/>
              <w:tabs>
                <w:tab w:val="center" w:pos="3086"/>
              </w:tabs>
              <w:kinsoku/>
              <w:wordWrap w:val="0"/>
              <w:overflowPunct/>
              <w:topLinePunct w:val="0"/>
              <w:autoSpaceDE/>
              <w:autoSpaceDN/>
              <w:bidi w:val="0"/>
              <w:adjustRightInd w:val="0"/>
              <w:spacing w:line="440" w:lineRule="exact"/>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评标委员会构成：5人</w:t>
            </w:r>
          </w:p>
          <w:p w14:paraId="4CA5BD93">
            <w:pPr>
              <w:keepNext w:val="0"/>
              <w:keepLines w:val="0"/>
              <w:pageBreakBefore w:val="0"/>
              <w:widowControl w:val="0"/>
              <w:tabs>
                <w:tab w:val="center" w:pos="3086"/>
              </w:tabs>
              <w:kinsoku/>
              <w:wordWrap w:val="0"/>
              <w:overflowPunct/>
              <w:topLinePunct w:val="0"/>
              <w:autoSpaceDE/>
              <w:autoSpaceDN/>
              <w:bidi w:val="0"/>
              <w:adjustRightInd w:val="0"/>
              <w:spacing w:line="440" w:lineRule="exact"/>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其中采购人代表0</w:t>
            </w:r>
            <w:r>
              <w:rPr>
                <w:rFonts w:hint="eastAsia" w:ascii="宋体" w:hAnsi="宋体" w:cs="宋体"/>
                <w:bCs/>
                <w:color w:val="auto"/>
                <w:sz w:val="24"/>
                <w:szCs w:val="24"/>
                <w:highlight w:val="none"/>
                <w:lang w:val="en-US" w:eastAsia="zh-CN"/>
              </w:rPr>
              <w:t>-1</w:t>
            </w:r>
            <w:r>
              <w:rPr>
                <w:rFonts w:hint="eastAsia" w:ascii="宋体" w:hAnsi="宋体" w:eastAsia="宋体" w:cs="宋体"/>
                <w:bCs/>
                <w:color w:val="auto"/>
                <w:sz w:val="24"/>
                <w:szCs w:val="24"/>
                <w:highlight w:val="none"/>
                <w:lang w:val="zh-CN"/>
              </w:rPr>
              <w:t>人，专家</w:t>
            </w:r>
            <w:r>
              <w:rPr>
                <w:rFonts w:hint="eastAsia" w:ascii="宋体" w:hAnsi="宋体" w:cs="宋体"/>
                <w:bCs/>
                <w:color w:val="auto"/>
                <w:sz w:val="24"/>
                <w:szCs w:val="24"/>
                <w:highlight w:val="none"/>
                <w:lang w:val="en-US" w:eastAsia="zh-CN"/>
              </w:rPr>
              <w:t>4-</w:t>
            </w:r>
            <w:r>
              <w:rPr>
                <w:rFonts w:hint="eastAsia" w:ascii="宋体" w:hAnsi="宋体" w:eastAsia="宋体" w:cs="宋体"/>
                <w:bCs/>
                <w:color w:val="auto"/>
                <w:sz w:val="24"/>
                <w:szCs w:val="24"/>
                <w:highlight w:val="none"/>
                <w:lang w:val="zh-CN"/>
              </w:rPr>
              <w:t>5人。</w:t>
            </w:r>
          </w:p>
          <w:p w14:paraId="3D1BC3AB">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zh-CN"/>
              </w:rPr>
              <w:t>评标专家确定方式由采购人在行政监督部门的监督下在</w:t>
            </w:r>
            <w:r>
              <w:rPr>
                <w:rFonts w:hint="eastAsia" w:ascii="宋体" w:hAnsi="宋体" w:eastAsia="宋体" w:cs="宋体"/>
                <w:color w:val="auto"/>
                <w:sz w:val="24"/>
                <w:szCs w:val="24"/>
                <w:highlight w:val="none"/>
                <w:lang w:eastAsia="zh-CN"/>
              </w:rPr>
              <w:t>“政采云”平台(</w:t>
            </w:r>
            <w:r>
              <w:rPr>
                <w:rFonts w:hint="eastAsia" w:ascii="宋体" w:hAnsi="宋体" w:cs="宋体"/>
                <w:color w:val="auto"/>
                <w:sz w:val="24"/>
                <w:szCs w:val="24"/>
                <w:highlight w:val="none"/>
                <w:lang w:eastAsia="zh-CN"/>
              </w:rPr>
              <w:t>https://www.zcygov.cn</w:t>
            </w:r>
            <w:r>
              <w:rPr>
                <w:rFonts w:hint="eastAsia" w:ascii="宋体" w:hAnsi="宋体" w:eastAsia="宋体" w:cs="宋体"/>
                <w:color w:val="auto"/>
                <w:sz w:val="24"/>
                <w:szCs w:val="24"/>
                <w:highlight w:val="none"/>
                <w:lang w:eastAsia="zh-CN"/>
              </w:rPr>
              <w:t>)</w:t>
            </w:r>
            <w:r>
              <w:rPr>
                <w:rFonts w:hint="eastAsia" w:ascii="宋体" w:hAnsi="宋体" w:eastAsia="宋体" w:cs="宋体"/>
                <w:bCs/>
                <w:color w:val="auto"/>
                <w:sz w:val="24"/>
                <w:szCs w:val="24"/>
                <w:highlight w:val="none"/>
                <w:lang w:val="zh-CN"/>
              </w:rPr>
              <w:t>的专家库中随机抽取。</w:t>
            </w:r>
          </w:p>
        </w:tc>
      </w:tr>
      <w:tr w14:paraId="19C167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222" w:type="dxa"/>
            <w:noWrap w:val="0"/>
            <w:vAlign w:val="center"/>
          </w:tcPr>
          <w:p w14:paraId="6A8F2173">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6.3.2</w:t>
            </w:r>
          </w:p>
        </w:tc>
        <w:tc>
          <w:tcPr>
            <w:tcW w:w="1692" w:type="dxa"/>
            <w:noWrap w:val="0"/>
            <w:vAlign w:val="center"/>
          </w:tcPr>
          <w:p w14:paraId="38793677">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rPr>
              <w:t>评标委员会推荐中标候选人的人数</w:t>
            </w:r>
          </w:p>
        </w:tc>
        <w:tc>
          <w:tcPr>
            <w:tcW w:w="7050" w:type="dxa"/>
            <w:noWrap w:val="0"/>
            <w:vAlign w:val="center"/>
          </w:tcPr>
          <w:p w14:paraId="4CC7CF1B">
            <w:pPr>
              <w:keepNext w:val="0"/>
              <w:keepLines w:val="0"/>
              <w:pageBreakBefore w:val="0"/>
              <w:widowControl w:val="0"/>
              <w:kinsoku/>
              <w:wordWrap w:val="0"/>
              <w:overflowPunct/>
              <w:topLinePunct w:val="0"/>
              <w:autoSpaceDE/>
              <w:autoSpaceDN/>
              <w:bidi w:val="0"/>
              <w:adjustRightInd w:val="0"/>
              <w:spacing w:line="440" w:lineRule="exact"/>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推荐的中标候选人数：3人。评标委员会推荐初步评审合格，综合评审得分由高到低排名第一、第二、第三的供应商为中标候选人。</w:t>
            </w:r>
          </w:p>
        </w:tc>
      </w:tr>
      <w:tr w14:paraId="08F3AB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222" w:type="dxa"/>
            <w:noWrap w:val="0"/>
            <w:vAlign w:val="center"/>
          </w:tcPr>
          <w:p w14:paraId="4F751366">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kern w:val="2"/>
                <w:sz w:val="24"/>
                <w:szCs w:val="24"/>
                <w:highlight w:val="none"/>
                <w:lang w:val="zh-CN" w:eastAsia="zh-CN" w:bidi="ar-SA"/>
              </w:rPr>
            </w:pPr>
            <w:r>
              <w:rPr>
                <w:rFonts w:hint="eastAsia" w:ascii="宋体" w:hAnsi="宋体" w:eastAsia="宋体" w:cs="宋体"/>
                <w:bCs/>
                <w:color w:val="auto"/>
                <w:sz w:val="24"/>
                <w:szCs w:val="24"/>
                <w:highlight w:val="none"/>
                <w:lang w:val="zh-CN"/>
              </w:rPr>
              <w:t>7.1</w:t>
            </w:r>
          </w:p>
        </w:tc>
        <w:tc>
          <w:tcPr>
            <w:tcW w:w="1692" w:type="dxa"/>
            <w:noWrap w:val="0"/>
            <w:vAlign w:val="center"/>
          </w:tcPr>
          <w:p w14:paraId="1D550BA8">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bCs/>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中标</w:t>
            </w:r>
            <w:r>
              <w:rPr>
                <w:rFonts w:hint="eastAsia" w:ascii="宋体" w:hAnsi="宋体" w:eastAsia="宋体" w:cs="宋体"/>
                <w:bCs/>
                <w:color w:val="000000" w:themeColor="text1"/>
                <w:sz w:val="24"/>
                <w:szCs w:val="24"/>
                <w:highlight w:val="none"/>
                <w:lang w:eastAsia="zh-CN"/>
                <w14:textFill>
                  <w14:solidFill>
                    <w14:schemeClr w14:val="tx1"/>
                  </w14:solidFill>
                </w14:textFill>
              </w:rPr>
              <w:t>结果公告</w:t>
            </w:r>
            <w:r>
              <w:rPr>
                <w:rFonts w:hint="eastAsia" w:ascii="宋体" w:hAnsi="宋体" w:eastAsia="宋体" w:cs="宋体"/>
                <w:bCs/>
                <w:color w:val="000000" w:themeColor="text1"/>
                <w:sz w:val="24"/>
                <w:szCs w:val="24"/>
                <w:highlight w:val="none"/>
                <w14:textFill>
                  <w14:solidFill>
                    <w14:schemeClr w14:val="tx1"/>
                  </w14:solidFill>
                </w14:textFill>
              </w:rPr>
              <w:t>媒介及期限</w:t>
            </w:r>
          </w:p>
        </w:tc>
        <w:tc>
          <w:tcPr>
            <w:tcW w:w="7050" w:type="dxa"/>
            <w:noWrap w:val="0"/>
            <w:vAlign w:val="center"/>
          </w:tcPr>
          <w:p w14:paraId="2F20FFEE">
            <w:pPr>
              <w:keepNext w:val="0"/>
              <w:keepLines w:val="0"/>
              <w:pageBreakBefore w:val="0"/>
              <w:widowControl w:val="0"/>
              <w:kinsoku/>
              <w:wordWrap w:val="0"/>
              <w:overflowPunct/>
              <w:topLinePunct w:val="0"/>
              <w:autoSpaceDE/>
              <w:autoSpaceDN/>
              <w:bidi w:val="0"/>
              <w:adjustRightInd w:val="0"/>
              <w:snapToGrid w:val="0"/>
              <w:spacing w:line="440" w:lineRule="exact"/>
              <w:textAlignment w:val="auto"/>
              <w:rPr>
                <w:rFonts w:hint="eastAsia" w:ascii="宋体" w:hAnsi="宋体" w:eastAsia="宋体" w:cs="宋体"/>
                <w:bCs/>
                <w:color w:val="000000" w:themeColor="text1"/>
                <w:sz w:val="24"/>
                <w:szCs w:val="24"/>
                <w:highlight w:val="none"/>
                <w:lang w:eastAsia="zh-CN"/>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公</w:t>
            </w:r>
            <w:r>
              <w:rPr>
                <w:rFonts w:hint="eastAsia" w:ascii="宋体" w:hAnsi="宋体" w:eastAsia="宋体" w:cs="宋体"/>
                <w:bCs/>
                <w:color w:val="000000" w:themeColor="text1"/>
                <w:sz w:val="24"/>
                <w:szCs w:val="24"/>
                <w:highlight w:val="none"/>
                <w:lang w:eastAsia="zh-CN"/>
                <w14:textFill>
                  <w14:solidFill>
                    <w14:schemeClr w14:val="tx1"/>
                  </w14:solidFill>
                </w14:textFill>
              </w:rPr>
              <w:t>告</w:t>
            </w:r>
            <w:r>
              <w:rPr>
                <w:rFonts w:hint="eastAsia" w:ascii="宋体" w:hAnsi="宋体" w:eastAsia="宋体" w:cs="宋体"/>
                <w:bCs/>
                <w:color w:val="000000" w:themeColor="text1"/>
                <w:sz w:val="24"/>
                <w:szCs w:val="24"/>
                <w:highlight w:val="none"/>
                <w14:textFill>
                  <w14:solidFill>
                    <w14:schemeClr w14:val="tx1"/>
                  </w14:solidFill>
                </w14:textFill>
              </w:rPr>
              <w:t>媒</w:t>
            </w:r>
            <w:r>
              <w:rPr>
                <w:rFonts w:hint="eastAsia" w:ascii="宋体" w:hAnsi="宋体" w:eastAsia="宋体" w:cs="宋体"/>
                <w:bCs/>
                <w:color w:val="000000" w:themeColor="text1"/>
                <w:sz w:val="24"/>
                <w:szCs w:val="24"/>
                <w:highlight w:val="none"/>
                <w:lang w:eastAsia="zh-CN"/>
                <w14:textFill>
                  <w14:solidFill>
                    <w14:schemeClr w14:val="tx1"/>
                  </w14:solidFill>
                </w14:textFill>
              </w:rPr>
              <w:t>介：在“政采云”平台(http：//www.zcygov.cn)（同步推送到吉林省政府采购网）、中国政府采购网同时发布；</w:t>
            </w:r>
          </w:p>
          <w:p w14:paraId="0E2045CE">
            <w:pPr>
              <w:keepNext w:val="0"/>
              <w:keepLines w:val="0"/>
              <w:pageBreakBefore w:val="0"/>
              <w:widowControl w:val="0"/>
              <w:kinsoku/>
              <w:wordWrap w:val="0"/>
              <w:overflowPunct/>
              <w:topLinePunct w:val="0"/>
              <w:autoSpaceDE/>
              <w:autoSpaceDN/>
              <w:bidi w:val="0"/>
              <w:adjustRightInd w:val="0"/>
              <w:snapToGrid w:val="0"/>
              <w:spacing w:line="440" w:lineRule="exact"/>
              <w:textAlignment w:val="auto"/>
              <w:rPr>
                <w:rFonts w:hint="eastAsia" w:ascii="宋体" w:hAnsi="宋体" w:eastAsia="宋体" w:cs="宋体"/>
                <w:bCs/>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Cs/>
                <w:color w:val="000000" w:themeColor="text1"/>
                <w:sz w:val="24"/>
                <w:szCs w:val="24"/>
                <w:highlight w:val="none"/>
                <w:lang w:eastAsia="zh-CN"/>
                <w14:textFill>
                  <w14:solidFill>
                    <w14:schemeClr w14:val="tx1"/>
                  </w14:solidFill>
                </w14:textFill>
              </w:rPr>
              <w:t>公告期限：1个工作日。</w:t>
            </w:r>
          </w:p>
        </w:tc>
      </w:tr>
      <w:tr w14:paraId="014D94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222" w:type="dxa"/>
            <w:noWrap w:val="0"/>
            <w:vAlign w:val="center"/>
          </w:tcPr>
          <w:p w14:paraId="2BA0556D">
            <w:pPr>
              <w:keepNext w:val="0"/>
              <w:keepLines w:val="0"/>
              <w:pageBreakBefore w:val="0"/>
              <w:widowControl w:val="0"/>
              <w:kinsoku/>
              <w:wordWrap w:val="0"/>
              <w:overflowPunct/>
              <w:topLinePunct w:val="0"/>
              <w:autoSpaceDE/>
              <w:autoSpaceDN/>
              <w:bidi w:val="0"/>
              <w:adjustRightInd w:val="0"/>
              <w:spacing w:line="400" w:lineRule="exact"/>
              <w:jc w:val="center"/>
              <w:textAlignment w:val="auto"/>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7.4</w:t>
            </w:r>
          </w:p>
        </w:tc>
        <w:tc>
          <w:tcPr>
            <w:tcW w:w="1692" w:type="dxa"/>
            <w:noWrap w:val="0"/>
            <w:vAlign w:val="center"/>
          </w:tcPr>
          <w:p w14:paraId="05B21352">
            <w:pPr>
              <w:keepNext w:val="0"/>
              <w:keepLines w:val="0"/>
              <w:pageBreakBefore w:val="0"/>
              <w:widowControl w:val="0"/>
              <w:kinsoku/>
              <w:wordWrap w:val="0"/>
              <w:overflowPunct/>
              <w:topLinePunct w:val="0"/>
              <w:autoSpaceDE/>
              <w:autoSpaceDN/>
              <w:bidi w:val="0"/>
              <w:adjustRightInd w:val="0"/>
              <w:spacing w:line="400" w:lineRule="exact"/>
              <w:jc w:val="center"/>
              <w:textAlignment w:val="auto"/>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是否授权评标委员会确定中标供应商</w:t>
            </w:r>
          </w:p>
        </w:tc>
        <w:tc>
          <w:tcPr>
            <w:tcW w:w="7050" w:type="dxa"/>
            <w:noWrap w:val="0"/>
            <w:vAlign w:val="center"/>
          </w:tcPr>
          <w:p w14:paraId="7A009254">
            <w:pPr>
              <w:keepNext w:val="0"/>
              <w:keepLines w:val="0"/>
              <w:pageBreakBefore w:val="0"/>
              <w:widowControl w:val="0"/>
              <w:kinsoku/>
              <w:wordWrap w:val="0"/>
              <w:overflowPunct/>
              <w:topLinePunct w:val="0"/>
              <w:autoSpaceDE/>
              <w:autoSpaceDN/>
              <w:bidi w:val="0"/>
              <w:adjustRightInd w:val="0"/>
              <w:spacing w:line="400" w:lineRule="exact"/>
              <w:textAlignment w:val="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□是</w:t>
            </w:r>
          </w:p>
          <w:p w14:paraId="4FE11777">
            <w:pPr>
              <w:keepNext w:val="0"/>
              <w:keepLines w:val="0"/>
              <w:pageBreakBefore w:val="0"/>
              <w:widowControl w:val="0"/>
              <w:kinsoku/>
              <w:wordWrap w:val="0"/>
              <w:overflowPunct/>
              <w:topLinePunct w:val="0"/>
              <w:autoSpaceDE/>
              <w:autoSpaceDN/>
              <w:bidi w:val="0"/>
              <w:spacing w:line="400" w:lineRule="exact"/>
              <w:textAlignment w:val="auto"/>
              <w:rPr>
                <w:rFonts w:hint="eastAsia" w:ascii="宋体" w:hAnsi="宋体" w:eastAsia="宋体" w:cs="宋体"/>
                <w:bCs/>
                <w:color w:val="auto"/>
                <w:kern w:val="15"/>
                <w:sz w:val="24"/>
                <w:highlight w:val="none"/>
              </w:rPr>
            </w:pPr>
            <w:r>
              <w:rPr>
                <w:rFonts w:hint="eastAsia" w:ascii="宋体" w:hAnsi="宋体" w:eastAsia="宋体" w:cs="宋体"/>
                <w:bCs/>
                <w:color w:val="auto"/>
                <w:sz w:val="24"/>
                <w:highlight w:val="none"/>
              </w:rPr>
              <w:fldChar w:fldCharType="begin"/>
            </w:r>
            <w:r>
              <w:rPr>
                <w:rFonts w:hint="eastAsia" w:ascii="宋体" w:hAnsi="宋体" w:eastAsia="宋体" w:cs="宋体"/>
                <w:bCs/>
                <w:color w:val="auto"/>
                <w:sz w:val="24"/>
                <w:highlight w:val="none"/>
              </w:rPr>
              <w:instrText xml:space="preserve">eq \o\ac(□,√)</w:instrText>
            </w:r>
            <w:r>
              <w:rPr>
                <w:rFonts w:hint="eastAsia" w:ascii="宋体" w:hAnsi="宋体" w:eastAsia="宋体" w:cs="宋体"/>
                <w:bCs/>
                <w:color w:val="auto"/>
                <w:sz w:val="24"/>
                <w:highlight w:val="none"/>
              </w:rPr>
              <w:fldChar w:fldCharType="end"/>
            </w:r>
            <w:r>
              <w:rPr>
                <w:rFonts w:hint="eastAsia" w:ascii="宋体" w:hAnsi="宋体" w:eastAsia="宋体" w:cs="宋体"/>
                <w:bCs/>
                <w:color w:val="auto"/>
                <w:sz w:val="24"/>
                <w:highlight w:val="none"/>
              </w:rPr>
              <w:t>否</w:t>
            </w:r>
          </w:p>
        </w:tc>
      </w:tr>
      <w:tr w14:paraId="366EA3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222" w:type="dxa"/>
            <w:noWrap w:val="0"/>
            <w:vAlign w:val="center"/>
          </w:tcPr>
          <w:p w14:paraId="3577BAED">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7.7.1</w:t>
            </w:r>
          </w:p>
        </w:tc>
        <w:tc>
          <w:tcPr>
            <w:tcW w:w="1692" w:type="dxa"/>
            <w:noWrap w:val="0"/>
            <w:vAlign w:val="center"/>
          </w:tcPr>
          <w:p w14:paraId="6D2AA78A">
            <w:pPr>
              <w:keepNext w:val="0"/>
              <w:keepLines w:val="0"/>
              <w:pageBreakBefore w:val="0"/>
              <w:widowControl w:val="0"/>
              <w:kinsoku/>
              <w:wordWrap w:val="0"/>
              <w:overflowPunct/>
              <w:topLinePunct w:val="0"/>
              <w:autoSpaceDE/>
              <w:autoSpaceDN/>
              <w:bidi w:val="0"/>
              <w:adjustRightInd w:val="0"/>
              <w:spacing w:line="40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highlight w:val="none"/>
                <w:lang w:val="zh-CN"/>
              </w:rPr>
              <w:t>履约保证金</w:t>
            </w:r>
          </w:p>
        </w:tc>
        <w:tc>
          <w:tcPr>
            <w:tcW w:w="7050" w:type="dxa"/>
            <w:noWrap w:val="0"/>
            <w:vAlign w:val="center"/>
          </w:tcPr>
          <w:p w14:paraId="1A5BDD04">
            <w:pPr>
              <w:keepNext w:val="0"/>
              <w:keepLines w:val="0"/>
              <w:pageBreakBefore w:val="0"/>
              <w:widowControl w:val="0"/>
              <w:kinsoku/>
              <w:wordWrap w:val="0"/>
              <w:overflowPunct/>
              <w:topLinePunct w:val="0"/>
              <w:autoSpaceDE/>
              <w:autoSpaceDN/>
              <w:bidi w:val="0"/>
              <w:adjustRightInd w:val="0"/>
              <w:spacing w:line="400" w:lineRule="exact"/>
              <w:textAlignment w:val="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是否要求</w:t>
            </w:r>
            <w:r>
              <w:rPr>
                <w:rFonts w:hint="eastAsia" w:ascii="宋体" w:hAnsi="宋体" w:eastAsia="宋体" w:cs="宋体"/>
                <w:bCs/>
                <w:color w:val="auto"/>
                <w:sz w:val="24"/>
                <w:highlight w:val="none"/>
                <w:lang w:eastAsia="zh-CN"/>
              </w:rPr>
              <w:t>中标供应商</w:t>
            </w:r>
            <w:r>
              <w:rPr>
                <w:rFonts w:hint="eastAsia" w:ascii="宋体" w:hAnsi="宋体" w:eastAsia="宋体" w:cs="宋体"/>
                <w:bCs/>
                <w:color w:val="auto"/>
                <w:sz w:val="24"/>
                <w:highlight w:val="none"/>
              </w:rPr>
              <w:t>提交履约保证金：</w:t>
            </w:r>
          </w:p>
          <w:p w14:paraId="0D4B3BB8">
            <w:pPr>
              <w:keepNext w:val="0"/>
              <w:keepLines w:val="0"/>
              <w:pageBreakBefore w:val="0"/>
              <w:widowControl w:val="0"/>
              <w:kinsoku/>
              <w:wordWrap w:val="0"/>
              <w:overflowPunct/>
              <w:topLinePunct w:val="0"/>
              <w:autoSpaceDE/>
              <w:autoSpaceDN/>
              <w:bidi w:val="0"/>
              <w:adjustRightInd w:val="0"/>
              <w:spacing w:line="400" w:lineRule="exact"/>
              <w:textAlignment w:val="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sym w:font="Wingdings 2" w:char="00A3"/>
            </w:r>
            <w:r>
              <w:rPr>
                <w:rFonts w:hint="eastAsia" w:ascii="宋体" w:hAnsi="宋体" w:eastAsia="宋体" w:cs="宋体"/>
                <w:bCs/>
                <w:color w:val="auto"/>
                <w:sz w:val="24"/>
                <w:highlight w:val="none"/>
              </w:rPr>
              <w:t>要求，履约担保形式：银行转账，支票/汇票/本票，保函/保险</w:t>
            </w:r>
          </w:p>
          <w:p w14:paraId="61B4D690">
            <w:pPr>
              <w:keepNext w:val="0"/>
              <w:keepLines w:val="0"/>
              <w:pageBreakBefore w:val="0"/>
              <w:widowControl w:val="0"/>
              <w:kinsoku/>
              <w:wordWrap w:val="0"/>
              <w:overflowPunct/>
              <w:topLinePunct w:val="0"/>
              <w:autoSpaceDE/>
              <w:autoSpaceDN/>
              <w:bidi w:val="0"/>
              <w:adjustRightInd w:val="0"/>
              <w:spacing w:line="400" w:lineRule="exact"/>
              <w:ind w:firstLine="960" w:firstLineChars="400"/>
              <w:textAlignment w:val="auto"/>
              <w:rPr>
                <w:rFonts w:hint="eastAsia" w:ascii="宋体" w:hAnsi="宋体" w:eastAsia="宋体" w:cs="宋体"/>
                <w:bCs/>
                <w:color w:val="auto"/>
                <w:sz w:val="24"/>
                <w:highlight w:val="none"/>
                <w:lang w:val="en-US" w:eastAsia="zh-CN"/>
              </w:rPr>
            </w:pPr>
            <w:r>
              <w:rPr>
                <w:rFonts w:hint="eastAsia" w:ascii="宋体" w:hAnsi="宋体" w:eastAsia="宋体" w:cs="宋体"/>
                <w:bCs/>
                <w:color w:val="auto"/>
                <w:sz w:val="24"/>
                <w:highlight w:val="none"/>
              </w:rPr>
              <w:t>履约保证金的金额：</w:t>
            </w:r>
          </w:p>
          <w:p w14:paraId="4D2D6DDC">
            <w:pPr>
              <w:pageBreakBefore w:val="0"/>
              <w:kinsoku/>
              <w:overflowPunct/>
              <w:topLinePunct w:val="0"/>
              <w:bidi w:val="0"/>
              <w:adjustRightInd w:val="0"/>
              <w:snapToGrid w:val="0"/>
              <w:spacing w:line="288" w:lineRule="auto"/>
              <w:ind w:firstLine="960" w:firstLineChars="400"/>
              <w:textAlignment w:val="auto"/>
              <w:rPr>
                <w:rFonts w:hint="eastAsia" w:ascii="宋体" w:hAnsi="宋体" w:eastAsia="宋体" w:cs="宋体"/>
                <w:bCs/>
                <w:color w:val="auto"/>
                <w:kern w:val="15"/>
                <w:sz w:val="24"/>
                <w:szCs w:val="24"/>
                <w:highlight w:val="none"/>
                <w:lang w:eastAsia="zh-CN"/>
              </w:rPr>
            </w:pPr>
            <w:r>
              <w:rPr>
                <w:rFonts w:hint="eastAsia" w:ascii="宋体" w:hAnsi="宋体" w:eastAsia="宋体" w:cs="宋体"/>
                <w:bCs/>
                <w:color w:val="auto"/>
                <w:kern w:val="15"/>
                <w:sz w:val="24"/>
                <w:szCs w:val="24"/>
                <w:highlight w:val="none"/>
                <w:lang w:eastAsia="zh-CN"/>
              </w:rPr>
              <w:t>履约担保缴纳（提交）时间：下发中标通知书之日起7日内提交。</w:t>
            </w:r>
          </w:p>
          <w:p w14:paraId="278CC8C3">
            <w:pPr>
              <w:pageBreakBefore w:val="0"/>
              <w:kinsoku/>
              <w:overflowPunct/>
              <w:topLinePunct w:val="0"/>
              <w:bidi w:val="0"/>
              <w:adjustRightInd w:val="0"/>
              <w:snapToGrid w:val="0"/>
              <w:spacing w:line="288" w:lineRule="auto"/>
              <w:textAlignment w:val="auto"/>
              <w:rPr>
                <w:rFonts w:hint="eastAsia" w:ascii="宋体" w:hAnsi="宋体" w:eastAsia="宋体" w:cs="宋体"/>
                <w:bCs/>
                <w:color w:val="auto"/>
                <w:kern w:val="15"/>
                <w:sz w:val="24"/>
                <w:szCs w:val="24"/>
                <w:highlight w:val="none"/>
                <w:lang w:eastAsia="zh-CN"/>
              </w:rPr>
            </w:pPr>
            <w:r>
              <w:rPr>
                <w:rFonts w:hint="eastAsia" w:ascii="宋体" w:hAnsi="宋体" w:cs="宋体"/>
                <w:bCs/>
                <w:color w:val="auto"/>
                <w:kern w:val="15"/>
                <w:sz w:val="24"/>
                <w:szCs w:val="24"/>
                <w:highlight w:val="none"/>
                <w:lang w:val="en-US" w:eastAsia="zh-CN"/>
              </w:rPr>
              <w:t xml:space="preserve">        </w:t>
            </w:r>
            <w:r>
              <w:rPr>
                <w:rFonts w:hint="eastAsia" w:ascii="宋体" w:hAnsi="宋体" w:eastAsia="宋体" w:cs="宋体"/>
                <w:bCs/>
                <w:color w:val="auto"/>
                <w:kern w:val="15"/>
                <w:sz w:val="24"/>
                <w:szCs w:val="24"/>
                <w:highlight w:val="none"/>
                <w:lang w:eastAsia="zh-CN"/>
              </w:rPr>
              <w:t>履约保证金交纳后持中标通知书与</w:t>
            </w:r>
            <w:r>
              <w:rPr>
                <w:rFonts w:hint="eastAsia" w:ascii="宋体" w:hAnsi="宋体" w:cs="宋体"/>
                <w:bCs/>
                <w:color w:val="auto"/>
                <w:kern w:val="15"/>
                <w:sz w:val="24"/>
                <w:szCs w:val="24"/>
                <w:highlight w:val="none"/>
                <w:lang w:eastAsia="zh-CN"/>
              </w:rPr>
              <w:t>采购</w:t>
            </w:r>
            <w:r>
              <w:rPr>
                <w:rFonts w:hint="eastAsia" w:ascii="宋体" w:hAnsi="宋体" w:eastAsia="宋体" w:cs="宋体"/>
                <w:bCs/>
                <w:color w:val="auto"/>
                <w:kern w:val="15"/>
                <w:sz w:val="24"/>
                <w:szCs w:val="24"/>
                <w:highlight w:val="none"/>
                <w:lang w:eastAsia="zh-CN"/>
              </w:rPr>
              <w:t>人签订供货合同。</w:t>
            </w:r>
          </w:p>
          <w:p w14:paraId="2E876B33">
            <w:pPr>
              <w:pageBreakBefore w:val="0"/>
              <w:kinsoku/>
              <w:overflowPunct/>
              <w:topLinePunct w:val="0"/>
              <w:bidi w:val="0"/>
              <w:adjustRightInd w:val="0"/>
              <w:snapToGrid w:val="0"/>
              <w:spacing w:line="288" w:lineRule="auto"/>
              <w:ind w:firstLine="960" w:firstLineChars="400"/>
              <w:textAlignment w:val="auto"/>
              <w:rPr>
                <w:rFonts w:hint="default" w:ascii="宋体" w:hAnsi="宋体" w:eastAsia="宋体" w:cs="宋体"/>
                <w:bCs/>
                <w:color w:val="auto"/>
                <w:kern w:val="15"/>
                <w:sz w:val="24"/>
                <w:szCs w:val="24"/>
                <w:highlight w:val="none"/>
                <w:lang w:val="en-US" w:eastAsia="zh-CN"/>
              </w:rPr>
            </w:pPr>
            <w:r>
              <w:rPr>
                <w:rFonts w:hint="eastAsia" w:ascii="宋体" w:hAnsi="宋体" w:eastAsia="宋体" w:cs="宋体"/>
                <w:bCs/>
                <w:color w:val="auto"/>
                <w:kern w:val="15"/>
                <w:sz w:val="24"/>
                <w:szCs w:val="24"/>
                <w:highlight w:val="none"/>
                <w:lang w:eastAsia="zh-CN"/>
              </w:rPr>
              <w:t>履约保证金退还：</w:t>
            </w:r>
            <w:r>
              <w:rPr>
                <w:rFonts w:hint="eastAsia" w:ascii="宋体" w:hAnsi="宋体" w:eastAsia="宋体" w:cs="宋体"/>
                <w:bCs/>
                <w:color w:val="auto"/>
                <w:kern w:val="15"/>
                <w:sz w:val="24"/>
                <w:szCs w:val="24"/>
                <w:highlight w:val="none"/>
                <w:lang w:val="en-US" w:eastAsia="zh-CN"/>
              </w:rPr>
              <w:t>由采购人根据采购合同约定，待供应商履行完合同约定权利义务事项后退还。</w:t>
            </w:r>
          </w:p>
          <w:p w14:paraId="404D9465">
            <w:pPr>
              <w:keepNext w:val="0"/>
              <w:keepLines w:val="0"/>
              <w:pageBreakBefore w:val="0"/>
              <w:widowControl w:val="0"/>
              <w:kinsoku/>
              <w:wordWrap w:val="0"/>
              <w:overflowPunct/>
              <w:topLinePunct w:val="0"/>
              <w:autoSpaceDE/>
              <w:autoSpaceDN/>
              <w:bidi w:val="0"/>
              <w:adjustRightInd w:val="0"/>
              <w:spacing w:line="400" w:lineRule="exact"/>
              <w:textAlignment w:val="auto"/>
              <w:rPr>
                <w:rFonts w:hint="eastAsia" w:ascii="宋体" w:hAnsi="宋体" w:eastAsia="宋体" w:cs="宋体"/>
                <w:bCs/>
                <w:color w:val="auto"/>
                <w:sz w:val="24"/>
                <w:szCs w:val="24"/>
                <w:highlight w:val="none"/>
              </w:rPr>
            </w:pPr>
            <w:r>
              <w:rPr>
                <w:rFonts w:hint="eastAsia" w:ascii="宋体" w:hAnsi="宋体" w:eastAsia="宋体" w:cs="宋体"/>
                <w:b/>
                <w:bCs w:val="0"/>
                <w:color w:val="auto"/>
                <w:kern w:val="0"/>
                <w:sz w:val="24"/>
                <w:szCs w:val="24"/>
                <w:highlight w:val="none"/>
              </w:rPr>
              <w:fldChar w:fldCharType="begin"/>
            </w:r>
            <w:r>
              <w:rPr>
                <w:rFonts w:hint="eastAsia" w:ascii="宋体" w:hAnsi="宋体" w:eastAsia="宋体" w:cs="宋体"/>
                <w:b/>
                <w:bCs w:val="0"/>
                <w:color w:val="auto"/>
                <w:kern w:val="0"/>
                <w:sz w:val="24"/>
                <w:szCs w:val="24"/>
                <w:highlight w:val="none"/>
              </w:rPr>
              <w:instrText xml:space="preserve">eq \o\ac(□</w:instrText>
            </w:r>
            <w:r>
              <w:rPr>
                <w:rFonts w:hint="eastAsia" w:ascii="宋体" w:hAnsi="宋体" w:cs="宋体"/>
                <w:b/>
                <w:bCs w:val="0"/>
                <w:color w:val="auto"/>
                <w:kern w:val="0"/>
                <w:sz w:val="24"/>
                <w:szCs w:val="24"/>
                <w:highlight w:val="none"/>
                <w:lang w:eastAsia="zh-CN"/>
              </w:rPr>
              <w:instrText xml:space="preserve">,</w:instrText>
            </w:r>
            <w:r>
              <w:rPr>
                <w:rFonts w:hint="eastAsia" w:ascii="宋体" w:hAnsi="宋体" w:cs="宋体"/>
                <w:b/>
                <w:bCs w:val="0"/>
                <w:color w:val="auto"/>
                <w:kern w:val="0"/>
                <w:position w:val="2"/>
                <w:sz w:val="16"/>
                <w:szCs w:val="24"/>
                <w:highlight w:val="none"/>
                <w:lang w:eastAsia="zh-CN"/>
              </w:rPr>
              <w:instrText xml:space="preserve">√</w:instrText>
            </w:r>
            <w:r>
              <w:rPr>
                <w:rFonts w:hint="eastAsia" w:ascii="宋体" w:hAnsi="宋体" w:eastAsia="宋体" w:cs="宋体"/>
                <w:b/>
                <w:bCs w:val="0"/>
                <w:color w:val="auto"/>
                <w:kern w:val="0"/>
                <w:sz w:val="24"/>
                <w:szCs w:val="24"/>
                <w:highlight w:val="none"/>
              </w:rPr>
              <w:instrText xml:space="preserve">)</w:instrText>
            </w:r>
            <w:r>
              <w:rPr>
                <w:rFonts w:hint="eastAsia" w:ascii="宋体" w:hAnsi="宋体" w:eastAsia="宋体" w:cs="宋体"/>
                <w:b/>
                <w:bCs w:val="0"/>
                <w:color w:val="auto"/>
                <w:kern w:val="0"/>
                <w:sz w:val="24"/>
                <w:szCs w:val="24"/>
                <w:highlight w:val="none"/>
              </w:rPr>
              <w:fldChar w:fldCharType="end"/>
            </w:r>
            <w:r>
              <w:rPr>
                <w:rFonts w:hint="eastAsia" w:ascii="宋体" w:hAnsi="宋体" w:eastAsia="宋体" w:cs="宋体"/>
                <w:b/>
                <w:bCs w:val="0"/>
                <w:color w:val="auto"/>
                <w:sz w:val="24"/>
                <w:highlight w:val="none"/>
              </w:rPr>
              <w:t>不要求</w:t>
            </w:r>
          </w:p>
        </w:tc>
      </w:tr>
      <w:tr w14:paraId="5D07EB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222" w:type="dxa"/>
            <w:noWrap w:val="0"/>
            <w:vAlign w:val="center"/>
          </w:tcPr>
          <w:p w14:paraId="5DD29D43">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9</w:t>
            </w:r>
          </w:p>
        </w:tc>
        <w:tc>
          <w:tcPr>
            <w:tcW w:w="1692" w:type="dxa"/>
            <w:noWrap w:val="0"/>
            <w:vAlign w:val="center"/>
          </w:tcPr>
          <w:p w14:paraId="033EDD76">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rPr>
              <w:t>是否采用电子招标投标</w:t>
            </w:r>
          </w:p>
        </w:tc>
        <w:tc>
          <w:tcPr>
            <w:tcW w:w="7050" w:type="dxa"/>
            <w:noWrap w:val="0"/>
            <w:vAlign w:val="center"/>
          </w:tcPr>
          <w:p w14:paraId="0B88B87C">
            <w:pPr>
              <w:keepNext w:val="0"/>
              <w:keepLines w:val="0"/>
              <w:pageBreakBefore w:val="0"/>
              <w:widowControl w:val="0"/>
              <w:kinsoku/>
              <w:wordWrap w:val="0"/>
              <w:overflowPunct/>
              <w:topLinePunct w:val="0"/>
              <w:autoSpaceDE/>
              <w:autoSpaceDN/>
              <w:bidi w:val="0"/>
              <w:adjustRightInd w:val="0"/>
              <w:snapToGrid w:val="0"/>
              <w:spacing w:line="440" w:lineRule="exact"/>
              <w:textAlignment w:val="auto"/>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□否</w:t>
            </w:r>
          </w:p>
          <w:p w14:paraId="515EEDCD">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kern w:val="0"/>
                <w:sz w:val="24"/>
                <w:szCs w:val="24"/>
                <w:highlight w:val="none"/>
              </w:rPr>
              <w:fldChar w:fldCharType="begin"/>
            </w:r>
            <w:r>
              <w:rPr>
                <w:rFonts w:hint="eastAsia" w:ascii="宋体" w:hAnsi="宋体" w:eastAsia="宋体" w:cs="宋体"/>
                <w:bCs/>
                <w:color w:val="auto"/>
                <w:kern w:val="0"/>
                <w:sz w:val="24"/>
                <w:szCs w:val="24"/>
                <w:highlight w:val="none"/>
              </w:rPr>
              <w:instrText xml:space="preserve">eq \o\ac(□,√)</w:instrText>
            </w:r>
            <w:r>
              <w:rPr>
                <w:rFonts w:hint="eastAsia" w:ascii="宋体" w:hAnsi="宋体" w:eastAsia="宋体" w:cs="宋体"/>
                <w:bCs/>
                <w:color w:val="auto"/>
                <w:kern w:val="0"/>
                <w:sz w:val="24"/>
                <w:szCs w:val="24"/>
                <w:highlight w:val="none"/>
              </w:rPr>
              <w:fldChar w:fldCharType="end"/>
            </w:r>
            <w:r>
              <w:rPr>
                <w:rFonts w:hint="eastAsia" w:ascii="宋体" w:hAnsi="宋体" w:eastAsia="宋体" w:cs="宋体"/>
                <w:bCs/>
                <w:color w:val="auto"/>
                <w:kern w:val="0"/>
                <w:sz w:val="24"/>
                <w:szCs w:val="24"/>
                <w:highlight w:val="none"/>
              </w:rPr>
              <w:t>是，具体要求：详见</w:t>
            </w:r>
            <w:r>
              <w:rPr>
                <w:rFonts w:hint="eastAsia" w:ascii="宋体" w:hAnsi="宋体" w:eastAsia="宋体" w:cs="宋体"/>
                <w:bCs/>
                <w:color w:val="auto"/>
                <w:kern w:val="0"/>
                <w:sz w:val="24"/>
                <w:szCs w:val="24"/>
                <w:highlight w:val="none"/>
                <w:lang w:eastAsia="zh-CN"/>
              </w:rPr>
              <w:t>供应商</w:t>
            </w:r>
            <w:r>
              <w:rPr>
                <w:rFonts w:hint="eastAsia" w:ascii="宋体" w:hAnsi="宋体" w:eastAsia="宋体" w:cs="宋体"/>
                <w:bCs/>
                <w:color w:val="auto"/>
                <w:kern w:val="0"/>
                <w:sz w:val="24"/>
                <w:szCs w:val="24"/>
                <w:highlight w:val="none"/>
              </w:rPr>
              <w:t>须知前附表第10.9项。</w:t>
            </w:r>
          </w:p>
        </w:tc>
      </w:tr>
      <w:tr w14:paraId="7600AA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222" w:type="dxa"/>
            <w:noWrap w:val="0"/>
            <w:vAlign w:val="center"/>
          </w:tcPr>
          <w:p w14:paraId="218AA314">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10.</w:t>
            </w:r>
            <w:r>
              <w:rPr>
                <w:rFonts w:hint="eastAsia" w:ascii="宋体" w:hAnsi="宋体" w:eastAsia="宋体" w:cs="宋体"/>
                <w:bCs/>
                <w:color w:val="auto"/>
                <w:sz w:val="24"/>
                <w:szCs w:val="24"/>
                <w:highlight w:val="none"/>
              </w:rPr>
              <w:t>1</w:t>
            </w:r>
          </w:p>
        </w:tc>
        <w:tc>
          <w:tcPr>
            <w:tcW w:w="1692" w:type="dxa"/>
            <w:noWrap w:val="0"/>
            <w:vAlign w:val="center"/>
          </w:tcPr>
          <w:p w14:paraId="3BCF2BD2">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bCs/>
                <w:color w:val="auto"/>
                <w:kern w:val="15"/>
                <w:sz w:val="24"/>
                <w:szCs w:val="24"/>
                <w:highlight w:val="none"/>
              </w:rPr>
            </w:pPr>
            <w:r>
              <w:rPr>
                <w:rFonts w:hint="eastAsia" w:ascii="宋体" w:hAnsi="宋体" w:eastAsia="宋体" w:cs="宋体"/>
                <w:bCs/>
                <w:color w:val="auto"/>
                <w:kern w:val="15"/>
                <w:sz w:val="24"/>
                <w:szCs w:val="24"/>
                <w:highlight w:val="none"/>
                <w:lang w:val="zh-CN"/>
              </w:rPr>
              <w:t>评审办法</w:t>
            </w:r>
          </w:p>
        </w:tc>
        <w:tc>
          <w:tcPr>
            <w:tcW w:w="7050" w:type="dxa"/>
            <w:noWrap w:val="0"/>
            <w:vAlign w:val="center"/>
          </w:tcPr>
          <w:p w14:paraId="3FF2AF16">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kern w:val="15"/>
                <w:sz w:val="24"/>
                <w:szCs w:val="24"/>
                <w:highlight w:val="none"/>
                <w:lang w:val="zh-CN"/>
              </w:rPr>
              <w:t>综合评分法</w:t>
            </w:r>
          </w:p>
        </w:tc>
      </w:tr>
      <w:tr w14:paraId="343645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222" w:type="dxa"/>
            <w:noWrap w:val="0"/>
            <w:vAlign w:val="center"/>
          </w:tcPr>
          <w:p w14:paraId="40D6E9CB">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zh-CN"/>
              </w:rPr>
              <w:t>10</w:t>
            </w:r>
            <w:r>
              <w:rPr>
                <w:rFonts w:hint="eastAsia" w:ascii="宋体" w:hAnsi="宋体" w:eastAsia="宋体" w:cs="宋体"/>
                <w:bCs/>
                <w:color w:val="auto"/>
                <w:sz w:val="24"/>
                <w:szCs w:val="24"/>
                <w:highlight w:val="none"/>
              </w:rPr>
              <w:t>.2</w:t>
            </w:r>
          </w:p>
        </w:tc>
        <w:tc>
          <w:tcPr>
            <w:tcW w:w="1692" w:type="dxa"/>
            <w:noWrap w:val="0"/>
            <w:vAlign w:val="center"/>
          </w:tcPr>
          <w:p w14:paraId="4319C612">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bCs/>
                <w:color w:val="auto"/>
                <w:kern w:val="15"/>
                <w:sz w:val="24"/>
                <w:szCs w:val="24"/>
                <w:highlight w:val="none"/>
                <w:lang w:val="zh-CN"/>
              </w:rPr>
            </w:pPr>
            <w:r>
              <w:rPr>
                <w:rFonts w:hint="eastAsia" w:ascii="宋体" w:hAnsi="宋体" w:eastAsia="宋体" w:cs="宋体"/>
                <w:bCs/>
                <w:color w:val="auto"/>
                <w:kern w:val="15"/>
                <w:sz w:val="24"/>
                <w:szCs w:val="24"/>
                <w:highlight w:val="none"/>
                <w:lang w:val="zh-CN"/>
              </w:rPr>
              <w:t>低于成本报价</w:t>
            </w:r>
          </w:p>
        </w:tc>
        <w:tc>
          <w:tcPr>
            <w:tcW w:w="7050" w:type="dxa"/>
            <w:noWrap w:val="0"/>
            <w:vAlign w:val="center"/>
          </w:tcPr>
          <w:p w14:paraId="0224D41F">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bCs/>
                <w:color w:val="auto"/>
                <w:kern w:val="15"/>
                <w:sz w:val="24"/>
                <w:szCs w:val="24"/>
                <w:highlight w:val="none"/>
                <w:lang w:val="zh-CN"/>
              </w:rPr>
            </w:pPr>
            <w:r>
              <w:rPr>
                <w:rFonts w:hint="eastAsia" w:ascii="宋体" w:hAnsi="宋体" w:eastAsia="宋体" w:cs="宋体"/>
                <w:bCs/>
                <w:color w:val="auto"/>
                <w:kern w:val="15"/>
                <w:sz w:val="24"/>
                <w:szCs w:val="24"/>
                <w:highlight w:val="none"/>
                <w:lang w:val="zh-CN"/>
              </w:rPr>
              <w:t>依据财政部第</w:t>
            </w:r>
            <w:r>
              <w:rPr>
                <w:rFonts w:hint="eastAsia" w:ascii="宋体" w:hAnsi="宋体" w:eastAsia="宋体" w:cs="宋体"/>
                <w:bCs/>
                <w:color w:val="auto"/>
                <w:kern w:val="15"/>
                <w:sz w:val="24"/>
                <w:szCs w:val="24"/>
                <w:highlight w:val="none"/>
              </w:rPr>
              <w:t>87号令第60条：</w:t>
            </w:r>
            <w:r>
              <w:rPr>
                <w:rFonts w:hint="eastAsia" w:ascii="宋体" w:hAnsi="宋体" w:eastAsia="宋体" w:cs="宋体"/>
                <w:bCs/>
                <w:color w:val="auto"/>
                <w:kern w:val="15"/>
                <w:sz w:val="24"/>
                <w:szCs w:val="24"/>
                <w:highlight w:val="none"/>
                <w:lang w:val="zh-CN"/>
              </w:rPr>
              <w:t>评标委员会发现供应商的报价明显低于其他通过符合性审查供应商的报价，有可能影响产品质量或者不能诚信履约的，应当要求该供应商在评标现场</w:t>
            </w:r>
            <w:r>
              <w:rPr>
                <w:rFonts w:hint="eastAsia" w:ascii="宋体" w:hAnsi="宋体" w:eastAsia="宋体" w:cs="宋体"/>
                <w:bCs/>
                <w:color w:val="auto"/>
                <w:kern w:val="15"/>
                <w:sz w:val="24"/>
                <w:szCs w:val="24"/>
                <w:highlight w:val="none"/>
                <w:lang w:val="en-US" w:eastAsia="zh-CN"/>
              </w:rPr>
              <w:t>四十分钟</w:t>
            </w:r>
            <w:r>
              <w:rPr>
                <w:rFonts w:hint="eastAsia" w:ascii="宋体" w:hAnsi="宋体" w:eastAsia="宋体" w:cs="宋体"/>
                <w:bCs/>
                <w:color w:val="auto"/>
                <w:kern w:val="15"/>
                <w:sz w:val="24"/>
                <w:szCs w:val="24"/>
                <w:highlight w:val="none"/>
                <w:lang w:val="zh-CN"/>
              </w:rPr>
              <w:t>内作出书面说明并提供相应的证明材料。供应商不能合理说明或者不能提供相应证明材料的，由评标委员会认定该供应商以低于成本报价竞标，其投标将被否决。</w:t>
            </w:r>
          </w:p>
        </w:tc>
      </w:tr>
      <w:tr w14:paraId="249276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222" w:type="dxa"/>
            <w:noWrap w:val="0"/>
            <w:vAlign w:val="center"/>
          </w:tcPr>
          <w:p w14:paraId="3D805C8A">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zh-CN"/>
              </w:rPr>
              <w:t>10.</w:t>
            </w:r>
            <w:r>
              <w:rPr>
                <w:rFonts w:hint="eastAsia" w:ascii="宋体" w:hAnsi="宋体" w:eastAsia="宋体" w:cs="宋体"/>
                <w:bCs/>
                <w:color w:val="auto"/>
                <w:sz w:val="24"/>
                <w:szCs w:val="24"/>
                <w:highlight w:val="none"/>
              </w:rPr>
              <w:t>3</w:t>
            </w:r>
          </w:p>
        </w:tc>
        <w:tc>
          <w:tcPr>
            <w:tcW w:w="1692" w:type="dxa"/>
            <w:noWrap w:val="0"/>
            <w:vAlign w:val="center"/>
          </w:tcPr>
          <w:p w14:paraId="3BF97B15">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bCs/>
                <w:color w:val="auto"/>
                <w:kern w:val="15"/>
                <w:sz w:val="24"/>
                <w:szCs w:val="24"/>
                <w:highlight w:val="none"/>
              </w:rPr>
            </w:pPr>
            <w:r>
              <w:rPr>
                <w:rFonts w:hint="eastAsia" w:ascii="宋体" w:hAnsi="宋体" w:eastAsia="宋体" w:cs="宋体"/>
                <w:bCs/>
                <w:color w:val="auto"/>
                <w:kern w:val="15"/>
                <w:sz w:val="24"/>
                <w:szCs w:val="24"/>
                <w:highlight w:val="none"/>
              </w:rPr>
              <w:t>招标代理服务费</w:t>
            </w:r>
          </w:p>
        </w:tc>
        <w:tc>
          <w:tcPr>
            <w:tcW w:w="7050" w:type="dxa"/>
            <w:noWrap w:val="0"/>
            <w:vAlign w:val="top"/>
          </w:tcPr>
          <w:p w14:paraId="1409BB15">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按照国家发展计划委员会“发改价格【2015】299号”文要求</w:t>
            </w:r>
            <w:r>
              <w:rPr>
                <w:rFonts w:hint="eastAsia" w:ascii="宋体" w:hAnsi="宋体" w:eastAsia="宋体" w:cs="宋体"/>
                <w:bCs/>
                <w:color w:val="auto"/>
                <w:kern w:val="0"/>
                <w:sz w:val="24"/>
                <w:szCs w:val="24"/>
                <w:highlight w:val="none"/>
                <w:lang w:eastAsia="zh-CN"/>
              </w:rPr>
              <w:t>，</w:t>
            </w:r>
            <w:r>
              <w:rPr>
                <w:rFonts w:hint="eastAsia" w:ascii="宋体" w:hAnsi="宋体" w:cs="宋体"/>
                <w:bCs/>
                <w:color w:val="auto"/>
                <w:kern w:val="0"/>
                <w:sz w:val="24"/>
                <w:szCs w:val="24"/>
                <w:highlight w:val="none"/>
                <w:lang w:val="en-US" w:eastAsia="zh-CN"/>
              </w:rPr>
              <w:t>按</w:t>
            </w:r>
            <w:r>
              <w:rPr>
                <w:rFonts w:hint="eastAsia" w:ascii="宋体" w:hAnsi="宋体" w:eastAsia="宋体" w:cs="宋体"/>
                <w:bCs/>
                <w:color w:val="auto"/>
                <w:kern w:val="0"/>
                <w:sz w:val="24"/>
                <w:szCs w:val="24"/>
                <w:highlight w:val="none"/>
                <w:lang w:val="en-US" w:eastAsia="zh-CN"/>
              </w:rPr>
              <w:t>中标金额</w:t>
            </w:r>
            <w:r>
              <w:rPr>
                <w:rFonts w:hint="eastAsia" w:ascii="宋体" w:hAnsi="宋体" w:cs="宋体"/>
                <w:bCs/>
                <w:color w:val="auto"/>
                <w:kern w:val="0"/>
                <w:sz w:val="24"/>
                <w:szCs w:val="24"/>
                <w:highlight w:val="none"/>
                <w:lang w:val="en-US" w:eastAsia="zh-CN"/>
              </w:rPr>
              <w:t>的2%执行六折优惠</w:t>
            </w:r>
            <w:r>
              <w:rPr>
                <w:rFonts w:hint="eastAsia" w:ascii="宋体" w:hAnsi="宋体" w:eastAsia="宋体" w:cs="宋体"/>
                <w:bCs/>
                <w:color w:val="auto"/>
                <w:kern w:val="0"/>
                <w:sz w:val="24"/>
                <w:szCs w:val="24"/>
                <w:highlight w:val="none"/>
                <w:lang w:eastAsia="zh-CN"/>
              </w:rPr>
              <w:t>，</w:t>
            </w:r>
            <w:r>
              <w:rPr>
                <w:rFonts w:hint="eastAsia" w:ascii="宋体" w:hAnsi="宋体" w:cs="宋体"/>
                <w:bCs/>
                <w:color w:val="auto"/>
                <w:kern w:val="0"/>
                <w:sz w:val="24"/>
                <w:szCs w:val="24"/>
                <w:highlight w:val="none"/>
                <w:lang w:eastAsia="zh-CN"/>
              </w:rPr>
              <w:t>于</w:t>
            </w:r>
            <w:r>
              <w:rPr>
                <w:rFonts w:hint="eastAsia" w:ascii="宋体" w:hAnsi="宋体" w:eastAsia="宋体" w:cs="宋体"/>
                <w:bCs/>
                <w:color w:val="auto"/>
                <w:kern w:val="0"/>
                <w:sz w:val="24"/>
                <w:szCs w:val="24"/>
                <w:highlight w:val="none"/>
                <w:lang w:val="zh-CN" w:eastAsia="zh-CN"/>
              </w:rPr>
              <w:t>中标结果公示期结束后</w:t>
            </w:r>
            <w:r>
              <w:rPr>
                <w:rFonts w:hint="eastAsia" w:ascii="宋体" w:hAnsi="宋体" w:cs="宋体"/>
                <w:bCs/>
                <w:color w:val="auto"/>
                <w:kern w:val="0"/>
                <w:sz w:val="24"/>
                <w:szCs w:val="24"/>
                <w:highlight w:val="none"/>
                <w:lang w:val="en-US" w:eastAsia="zh-CN"/>
              </w:rPr>
              <w:t>向中标人收取。</w:t>
            </w:r>
          </w:p>
        </w:tc>
      </w:tr>
      <w:tr w14:paraId="17D864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222" w:type="dxa"/>
            <w:noWrap w:val="0"/>
            <w:vAlign w:val="center"/>
          </w:tcPr>
          <w:p w14:paraId="671BA5F5">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zh-CN"/>
              </w:rPr>
              <w:t>10.</w:t>
            </w:r>
            <w:r>
              <w:rPr>
                <w:rFonts w:hint="eastAsia" w:ascii="宋体" w:hAnsi="宋体" w:eastAsia="宋体" w:cs="宋体"/>
                <w:bCs/>
                <w:color w:val="auto"/>
                <w:sz w:val="24"/>
                <w:szCs w:val="24"/>
                <w:highlight w:val="none"/>
              </w:rPr>
              <w:t>4</w:t>
            </w:r>
          </w:p>
        </w:tc>
        <w:tc>
          <w:tcPr>
            <w:tcW w:w="1692" w:type="dxa"/>
            <w:noWrap w:val="0"/>
            <w:vAlign w:val="center"/>
          </w:tcPr>
          <w:p w14:paraId="29681A7E">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代表出席开标会</w:t>
            </w:r>
          </w:p>
        </w:tc>
        <w:tc>
          <w:tcPr>
            <w:tcW w:w="7050" w:type="dxa"/>
            <w:noWrap w:val="0"/>
            <w:vAlign w:val="center"/>
          </w:tcPr>
          <w:p w14:paraId="39756EDA">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2"/>
                <w:sz w:val="24"/>
                <w:szCs w:val="24"/>
                <w:highlight w:val="none"/>
                <w:lang w:val="zh-CN"/>
              </w:rPr>
              <w:t>按照本须知的规定，采购人邀请所有</w:t>
            </w:r>
            <w:r>
              <w:rPr>
                <w:rFonts w:hint="eastAsia" w:ascii="宋体" w:hAnsi="宋体" w:cs="宋体"/>
                <w:bCs/>
                <w:color w:val="auto"/>
                <w:kern w:val="2"/>
                <w:sz w:val="24"/>
                <w:szCs w:val="24"/>
                <w:highlight w:val="none"/>
                <w:lang w:val="zh-CN"/>
              </w:rPr>
              <w:t>投标人</w:t>
            </w:r>
            <w:r>
              <w:rPr>
                <w:rFonts w:hint="eastAsia" w:ascii="宋体" w:hAnsi="宋体" w:eastAsia="宋体" w:cs="宋体"/>
                <w:bCs/>
                <w:color w:val="auto"/>
                <w:kern w:val="2"/>
                <w:sz w:val="24"/>
                <w:szCs w:val="24"/>
                <w:highlight w:val="none"/>
                <w:lang w:val="zh-CN"/>
              </w:rPr>
              <w:t>的法定代表人或其委托代理人参加网上开标会。</w:t>
            </w:r>
          </w:p>
        </w:tc>
      </w:tr>
      <w:tr w14:paraId="1EF3A0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222" w:type="dxa"/>
            <w:noWrap w:val="0"/>
            <w:vAlign w:val="center"/>
          </w:tcPr>
          <w:p w14:paraId="3CAA35C8">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zh-CN"/>
              </w:rPr>
              <w:t>10.</w:t>
            </w:r>
            <w:r>
              <w:rPr>
                <w:rFonts w:hint="eastAsia" w:ascii="宋体" w:hAnsi="宋体" w:eastAsia="宋体" w:cs="宋体"/>
                <w:bCs/>
                <w:color w:val="auto"/>
                <w:sz w:val="24"/>
                <w:szCs w:val="24"/>
                <w:highlight w:val="none"/>
              </w:rPr>
              <w:t>5</w:t>
            </w:r>
          </w:p>
        </w:tc>
        <w:tc>
          <w:tcPr>
            <w:tcW w:w="1692" w:type="dxa"/>
            <w:noWrap w:val="0"/>
            <w:vAlign w:val="center"/>
          </w:tcPr>
          <w:p w14:paraId="406865CB">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000000" w:themeColor="text1"/>
                <w:sz w:val="24"/>
                <w:szCs w:val="24"/>
                <w:highlight w:val="none"/>
                <w:lang w:val="zh-CN"/>
                <w14:textFill>
                  <w14:solidFill>
                    <w14:schemeClr w14:val="tx1"/>
                  </w14:solidFill>
                </w14:textFill>
              </w:rPr>
            </w:pPr>
            <w:r>
              <w:rPr>
                <w:rFonts w:hint="eastAsia" w:ascii="宋体" w:hAnsi="宋体" w:eastAsia="宋体" w:cs="宋体"/>
                <w:bCs/>
                <w:color w:val="000000" w:themeColor="text1"/>
                <w:sz w:val="24"/>
                <w:szCs w:val="24"/>
                <w:highlight w:val="none"/>
                <w:lang w:val="zh-CN"/>
                <w14:textFill>
                  <w14:solidFill>
                    <w14:schemeClr w14:val="tx1"/>
                  </w14:solidFill>
                </w14:textFill>
              </w:rPr>
              <w:t>付款方式</w:t>
            </w:r>
          </w:p>
        </w:tc>
        <w:tc>
          <w:tcPr>
            <w:tcW w:w="7050" w:type="dxa"/>
            <w:noWrap w:val="0"/>
            <w:vAlign w:val="center"/>
          </w:tcPr>
          <w:p w14:paraId="0E0905DB">
            <w:pPr>
              <w:keepNext w:val="0"/>
              <w:keepLines w:val="0"/>
              <w:pageBreakBefore w:val="0"/>
              <w:widowControl w:val="0"/>
              <w:kinsoku/>
              <w:wordWrap w:val="0"/>
              <w:overflowPunct/>
              <w:topLinePunct w:val="0"/>
              <w:autoSpaceDE/>
              <w:autoSpaceDN/>
              <w:bidi w:val="0"/>
              <w:adjustRightInd w:val="0"/>
              <w:spacing w:line="440" w:lineRule="exact"/>
              <w:textAlignment w:val="auto"/>
              <w:rPr>
                <w:rFonts w:hint="default" w:ascii="宋体" w:hAnsi="宋体" w:eastAsia="宋体" w:cs="宋体"/>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Cs/>
                <w:color w:val="auto"/>
                <w:kern w:val="2"/>
                <w:sz w:val="24"/>
                <w:szCs w:val="24"/>
                <w:highlight w:val="none"/>
                <w:lang w:val="zh-CN"/>
              </w:rPr>
              <w:t>货物验收合格后，按照合同约定</w:t>
            </w:r>
            <w:r>
              <w:rPr>
                <w:rFonts w:hint="eastAsia" w:ascii="宋体" w:hAnsi="宋体" w:eastAsia="宋体" w:cs="宋体"/>
                <w:bCs/>
                <w:color w:val="auto"/>
                <w:kern w:val="2"/>
                <w:sz w:val="24"/>
                <w:szCs w:val="24"/>
                <w:highlight w:val="none"/>
                <w:lang w:val="zh-CN" w:eastAsia="zh-CN"/>
              </w:rPr>
              <w:t>付款</w:t>
            </w:r>
            <w:r>
              <w:rPr>
                <w:rFonts w:hint="eastAsia" w:ascii="宋体" w:hAnsi="宋体" w:eastAsia="宋体" w:cs="宋体"/>
                <w:bCs/>
                <w:color w:val="auto"/>
                <w:kern w:val="2"/>
                <w:sz w:val="24"/>
                <w:szCs w:val="24"/>
                <w:highlight w:val="none"/>
                <w:lang w:val="zh-CN"/>
              </w:rPr>
              <w:t>。</w:t>
            </w:r>
          </w:p>
        </w:tc>
      </w:tr>
      <w:tr w14:paraId="6B8811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222" w:type="dxa"/>
            <w:noWrap w:val="0"/>
            <w:vAlign w:val="center"/>
          </w:tcPr>
          <w:p w14:paraId="131FF003">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val="zh-CN"/>
              </w:rPr>
              <w:t>10.</w:t>
            </w:r>
            <w:r>
              <w:rPr>
                <w:rFonts w:hint="eastAsia" w:ascii="宋体" w:hAnsi="宋体" w:cs="宋体"/>
                <w:bCs/>
                <w:color w:val="auto"/>
                <w:sz w:val="24"/>
                <w:szCs w:val="24"/>
                <w:highlight w:val="none"/>
                <w:lang w:val="en-US" w:eastAsia="zh-CN"/>
              </w:rPr>
              <w:t>6</w:t>
            </w:r>
          </w:p>
        </w:tc>
        <w:tc>
          <w:tcPr>
            <w:tcW w:w="1692" w:type="dxa"/>
            <w:noWrap w:val="0"/>
            <w:vAlign w:val="center"/>
          </w:tcPr>
          <w:p w14:paraId="0DC5C8FD">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val="zh-CN" w:eastAsia="zh-CN"/>
              </w:rPr>
            </w:pPr>
            <w:r>
              <w:rPr>
                <w:rFonts w:hint="eastAsia" w:ascii="宋体" w:hAnsi="宋体" w:cs="宋体"/>
                <w:bCs/>
                <w:color w:val="auto"/>
                <w:sz w:val="24"/>
                <w:szCs w:val="24"/>
                <w:highlight w:val="none"/>
                <w:lang w:val="en-US" w:eastAsia="zh-CN"/>
              </w:rPr>
              <w:t>质保期</w:t>
            </w:r>
          </w:p>
        </w:tc>
        <w:tc>
          <w:tcPr>
            <w:tcW w:w="7050" w:type="dxa"/>
            <w:noWrap w:val="0"/>
            <w:vAlign w:val="center"/>
          </w:tcPr>
          <w:p w14:paraId="28E66A60">
            <w:pPr>
              <w:keepNext w:val="0"/>
              <w:keepLines w:val="0"/>
              <w:pageBreakBefore w:val="0"/>
              <w:widowControl w:val="0"/>
              <w:kinsoku/>
              <w:wordWrap w:val="0"/>
              <w:overflowPunct/>
              <w:topLinePunct w:val="0"/>
              <w:autoSpaceDE/>
              <w:autoSpaceDN/>
              <w:bidi w:val="0"/>
              <w:adjustRightInd w:val="0"/>
              <w:spacing w:line="440" w:lineRule="exact"/>
              <w:textAlignment w:val="auto"/>
              <w:rPr>
                <w:rFonts w:hint="eastAsia" w:ascii="宋体" w:hAnsi="宋体" w:eastAsia="宋体" w:cs="宋体"/>
                <w:bCs/>
                <w:color w:val="auto"/>
                <w:sz w:val="24"/>
                <w:szCs w:val="24"/>
                <w:highlight w:val="none"/>
                <w:lang w:val="zh-CN" w:eastAsia="zh-CN"/>
              </w:rPr>
            </w:pPr>
            <w:r>
              <w:rPr>
                <w:rFonts w:hint="eastAsia" w:ascii="宋体" w:hAnsi="宋体" w:eastAsia="宋体" w:cs="宋体"/>
                <w:bCs/>
                <w:color w:val="auto"/>
                <w:sz w:val="24"/>
                <w:szCs w:val="24"/>
                <w:highlight w:val="none"/>
                <w:lang w:val="zh-CN" w:eastAsia="zh-CN"/>
              </w:rPr>
              <w:t>自货物验收合格之日起 3 年。</w:t>
            </w:r>
          </w:p>
        </w:tc>
      </w:tr>
      <w:tr w14:paraId="7CF8F5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222" w:type="dxa"/>
            <w:tcBorders>
              <w:top w:val="single" w:color="auto" w:sz="4" w:space="0"/>
              <w:left w:val="single" w:color="auto" w:sz="4" w:space="0"/>
              <w:bottom w:val="single" w:color="auto" w:sz="4" w:space="0"/>
              <w:right w:val="single" w:color="auto" w:sz="4" w:space="0"/>
            </w:tcBorders>
            <w:noWrap w:val="0"/>
            <w:vAlign w:val="center"/>
          </w:tcPr>
          <w:p w14:paraId="11D8E822">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val="zh-CN"/>
              </w:rPr>
              <w:t>10.</w:t>
            </w:r>
            <w:r>
              <w:rPr>
                <w:rFonts w:hint="eastAsia" w:ascii="宋体" w:hAnsi="宋体" w:cs="宋体"/>
                <w:bCs/>
                <w:color w:val="auto"/>
                <w:sz w:val="24"/>
                <w:szCs w:val="24"/>
                <w:highlight w:val="none"/>
                <w:lang w:val="en-US" w:eastAsia="zh-CN"/>
              </w:rPr>
              <w:t>7</w:t>
            </w:r>
          </w:p>
        </w:tc>
        <w:tc>
          <w:tcPr>
            <w:tcW w:w="1692" w:type="dxa"/>
            <w:tcBorders>
              <w:top w:val="single" w:color="auto" w:sz="4" w:space="0"/>
              <w:left w:val="single" w:color="auto" w:sz="4" w:space="0"/>
              <w:bottom w:val="single" w:color="auto" w:sz="4" w:space="0"/>
              <w:right w:val="single" w:color="auto" w:sz="4" w:space="0"/>
            </w:tcBorders>
            <w:noWrap w:val="0"/>
            <w:vAlign w:val="center"/>
          </w:tcPr>
          <w:p w14:paraId="0C7A0B6C">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供应商</w:t>
            </w:r>
            <w:r>
              <w:rPr>
                <w:rFonts w:hint="eastAsia" w:ascii="宋体" w:hAnsi="宋体" w:cs="宋体"/>
                <w:bCs/>
                <w:color w:val="auto"/>
                <w:sz w:val="24"/>
                <w:szCs w:val="24"/>
                <w:highlight w:val="none"/>
                <w:lang w:val="en-US" w:eastAsia="zh-CN"/>
              </w:rPr>
              <w:t>投标无效</w:t>
            </w:r>
            <w:r>
              <w:rPr>
                <w:rFonts w:hint="eastAsia" w:ascii="宋体" w:hAnsi="宋体" w:eastAsia="宋体" w:cs="宋体"/>
                <w:bCs/>
                <w:color w:val="auto"/>
                <w:sz w:val="24"/>
                <w:szCs w:val="24"/>
                <w:highlight w:val="none"/>
                <w:lang w:val="zh-CN"/>
              </w:rPr>
              <w:t>说明</w:t>
            </w:r>
          </w:p>
        </w:tc>
        <w:tc>
          <w:tcPr>
            <w:tcW w:w="7050" w:type="dxa"/>
            <w:tcBorders>
              <w:top w:val="single" w:color="auto" w:sz="4" w:space="0"/>
              <w:left w:val="single" w:color="auto" w:sz="4" w:space="0"/>
              <w:bottom w:val="single" w:color="auto" w:sz="4" w:space="0"/>
              <w:right w:val="single" w:color="auto" w:sz="4" w:space="0"/>
            </w:tcBorders>
            <w:noWrap w:val="0"/>
            <w:vAlign w:val="center"/>
          </w:tcPr>
          <w:p w14:paraId="734D44F0">
            <w:pPr>
              <w:wordWrap w:val="0"/>
              <w:adjustRightInd w:val="0"/>
              <w:spacing w:line="440" w:lineRule="exact"/>
              <w:rPr>
                <w:rFonts w:hint="eastAsia" w:ascii="宋体" w:hAnsi="宋体" w:cs="宋体"/>
                <w:bCs/>
                <w:color w:val="auto"/>
                <w:sz w:val="24"/>
                <w:szCs w:val="24"/>
                <w:highlight w:val="none"/>
                <w:lang w:val="zh-CN"/>
              </w:rPr>
            </w:pPr>
            <w:r>
              <w:rPr>
                <w:rFonts w:hint="eastAsia" w:ascii="宋体" w:hAnsi="宋体" w:cs="宋体"/>
                <w:bCs/>
                <w:color w:val="auto"/>
                <w:sz w:val="24"/>
                <w:szCs w:val="24"/>
                <w:highlight w:val="none"/>
                <w:lang w:val="zh-CN"/>
              </w:rPr>
              <w:t>1、供应商需在开标前将</w:t>
            </w:r>
            <w:r>
              <w:rPr>
                <w:rFonts w:hint="eastAsia" w:ascii="宋体" w:hAnsi="宋体" w:cs="宋体"/>
                <w:bCs/>
                <w:color w:val="auto"/>
                <w:sz w:val="24"/>
                <w:szCs w:val="24"/>
                <w:highlight w:val="none"/>
                <w:lang w:val="en-US" w:eastAsia="zh-CN"/>
              </w:rPr>
              <w:t>投标</w:t>
            </w:r>
            <w:r>
              <w:rPr>
                <w:rFonts w:hint="eastAsia" w:ascii="宋体" w:hAnsi="宋体" w:cs="宋体"/>
                <w:bCs/>
                <w:color w:val="auto"/>
                <w:sz w:val="24"/>
                <w:szCs w:val="24"/>
                <w:highlight w:val="none"/>
                <w:lang w:val="zh-CN"/>
              </w:rPr>
              <w:t>文件制作工具生成的加密文件上传到政府采购云平台（网址：http://www.zcygov.cn）。</w:t>
            </w:r>
          </w:p>
          <w:p w14:paraId="29CAEB53">
            <w:pPr>
              <w:wordWrap w:val="0"/>
              <w:adjustRightInd w:val="0"/>
              <w:snapToGrid w:val="0"/>
              <w:spacing w:line="440" w:lineRule="exact"/>
              <w:rPr>
                <w:rFonts w:hint="eastAsia" w:ascii="宋体" w:hAnsi="宋体" w:cs="宋体"/>
                <w:bCs/>
                <w:color w:val="auto"/>
                <w:sz w:val="24"/>
                <w:szCs w:val="24"/>
                <w:highlight w:val="none"/>
                <w:lang w:val="zh-CN"/>
              </w:rPr>
            </w:pPr>
            <w:r>
              <w:rPr>
                <w:rFonts w:hint="eastAsia" w:ascii="宋体" w:hAnsi="宋体" w:cs="宋体"/>
                <w:bCs/>
                <w:color w:val="auto"/>
                <w:sz w:val="24"/>
                <w:szCs w:val="24"/>
                <w:highlight w:val="none"/>
                <w:lang w:val="zh-CN"/>
              </w:rPr>
              <w:t>2、开标时，供应商需用生成最终</w:t>
            </w:r>
            <w:r>
              <w:rPr>
                <w:rFonts w:hint="eastAsia" w:ascii="宋体" w:hAnsi="宋体" w:cs="宋体"/>
                <w:bCs/>
                <w:color w:val="auto"/>
                <w:sz w:val="24"/>
                <w:szCs w:val="24"/>
                <w:highlight w:val="none"/>
                <w:lang w:val="en-US" w:eastAsia="zh-CN"/>
              </w:rPr>
              <w:t>投标</w:t>
            </w:r>
            <w:r>
              <w:rPr>
                <w:rFonts w:hint="eastAsia" w:ascii="宋体" w:hAnsi="宋体" w:cs="宋体"/>
                <w:bCs/>
                <w:color w:val="auto"/>
                <w:sz w:val="24"/>
                <w:szCs w:val="24"/>
                <w:highlight w:val="none"/>
                <w:lang w:val="zh-CN"/>
              </w:rPr>
              <w:t>文件所使用的ca锁，以防</w:t>
            </w:r>
            <w:r>
              <w:rPr>
                <w:rFonts w:hint="eastAsia" w:ascii="宋体" w:hAnsi="宋体" w:cs="宋体"/>
                <w:bCs/>
                <w:color w:val="auto"/>
                <w:sz w:val="24"/>
                <w:szCs w:val="24"/>
                <w:highlight w:val="none"/>
              </w:rPr>
              <w:t>签到、</w:t>
            </w:r>
            <w:r>
              <w:rPr>
                <w:rFonts w:hint="eastAsia" w:ascii="宋体" w:hAnsi="宋体" w:cs="宋体"/>
                <w:bCs/>
                <w:color w:val="auto"/>
                <w:sz w:val="24"/>
                <w:szCs w:val="24"/>
                <w:highlight w:val="none"/>
                <w:lang w:val="zh-CN"/>
              </w:rPr>
              <w:t>解密失败。</w:t>
            </w:r>
          </w:p>
          <w:p w14:paraId="054ABF99">
            <w:pPr>
              <w:wordWrap w:val="0"/>
              <w:adjustRightInd w:val="0"/>
              <w:spacing w:line="440" w:lineRule="exact"/>
              <w:rPr>
                <w:rFonts w:hint="eastAsia" w:ascii="宋体" w:hAnsi="宋体" w:cs="宋体"/>
                <w:bCs/>
                <w:color w:val="auto"/>
                <w:sz w:val="24"/>
                <w:szCs w:val="24"/>
                <w:highlight w:val="none"/>
                <w:lang w:val="zh-CN"/>
              </w:rPr>
            </w:pPr>
            <w:r>
              <w:rPr>
                <w:rFonts w:hint="eastAsia" w:ascii="宋体" w:hAnsi="宋体" w:cs="宋体"/>
                <w:bCs/>
                <w:color w:val="auto"/>
                <w:sz w:val="24"/>
                <w:szCs w:val="24"/>
                <w:highlight w:val="none"/>
                <w:lang w:val="zh-CN"/>
              </w:rPr>
              <w:t>3、清标系统中，如电子</w:t>
            </w:r>
            <w:r>
              <w:rPr>
                <w:rFonts w:hint="eastAsia" w:ascii="宋体" w:hAnsi="宋体" w:cs="宋体"/>
                <w:bCs/>
                <w:color w:val="auto"/>
                <w:sz w:val="24"/>
                <w:szCs w:val="24"/>
                <w:highlight w:val="none"/>
                <w:lang w:val="en-US" w:eastAsia="zh-CN"/>
              </w:rPr>
              <w:t>投标</w:t>
            </w:r>
            <w:r>
              <w:rPr>
                <w:rFonts w:hint="eastAsia" w:ascii="宋体" w:hAnsi="宋体" w:cs="宋体"/>
                <w:bCs/>
                <w:color w:val="auto"/>
                <w:sz w:val="24"/>
                <w:szCs w:val="24"/>
                <w:highlight w:val="none"/>
                <w:lang w:val="zh-CN"/>
              </w:rPr>
              <w:t>文件的制作机器码、文件创建标识码一致均视为</w:t>
            </w:r>
            <w:r>
              <w:rPr>
                <w:rFonts w:hint="eastAsia" w:ascii="宋体" w:hAnsi="宋体" w:cs="宋体"/>
                <w:bCs/>
                <w:color w:val="auto"/>
                <w:sz w:val="24"/>
                <w:szCs w:val="24"/>
                <w:highlight w:val="none"/>
                <w:lang w:val="en-US" w:eastAsia="zh-CN"/>
              </w:rPr>
              <w:t>投标无效</w:t>
            </w:r>
            <w:r>
              <w:rPr>
                <w:rFonts w:hint="eastAsia" w:ascii="宋体" w:hAnsi="宋体" w:cs="宋体"/>
                <w:bCs/>
                <w:color w:val="auto"/>
                <w:sz w:val="24"/>
                <w:szCs w:val="24"/>
                <w:highlight w:val="none"/>
                <w:lang w:val="zh-CN"/>
              </w:rPr>
              <w:t>。</w:t>
            </w:r>
          </w:p>
          <w:p w14:paraId="3D2CC580">
            <w:pPr>
              <w:keepNext w:val="0"/>
              <w:keepLines w:val="0"/>
              <w:pageBreakBefore w:val="0"/>
              <w:widowControl w:val="0"/>
              <w:kinsoku/>
              <w:wordWrap w:val="0"/>
              <w:overflowPunct/>
              <w:topLinePunct w:val="0"/>
              <w:autoSpaceDE/>
              <w:autoSpaceDN/>
              <w:bidi w:val="0"/>
              <w:adjustRightInd w:val="0"/>
              <w:spacing w:line="440" w:lineRule="exact"/>
              <w:rPr>
                <w:rFonts w:hint="eastAsia" w:ascii="宋体" w:hAnsi="宋体" w:eastAsia="宋体" w:cs="宋体"/>
                <w:bCs/>
                <w:color w:val="auto"/>
                <w:sz w:val="24"/>
                <w:szCs w:val="24"/>
                <w:highlight w:val="none"/>
                <w:lang w:val="zh-CN"/>
              </w:rPr>
            </w:pPr>
            <w:r>
              <w:rPr>
                <w:rFonts w:hint="eastAsia" w:ascii="宋体" w:hAnsi="宋体" w:cs="宋体"/>
                <w:bCs/>
                <w:color w:val="auto"/>
                <w:sz w:val="24"/>
                <w:szCs w:val="24"/>
                <w:highlight w:val="none"/>
                <w:lang w:val="zh-CN"/>
              </w:rPr>
              <w:t>开评标过程中如因上述原因导致</w:t>
            </w:r>
            <w:r>
              <w:rPr>
                <w:rFonts w:hint="eastAsia" w:ascii="宋体" w:hAnsi="宋体" w:cs="宋体"/>
                <w:bCs/>
                <w:color w:val="auto"/>
                <w:sz w:val="24"/>
                <w:szCs w:val="24"/>
                <w:highlight w:val="none"/>
                <w:lang w:val="en-US" w:eastAsia="zh-CN"/>
              </w:rPr>
              <w:t>投标无效</w:t>
            </w:r>
            <w:r>
              <w:rPr>
                <w:rFonts w:hint="eastAsia" w:ascii="宋体" w:hAnsi="宋体" w:cs="宋体"/>
                <w:bCs/>
                <w:color w:val="auto"/>
                <w:sz w:val="24"/>
                <w:szCs w:val="24"/>
                <w:highlight w:val="none"/>
                <w:lang w:val="zh-CN"/>
              </w:rPr>
              <w:t>标，供应商自行承担后果。</w:t>
            </w:r>
          </w:p>
        </w:tc>
      </w:tr>
      <w:tr w14:paraId="48AF99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222" w:type="dxa"/>
            <w:tcBorders>
              <w:top w:val="single" w:color="auto" w:sz="4" w:space="0"/>
              <w:left w:val="single" w:color="auto" w:sz="4" w:space="0"/>
              <w:bottom w:val="single" w:color="auto" w:sz="4" w:space="0"/>
              <w:right w:val="single" w:color="auto" w:sz="4" w:space="0"/>
            </w:tcBorders>
            <w:noWrap w:val="0"/>
            <w:vAlign w:val="center"/>
          </w:tcPr>
          <w:p w14:paraId="452213B3">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val="zh-CN"/>
              </w:rPr>
              <w:t>10.</w:t>
            </w:r>
            <w:r>
              <w:rPr>
                <w:rFonts w:hint="eastAsia" w:ascii="宋体" w:hAnsi="宋体" w:cs="宋体"/>
                <w:bCs/>
                <w:color w:val="auto"/>
                <w:sz w:val="24"/>
                <w:szCs w:val="24"/>
                <w:highlight w:val="none"/>
                <w:lang w:val="en-US" w:eastAsia="zh-CN"/>
              </w:rPr>
              <w:t>8</w:t>
            </w:r>
          </w:p>
        </w:tc>
        <w:tc>
          <w:tcPr>
            <w:tcW w:w="1692" w:type="dxa"/>
            <w:tcBorders>
              <w:top w:val="single" w:color="auto" w:sz="4" w:space="0"/>
              <w:left w:val="single" w:color="auto" w:sz="4" w:space="0"/>
              <w:bottom w:val="single" w:color="auto" w:sz="4" w:space="0"/>
              <w:right w:val="single" w:color="auto" w:sz="4" w:space="0"/>
            </w:tcBorders>
            <w:noWrap w:val="0"/>
            <w:vAlign w:val="center"/>
          </w:tcPr>
          <w:p w14:paraId="4BD927AD">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电子招投标相关说明</w:t>
            </w:r>
          </w:p>
        </w:tc>
        <w:tc>
          <w:tcPr>
            <w:tcW w:w="7050" w:type="dxa"/>
            <w:tcBorders>
              <w:top w:val="single" w:color="auto" w:sz="4" w:space="0"/>
              <w:left w:val="single" w:color="auto" w:sz="4" w:space="0"/>
              <w:bottom w:val="single" w:color="auto" w:sz="4" w:space="0"/>
              <w:right w:val="single" w:color="auto" w:sz="4" w:space="0"/>
            </w:tcBorders>
            <w:noWrap w:val="0"/>
            <w:vAlign w:val="center"/>
          </w:tcPr>
          <w:p w14:paraId="08C681A4">
            <w:pPr>
              <w:keepNext w:val="0"/>
              <w:keepLines w:val="0"/>
              <w:pageBreakBefore w:val="0"/>
              <w:widowControl w:val="0"/>
              <w:kinsoku/>
              <w:wordWrap w:val="0"/>
              <w:overflowPunct/>
              <w:topLinePunct w:val="0"/>
              <w:autoSpaceDE/>
              <w:autoSpaceDN/>
              <w:bidi w:val="0"/>
              <w:adjustRightInd w:val="0"/>
              <w:spacing w:line="440" w:lineRule="exact"/>
              <w:textAlignment w:val="auto"/>
              <w:rPr>
                <w:rFonts w:ascii="宋体" w:hAnsi="宋体" w:eastAsia="宋体" w:cs="宋体"/>
                <w:color w:val="auto"/>
                <w:sz w:val="24"/>
                <w:szCs w:val="24"/>
                <w:highlight w:val="none"/>
              </w:rPr>
            </w:pPr>
            <w:r>
              <w:rPr>
                <w:rFonts w:ascii="宋体" w:hAnsi="宋体" w:eastAsia="宋体" w:cs="宋体"/>
                <w:color w:val="auto"/>
                <w:sz w:val="24"/>
                <w:szCs w:val="24"/>
                <w:highlight w:val="none"/>
              </w:rPr>
              <w:t>本次招标实行不见面开标，具体要求如下：</w:t>
            </w:r>
          </w:p>
          <w:p w14:paraId="71068114">
            <w:pPr>
              <w:keepNext w:val="0"/>
              <w:keepLines w:val="0"/>
              <w:pageBreakBefore w:val="0"/>
              <w:widowControl w:val="0"/>
              <w:numPr>
                <w:ilvl w:val="0"/>
                <w:numId w:val="1"/>
              </w:numPr>
              <w:kinsoku/>
              <w:wordWrap w:val="0"/>
              <w:overflowPunct/>
              <w:topLinePunct w:val="0"/>
              <w:autoSpaceDE/>
              <w:autoSpaceDN/>
              <w:bidi w:val="0"/>
              <w:adjustRightInd w:val="0"/>
              <w:spacing w:line="440" w:lineRule="exact"/>
              <w:rPr>
                <w:rFonts w:ascii="宋体" w:hAnsi="宋体" w:eastAsia="宋体" w:cs="宋体"/>
                <w:color w:val="auto"/>
                <w:sz w:val="24"/>
                <w:szCs w:val="24"/>
                <w:highlight w:val="none"/>
              </w:rPr>
            </w:pPr>
            <w:r>
              <w:rPr>
                <w:rFonts w:ascii="宋体" w:hAnsi="宋体" w:eastAsia="宋体" w:cs="宋体"/>
                <w:color w:val="auto"/>
                <w:sz w:val="24"/>
                <w:szCs w:val="24"/>
                <w:highlight w:val="none"/>
              </w:rPr>
              <w:t xml:space="preserve">业务要求 </w:t>
            </w:r>
          </w:p>
          <w:p w14:paraId="768338DA">
            <w:pPr>
              <w:keepNext w:val="0"/>
              <w:keepLines w:val="0"/>
              <w:pageBreakBefore w:val="0"/>
              <w:widowControl w:val="0"/>
              <w:numPr>
                <w:ilvl w:val="0"/>
                <w:numId w:val="2"/>
              </w:numPr>
              <w:kinsoku/>
              <w:wordWrap w:val="0"/>
              <w:overflowPunct/>
              <w:topLinePunct w:val="0"/>
              <w:autoSpaceDE/>
              <w:autoSpaceDN/>
              <w:bidi w:val="0"/>
              <w:adjustRightInd w:val="0"/>
              <w:spacing w:line="440" w:lineRule="exact"/>
              <w:rPr>
                <w:rFonts w:ascii="宋体" w:hAnsi="宋体" w:eastAsia="宋体" w:cs="宋体"/>
                <w:color w:val="auto"/>
                <w:sz w:val="24"/>
                <w:szCs w:val="24"/>
                <w:highlight w:val="none"/>
              </w:rPr>
            </w:pPr>
            <w:r>
              <w:rPr>
                <w:rFonts w:ascii="宋体" w:hAnsi="宋体" w:eastAsia="宋体" w:cs="宋体"/>
                <w:color w:val="auto"/>
                <w:sz w:val="24"/>
                <w:szCs w:val="24"/>
                <w:highlight w:val="none"/>
              </w:rPr>
              <w:t>开标项目的时间均以国家授时中心发布的时间为准。</w:t>
            </w:r>
          </w:p>
          <w:p w14:paraId="5C9DEF48">
            <w:pPr>
              <w:keepNext w:val="0"/>
              <w:keepLines w:val="0"/>
              <w:pageBreakBefore w:val="0"/>
              <w:widowControl w:val="0"/>
              <w:numPr>
                <w:ilvl w:val="0"/>
                <w:numId w:val="2"/>
              </w:numPr>
              <w:kinsoku/>
              <w:wordWrap w:val="0"/>
              <w:overflowPunct/>
              <w:topLinePunct w:val="0"/>
              <w:autoSpaceDE/>
              <w:autoSpaceDN/>
              <w:bidi w:val="0"/>
              <w:adjustRightInd w:val="0"/>
              <w:spacing w:line="440" w:lineRule="exact"/>
              <w:ind w:left="0" w:leftChars="0" w:firstLine="0" w:firstLineChars="0"/>
              <w:rPr>
                <w:rFonts w:ascii="宋体" w:hAnsi="宋体" w:eastAsia="宋体" w:cs="宋体"/>
                <w:color w:val="auto"/>
                <w:sz w:val="24"/>
                <w:szCs w:val="24"/>
                <w:highlight w:val="none"/>
              </w:rPr>
            </w:pPr>
            <w:r>
              <w:rPr>
                <w:rFonts w:ascii="宋体" w:hAnsi="宋体" w:eastAsia="宋体" w:cs="宋体"/>
                <w:color w:val="auto"/>
                <w:sz w:val="24"/>
                <w:szCs w:val="24"/>
                <w:highlight w:val="none"/>
              </w:rPr>
              <w:t xml:space="preserve">政府采购云平台不见面开标系统适用进入政府采购云平台的政府采购项目。 </w:t>
            </w:r>
          </w:p>
          <w:p w14:paraId="1D62A67E">
            <w:pPr>
              <w:keepNext w:val="0"/>
              <w:keepLines w:val="0"/>
              <w:pageBreakBefore w:val="0"/>
              <w:widowControl w:val="0"/>
              <w:numPr>
                <w:ilvl w:val="0"/>
                <w:numId w:val="2"/>
              </w:numPr>
              <w:kinsoku/>
              <w:wordWrap w:val="0"/>
              <w:overflowPunct/>
              <w:topLinePunct w:val="0"/>
              <w:autoSpaceDE/>
              <w:autoSpaceDN/>
              <w:bidi w:val="0"/>
              <w:adjustRightInd w:val="0"/>
              <w:spacing w:line="440" w:lineRule="exact"/>
              <w:ind w:left="0" w:leftChars="0" w:firstLine="0" w:firstLineChars="0"/>
              <w:rPr>
                <w:rFonts w:ascii="宋体" w:hAnsi="宋体" w:eastAsia="宋体" w:cs="宋体"/>
                <w:color w:val="auto"/>
                <w:sz w:val="24"/>
                <w:szCs w:val="24"/>
                <w:highlight w:val="none"/>
              </w:rPr>
            </w:pPr>
            <w:r>
              <w:rPr>
                <w:rFonts w:ascii="宋体" w:hAnsi="宋体" w:eastAsia="宋体" w:cs="宋体"/>
                <w:color w:val="auto"/>
                <w:sz w:val="24"/>
                <w:szCs w:val="24"/>
                <w:highlight w:val="none"/>
              </w:rPr>
              <w:t>通过该系统完成投标过程。依照</w:t>
            </w:r>
            <w:r>
              <w:rPr>
                <w:rFonts w:hint="eastAsia" w:ascii="宋体" w:hAnsi="宋体" w:cs="宋体"/>
                <w:color w:val="auto"/>
                <w:sz w:val="24"/>
                <w:szCs w:val="24"/>
                <w:highlight w:val="none"/>
                <w:lang w:eastAsia="zh-CN"/>
              </w:rPr>
              <w:t>招标文件</w:t>
            </w:r>
            <w:r>
              <w:rPr>
                <w:rFonts w:ascii="宋体" w:hAnsi="宋体" w:eastAsia="宋体" w:cs="宋体"/>
                <w:color w:val="auto"/>
                <w:sz w:val="24"/>
                <w:szCs w:val="24"/>
                <w:highlight w:val="none"/>
              </w:rPr>
              <w:t>的规定完成电子投标文件的编制和提交。如未按</w:t>
            </w:r>
            <w:r>
              <w:rPr>
                <w:rFonts w:hint="eastAsia" w:ascii="宋体" w:hAnsi="宋体" w:cs="宋体"/>
                <w:color w:val="auto"/>
                <w:sz w:val="24"/>
                <w:szCs w:val="24"/>
                <w:highlight w:val="none"/>
                <w:lang w:eastAsia="zh-CN"/>
              </w:rPr>
              <w:t>招标文件</w:t>
            </w:r>
            <w:r>
              <w:rPr>
                <w:rFonts w:ascii="宋体" w:hAnsi="宋体" w:eastAsia="宋体" w:cs="宋体"/>
                <w:color w:val="auto"/>
                <w:sz w:val="24"/>
                <w:szCs w:val="24"/>
                <w:highlight w:val="none"/>
              </w:rPr>
              <w:t>要求编制、提交电子投标文件，将可能导致否决投标，其后果由投标人自负。</w:t>
            </w:r>
          </w:p>
          <w:p w14:paraId="4474C246">
            <w:pPr>
              <w:keepNext w:val="0"/>
              <w:keepLines w:val="0"/>
              <w:pageBreakBefore w:val="0"/>
              <w:widowControl w:val="0"/>
              <w:numPr>
                <w:ilvl w:val="0"/>
                <w:numId w:val="2"/>
              </w:numPr>
              <w:kinsoku/>
              <w:wordWrap w:val="0"/>
              <w:overflowPunct/>
              <w:topLinePunct w:val="0"/>
              <w:autoSpaceDE/>
              <w:autoSpaceDN/>
              <w:bidi w:val="0"/>
              <w:adjustRightInd w:val="0"/>
              <w:spacing w:line="440" w:lineRule="exact"/>
              <w:ind w:left="0" w:leftChars="0" w:firstLine="0" w:firstLineChars="0"/>
              <w:rPr>
                <w:rFonts w:ascii="宋体" w:hAnsi="宋体" w:eastAsia="宋体" w:cs="宋体"/>
                <w:color w:val="auto"/>
                <w:sz w:val="24"/>
                <w:szCs w:val="24"/>
                <w:highlight w:val="none"/>
              </w:rPr>
            </w:pPr>
            <w:r>
              <w:rPr>
                <w:rFonts w:ascii="宋体" w:hAnsi="宋体" w:eastAsia="宋体" w:cs="宋体"/>
                <w:color w:val="auto"/>
                <w:sz w:val="24"/>
                <w:szCs w:val="24"/>
                <w:highlight w:val="none"/>
              </w:rPr>
              <w:t>投标人应充分考虑到网络及系统平台可能存在的突发状况，在投标文件编制完成后尽早完成上传。</w:t>
            </w:r>
          </w:p>
          <w:p w14:paraId="3D0CE824">
            <w:pPr>
              <w:keepNext w:val="0"/>
              <w:keepLines w:val="0"/>
              <w:pageBreakBefore w:val="0"/>
              <w:widowControl w:val="0"/>
              <w:numPr>
                <w:ilvl w:val="0"/>
                <w:numId w:val="2"/>
              </w:numPr>
              <w:kinsoku/>
              <w:wordWrap w:val="0"/>
              <w:overflowPunct/>
              <w:topLinePunct w:val="0"/>
              <w:autoSpaceDE/>
              <w:autoSpaceDN/>
              <w:bidi w:val="0"/>
              <w:adjustRightInd w:val="0"/>
              <w:spacing w:line="440" w:lineRule="exact"/>
              <w:ind w:left="0" w:leftChars="0" w:firstLine="0" w:firstLineChars="0"/>
              <w:rPr>
                <w:rFonts w:ascii="宋体" w:hAnsi="宋体" w:eastAsia="宋体" w:cs="宋体"/>
                <w:color w:val="auto"/>
                <w:sz w:val="24"/>
                <w:szCs w:val="24"/>
                <w:highlight w:val="none"/>
              </w:rPr>
            </w:pPr>
            <w:r>
              <w:rPr>
                <w:rFonts w:ascii="宋体" w:hAnsi="宋体" w:eastAsia="宋体" w:cs="宋体"/>
                <w:color w:val="auto"/>
                <w:sz w:val="24"/>
                <w:szCs w:val="24"/>
                <w:highlight w:val="none"/>
              </w:rPr>
              <w:t>投标文件提交截止时间前，采购人或招标代理提前进入政府采购云平台（网址：http:// www.zcygov.cn）不见面开标系统，播放测试音频，各投标人提前进入该系统(网址http://www.zcygov.cn），实时观看音视频交互效果并及时在系统互动区反馈，未按时加入系统互动区并完成登录操作的或未能在开标会议区内全程参与交互的，视为放弃交互和放弃对开评标全过程质疑的权利，投标人将无法看到解密指令、否决投标及澄清、唱标等实时情况，并承担由此产生的一切后果。</w:t>
            </w:r>
          </w:p>
          <w:p w14:paraId="358F54EE">
            <w:pPr>
              <w:keepNext w:val="0"/>
              <w:keepLines w:val="0"/>
              <w:pageBreakBefore w:val="0"/>
              <w:widowControl w:val="0"/>
              <w:numPr>
                <w:ilvl w:val="0"/>
                <w:numId w:val="2"/>
              </w:numPr>
              <w:kinsoku/>
              <w:wordWrap w:val="0"/>
              <w:overflowPunct/>
              <w:topLinePunct w:val="0"/>
              <w:autoSpaceDE/>
              <w:autoSpaceDN/>
              <w:bidi w:val="0"/>
              <w:adjustRightInd w:val="0"/>
              <w:spacing w:line="440" w:lineRule="exact"/>
              <w:ind w:left="0" w:leftChars="0" w:firstLine="0" w:firstLineChars="0"/>
              <w:rPr>
                <w:rFonts w:ascii="宋体" w:hAnsi="宋体" w:eastAsia="宋体" w:cs="宋体"/>
                <w:color w:val="auto"/>
                <w:sz w:val="24"/>
                <w:szCs w:val="24"/>
                <w:highlight w:val="none"/>
              </w:rPr>
            </w:pPr>
            <w:r>
              <w:rPr>
                <w:rFonts w:ascii="宋体" w:hAnsi="宋体" w:eastAsia="宋体" w:cs="宋体"/>
                <w:color w:val="auto"/>
                <w:sz w:val="24"/>
                <w:szCs w:val="24"/>
                <w:highlight w:val="none"/>
              </w:rPr>
              <w:t xml:space="preserve">投标文件提交截止时间后，通过系统互动区发出投标文件解密的指令，投标人在任意地点按规定时间自行实施远程解密，解密限定在规定时间内完成。 </w:t>
            </w:r>
          </w:p>
          <w:p w14:paraId="2BBD1E67">
            <w:pPr>
              <w:keepNext w:val="0"/>
              <w:keepLines w:val="0"/>
              <w:pageBreakBefore w:val="0"/>
              <w:widowControl w:val="0"/>
              <w:numPr>
                <w:ilvl w:val="0"/>
                <w:numId w:val="2"/>
              </w:numPr>
              <w:kinsoku/>
              <w:wordWrap w:val="0"/>
              <w:overflowPunct/>
              <w:topLinePunct w:val="0"/>
              <w:autoSpaceDE/>
              <w:autoSpaceDN/>
              <w:bidi w:val="0"/>
              <w:adjustRightInd w:val="0"/>
              <w:spacing w:line="440" w:lineRule="exact"/>
              <w:ind w:left="0" w:leftChars="0" w:firstLine="0" w:firstLineChars="0"/>
              <w:rPr>
                <w:rFonts w:ascii="宋体" w:hAnsi="宋体" w:eastAsia="宋体" w:cs="宋体"/>
                <w:color w:val="auto"/>
                <w:sz w:val="24"/>
                <w:szCs w:val="24"/>
                <w:highlight w:val="none"/>
              </w:rPr>
            </w:pPr>
            <w:r>
              <w:rPr>
                <w:rFonts w:ascii="宋体" w:hAnsi="宋体" w:eastAsia="宋体" w:cs="宋体"/>
                <w:color w:val="auto"/>
                <w:sz w:val="24"/>
                <w:szCs w:val="24"/>
                <w:highlight w:val="none"/>
              </w:rPr>
              <w:t>投标人必须使用能正确解密投标文件的CA 证书，在</w:t>
            </w:r>
            <w:r>
              <w:rPr>
                <w:rFonts w:hint="eastAsia" w:ascii="宋体" w:hAnsi="宋体" w:eastAsia="宋体" w:cs="宋体"/>
                <w:color w:val="auto"/>
                <w:sz w:val="24"/>
                <w:szCs w:val="24"/>
                <w:highlight w:val="none"/>
                <w:lang w:eastAsia="zh-CN"/>
              </w:rPr>
              <w:t>系统</w:t>
            </w:r>
            <w:r>
              <w:rPr>
                <w:rFonts w:ascii="宋体" w:hAnsi="宋体" w:eastAsia="宋体" w:cs="宋体"/>
                <w:color w:val="auto"/>
                <w:sz w:val="24"/>
                <w:szCs w:val="24"/>
                <w:highlight w:val="none"/>
              </w:rPr>
              <w:t xml:space="preserve">规定的时间内完成远程解密，因投标人原因未能解密、解密失败或解密超时，视为投标人撤销其投标文件；因采购人或系统原因，导致无法按时完成投标文件解密或开标、评标工作无法进行的，可根据实际情况相应延迟解密时间或调整开标、评标时间。 </w:t>
            </w:r>
          </w:p>
          <w:p w14:paraId="2DA3C9AF">
            <w:pPr>
              <w:keepNext w:val="0"/>
              <w:keepLines w:val="0"/>
              <w:pageBreakBefore w:val="0"/>
              <w:widowControl w:val="0"/>
              <w:numPr>
                <w:ilvl w:val="0"/>
                <w:numId w:val="2"/>
              </w:numPr>
              <w:kinsoku/>
              <w:wordWrap w:val="0"/>
              <w:overflowPunct/>
              <w:topLinePunct w:val="0"/>
              <w:autoSpaceDE/>
              <w:autoSpaceDN/>
              <w:bidi w:val="0"/>
              <w:adjustRightInd w:val="0"/>
              <w:spacing w:line="440" w:lineRule="exact"/>
              <w:ind w:left="0" w:leftChars="0" w:firstLine="0" w:firstLineChars="0"/>
              <w:rPr>
                <w:rFonts w:ascii="宋体" w:hAnsi="宋体" w:eastAsia="宋体" w:cs="宋体"/>
                <w:color w:val="auto"/>
                <w:sz w:val="24"/>
                <w:szCs w:val="24"/>
                <w:highlight w:val="none"/>
              </w:rPr>
            </w:pPr>
            <w:r>
              <w:rPr>
                <w:rFonts w:ascii="宋体" w:hAnsi="宋体" w:eastAsia="宋体" w:cs="宋体"/>
                <w:color w:val="auto"/>
                <w:sz w:val="24"/>
                <w:szCs w:val="24"/>
                <w:highlight w:val="none"/>
              </w:rPr>
              <w:t xml:space="preserve">开标当日，投标人不必抵达开标现场，仅需在任意地点通过政府采购云平台（网址：http:// www.zcygov.cn）不见面开标系统参加开标会议，并根据需要使用开标系统与现场采购人进行互动交流、澄清、质疑等活动。 </w:t>
            </w:r>
          </w:p>
          <w:p w14:paraId="49EC2401">
            <w:pPr>
              <w:keepNext w:val="0"/>
              <w:keepLines w:val="0"/>
              <w:pageBreakBefore w:val="0"/>
              <w:widowControl w:val="0"/>
              <w:numPr>
                <w:ilvl w:val="0"/>
                <w:numId w:val="2"/>
              </w:numPr>
              <w:kinsoku/>
              <w:wordWrap w:val="0"/>
              <w:overflowPunct/>
              <w:topLinePunct w:val="0"/>
              <w:autoSpaceDE/>
              <w:autoSpaceDN/>
              <w:bidi w:val="0"/>
              <w:adjustRightInd w:val="0"/>
              <w:spacing w:line="440" w:lineRule="exact"/>
              <w:ind w:left="0" w:leftChars="0" w:firstLine="0" w:firstLineChars="0"/>
              <w:rPr>
                <w:rFonts w:ascii="宋体" w:hAnsi="宋体" w:eastAsia="宋体" w:cs="宋体"/>
                <w:color w:val="auto"/>
                <w:sz w:val="24"/>
                <w:szCs w:val="24"/>
                <w:highlight w:val="none"/>
              </w:rPr>
            </w:pPr>
            <w:r>
              <w:rPr>
                <w:rFonts w:ascii="宋体" w:hAnsi="宋体" w:eastAsia="宋体" w:cs="宋体"/>
                <w:color w:val="auto"/>
                <w:sz w:val="24"/>
                <w:szCs w:val="24"/>
                <w:highlight w:val="none"/>
              </w:rPr>
              <w:t>开标、评标过程中，参与远程交互的各投标人应始终为同一个人，中途不得更换，在否决投标、澄清、质疑等特殊情况下需要交互时，投标人一端参与交互的人员只能是投标人的法定代表人或授权委托人（答辩等类似环节需要其他人员参与的除外），投标人不得以不承认交互人员的资格或身份等为借口推脱，投标人自行承担随意更换人员所导致的一切后果。</w:t>
            </w:r>
          </w:p>
          <w:p w14:paraId="1082FDFF">
            <w:pPr>
              <w:keepNext w:val="0"/>
              <w:keepLines w:val="0"/>
              <w:pageBreakBefore w:val="0"/>
              <w:widowControl w:val="0"/>
              <w:numPr>
                <w:ilvl w:val="0"/>
                <w:numId w:val="2"/>
              </w:numPr>
              <w:kinsoku/>
              <w:wordWrap w:val="0"/>
              <w:overflowPunct/>
              <w:topLinePunct w:val="0"/>
              <w:autoSpaceDE/>
              <w:autoSpaceDN/>
              <w:bidi w:val="0"/>
              <w:adjustRightInd w:val="0"/>
              <w:spacing w:line="440" w:lineRule="exact"/>
              <w:ind w:left="0" w:leftChars="0" w:firstLine="0" w:firstLineChars="0"/>
              <w:rPr>
                <w:rFonts w:ascii="宋体" w:hAnsi="宋体" w:eastAsia="宋体" w:cs="宋体"/>
                <w:color w:val="auto"/>
                <w:sz w:val="24"/>
                <w:szCs w:val="24"/>
                <w:highlight w:val="none"/>
              </w:rPr>
            </w:pPr>
            <w:r>
              <w:rPr>
                <w:rFonts w:ascii="宋体" w:hAnsi="宋体" w:eastAsia="宋体" w:cs="宋体"/>
                <w:color w:val="auto"/>
                <w:sz w:val="24"/>
                <w:szCs w:val="24"/>
                <w:highlight w:val="none"/>
              </w:rPr>
              <w:t>纸质投标文件的</w:t>
            </w:r>
            <w:r>
              <w:rPr>
                <w:rFonts w:hint="eastAsia" w:ascii="宋体" w:hAnsi="宋体" w:eastAsia="宋体" w:cs="宋体"/>
                <w:color w:val="auto"/>
                <w:sz w:val="24"/>
                <w:szCs w:val="24"/>
                <w:highlight w:val="none"/>
                <w:lang w:eastAsia="zh-CN"/>
              </w:rPr>
              <w:t>存档</w:t>
            </w:r>
            <w:r>
              <w:rPr>
                <w:rFonts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按照</w:t>
            </w:r>
            <w:r>
              <w:rPr>
                <w:rFonts w:ascii="宋体" w:hAnsi="宋体" w:eastAsia="宋体" w:cs="宋体"/>
                <w:color w:val="auto"/>
                <w:sz w:val="24"/>
                <w:szCs w:val="24"/>
                <w:highlight w:val="none"/>
              </w:rPr>
              <w:t>代理机构</w:t>
            </w:r>
            <w:r>
              <w:rPr>
                <w:rFonts w:hint="eastAsia" w:ascii="宋体" w:hAnsi="宋体" w:eastAsia="宋体" w:cs="宋体"/>
                <w:color w:val="auto"/>
                <w:sz w:val="24"/>
                <w:szCs w:val="24"/>
                <w:highlight w:val="none"/>
                <w:lang w:eastAsia="zh-CN"/>
              </w:rPr>
              <w:t>具体递交要求执行</w:t>
            </w:r>
            <w:r>
              <w:rPr>
                <w:rFonts w:ascii="宋体" w:hAnsi="宋体" w:eastAsia="宋体" w:cs="宋体"/>
                <w:color w:val="auto"/>
                <w:sz w:val="24"/>
                <w:szCs w:val="24"/>
                <w:highlight w:val="none"/>
              </w:rPr>
              <w:t>。</w:t>
            </w:r>
          </w:p>
          <w:p w14:paraId="459C0A1C">
            <w:pPr>
              <w:keepNext w:val="0"/>
              <w:keepLines w:val="0"/>
              <w:pageBreakBefore w:val="0"/>
              <w:widowControl w:val="0"/>
              <w:numPr>
                <w:ilvl w:val="0"/>
                <w:numId w:val="1"/>
              </w:numPr>
              <w:kinsoku/>
              <w:wordWrap w:val="0"/>
              <w:overflowPunct/>
              <w:topLinePunct w:val="0"/>
              <w:autoSpaceDE/>
              <w:autoSpaceDN/>
              <w:bidi w:val="0"/>
              <w:adjustRightInd w:val="0"/>
              <w:spacing w:line="440" w:lineRule="exact"/>
              <w:ind w:left="0" w:leftChars="0" w:firstLine="0" w:firstLineChars="0"/>
              <w:rPr>
                <w:rFonts w:ascii="宋体" w:hAnsi="宋体" w:eastAsia="宋体" w:cs="宋体"/>
                <w:color w:val="auto"/>
                <w:sz w:val="24"/>
                <w:szCs w:val="24"/>
                <w:highlight w:val="none"/>
              </w:rPr>
            </w:pPr>
            <w:r>
              <w:rPr>
                <w:rFonts w:ascii="宋体" w:hAnsi="宋体" w:eastAsia="宋体" w:cs="宋体"/>
                <w:color w:val="auto"/>
                <w:sz w:val="24"/>
                <w:szCs w:val="24"/>
                <w:highlight w:val="none"/>
              </w:rPr>
              <w:t xml:space="preserve">系统操作注意事项 </w:t>
            </w:r>
          </w:p>
          <w:p w14:paraId="0233116C">
            <w:pPr>
              <w:keepNext w:val="0"/>
              <w:keepLines w:val="0"/>
              <w:pageBreakBefore w:val="0"/>
              <w:widowControl w:val="0"/>
              <w:numPr>
                <w:ilvl w:val="0"/>
                <w:numId w:val="3"/>
              </w:numPr>
              <w:kinsoku/>
              <w:wordWrap w:val="0"/>
              <w:overflowPunct/>
              <w:topLinePunct w:val="0"/>
              <w:autoSpaceDE/>
              <w:autoSpaceDN/>
              <w:bidi w:val="0"/>
              <w:adjustRightInd w:val="0"/>
              <w:spacing w:line="440" w:lineRule="exact"/>
              <w:ind w:leftChars="0"/>
              <w:rPr>
                <w:rFonts w:ascii="宋体" w:hAnsi="宋体" w:eastAsia="宋体" w:cs="宋体"/>
                <w:color w:val="auto"/>
                <w:sz w:val="24"/>
                <w:szCs w:val="24"/>
                <w:highlight w:val="none"/>
              </w:rPr>
            </w:pPr>
            <w:r>
              <w:rPr>
                <w:rFonts w:ascii="宋体" w:hAnsi="宋体" w:eastAsia="宋体" w:cs="宋体"/>
                <w:color w:val="auto"/>
                <w:sz w:val="24"/>
                <w:szCs w:val="24"/>
                <w:highlight w:val="none"/>
              </w:rPr>
              <w:t xml:space="preserve">软硬件及网络要求 </w:t>
            </w:r>
          </w:p>
          <w:p w14:paraId="6A34DB8B">
            <w:pPr>
              <w:keepNext w:val="0"/>
              <w:keepLines w:val="0"/>
              <w:pageBreakBefore w:val="0"/>
              <w:widowControl w:val="0"/>
              <w:numPr>
                <w:ilvl w:val="0"/>
                <w:numId w:val="0"/>
              </w:numPr>
              <w:kinsoku/>
              <w:wordWrap w:val="0"/>
              <w:overflowPunct/>
              <w:topLinePunct w:val="0"/>
              <w:autoSpaceDE/>
              <w:autoSpaceDN/>
              <w:bidi w:val="0"/>
              <w:adjustRightInd w:val="0"/>
              <w:spacing w:line="440" w:lineRule="exact"/>
              <w:rPr>
                <w:rFonts w:hint="eastAsia" w:ascii="宋体" w:hAnsi="宋体" w:eastAsia="宋体" w:cs="宋体"/>
                <w:bCs/>
                <w:color w:val="auto"/>
                <w:sz w:val="24"/>
                <w:szCs w:val="24"/>
                <w:highlight w:val="none"/>
                <w:lang w:val="zh-CN"/>
              </w:rPr>
            </w:pPr>
            <w:r>
              <w:rPr>
                <w:rFonts w:ascii="宋体" w:hAnsi="宋体" w:eastAsia="宋体" w:cs="宋体"/>
                <w:color w:val="auto"/>
                <w:sz w:val="24"/>
                <w:szCs w:val="24"/>
                <w:highlight w:val="none"/>
              </w:rPr>
              <w:t>1.参与不见面开标电脑须安装有清晰可用的摄像头、音响和麦克风设备。 2.参与不见面开标电脑须安装正确驱动，可在不见面开标系统登录界面的驱动下载页面进行下载及后续安装。3.为更好实时查看不见面开标室现场，推荐使用20M 及以上网络宽带。 4.操作系统为 win7 或 win10 系统，IE10 版本及以上，运存≥4G （二）投标文件制作及上传说明 1.供应商在政府采购云平台网注册入库成为正式供应商后，在平台上按《政府采购项目电子交易管理操作指南-供应商》进行投标操作。投标人须办理数字证书方可参加投标。2.收到 CA 锁以后在“政采云”登陆界面，点击CA 登录-CA驱动下载-下载并安装政采云投标客户端和CA 驱动，账号绑定CA后才能进行投标文件制作。 3.若对项目采购电子交易系统操作有疑问，可登录“政采云”平台，点击右侧咨询小采，获取采小蜜智能服务管家帮助，或拨打政采云服务热线 95763 获取帮助。4.根据</w:t>
            </w:r>
            <w:r>
              <w:rPr>
                <w:rFonts w:hint="eastAsia" w:ascii="宋体" w:hAnsi="宋体" w:eastAsia="宋体" w:cs="宋体"/>
                <w:color w:val="auto"/>
                <w:sz w:val="24"/>
                <w:szCs w:val="24"/>
                <w:highlight w:val="none"/>
                <w:lang w:eastAsia="zh-CN"/>
              </w:rPr>
              <w:t>相关</w:t>
            </w:r>
            <w:r>
              <w:rPr>
                <w:rFonts w:ascii="宋体" w:hAnsi="宋体" w:eastAsia="宋体" w:cs="宋体"/>
                <w:color w:val="auto"/>
                <w:sz w:val="24"/>
                <w:szCs w:val="24"/>
                <w:highlight w:val="none"/>
              </w:rPr>
              <w:t>要求使用对应版本的投标文件制作工具。（三）开标过程注意事项 1.开标当天，投标人务必于开标前提前登录系统，进入所投标项目，在项目签到界面进行线上签到。2.开标过程中请重点关注不见面开标系统互动区消息，及时查阅，并根据消息提醒及时进行投标文件在线解密等操作。3.项目进入投标文件在线解密阶段后，须在</w:t>
            </w:r>
            <w:r>
              <w:rPr>
                <w:rFonts w:hint="eastAsia" w:ascii="宋体" w:hAnsi="宋体" w:cs="宋体"/>
                <w:color w:val="auto"/>
                <w:sz w:val="24"/>
                <w:szCs w:val="24"/>
                <w:highlight w:val="none"/>
                <w:lang w:eastAsia="zh-CN"/>
              </w:rPr>
              <w:t>招标文件</w:t>
            </w:r>
            <w:r>
              <w:rPr>
                <w:rFonts w:ascii="宋体" w:hAnsi="宋体" w:eastAsia="宋体" w:cs="宋体"/>
                <w:color w:val="auto"/>
                <w:sz w:val="24"/>
                <w:szCs w:val="24"/>
                <w:highlight w:val="none"/>
              </w:rPr>
              <w:t>规定解密时间内使用相应的投标文件 CA 证书进行在线解密，否则将无法解密。 四、技术支持 1.若遇问题可联系工作人员，通过以下方式：可登录“政采云”平台，点击右侧咨询小采，获取采小蜜智能服务管家帮助，或拨打政采云服务热线95763 获取帮助。2.为更直观了解、掌握本系统使用方法，建议在具体项目开标前先行浏览本系统相关操作手册，可在本系统登录界面的操作手册页面进行下载、查看。 3.关于后续相关常见问题及注意事项，请及时关注政府采购云平台（网址：http:// www.zcygov.cn）</w:t>
            </w:r>
            <w:r>
              <w:rPr>
                <w:rFonts w:hint="eastAsia" w:ascii="宋体" w:hAnsi="宋体" w:eastAsia="宋体" w:cs="宋体"/>
                <w:bCs/>
                <w:color w:val="auto"/>
                <w:sz w:val="24"/>
                <w:szCs w:val="24"/>
                <w:highlight w:val="none"/>
                <w:lang w:val="zh-CN"/>
              </w:rPr>
              <w:t>。</w:t>
            </w:r>
          </w:p>
        </w:tc>
      </w:tr>
      <w:tr w14:paraId="6A2720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jc w:val="center"/>
        </w:trPr>
        <w:tc>
          <w:tcPr>
            <w:tcW w:w="9964" w:type="dxa"/>
            <w:gridSpan w:val="3"/>
            <w:noWrap w:val="0"/>
            <w:vAlign w:val="center"/>
          </w:tcPr>
          <w:p w14:paraId="669F85D2">
            <w:pPr>
              <w:keepNext w:val="0"/>
              <w:keepLines w:val="0"/>
              <w:pageBreakBefore w:val="0"/>
              <w:widowControl w:val="0"/>
              <w:kinsoku/>
              <w:wordWrap w:val="0"/>
              <w:overflowPunct/>
              <w:topLinePunct w:val="0"/>
              <w:autoSpaceDE/>
              <w:autoSpaceDN/>
              <w:bidi w:val="0"/>
              <w:adjustRightInd/>
              <w:snapToGrid/>
              <w:spacing w:line="0" w:lineRule="atLeas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注：</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须知前附表”用于修改、补充和完善正文中的相关事宜，前附表与正文如有冲突以正文为准。</w:t>
            </w:r>
          </w:p>
        </w:tc>
      </w:tr>
    </w:tbl>
    <w:p w14:paraId="25AB8CB0">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br w:type="page"/>
      </w:r>
    </w:p>
    <w:p w14:paraId="69DADB43">
      <w:pPr>
        <w:pStyle w:val="9"/>
        <w:pageBreakBefore w:val="0"/>
        <w:kinsoku/>
        <w:overflowPunct/>
        <w:topLinePunct w:val="0"/>
        <w:bidi w:val="0"/>
        <w:spacing w:line="288" w:lineRule="auto"/>
        <w:ind w:left="0" w:leftChars="0"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供应商须知</w:t>
      </w:r>
      <w:bookmarkEnd w:id="0"/>
    </w:p>
    <w:p w14:paraId="036F3840">
      <w:pPr>
        <w:keepNext w:val="0"/>
        <w:keepLines w:val="0"/>
        <w:pageBreakBefore w:val="0"/>
        <w:widowControl w:val="0"/>
        <w:kinsoku/>
        <w:wordWrap w:val="0"/>
        <w:overflowPunct/>
        <w:topLinePunct w:val="0"/>
        <w:autoSpaceDE/>
        <w:autoSpaceDN/>
        <w:bidi w:val="0"/>
        <w:adjustRightInd w:val="0"/>
        <w:spacing w:line="440" w:lineRule="exact"/>
        <w:textAlignment w:val="auto"/>
        <w:rPr>
          <w:rFonts w:hint="eastAsia" w:ascii="宋体" w:hAnsi="宋体" w:eastAsia="宋体" w:cs="宋体"/>
          <w:b/>
          <w:color w:val="auto"/>
          <w:sz w:val="28"/>
          <w:szCs w:val="28"/>
          <w:highlight w:val="none"/>
          <w:lang w:val="zh-CN"/>
        </w:rPr>
      </w:pPr>
      <w:r>
        <w:rPr>
          <w:rFonts w:hint="eastAsia" w:ascii="宋体" w:hAnsi="宋体" w:eastAsia="宋体" w:cs="宋体"/>
          <w:b/>
          <w:color w:val="auto"/>
          <w:sz w:val="28"/>
          <w:szCs w:val="28"/>
          <w:highlight w:val="none"/>
          <w:lang w:val="zh-CN"/>
        </w:rPr>
        <w:t>1.总则</w:t>
      </w:r>
    </w:p>
    <w:p w14:paraId="417216F9">
      <w:pPr>
        <w:keepNext w:val="0"/>
        <w:keepLines w:val="0"/>
        <w:pageBreakBefore w:val="0"/>
        <w:widowControl w:val="0"/>
        <w:kinsoku/>
        <w:wordWrap w:val="0"/>
        <w:overflowPunct/>
        <w:topLinePunct w:val="0"/>
        <w:autoSpaceDE/>
        <w:autoSpaceDN/>
        <w:bidi w:val="0"/>
        <w:adjustRightInd w:val="0"/>
        <w:spacing w:line="440" w:lineRule="exact"/>
        <w:jc w:val="left"/>
        <w:textAlignment w:val="auto"/>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lang w:val="zh-CN"/>
        </w:rPr>
        <w:t>1.1 招标项目概况</w:t>
      </w:r>
    </w:p>
    <w:p w14:paraId="53CC136A">
      <w:pPr>
        <w:keepNext w:val="0"/>
        <w:keepLines w:val="0"/>
        <w:pageBreakBefore w:val="0"/>
        <w:widowControl w:val="0"/>
        <w:kinsoku/>
        <w:wordWrap w:val="0"/>
        <w:overflowPunct/>
        <w:topLinePunct w:val="0"/>
        <w:autoSpaceDE/>
        <w:autoSpaceDN/>
        <w:bidi w:val="0"/>
        <w:adjustRightInd w:val="0"/>
        <w:spacing w:line="440" w:lineRule="exact"/>
        <w:ind w:firstLine="480" w:firstLineChars="200"/>
        <w:jc w:val="lef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zh-CN"/>
        </w:rPr>
        <w:t xml:space="preserve">1.1.1 </w:t>
      </w:r>
      <w:r>
        <w:rPr>
          <w:rFonts w:hint="eastAsia" w:ascii="宋体" w:hAnsi="宋体" w:eastAsia="宋体" w:cs="宋体"/>
          <w:bCs/>
          <w:color w:val="auto"/>
          <w:sz w:val="24"/>
          <w:szCs w:val="24"/>
          <w:highlight w:val="none"/>
        </w:rPr>
        <w:t>本次招标适用法律法规为《中华人民共和国政府采购法》、《中华人民共和国政府采购法实施条例》、《政府采购货物和服务招标投标管理办法》及政府采购其它相关法规。</w:t>
      </w:r>
    </w:p>
    <w:p w14:paraId="03DF5280">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1.1.2 采购人：见</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须知前附表。</w:t>
      </w:r>
    </w:p>
    <w:p w14:paraId="6EAF118C">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1.1.3 采购代理机构：见</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须知前附表。</w:t>
      </w:r>
    </w:p>
    <w:p w14:paraId="2F3B3FAA">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1.1.4 项目名称：见</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须知前附表。</w:t>
      </w:r>
    </w:p>
    <w:p w14:paraId="28ECB32C">
      <w:pPr>
        <w:keepNext w:val="0"/>
        <w:keepLines w:val="0"/>
        <w:pageBreakBefore w:val="0"/>
        <w:widowControl w:val="0"/>
        <w:kinsoku/>
        <w:wordWrap w:val="0"/>
        <w:overflowPunct/>
        <w:topLinePunct w:val="0"/>
        <w:autoSpaceDE/>
        <w:autoSpaceDN/>
        <w:bidi w:val="0"/>
        <w:adjustRightInd w:val="0"/>
        <w:spacing w:line="440" w:lineRule="exact"/>
        <w:ind w:firstLine="482"/>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1.1.5 供货地点：见</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须知前附表。</w:t>
      </w:r>
    </w:p>
    <w:p w14:paraId="34CF5D93">
      <w:pPr>
        <w:keepNext w:val="0"/>
        <w:keepLines w:val="0"/>
        <w:pageBreakBefore w:val="0"/>
        <w:widowControl w:val="0"/>
        <w:kinsoku/>
        <w:wordWrap w:val="0"/>
        <w:overflowPunct/>
        <w:topLinePunct w:val="0"/>
        <w:autoSpaceDE/>
        <w:autoSpaceDN/>
        <w:bidi w:val="0"/>
        <w:adjustRightInd w:val="0"/>
        <w:spacing w:line="440" w:lineRule="exact"/>
        <w:ind w:firstLine="482"/>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1.1.6 投标人</w:t>
      </w:r>
      <w:r>
        <w:rPr>
          <w:rFonts w:hint="eastAsia" w:ascii="宋体" w:hAnsi="宋体" w:eastAsia="宋体" w:cs="宋体"/>
          <w:color w:val="auto"/>
          <w:sz w:val="24"/>
          <w:highlight w:val="none"/>
        </w:rPr>
        <w:t>（供应商）</w:t>
      </w:r>
      <w:r>
        <w:rPr>
          <w:rFonts w:hint="eastAsia" w:ascii="宋体" w:hAnsi="宋体" w:eastAsia="宋体" w:cs="宋体"/>
          <w:color w:val="auto"/>
          <w:sz w:val="24"/>
          <w:szCs w:val="24"/>
          <w:highlight w:val="none"/>
          <w:lang w:val="en-US" w:eastAsia="zh-CN"/>
        </w:rPr>
        <w:t>：是指向采购人提供货物、工程或者服务的法人、其他组织或者自然人。</w:t>
      </w:r>
    </w:p>
    <w:p w14:paraId="4EFBA322">
      <w:pPr>
        <w:wordWrap w:val="0"/>
        <w:adjustRightInd w:val="0"/>
        <w:spacing w:line="440" w:lineRule="exact"/>
        <w:ind w:firstLine="482"/>
        <w:rPr>
          <w:rFonts w:hint="eastAsia"/>
          <w:color w:val="auto"/>
          <w:highlight w:val="none"/>
          <w:lang w:val="zh-CN"/>
        </w:rPr>
      </w:pPr>
      <w:r>
        <w:rPr>
          <w:rFonts w:hint="eastAsia" w:ascii="宋体" w:hAnsi="宋体" w:cs="宋体"/>
          <w:color w:val="auto"/>
          <w:sz w:val="24"/>
          <w:szCs w:val="24"/>
          <w:highlight w:val="none"/>
        </w:rPr>
        <w:t>1.1.</w:t>
      </w:r>
      <w:r>
        <w:rPr>
          <w:rFonts w:hint="eastAsia" w:ascii="宋体" w:hAnsi="宋体" w:cs="宋体"/>
          <w:color w:val="auto"/>
          <w:sz w:val="24"/>
          <w:szCs w:val="24"/>
          <w:highlight w:val="none"/>
          <w:lang w:val="en-US" w:eastAsia="zh-CN"/>
        </w:rPr>
        <w:t>7</w:t>
      </w:r>
      <w:r>
        <w:rPr>
          <w:rFonts w:hint="eastAsia" w:ascii="宋体" w:hAnsi="宋体" w:cs="宋体"/>
          <w:color w:val="auto"/>
          <w:sz w:val="24"/>
          <w:szCs w:val="24"/>
          <w:highlight w:val="none"/>
        </w:rPr>
        <w:t xml:space="preserve"> </w:t>
      </w:r>
      <w:r>
        <w:rPr>
          <w:rFonts w:hint="eastAsia" w:ascii="宋体" w:hAnsi="宋体" w:cs="宋体"/>
          <w:color w:val="auto"/>
          <w:sz w:val="24"/>
          <w:szCs w:val="24"/>
          <w:highlight w:val="none"/>
          <w:lang w:eastAsia="zh-CN"/>
        </w:rPr>
        <w:t>投标人代表</w:t>
      </w:r>
      <w:r>
        <w:rPr>
          <w:rFonts w:hint="eastAsia" w:ascii="宋体" w:hAnsi="宋体" w:cs="宋体"/>
          <w:color w:val="auto"/>
          <w:sz w:val="24"/>
          <w:szCs w:val="24"/>
          <w:highlight w:val="none"/>
        </w:rPr>
        <w:t>：是指法人</w:t>
      </w:r>
      <w:r>
        <w:rPr>
          <w:rFonts w:hint="eastAsia" w:ascii="宋体" w:hAnsi="宋体" w:cs="宋体"/>
          <w:color w:val="auto"/>
          <w:sz w:val="24"/>
          <w:szCs w:val="24"/>
          <w:highlight w:val="none"/>
          <w:lang w:eastAsia="zh-CN"/>
        </w:rPr>
        <w:t>及被授权人</w:t>
      </w:r>
      <w:r>
        <w:rPr>
          <w:rFonts w:hint="eastAsia" w:ascii="宋体" w:hAnsi="宋体" w:cs="宋体"/>
          <w:color w:val="auto"/>
          <w:sz w:val="24"/>
          <w:szCs w:val="24"/>
          <w:highlight w:val="none"/>
        </w:rPr>
        <w:t>。</w:t>
      </w:r>
    </w:p>
    <w:p w14:paraId="52F7FDD9">
      <w:pPr>
        <w:keepNext w:val="0"/>
        <w:keepLines w:val="0"/>
        <w:pageBreakBefore w:val="0"/>
        <w:widowControl w:val="0"/>
        <w:kinsoku/>
        <w:wordWrap w:val="0"/>
        <w:overflowPunct/>
        <w:topLinePunct w:val="0"/>
        <w:autoSpaceDE/>
        <w:autoSpaceDN/>
        <w:bidi w:val="0"/>
        <w:adjustRightInd w:val="0"/>
        <w:spacing w:line="440" w:lineRule="exact"/>
        <w:jc w:val="left"/>
        <w:textAlignment w:val="auto"/>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lang w:val="zh-CN"/>
        </w:rPr>
        <w:t>1.2 资金来源和落实情况</w:t>
      </w:r>
    </w:p>
    <w:p w14:paraId="2872441D">
      <w:pPr>
        <w:keepNext w:val="0"/>
        <w:keepLines w:val="0"/>
        <w:pageBreakBefore w:val="0"/>
        <w:widowControl w:val="0"/>
        <w:kinsoku/>
        <w:wordWrap w:val="0"/>
        <w:overflowPunct/>
        <w:topLinePunct w:val="0"/>
        <w:autoSpaceDE/>
        <w:autoSpaceDN/>
        <w:bidi w:val="0"/>
        <w:adjustRightInd w:val="0"/>
        <w:spacing w:line="440" w:lineRule="exact"/>
        <w:ind w:firstLine="480" w:firstLineChars="200"/>
        <w:jc w:val="lef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1.2.1 资金来源及比例：见</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须知前附表。</w:t>
      </w:r>
    </w:p>
    <w:p w14:paraId="32D552FB">
      <w:pPr>
        <w:keepNext w:val="0"/>
        <w:keepLines w:val="0"/>
        <w:pageBreakBefore w:val="0"/>
        <w:widowControl w:val="0"/>
        <w:kinsoku/>
        <w:wordWrap w:val="0"/>
        <w:overflowPunct/>
        <w:topLinePunct w:val="0"/>
        <w:autoSpaceDE/>
        <w:autoSpaceDN/>
        <w:bidi w:val="0"/>
        <w:adjustRightInd w:val="0"/>
        <w:spacing w:line="440" w:lineRule="exact"/>
        <w:ind w:firstLine="480" w:firstLineChars="200"/>
        <w:jc w:val="lef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1.2.2 资金落实情况：见</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须知前附表。</w:t>
      </w:r>
    </w:p>
    <w:p w14:paraId="407A7137">
      <w:pPr>
        <w:keepNext w:val="0"/>
        <w:keepLines w:val="0"/>
        <w:pageBreakBefore w:val="0"/>
        <w:widowControl w:val="0"/>
        <w:tabs>
          <w:tab w:val="center" w:pos="4737"/>
        </w:tabs>
        <w:kinsoku/>
        <w:wordWrap w:val="0"/>
        <w:overflowPunct/>
        <w:topLinePunct w:val="0"/>
        <w:autoSpaceDE/>
        <w:autoSpaceDN/>
        <w:bidi w:val="0"/>
        <w:adjustRightInd w:val="0"/>
        <w:spacing w:line="440" w:lineRule="exact"/>
        <w:jc w:val="left"/>
        <w:textAlignment w:val="auto"/>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lang w:val="zh-CN"/>
        </w:rPr>
        <w:t>1.3 招标范围、供货及安装工期和质量标准</w:t>
      </w:r>
    </w:p>
    <w:p w14:paraId="5084D66E">
      <w:pPr>
        <w:keepNext w:val="0"/>
        <w:keepLines w:val="0"/>
        <w:pageBreakBefore w:val="0"/>
        <w:widowControl w:val="0"/>
        <w:kinsoku/>
        <w:wordWrap w:val="0"/>
        <w:overflowPunct/>
        <w:topLinePunct w:val="0"/>
        <w:autoSpaceDE/>
        <w:autoSpaceDN/>
        <w:bidi w:val="0"/>
        <w:adjustRightInd w:val="0"/>
        <w:spacing w:line="440" w:lineRule="exact"/>
        <w:ind w:firstLine="480" w:firstLineChars="200"/>
        <w:jc w:val="lef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1.3.1 招标范围：见</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须知前附表。</w:t>
      </w:r>
    </w:p>
    <w:p w14:paraId="352ECF62">
      <w:pPr>
        <w:keepNext w:val="0"/>
        <w:keepLines w:val="0"/>
        <w:pageBreakBefore w:val="0"/>
        <w:widowControl w:val="0"/>
        <w:kinsoku/>
        <w:wordWrap w:val="0"/>
        <w:overflowPunct/>
        <w:topLinePunct w:val="0"/>
        <w:autoSpaceDE/>
        <w:autoSpaceDN/>
        <w:bidi w:val="0"/>
        <w:adjustRightInd w:val="0"/>
        <w:spacing w:line="440" w:lineRule="exact"/>
        <w:ind w:firstLine="480" w:firstLineChars="200"/>
        <w:jc w:val="lef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1.3.2 供货期：见</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须知前附表。</w:t>
      </w:r>
    </w:p>
    <w:p w14:paraId="361CB3B8">
      <w:pPr>
        <w:keepNext w:val="0"/>
        <w:keepLines w:val="0"/>
        <w:pageBreakBefore w:val="0"/>
        <w:widowControl w:val="0"/>
        <w:kinsoku/>
        <w:wordWrap w:val="0"/>
        <w:overflowPunct/>
        <w:topLinePunct w:val="0"/>
        <w:autoSpaceDE/>
        <w:autoSpaceDN/>
        <w:bidi w:val="0"/>
        <w:adjustRightInd w:val="0"/>
        <w:spacing w:line="440" w:lineRule="exact"/>
        <w:ind w:firstLine="480" w:firstLineChars="200"/>
        <w:jc w:val="lef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1.3.3 质量标准：见</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须知前附表。</w:t>
      </w:r>
    </w:p>
    <w:p w14:paraId="53B65BB9">
      <w:pPr>
        <w:keepNext w:val="0"/>
        <w:keepLines w:val="0"/>
        <w:pageBreakBefore w:val="0"/>
        <w:widowControl w:val="0"/>
        <w:kinsoku/>
        <w:wordWrap w:val="0"/>
        <w:overflowPunct/>
        <w:topLinePunct w:val="0"/>
        <w:autoSpaceDE/>
        <w:autoSpaceDN/>
        <w:bidi w:val="0"/>
        <w:adjustRightInd w:val="0"/>
        <w:spacing w:line="440" w:lineRule="exact"/>
        <w:jc w:val="left"/>
        <w:textAlignment w:val="auto"/>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lang w:val="zh-CN"/>
        </w:rPr>
        <w:t>1.4 供应商资格要求</w:t>
      </w:r>
    </w:p>
    <w:p w14:paraId="4801B805">
      <w:pPr>
        <w:keepNext w:val="0"/>
        <w:keepLines w:val="0"/>
        <w:pageBreakBefore w:val="0"/>
        <w:widowControl w:val="0"/>
        <w:kinsoku/>
        <w:wordWrap w:val="0"/>
        <w:overflowPunct/>
        <w:topLinePunct w:val="0"/>
        <w:autoSpaceDE/>
        <w:autoSpaceDN/>
        <w:bidi w:val="0"/>
        <w:adjustRightInd w:val="0"/>
        <w:spacing w:line="440" w:lineRule="exact"/>
        <w:ind w:firstLine="482"/>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 xml:space="preserve">1.4.1 </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应具备承担本采购项目的资格条件、能力和信誉：</w:t>
      </w:r>
      <w:r>
        <w:rPr>
          <w:rFonts w:hint="eastAsia" w:ascii="宋体" w:hAnsi="宋体" w:eastAsia="宋体" w:cs="宋体"/>
          <w:color w:val="auto"/>
          <w:sz w:val="24"/>
          <w:szCs w:val="24"/>
          <w:highlight w:val="none"/>
        </w:rPr>
        <w:t>参加本项目政府采购活动的</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必须完全具备《中华人民共和国政府采购法》第二十二条规定的资格要求，同时对招标文件作出实质性响应，在上传提交投标文件的同时按招标文件要求提供</w:t>
      </w:r>
      <w:r>
        <w:rPr>
          <w:rFonts w:hint="eastAsia" w:ascii="宋体" w:hAnsi="宋体" w:eastAsia="宋体" w:cs="宋体"/>
          <w:bCs/>
          <w:color w:val="auto"/>
          <w:sz w:val="24"/>
          <w:szCs w:val="24"/>
          <w:highlight w:val="none"/>
        </w:rPr>
        <w:t>有关</w:t>
      </w:r>
      <w:r>
        <w:rPr>
          <w:rFonts w:hint="eastAsia" w:ascii="宋体" w:hAnsi="宋体" w:eastAsia="宋体" w:cs="宋体"/>
          <w:bCs/>
          <w:color w:val="auto"/>
          <w:sz w:val="24"/>
          <w:szCs w:val="24"/>
          <w:highlight w:val="none"/>
          <w:lang w:eastAsia="zh-CN"/>
        </w:rPr>
        <w:t>资格证明</w:t>
      </w:r>
      <w:r>
        <w:rPr>
          <w:rFonts w:hint="eastAsia" w:ascii="宋体" w:hAnsi="宋体" w:eastAsia="宋体" w:cs="宋体"/>
          <w:bCs/>
          <w:color w:val="auto"/>
          <w:sz w:val="24"/>
          <w:szCs w:val="24"/>
          <w:highlight w:val="none"/>
        </w:rPr>
        <w:t>文件原件，具体要求见</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须知前附表第1.4.1项和第3.1.1项</w:t>
      </w:r>
      <w:r>
        <w:rPr>
          <w:rFonts w:hint="eastAsia" w:ascii="宋体" w:hAnsi="宋体" w:eastAsia="宋体" w:cs="宋体"/>
          <w:color w:val="auto"/>
          <w:sz w:val="24"/>
          <w:szCs w:val="24"/>
          <w:highlight w:val="none"/>
        </w:rPr>
        <w:t>。</w:t>
      </w:r>
    </w:p>
    <w:p w14:paraId="40C5AD47">
      <w:pPr>
        <w:keepNext w:val="0"/>
        <w:keepLines w:val="0"/>
        <w:pageBreakBefore w:val="0"/>
        <w:widowControl w:val="0"/>
        <w:kinsoku/>
        <w:wordWrap w:val="0"/>
        <w:overflowPunct/>
        <w:topLinePunct w:val="0"/>
        <w:autoSpaceDE/>
        <w:autoSpaceDN/>
        <w:bidi w:val="0"/>
        <w:adjustRightInd w:val="0"/>
        <w:spacing w:line="440" w:lineRule="exact"/>
        <w:ind w:firstLine="482"/>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以上各款关于合格</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资格条件的要求均须提供中文文本，否则无效，</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应按《投标文件格式》的相关规定提交。</w:t>
      </w:r>
    </w:p>
    <w:p w14:paraId="15517B03">
      <w:pPr>
        <w:keepNext w:val="0"/>
        <w:keepLines w:val="0"/>
        <w:pageBreakBefore w:val="0"/>
        <w:widowControl w:val="0"/>
        <w:kinsoku/>
        <w:wordWrap w:val="0"/>
        <w:overflowPunct/>
        <w:topLinePunct w:val="0"/>
        <w:autoSpaceDE/>
        <w:autoSpaceDN/>
        <w:bidi w:val="0"/>
        <w:adjustRightInd w:val="0"/>
        <w:spacing w:line="440" w:lineRule="exact"/>
        <w:ind w:firstLine="482"/>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zh-CN"/>
        </w:rPr>
        <w:t xml:space="preserve">1.4.2 </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须知前附表规定接受联合体投标的，联合体除应符合本章第 1.4.1 款和</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须知前附表的要求外，还应遵守以下规定：</w:t>
      </w:r>
    </w:p>
    <w:p w14:paraId="144B5652">
      <w:pPr>
        <w:keepNext w:val="0"/>
        <w:keepLines w:val="0"/>
        <w:pageBreakBefore w:val="0"/>
        <w:widowControl w:val="0"/>
        <w:kinsoku/>
        <w:wordWrap w:val="0"/>
        <w:overflowPunct/>
        <w:topLinePunct w:val="0"/>
        <w:autoSpaceDE/>
        <w:autoSpaceDN/>
        <w:bidi w:val="0"/>
        <w:adjustRightInd w:val="0"/>
        <w:spacing w:line="440" w:lineRule="exact"/>
        <w:ind w:firstLine="482"/>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（1）联合体各方应按招标文件提供的格式签订联合体协议书，明确联合体牵头人和各方权利义务，并承诺就中标项目向采购人承担连带责任；</w:t>
      </w:r>
    </w:p>
    <w:p w14:paraId="76F81FCF">
      <w:pPr>
        <w:keepNext w:val="0"/>
        <w:keepLines w:val="0"/>
        <w:pageBreakBefore w:val="0"/>
        <w:widowControl w:val="0"/>
        <w:kinsoku/>
        <w:wordWrap w:val="0"/>
        <w:overflowPunct/>
        <w:topLinePunct w:val="0"/>
        <w:autoSpaceDE/>
        <w:autoSpaceDN/>
        <w:bidi w:val="0"/>
        <w:adjustRightInd w:val="0"/>
        <w:spacing w:line="440" w:lineRule="exact"/>
        <w:ind w:firstLine="482"/>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（2）联合体各方不得再以自己名义单独或参加其他联合体在本招标项目中投标，否则各相关投标均无效。</w:t>
      </w:r>
    </w:p>
    <w:p w14:paraId="19797401">
      <w:pPr>
        <w:keepNext w:val="0"/>
        <w:keepLines w:val="0"/>
        <w:pageBreakBefore w:val="0"/>
        <w:widowControl w:val="0"/>
        <w:kinsoku/>
        <w:wordWrap w:val="0"/>
        <w:overflowPunct/>
        <w:topLinePunct w:val="0"/>
        <w:autoSpaceDE/>
        <w:autoSpaceDN/>
        <w:bidi w:val="0"/>
        <w:adjustRightInd w:val="0"/>
        <w:spacing w:line="440" w:lineRule="exact"/>
        <w:ind w:firstLine="482"/>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1.4.3 供应商不得存在下列情形之一：</w:t>
      </w:r>
    </w:p>
    <w:p w14:paraId="3CE3E98E">
      <w:pPr>
        <w:keepNext w:val="0"/>
        <w:keepLines w:val="0"/>
        <w:pageBreakBefore w:val="0"/>
        <w:widowControl w:val="0"/>
        <w:kinsoku/>
        <w:wordWrap w:val="0"/>
        <w:overflowPunct/>
        <w:topLinePunct w:val="0"/>
        <w:autoSpaceDE/>
        <w:autoSpaceDN/>
        <w:bidi w:val="0"/>
        <w:adjustRightInd w:val="0"/>
        <w:spacing w:line="440" w:lineRule="exact"/>
        <w:ind w:firstLine="482"/>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（1）为采购人不具有独立法人资格的附属机构（单位）；</w:t>
      </w:r>
    </w:p>
    <w:p w14:paraId="3D59BFAD">
      <w:pPr>
        <w:keepNext w:val="0"/>
        <w:keepLines w:val="0"/>
        <w:pageBreakBefore w:val="0"/>
        <w:widowControl w:val="0"/>
        <w:kinsoku/>
        <w:wordWrap w:val="0"/>
        <w:overflowPunct/>
        <w:topLinePunct w:val="0"/>
        <w:autoSpaceDE/>
        <w:autoSpaceDN/>
        <w:bidi w:val="0"/>
        <w:adjustRightInd w:val="0"/>
        <w:spacing w:line="440" w:lineRule="exact"/>
        <w:ind w:firstLine="482"/>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（2）与采购人存在利害关系且可能影响招标公正性；</w:t>
      </w:r>
    </w:p>
    <w:p w14:paraId="10CBC0AE">
      <w:pPr>
        <w:keepNext w:val="0"/>
        <w:keepLines w:val="0"/>
        <w:pageBreakBefore w:val="0"/>
        <w:widowControl w:val="0"/>
        <w:kinsoku/>
        <w:wordWrap w:val="0"/>
        <w:overflowPunct/>
        <w:topLinePunct w:val="0"/>
        <w:autoSpaceDE/>
        <w:autoSpaceDN/>
        <w:bidi w:val="0"/>
        <w:adjustRightInd w:val="0"/>
        <w:spacing w:line="440" w:lineRule="exact"/>
        <w:ind w:firstLine="482"/>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（3）与本采购项目的其他</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为同一个单位负责人；</w:t>
      </w:r>
    </w:p>
    <w:p w14:paraId="3028A7D6">
      <w:pPr>
        <w:keepNext w:val="0"/>
        <w:keepLines w:val="0"/>
        <w:pageBreakBefore w:val="0"/>
        <w:widowControl w:val="0"/>
        <w:kinsoku/>
        <w:wordWrap w:val="0"/>
        <w:overflowPunct/>
        <w:topLinePunct w:val="0"/>
        <w:autoSpaceDE/>
        <w:autoSpaceDN/>
        <w:bidi w:val="0"/>
        <w:adjustRightInd w:val="0"/>
        <w:spacing w:line="440" w:lineRule="exact"/>
        <w:ind w:firstLine="482"/>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（4）与本采购项目的其他</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存在控股、管理关系；</w:t>
      </w:r>
    </w:p>
    <w:p w14:paraId="069AB747">
      <w:pPr>
        <w:keepNext w:val="0"/>
        <w:keepLines w:val="0"/>
        <w:pageBreakBefore w:val="0"/>
        <w:widowControl w:val="0"/>
        <w:kinsoku/>
        <w:wordWrap w:val="0"/>
        <w:overflowPunct/>
        <w:topLinePunct w:val="0"/>
        <w:autoSpaceDE/>
        <w:autoSpaceDN/>
        <w:bidi w:val="0"/>
        <w:adjustRightInd w:val="0"/>
        <w:spacing w:line="440" w:lineRule="exact"/>
        <w:ind w:firstLine="482"/>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（5）为本采购标项目的采购代理机构；</w:t>
      </w:r>
    </w:p>
    <w:p w14:paraId="116A40FE">
      <w:pPr>
        <w:keepNext w:val="0"/>
        <w:keepLines w:val="0"/>
        <w:pageBreakBefore w:val="0"/>
        <w:widowControl w:val="0"/>
        <w:kinsoku/>
        <w:wordWrap w:val="0"/>
        <w:overflowPunct/>
        <w:topLinePunct w:val="0"/>
        <w:autoSpaceDE/>
        <w:autoSpaceDN/>
        <w:bidi w:val="0"/>
        <w:adjustRightInd w:val="0"/>
        <w:spacing w:line="440" w:lineRule="exact"/>
        <w:ind w:firstLine="482"/>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（6）与本采购项目的采购代理机构同为一个法定代表人；</w:t>
      </w:r>
    </w:p>
    <w:p w14:paraId="2C40359F">
      <w:pPr>
        <w:keepNext w:val="0"/>
        <w:keepLines w:val="0"/>
        <w:pageBreakBefore w:val="0"/>
        <w:widowControl w:val="0"/>
        <w:kinsoku/>
        <w:wordWrap w:val="0"/>
        <w:overflowPunct/>
        <w:topLinePunct w:val="0"/>
        <w:autoSpaceDE/>
        <w:autoSpaceDN/>
        <w:bidi w:val="0"/>
        <w:adjustRightInd w:val="0"/>
        <w:spacing w:line="440" w:lineRule="exact"/>
        <w:ind w:firstLine="482"/>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（7）与本采购项目的采购代理机构存在控股或参股关系；</w:t>
      </w:r>
    </w:p>
    <w:p w14:paraId="353D31AD">
      <w:pPr>
        <w:keepNext w:val="0"/>
        <w:keepLines w:val="0"/>
        <w:pageBreakBefore w:val="0"/>
        <w:widowControl w:val="0"/>
        <w:kinsoku/>
        <w:wordWrap w:val="0"/>
        <w:overflowPunct/>
        <w:topLinePunct w:val="0"/>
        <w:autoSpaceDE/>
        <w:autoSpaceDN/>
        <w:bidi w:val="0"/>
        <w:adjustRightInd w:val="0"/>
        <w:spacing w:line="440" w:lineRule="exact"/>
        <w:ind w:firstLine="482"/>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（8）被依法暂停或者取消投标资格；</w:t>
      </w:r>
    </w:p>
    <w:p w14:paraId="43E5FDBD">
      <w:pPr>
        <w:keepNext w:val="0"/>
        <w:keepLines w:val="0"/>
        <w:pageBreakBefore w:val="0"/>
        <w:widowControl w:val="0"/>
        <w:kinsoku/>
        <w:wordWrap w:val="0"/>
        <w:overflowPunct/>
        <w:topLinePunct w:val="0"/>
        <w:autoSpaceDE/>
        <w:autoSpaceDN/>
        <w:bidi w:val="0"/>
        <w:adjustRightInd w:val="0"/>
        <w:spacing w:line="440" w:lineRule="exact"/>
        <w:ind w:firstLine="482"/>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（9）被责令停产停业、暂扣或者吊销许可证、暂扣或者吊销执照；</w:t>
      </w:r>
    </w:p>
    <w:p w14:paraId="41F9D176">
      <w:pPr>
        <w:keepNext w:val="0"/>
        <w:keepLines w:val="0"/>
        <w:pageBreakBefore w:val="0"/>
        <w:widowControl w:val="0"/>
        <w:kinsoku/>
        <w:wordWrap w:val="0"/>
        <w:overflowPunct/>
        <w:topLinePunct w:val="0"/>
        <w:autoSpaceDE/>
        <w:autoSpaceDN/>
        <w:bidi w:val="0"/>
        <w:adjustRightInd w:val="0"/>
        <w:spacing w:line="440" w:lineRule="exact"/>
        <w:ind w:firstLine="482"/>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（10）进入清算程序，或被宣告破产，或其他丧失履约能力的情形；</w:t>
      </w:r>
    </w:p>
    <w:p w14:paraId="3EC49AE2">
      <w:pPr>
        <w:keepNext w:val="0"/>
        <w:keepLines w:val="0"/>
        <w:pageBreakBefore w:val="0"/>
        <w:widowControl w:val="0"/>
        <w:kinsoku/>
        <w:wordWrap w:val="0"/>
        <w:overflowPunct/>
        <w:topLinePunct w:val="0"/>
        <w:autoSpaceDE/>
        <w:autoSpaceDN/>
        <w:bidi w:val="0"/>
        <w:adjustRightInd w:val="0"/>
        <w:spacing w:line="440" w:lineRule="exact"/>
        <w:ind w:firstLine="482"/>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（11）在最近三年内发生重大供货质量问题（以相关行业主管部门的行政处罚决定或司法机关出具的有关法律文书为准）；</w:t>
      </w:r>
    </w:p>
    <w:p w14:paraId="7D2034D8">
      <w:pPr>
        <w:keepNext w:val="0"/>
        <w:keepLines w:val="0"/>
        <w:pageBreakBefore w:val="0"/>
        <w:widowControl w:val="0"/>
        <w:kinsoku/>
        <w:wordWrap w:val="0"/>
        <w:overflowPunct/>
        <w:topLinePunct w:val="0"/>
        <w:autoSpaceDE/>
        <w:autoSpaceDN/>
        <w:bidi w:val="0"/>
        <w:adjustRightInd w:val="0"/>
        <w:spacing w:line="440" w:lineRule="exact"/>
        <w:ind w:firstLine="482"/>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（12）被工商行政管理机关在“信用中国”网站中</w:t>
      </w:r>
      <w:r>
        <w:rPr>
          <w:rFonts w:hint="eastAsia" w:ascii="宋体" w:hAnsi="宋体" w:eastAsia="宋体" w:cs="宋体"/>
          <w:color w:val="auto"/>
          <w:sz w:val="24"/>
          <w:szCs w:val="24"/>
          <w:highlight w:val="none"/>
        </w:rPr>
        <w:t>列入失信被执行人名单、</w:t>
      </w:r>
      <w:r>
        <w:rPr>
          <w:rFonts w:hint="eastAsia" w:ascii="宋体" w:hAnsi="宋体" w:eastAsia="宋体" w:cs="宋体"/>
          <w:color w:val="auto"/>
          <w:sz w:val="24"/>
          <w:szCs w:val="24"/>
          <w:highlight w:val="none"/>
          <w:lang w:eastAsia="zh-CN"/>
        </w:rPr>
        <w:t>税收违法黑名单</w:t>
      </w:r>
      <w:r>
        <w:rPr>
          <w:rFonts w:hint="eastAsia" w:ascii="宋体" w:hAnsi="宋体" w:eastAsia="宋体" w:cs="宋体"/>
          <w:color w:val="auto"/>
          <w:sz w:val="24"/>
          <w:szCs w:val="24"/>
          <w:highlight w:val="none"/>
        </w:rPr>
        <w:t>名单</w:t>
      </w:r>
      <w:r>
        <w:rPr>
          <w:rFonts w:hint="eastAsia" w:ascii="宋体" w:hAnsi="宋体" w:eastAsia="宋体" w:cs="宋体"/>
          <w:bCs/>
          <w:color w:val="auto"/>
          <w:sz w:val="24"/>
          <w:szCs w:val="24"/>
          <w:highlight w:val="none"/>
        </w:rPr>
        <w:t>；“</w:t>
      </w:r>
      <w:r>
        <w:rPr>
          <w:rFonts w:hint="eastAsia" w:ascii="宋体" w:hAnsi="宋体" w:eastAsia="宋体" w:cs="宋体"/>
          <w:color w:val="auto"/>
          <w:sz w:val="24"/>
          <w:szCs w:val="24"/>
          <w:highlight w:val="none"/>
        </w:rPr>
        <w:t>中国政府采购网</w:t>
      </w:r>
      <w:r>
        <w:rPr>
          <w:rFonts w:hint="eastAsia" w:ascii="宋体" w:hAnsi="宋体" w:eastAsia="宋体" w:cs="宋体"/>
          <w:bCs/>
          <w:color w:val="auto"/>
          <w:sz w:val="24"/>
          <w:szCs w:val="24"/>
          <w:highlight w:val="none"/>
        </w:rPr>
        <w:t>”</w:t>
      </w:r>
      <w:r>
        <w:rPr>
          <w:rFonts w:hint="eastAsia" w:ascii="宋体" w:hAnsi="宋体" w:eastAsia="宋体" w:cs="宋体"/>
          <w:color w:val="auto"/>
          <w:sz w:val="24"/>
          <w:szCs w:val="24"/>
          <w:highlight w:val="none"/>
        </w:rPr>
        <w:t>列入政府采购严重违法失信行为记录名单；</w:t>
      </w:r>
    </w:p>
    <w:p w14:paraId="75A1EF1F">
      <w:pPr>
        <w:keepNext w:val="0"/>
        <w:keepLines w:val="0"/>
        <w:pageBreakBefore w:val="0"/>
        <w:widowControl w:val="0"/>
        <w:kinsoku/>
        <w:wordWrap w:val="0"/>
        <w:overflowPunct/>
        <w:topLinePunct w:val="0"/>
        <w:autoSpaceDE/>
        <w:autoSpaceDN/>
        <w:bidi w:val="0"/>
        <w:adjustRightInd w:val="0"/>
        <w:spacing w:line="440" w:lineRule="exact"/>
        <w:ind w:firstLine="482"/>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（13）被最高人民法院在各级信用信息共享平台中列入失信被执行人名单；</w:t>
      </w:r>
    </w:p>
    <w:p w14:paraId="6CEDC457">
      <w:pPr>
        <w:keepNext w:val="0"/>
        <w:keepLines w:val="0"/>
        <w:pageBreakBefore w:val="0"/>
        <w:widowControl w:val="0"/>
        <w:kinsoku/>
        <w:wordWrap w:val="0"/>
        <w:overflowPunct/>
        <w:topLinePunct w:val="0"/>
        <w:autoSpaceDE/>
        <w:autoSpaceDN/>
        <w:bidi w:val="0"/>
        <w:adjustRightInd w:val="0"/>
        <w:spacing w:line="440" w:lineRule="exact"/>
        <w:ind w:firstLine="482"/>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（14）在近三年内</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或其法定代表人有行贿犯罪行为的（以中国裁判文书网的查询结果为准）；</w:t>
      </w:r>
    </w:p>
    <w:p w14:paraId="7C5A5156">
      <w:pPr>
        <w:keepNext w:val="0"/>
        <w:keepLines w:val="0"/>
        <w:pageBreakBefore w:val="0"/>
        <w:widowControl w:val="0"/>
        <w:kinsoku/>
        <w:wordWrap w:val="0"/>
        <w:overflowPunct/>
        <w:topLinePunct w:val="0"/>
        <w:autoSpaceDE/>
        <w:autoSpaceDN/>
        <w:bidi w:val="0"/>
        <w:adjustRightInd w:val="0"/>
        <w:spacing w:line="440" w:lineRule="exact"/>
        <w:ind w:firstLine="482"/>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（15）法律法规或</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须知前附表规定的其他情形。</w:t>
      </w:r>
    </w:p>
    <w:p w14:paraId="147CF799">
      <w:pPr>
        <w:keepNext w:val="0"/>
        <w:keepLines w:val="0"/>
        <w:pageBreakBefore w:val="0"/>
        <w:widowControl w:val="0"/>
        <w:kinsoku/>
        <w:wordWrap w:val="0"/>
        <w:overflowPunct/>
        <w:topLinePunct w:val="0"/>
        <w:autoSpaceDE/>
        <w:autoSpaceDN/>
        <w:bidi w:val="0"/>
        <w:adjustRightInd w:val="0"/>
        <w:spacing w:line="440" w:lineRule="exact"/>
        <w:jc w:val="left"/>
        <w:textAlignment w:val="auto"/>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lang w:val="zh-CN"/>
        </w:rPr>
        <w:t>1.5 费用承担</w:t>
      </w:r>
    </w:p>
    <w:p w14:paraId="3AEBCF1A">
      <w:pPr>
        <w:keepNext w:val="0"/>
        <w:keepLines w:val="0"/>
        <w:pageBreakBefore w:val="0"/>
        <w:widowControl w:val="0"/>
        <w:kinsoku/>
        <w:wordWrap w:val="0"/>
        <w:overflowPunct/>
        <w:topLinePunct w:val="0"/>
        <w:autoSpaceDE/>
        <w:autoSpaceDN/>
        <w:bidi w:val="0"/>
        <w:adjustRightInd w:val="0"/>
        <w:spacing w:line="440" w:lineRule="exact"/>
        <w:ind w:firstLine="480" w:firstLineChars="200"/>
        <w:jc w:val="lef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zh-CN"/>
        </w:rPr>
        <w:t>供应商准备和参加投标活动发生的费用自理，</w:t>
      </w:r>
      <w:r>
        <w:rPr>
          <w:rFonts w:hint="eastAsia" w:ascii="宋体" w:hAnsi="宋体" w:eastAsia="宋体" w:cs="宋体"/>
          <w:color w:val="auto"/>
          <w:sz w:val="24"/>
          <w:szCs w:val="24"/>
          <w:highlight w:val="none"/>
          <w:lang w:val="zh-CN"/>
        </w:rPr>
        <w:t>无论投标的结果如何，</w:t>
      </w:r>
      <w:r>
        <w:rPr>
          <w:rFonts w:hint="eastAsia" w:ascii="宋体" w:hAnsi="宋体" w:eastAsia="宋体" w:cs="宋体"/>
          <w:bCs/>
          <w:color w:val="auto"/>
          <w:sz w:val="24"/>
          <w:szCs w:val="24"/>
          <w:highlight w:val="none"/>
          <w:lang w:val="zh-CN"/>
        </w:rPr>
        <w:t>采购人和采购代理机构在任何情况下均无义务和责任承担这些费用。</w:t>
      </w:r>
    </w:p>
    <w:p w14:paraId="7110DB90">
      <w:pPr>
        <w:keepNext w:val="0"/>
        <w:keepLines w:val="0"/>
        <w:pageBreakBefore w:val="0"/>
        <w:widowControl w:val="0"/>
        <w:kinsoku/>
        <w:wordWrap w:val="0"/>
        <w:overflowPunct/>
        <w:topLinePunct w:val="0"/>
        <w:autoSpaceDE/>
        <w:autoSpaceDN/>
        <w:bidi w:val="0"/>
        <w:adjustRightInd w:val="0"/>
        <w:spacing w:line="440" w:lineRule="exact"/>
        <w:jc w:val="left"/>
        <w:textAlignment w:val="auto"/>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lang w:val="zh-CN"/>
        </w:rPr>
        <w:t>1.6 保密和披露</w:t>
      </w:r>
    </w:p>
    <w:p w14:paraId="4171299E">
      <w:pPr>
        <w:keepNext w:val="0"/>
        <w:keepLines w:val="0"/>
        <w:pageBreakBefore w:val="0"/>
        <w:widowControl w:val="0"/>
        <w:kinsoku/>
        <w:wordWrap w:val="0"/>
        <w:overflowPunct/>
        <w:topLinePunct w:val="0"/>
        <w:autoSpaceDE/>
        <w:autoSpaceDN/>
        <w:bidi w:val="0"/>
        <w:adjustRightInd w:val="0"/>
        <w:spacing w:line="440" w:lineRule="exact"/>
        <w:ind w:firstLine="480"/>
        <w:jc w:val="lef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zh-CN"/>
        </w:rPr>
        <w:t>1.6.1 参与招标投标活动的各方应对招标文件和投标文件中的商业和技术等秘密保密</w:t>
      </w:r>
      <w:r>
        <w:rPr>
          <w:rFonts w:hint="eastAsia" w:ascii="宋体" w:hAnsi="宋体" w:eastAsia="宋体" w:cs="宋体"/>
          <w:bCs/>
          <w:color w:val="auto"/>
          <w:sz w:val="24"/>
          <w:szCs w:val="24"/>
          <w:highlight w:val="none"/>
        </w:rPr>
        <w:t>，否则应承担相应的法律责任。</w:t>
      </w:r>
    </w:p>
    <w:p w14:paraId="61AC85F5">
      <w:pPr>
        <w:keepNext w:val="0"/>
        <w:keepLines w:val="0"/>
        <w:pageBreakBefore w:val="0"/>
        <w:widowControl w:val="0"/>
        <w:tabs>
          <w:tab w:val="left" w:pos="709"/>
        </w:tabs>
        <w:kinsoku/>
        <w:wordWrap w:val="0"/>
        <w:overflowPunct/>
        <w:topLinePunct w:val="0"/>
        <w:autoSpaceDE/>
        <w:autoSpaceDN/>
        <w:bidi w:val="0"/>
        <w:adjustRightInd w:val="0"/>
        <w:spacing w:line="440" w:lineRule="exact"/>
        <w:ind w:firstLine="482"/>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 xml:space="preserve">1.6.2 </w:t>
      </w:r>
      <w:r>
        <w:rPr>
          <w:rFonts w:hint="eastAsia" w:ascii="宋体" w:hAnsi="宋体" w:eastAsia="宋体" w:cs="宋体"/>
          <w:color w:val="auto"/>
          <w:sz w:val="24"/>
          <w:szCs w:val="24"/>
          <w:highlight w:val="none"/>
          <w:lang w:val="zh-CN"/>
        </w:rPr>
        <w:t>采购人有权将供应商提供的所有资料向其他政府部门或有关的非政府机构负责评审标书的人员或与评标有关的人员披露。</w:t>
      </w:r>
    </w:p>
    <w:p w14:paraId="40F0BC84">
      <w:pPr>
        <w:keepNext w:val="0"/>
        <w:keepLines w:val="0"/>
        <w:pageBreakBefore w:val="0"/>
        <w:widowControl w:val="0"/>
        <w:kinsoku/>
        <w:wordWrap w:val="0"/>
        <w:overflowPunct/>
        <w:topLinePunct w:val="0"/>
        <w:autoSpaceDE/>
        <w:autoSpaceDN/>
        <w:bidi w:val="0"/>
        <w:spacing w:line="4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1.6.3 在下列情形下：当发布中标公告和其它公告时，当国家机关调查、审查、审计时，以及在其他符合法律规定的情形下，采购人无须事先征求供应商/中标供应商同意而可以披露关于采购过程、投标文件、合同文本、合同签署情况的资料、供应商/中标供应商的名称及地址、采购内容的有关信息以及补充条款等，并且对任何已经公布过的内容或与之内容相同的资料无须再承担保密责任。</w:t>
      </w:r>
    </w:p>
    <w:p w14:paraId="640E8310">
      <w:pPr>
        <w:keepNext w:val="0"/>
        <w:keepLines w:val="0"/>
        <w:pageBreakBefore w:val="0"/>
        <w:widowControl w:val="0"/>
        <w:kinsoku/>
        <w:wordWrap w:val="0"/>
        <w:overflowPunct/>
        <w:topLinePunct w:val="0"/>
        <w:autoSpaceDE/>
        <w:autoSpaceDN/>
        <w:bidi w:val="0"/>
        <w:adjustRightInd w:val="0"/>
        <w:spacing w:line="440" w:lineRule="exact"/>
        <w:jc w:val="left"/>
        <w:textAlignment w:val="auto"/>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lang w:val="zh-CN"/>
        </w:rPr>
        <w:t>1.7 语言文字</w:t>
      </w:r>
    </w:p>
    <w:p w14:paraId="345462CA">
      <w:pPr>
        <w:keepNext w:val="0"/>
        <w:keepLines w:val="0"/>
        <w:pageBreakBefore w:val="0"/>
        <w:widowControl w:val="0"/>
        <w:kinsoku/>
        <w:wordWrap w:val="0"/>
        <w:overflowPunct/>
        <w:topLinePunct w:val="0"/>
        <w:autoSpaceDE/>
        <w:autoSpaceDN/>
        <w:bidi w:val="0"/>
        <w:adjustRightInd w:val="0"/>
        <w:spacing w:line="440" w:lineRule="exact"/>
        <w:ind w:firstLine="482"/>
        <w:textAlignment w:val="auto"/>
        <w:rPr>
          <w:rFonts w:hint="eastAsia" w:ascii="宋体" w:hAnsi="宋体" w:eastAsia="宋体" w:cs="宋体"/>
          <w:color w:val="auto"/>
          <w:sz w:val="24"/>
          <w:szCs w:val="24"/>
          <w:highlight w:val="none"/>
          <w:lang w:val="zh-CN"/>
        </w:rPr>
      </w:pPr>
      <w:r>
        <w:rPr>
          <w:rFonts w:hint="eastAsia" w:ascii="宋体" w:hAnsi="宋体" w:eastAsia="宋体" w:cs="宋体"/>
          <w:bCs/>
          <w:color w:val="auto"/>
          <w:sz w:val="24"/>
          <w:szCs w:val="24"/>
          <w:highlight w:val="none"/>
        </w:rPr>
        <w:t>与招标投标有关的语言均使用中文，专用术语使用外文的，应附有中文注释。</w:t>
      </w:r>
    </w:p>
    <w:p w14:paraId="23FFA79C">
      <w:pPr>
        <w:keepNext w:val="0"/>
        <w:keepLines w:val="0"/>
        <w:pageBreakBefore w:val="0"/>
        <w:widowControl w:val="0"/>
        <w:kinsoku/>
        <w:wordWrap w:val="0"/>
        <w:overflowPunct/>
        <w:topLinePunct w:val="0"/>
        <w:autoSpaceDE/>
        <w:autoSpaceDN/>
        <w:bidi w:val="0"/>
        <w:adjustRightInd w:val="0"/>
        <w:spacing w:line="440" w:lineRule="exact"/>
        <w:jc w:val="left"/>
        <w:textAlignment w:val="auto"/>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lang w:val="zh-CN"/>
        </w:rPr>
        <w:t>1.8 计量单位</w:t>
      </w:r>
    </w:p>
    <w:p w14:paraId="53704252">
      <w:pPr>
        <w:keepNext w:val="0"/>
        <w:keepLines w:val="0"/>
        <w:pageBreakBefore w:val="0"/>
        <w:widowControl w:val="0"/>
        <w:kinsoku/>
        <w:wordWrap w:val="0"/>
        <w:overflowPunct/>
        <w:topLinePunct w:val="0"/>
        <w:autoSpaceDE/>
        <w:autoSpaceDN/>
        <w:bidi w:val="0"/>
        <w:adjustRightInd w:val="0"/>
        <w:spacing w:line="440" w:lineRule="exact"/>
        <w:ind w:firstLine="480" w:firstLineChars="200"/>
        <w:jc w:val="left"/>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所有计量均采用中华人民共和国法定计量单位。</w:t>
      </w:r>
    </w:p>
    <w:p w14:paraId="2726B15C">
      <w:pPr>
        <w:keepNext w:val="0"/>
        <w:keepLines w:val="0"/>
        <w:pageBreakBefore w:val="0"/>
        <w:widowControl w:val="0"/>
        <w:kinsoku/>
        <w:wordWrap w:val="0"/>
        <w:overflowPunct/>
        <w:topLinePunct w:val="0"/>
        <w:autoSpaceDE/>
        <w:autoSpaceDN/>
        <w:bidi w:val="0"/>
        <w:adjustRightInd w:val="0"/>
        <w:spacing w:line="440" w:lineRule="exact"/>
        <w:jc w:val="left"/>
        <w:textAlignment w:val="auto"/>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lang w:val="zh-CN"/>
        </w:rPr>
        <w:t>1.9 踏勘现场</w:t>
      </w:r>
    </w:p>
    <w:p w14:paraId="6980976B">
      <w:pPr>
        <w:keepNext w:val="0"/>
        <w:keepLines w:val="0"/>
        <w:pageBreakBefore w:val="0"/>
        <w:widowControl w:val="0"/>
        <w:kinsoku/>
        <w:wordWrap w:val="0"/>
        <w:overflowPunct/>
        <w:topLinePunct w:val="0"/>
        <w:autoSpaceDE/>
        <w:autoSpaceDN/>
        <w:bidi w:val="0"/>
        <w:adjustRightInd w:val="0"/>
        <w:spacing w:line="440" w:lineRule="exact"/>
        <w:ind w:firstLine="480" w:firstLineChars="200"/>
        <w:jc w:val="lef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1.9.1 </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须知前附表规定组织踏勘现场的，采购人按</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须知前附表规定的时间、地点组织</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踏勘项目现场。部分</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未按时参加踏勘现场的，不影响踏勘现场的正常进行。</w:t>
      </w:r>
    </w:p>
    <w:p w14:paraId="6CBB5D10">
      <w:pPr>
        <w:keepNext w:val="0"/>
        <w:keepLines w:val="0"/>
        <w:pageBreakBefore w:val="0"/>
        <w:widowControl w:val="0"/>
        <w:kinsoku/>
        <w:wordWrap w:val="0"/>
        <w:overflowPunct/>
        <w:topLinePunct w:val="0"/>
        <w:autoSpaceDE/>
        <w:autoSpaceDN/>
        <w:bidi w:val="0"/>
        <w:adjustRightInd w:val="0"/>
        <w:spacing w:line="440" w:lineRule="exact"/>
        <w:ind w:firstLine="360" w:firstLineChars="150"/>
        <w:jc w:val="lef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1.9.2 </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踏勘现场发生的费用自理。</w:t>
      </w:r>
    </w:p>
    <w:p w14:paraId="36B2FE0F">
      <w:pPr>
        <w:keepNext w:val="0"/>
        <w:keepLines w:val="0"/>
        <w:pageBreakBefore w:val="0"/>
        <w:widowControl w:val="0"/>
        <w:kinsoku/>
        <w:wordWrap w:val="0"/>
        <w:overflowPunct/>
        <w:topLinePunct w:val="0"/>
        <w:autoSpaceDE/>
        <w:autoSpaceDN/>
        <w:bidi w:val="0"/>
        <w:adjustRightInd w:val="0"/>
        <w:spacing w:line="440" w:lineRule="exact"/>
        <w:ind w:firstLine="360" w:firstLineChars="150"/>
        <w:jc w:val="lef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1.9.3 除采购人的原因外，</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自行负责在踏勘现场中所发生的人员伤亡和财产损失。</w:t>
      </w:r>
    </w:p>
    <w:p w14:paraId="401A7C9A">
      <w:pPr>
        <w:keepNext w:val="0"/>
        <w:keepLines w:val="0"/>
        <w:pageBreakBefore w:val="0"/>
        <w:widowControl w:val="0"/>
        <w:kinsoku/>
        <w:wordWrap w:val="0"/>
        <w:overflowPunct/>
        <w:topLinePunct w:val="0"/>
        <w:autoSpaceDE/>
        <w:autoSpaceDN/>
        <w:bidi w:val="0"/>
        <w:adjustRightInd w:val="0"/>
        <w:spacing w:line="440" w:lineRule="exact"/>
        <w:ind w:firstLine="360" w:firstLineChars="150"/>
        <w:jc w:val="lef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1.9.4 采购人在踏勘现场中获取的相关情况，供</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在编制投标文件时参考，采购人不对</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据此作出的判断和决策负责。</w:t>
      </w:r>
    </w:p>
    <w:p w14:paraId="55B32EDC">
      <w:pPr>
        <w:keepNext w:val="0"/>
        <w:keepLines w:val="0"/>
        <w:pageBreakBefore w:val="0"/>
        <w:widowControl w:val="0"/>
        <w:kinsoku/>
        <w:wordWrap w:val="0"/>
        <w:overflowPunct/>
        <w:topLinePunct w:val="0"/>
        <w:autoSpaceDE/>
        <w:autoSpaceDN/>
        <w:bidi w:val="0"/>
        <w:adjustRightInd w:val="0"/>
        <w:spacing w:line="440" w:lineRule="exact"/>
        <w:jc w:val="left"/>
        <w:textAlignment w:val="auto"/>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lang w:val="zh-CN"/>
        </w:rPr>
        <w:t>1.10 投标预备会</w:t>
      </w:r>
    </w:p>
    <w:p w14:paraId="18AD45DD">
      <w:pPr>
        <w:keepNext w:val="0"/>
        <w:keepLines w:val="0"/>
        <w:pageBreakBefore w:val="0"/>
        <w:widowControl w:val="0"/>
        <w:kinsoku/>
        <w:wordWrap w:val="0"/>
        <w:overflowPunct/>
        <w:topLinePunct w:val="0"/>
        <w:autoSpaceDE/>
        <w:autoSpaceDN/>
        <w:bidi w:val="0"/>
        <w:adjustRightInd w:val="0"/>
        <w:spacing w:line="440" w:lineRule="exact"/>
        <w:ind w:firstLine="480" w:firstLineChars="200"/>
        <w:jc w:val="lef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zh-CN"/>
        </w:rPr>
        <w:t>1.10.1</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须知前附表规定召开投标预备会的，采购人按</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须知前附表规定的时间和地点召开投标预备会，澄清</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提出的问题。</w:t>
      </w:r>
    </w:p>
    <w:p w14:paraId="060DBB87">
      <w:pPr>
        <w:keepNext w:val="0"/>
        <w:keepLines w:val="0"/>
        <w:pageBreakBefore w:val="0"/>
        <w:widowControl w:val="0"/>
        <w:kinsoku/>
        <w:wordWrap w:val="0"/>
        <w:overflowPunct/>
        <w:topLinePunct w:val="0"/>
        <w:autoSpaceDE/>
        <w:autoSpaceDN/>
        <w:bidi w:val="0"/>
        <w:adjustRightInd w:val="0"/>
        <w:spacing w:line="440" w:lineRule="exact"/>
        <w:ind w:firstLine="480" w:firstLineChars="200"/>
        <w:jc w:val="lef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zh-CN"/>
        </w:rPr>
        <w:t>1.10.2</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应按</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须知前附表规定的时间和形式将提出的问题送达采购人，以便采购人在会议期间澄清。</w:t>
      </w:r>
    </w:p>
    <w:p w14:paraId="2796B7BF">
      <w:pPr>
        <w:keepNext w:val="0"/>
        <w:keepLines w:val="0"/>
        <w:pageBreakBefore w:val="0"/>
        <w:widowControl w:val="0"/>
        <w:kinsoku/>
        <w:wordWrap w:val="0"/>
        <w:overflowPunct/>
        <w:topLinePunct w:val="0"/>
        <w:autoSpaceDE/>
        <w:autoSpaceDN/>
        <w:bidi w:val="0"/>
        <w:adjustRightInd w:val="0"/>
        <w:spacing w:line="440" w:lineRule="exact"/>
        <w:ind w:firstLine="482"/>
        <w:textAlignment w:val="auto"/>
        <w:rPr>
          <w:rFonts w:hint="eastAsia" w:ascii="宋体" w:hAnsi="宋体" w:eastAsia="宋体" w:cs="宋体"/>
          <w:b/>
          <w:color w:val="auto"/>
          <w:sz w:val="24"/>
          <w:szCs w:val="24"/>
          <w:highlight w:val="none"/>
          <w:lang w:val="zh-CN"/>
        </w:rPr>
      </w:pPr>
      <w:r>
        <w:rPr>
          <w:rFonts w:hint="eastAsia" w:ascii="宋体" w:hAnsi="宋体" w:eastAsia="宋体" w:cs="宋体"/>
          <w:bCs/>
          <w:color w:val="auto"/>
          <w:sz w:val="24"/>
          <w:szCs w:val="24"/>
          <w:highlight w:val="none"/>
          <w:lang w:val="zh-CN"/>
        </w:rPr>
        <w:t>1.10.3</w:t>
      </w:r>
      <w:r>
        <w:rPr>
          <w:rFonts w:hint="eastAsia" w:ascii="宋体" w:hAnsi="宋体" w:eastAsia="宋体" w:cs="宋体"/>
          <w:bCs/>
          <w:color w:val="auto"/>
          <w:sz w:val="24"/>
          <w:szCs w:val="24"/>
          <w:highlight w:val="none"/>
        </w:rPr>
        <w:t>投标预备会后，采购人将对</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所提问题的澄清，以</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须知前附表规定的形式通知所有获取招标文件的</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。该澄清内容为招标文件的组成部分。</w:t>
      </w:r>
    </w:p>
    <w:p w14:paraId="48331D34">
      <w:pPr>
        <w:keepNext w:val="0"/>
        <w:keepLines w:val="0"/>
        <w:pageBreakBefore w:val="0"/>
        <w:widowControl w:val="0"/>
        <w:kinsoku/>
        <w:wordWrap w:val="0"/>
        <w:overflowPunct/>
        <w:topLinePunct w:val="0"/>
        <w:autoSpaceDE/>
        <w:autoSpaceDN/>
        <w:bidi w:val="0"/>
        <w:adjustRightInd w:val="0"/>
        <w:spacing w:line="440" w:lineRule="exact"/>
        <w:jc w:val="left"/>
        <w:textAlignment w:val="auto"/>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lang w:val="zh-CN"/>
        </w:rPr>
        <w:t>1.11 分包</w:t>
      </w:r>
    </w:p>
    <w:p w14:paraId="7B6B6DC6">
      <w:pPr>
        <w:keepNext w:val="0"/>
        <w:keepLines w:val="0"/>
        <w:pageBreakBefore w:val="0"/>
        <w:widowControl w:val="0"/>
        <w:kinsoku/>
        <w:wordWrap w:val="0"/>
        <w:overflowPunct/>
        <w:topLinePunct w:val="0"/>
        <w:autoSpaceDE/>
        <w:autoSpaceDN/>
        <w:bidi w:val="0"/>
        <w:adjustRightInd w:val="0"/>
        <w:spacing w:line="440" w:lineRule="exact"/>
        <w:ind w:firstLine="480" w:firstLineChars="200"/>
        <w:jc w:val="lef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1.11.1 </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拟在中标后将中标项目的非主体、非关键性工作进行分包的，应符合</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须知前附表规定的分包内容、分包金额和资格要求等限制性条件，除</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须知前附表规定的非主体、非关键性工作外，其他工作不得分包。</w:t>
      </w:r>
    </w:p>
    <w:p w14:paraId="28CA9CA5">
      <w:pPr>
        <w:keepNext w:val="0"/>
        <w:keepLines w:val="0"/>
        <w:pageBreakBefore w:val="0"/>
        <w:widowControl w:val="0"/>
        <w:kinsoku/>
        <w:wordWrap w:val="0"/>
        <w:overflowPunct/>
        <w:topLinePunct w:val="0"/>
        <w:autoSpaceDE/>
        <w:autoSpaceDN/>
        <w:bidi w:val="0"/>
        <w:adjustRightInd w:val="0"/>
        <w:spacing w:line="440" w:lineRule="exact"/>
        <w:ind w:firstLine="360" w:firstLineChars="150"/>
        <w:jc w:val="lef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1.11.2 </w:t>
      </w:r>
      <w:r>
        <w:rPr>
          <w:rFonts w:hint="eastAsia" w:ascii="宋体" w:hAnsi="宋体" w:eastAsia="宋体" w:cs="宋体"/>
          <w:bCs/>
          <w:color w:val="auto"/>
          <w:sz w:val="24"/>
          <w:szCs w:val="24"/>
          <w:highlight w:val="none"/>
          <w:lang w:eastAsia="zh-CN"/>
        </w:rPr>
        <w:t>中标供应商</w:t>
      </w:r>
      <w:r>
        <w:rPr>
          <w:rFonts w:hint="eastAsia" w:ascii="宋体" w:hAnsi="宋体" w:eastAsia="宋体" w:cs="宋体"/>
          <w:bCs/>
          <w:color w:val="auto"/>
          <w:sz w:val="24"/>
          <w:szCs w:val="24"/>
          <w:highlight w:val="none"/>
        </w:rPr>
        <w:t>不得向他人转让中标项目，接受分包的人不得再次分包。</w:t>
      </w:r>
      <w:r>
        <w:rPr>
          <w:rFonts w:hint="eastAsia" w:ascii="宋体" w:hAnsi="宋体" w:eastAsia="宋体" w:cs="宋体"/>
          <w:bCs/>
          <w:color w:val="auto"/>
          <w:sz w:val="24"/>
          <w:szCs w:val="24"/>
          <w:highlight w:val="none"/>
          <w:lang w:eastAsia="zh-CN"/>
        </w:rPr>
        <w:t>中标供应商</w:t>
      </w:r>
      <w:r>
        <w:rPr>
          <w:rFonts w:hint="eastAsia" w:ascii="宋体" w:hAnsi="宋体" w:eastAsia="宋体" w:cs="宋体"/>
          <w:bCs/>
          <w:color w:val="auto"/>
          <w:sz w:val="24"/>
          <w:szCs w:val="24"/>
          <w:highlight w:val="none"/>
        </w:rPr>
        <w:t>应当就分包项目向采购人负责，接受分包的人就分包项目承担连带责任。</w:t>
      </w:r>
    </w:p>
    <w:p w14:paraId="44D46936">
      <w:pPr>
        <w:keepNext w:val="0"/>
        <w:keepLines w:val="0"/>
        <w:pageBreakBefore w:val="0"/>
        <w:widowControl w:val="0"/>
        <w:kinsoku/>
        <w:wordWrap w:val="0"/>
        <w:overflowPunct/>
        <w:topLinePunct w:val="0"/>
        <w:autoSpaceDE/>
        <w:autoSpaceDN/>
        <w:bidi w:val="0"/>
        <w:adjustRightInd w:val="0"/>
        <w:spacing w:line="440" w:lineRule="exact"/>
        <w:jc w:val="lef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zh-CN"/>
        </w:rPr>
        <w:t xml:space="preserve">1.12 </w:t>
      </w:r>
      <w:r>
        <w:rPr>
          <w:rFonts w:hint="eastAsia" w:ascii="宋体" w:hAnsi="宋体" w:eastAsia="宋体" w:cs="宋体"/>
          <w:b/>
          <w:color w:val="auto"/>
          <w:sz w:val="24"/>
          <w:szCs w:val="24"/>
          <w:highlight w:val="none"/>
        </w:rPr>
        <w:t>响应和偏差</w:t>
      </w:r>
    </w:p>
    <w:p w14:paraId="1299D741">
      <w:pPr>
        <w:keepNext w:val="0"/>
        <w:keepLines w:val="0"/>
        <w:pageBreakBefore w:val="0"/>
        <w:widowControl w:val="0"/>
        <w:kinsoku/>
        <w:wordWrap w:val="0"/>
        <w:overflowPunct/>
        <w:topLinePunct w:val="0"/>
        <w:autoSpaceDE/>
        <w:autoSpaceDN/>
        <w:bidi w:val="0"/>
        <w:adjustRightInd w:val="0"/>
        <w:spacing w:line="4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1.12.1 投标文件应当对招标文件的</w:t>
      </w:r>
      <w:r>
        <w:rPr>
          <w:rFonts w:hint="eastAsia" w:ascii="宋体" w:hAnsi="宋体" w:eastAsia="宋体" w:cs="宋体"/>
          <w:color w:val="auto"/>
          <w:sz w:val="24"/>
          <w:szCs w:val="24"/>
          <w:highlight w:val="none"/>
          <w:lang w:eastAsia="zh-CN"/>
        </w:rPr>
        <w:t>所有条款的</w:t>
      </w:r>
      <w:r>
        <w:rPr>
          <w:rFonts w:hint="eastAsia" w:ascii="宋体" w:hAnsi="宋体" w:eastAsia="宋体" w:cs="宋体"/>
          <w:color w:val="auto"/>
          <w:sz w:val="24"/>
          <w:szCs w:val="24"/>
          <w:highlight w:val="none"/>
        </w:rPr>
        <w:t>实质性要求和条件作出满足性或更有利于采购人的响应，否则，</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的投标将被否决。实质性要求和条件见</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须知前附表。</w:t>
      </w:r>
    </w:p>
    <w:p w14:paraId="7C96F382">
      <w:pPr>
        <w:keepNext w:val="0"/>
        <w:keepLines w:val="0"/>
        <w:pageBreakBefore w:val="0"/>
        <w:widowControl w:val="0"/>
        <w:kinsoku/>
        <w:wordWrap w:val="0"/>
        <w:overflowPunct/>
        <w:topLinePunct w:val="0"/>
        <w:autoSpaceDE/>
        <w:autoSpaceDN/>
        <w:bidi w:val="0"/>
        <w:adjustRightInd w:val="0"/>
        <w:spacing w:line="4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1.12.2 </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应根据招标文件的要求提供投标技术文件等内容以对招标文件作出响应。</w:t>
      </w:r>
    </w:p>
    <w:p w14:paraId="093A5D60">
      <w:pPr>
        <w:keepNext w:val="0"/>
        <w:keepLines w:val="0"/>
        <w:pageBreakBefore w:val="0"/>
        <w:widowControl w:val="0"/>
        <w:kinsoku/>
        <w:wordWrap w:val="0"/>
        <w:overflowPunct/>
        <w:topLinePunct w:val="0"/>
        <w:autoSpaceDE/>
        <w:autoSpaceDN/>
        <w:bidi w:val="0"/>
        <w:adjustRightInd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1.12.3 </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须知前附表允许</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偏离</w:t>
      </w:r>
      <w:r>
        <w:rPr>
          <w:rFonts w:hint="eastAsia" w:ascii="宋体" w:hAnsi="宋体" w:eastAsia="宋体" w:cs="宋体"/>
          <w:color w:val="auto"/>
          <w:sz w:val="24"/>
          <w:szCs w:val="24"/>
          <w:highlight w:val="none"/>
          <w:lang w:eastAsia="zh-CN"/>
        </w:rPr>
        <w:t>招标文件</w:t>
      </w:r>
      <w:r>
        <w:rPr>
          <w:rFonts w:hint="eastAsia" w:ascii="宋体" w:hAnsi="宋体" w:eastAsia="宋体" w:cs="宋体"/>
          <w:color w:val="auto"/>
          <w:sz w:val="24"/>
          <w:szCs w:val="24"/>
          <w:highlight w:val="none"/>
        </w:rPr>
        <w:t>某些要求的，偏差应当符合</w:t>
      </w:r>
      <w:r>
        <w:rPr>
          <w:rFonts w:hint="eastAsia" w:ascii="宋体" w:hAnsi="宋体" w:eastAsia="宋体" w:cs="宋体"/>
          <w:color w:val="auto"/>
          <w:sz w:val="24"/>
          <w:szCs w:val="24"/>
          <w:highlight w:val="none"/>
          <w:lang w:eastAsia="zh-CN"/>
        </w:rPr>
        <w:t>招标文件</w:t>
      </w:r>
      <w:r>
        <w:rPr>
          <w:rFonts w:hint="eastAsia" w:ascii="宋体" w:hAnsi="宋体" w:eastAsia="宋体" w:cs="宋体"/>
          <w:color w:val="auto"/>
          <w:sz w:val="24"/>
          <w:szCs w:val="24"/>
          <w:highlight w:val="none"/>
        </w:rPr>
        <w:t>规定的偏差范围和幅度。</w:t>
      </w:r>
    </w:p>
    <w:p w14:paraId="127880CB">
      <w:pPr>
        <w:keepNext w:val="0"/>
        <w:keepLines w:val="0"/>
        <w:pageBreakBefore w:val="0"/>
        <w:widowControl w:val="0"/>
        <w:kinsoku/>
        <w:wordWrap w:val="0"/>
        <w:overflowPunct/>
        <w:topLinePunct w:val="0"/>
        <w:autoSpaceDE/>
        <w:autoSpaceDN/>
        <w:bidi w:val="0"/>
        <w:adjustRightInd w:val="0"/>
        <w:spacing w:line="440" w:lineRule="exact"/>
        <w:jc w:val="left"/>
        <w:textAlignment w:val="auto"/>
        <w:rPr>
          <w:rFonts w:hint="eastAsia" w:ascii="宋体" w:hAnsi="宋体" w:eastAsia="宋体" w:cs="宋体"/>
          <w:b/>
          <w:color w:val="auto"/>
          <w:sz w:val="28"/>
          <w:szCs w:val="28"/>
          <w:highlight w:val="none"/>
          <w:lang w:val="zh-CN"/>
        </w:rPr>
      </w:pPr>
      <w:r>
        <w:rPr>
          <w:rFonts w:hint="eastAsia" w:ascii="宋体" w:hAnsi="宋体" w:eastAsia="宋体" w:cs="宋体"/>
          <w:b/>
          <w:color w:val="auto"/>
          <w:sz w:val="28"/>
          <w:szCs w:val="28"/>
          <w:highlight w:val="none"/>
          <w:lang w:val="zh-CN"/>
        </w:rPr>
        <w:t>2.招标文件</w:t>
      </w:r>
    </w:p>
    <w:p w14:paraId="33C54ED0">
      <w:pPr>
        <w:keepNext w:val="0"/>
        <w:keepLines w:val="0"/>
        <w:pageBreakBefore w:val="0"/>
        <w:widowControl w:val="0"/>
        <w:kinsoku/>
        <w:wordWrap w:val="0"/>
        <w:overflowPunct/>
        <w:topLinePunct w:val="0"/>
        <w:autoSpaceDE/>
        <w:autoSpaceDN/>
        <w:bidi w:val="0"/>
        <w:adjustRightInd w:val="0"/>
        <w:spacing w:line="440" w:lineRule="exact"/>
        <w:jc w:val="lef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2.1 招标文件的组成</w:t>
      </w:r>
    </w:p>
    <w:p w14:paraId="717A31E5">
      <w:pPr>
        <w:keepNext w:val="0"/>
        <w:keepLines w:val="0"/>
        <w:pageBreakBefore w:val="0"/>
        <w:widowControl w:val="0"/>
        <w:kinsoku/>
        <w:wordWrap w:val="0"/>
        <w:overflowPunct/>
        <w:topLinePunct w:val="0"/>
        <w:autoSpaceDE/>
        <w:autoSpaceDN/>
        <w:bidi w:val="0"/>
        <w:adjustRightInd w:val="0"/>
        <w:spacing w:line="440" w:lineRule="exact"/>
        <w:ind w:firstLine="600" w:firstLineChars="2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本招标文件包括：</w:t>
      </w:r>
    </w:p>
    <w:p w14:paraId="08884914">
      <w:pPr>
        <w:keepNext w:val="0"/>
        <w:keepLines w:val="0"/>
        <w:pageBreakBefore w:val="0"/>
        <w:widowControl w:val="0"/>
        <w:kinsoku/>
        <w:wordWrap w:val="0"/>
        <w:overflowPunct/>
        <w:topLinePunct w:val="0"/>
        <w:autoSpaceDE/>
        <w:autoSpaceDN/>
        <w:bidi w:val="0"/>
        <w:adjustRightInd w:val="0"/>
        <w:spacing w:line="440" w:lineRule="exact"/>
        <w:ind w:firstLine="360" w:firstLineChars="1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（1）招标公告；</w:t>
      </w:r>
    </w:p>
    <w:p w14:paraId="5CE48202">
      <w:pPr>
        <w:keepNext w:val="0"/>
        <w:keepLines w:val="0"/>
        <w:pageBreakBefore w:val="0"/>
        <w:widowControl w:val="0"/>
        <w:kinsoku/>
        <w:wordWrap w:val="0"/>
        <w:overflowPunct/>
        <w:topLinePunct w:val="0"/>
        <w:autoSpaceDE/>
        <w:autoSpaceDN/>
        <w:bidi w:val="0"/>
        <w:adjustRightInd w:val="0"/>
        <w:spacing w:line="440" w:lineRule="exact"/>
        <w:ind w:firstLine="360" w:firstLineChars="1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须知；</w:t>
      </w:r>
    </w:p>
    <w:p w14:paraId="28646A60">
      <w:pPr>
        <w:keepNext w:val="0"/>
        <w:keepLines w:val="0"/>
        <w:pageBreakBefore w:val="0"/>
        <w:widowControl w:val="0"/>
        <w:kinsoku/>
        <w:wordWrap w:val="0"/>
        <w:overflowPunct/>
        <w:topLinePunct w:val="0"/>
        <w:autoSpaceDE/>
        <w:autoSpaceDN/>
        <w:bidi w:val="0"/>
        <w:adjustRightInd w:val="0"/>
        <w:spacing w:line="440" w:lineRule="exact"/>
        <w:ind w:firstLine="360" w:firstLineChars="1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（3）评标办法；</w:t>
      </w:r>
    </w:p>
    <w:p w14:paraId="69C2963A">
      <w:pPr>
        <w:keepNext w:val="0"/>
        <w:keepLines w:val="0"/>
        <w:pageBreakBefore w:val="0"/>
        <w:widowControl w:val="0"/>
        <w:kinsoku/>
        <w:wordWrap w:val="0"/>
        <w:overflowPunct/>
        <w:topLinePunct w:val="0"/>
        <w:autoSpaceDE/>
        <w:autoSpaceDN/>
        <w:bidi w:val="0"/>
        <w:adjustRightInd w:val="0"/>
        <w:spacing w:line="440" w:lineRule="exact"/>
        <w:ind w:firstLine="360" w:firstLineChars="1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zh-CN"/>
        </w:rPr>
        <w:t>采购需求</w:t>
      </w:r>
      <w:r>
        <w:rPr>
          <w:rFonts w:hint="eastAsia" w:ascii="宋体" w:hAnsi="宋体" w:eastAsia="宋体" w:cs="宋体"/>
          <w:color w:val="auto"/>
          <w:sz w:val="24"/>
          <w:szCs w:val="24"/>
          <w:highlight w:val="none"/>
        </w:rPr>
        <w:t>；</w:t>
      </w:r>
    </w:p>
    <w:p w14:paraId="4ADE290B">
      <w:pPr>
        <w:keepNext w:val="0"/>
        <w:keepLines w:val="0"/>
        <w:pageBreakBefore w:val="0"/>
        <w:widowControl w:val="0"/>
        <w:kinsoku/>
        <w:wordWrap w:val="0"/>
        <w:overflowPunct/>
        <w:topLinePunct w:val="0"/>
        <w:autoSpaceDE/>
        <w:autoSpaceDN/>
        <w:bidi w:val="0"/>
        <w:adjustRightInd w:val="0"/>
        <w:spacing w:line="440" w:lineRule="exact"/>
        <w:ind w:firstLine="360" w:firstLineChars="1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r>
        <w:rPr>
          <w:rFonts w:hint="eastAsia" w:ascii="宋体" w:hAnsi="宋体" w:eastAsia="宋体" w:cs="宋体"/>
          <w:color w:val="auto"/>
          <w:sz w:val="24"/>
          <w:szCs w:val="24"/>
          <w:highlight w:val="none"/>
          <w:lang w:val="zh-CN"/>
        </w:rPr>
        <w:t>合同格式</w:t>
      </w:r>
      <w:r>
        <w:rPr>
          <w:rFonts w:hint="eastAsia" w:ascii="宋体" w:hAnsi="宋体" w:eastAsia="宋体" w:cs="宋体"/>
          <w:color w:val="auto"/>
          <w:sz w:val="24"/>
          <w:szCs w:val="24"/>
          <w:highlight w:val="none"/>
        </w:rPr>
        <w:t>；</w:t>
      </w:r>
    </w:p>
    <w:p w14:paraId="6EC3B947">
      <w:pPr>
        <w:keepNext w:val="0"/>
        <w:keepLines w:val="0"/>
        <w:pageBreakBefore w:val="0"/>
        <w:widowControl w:val="0"/>
        <w:kinsoku/>
        <w:wordWrap w:val="0"/>
        <w:overflowPunct/>
        <w:topLinePunct w:val="0"/>
        <w:autoSpaceDE/>
        <w:autoSpaceDN/>
        <w:bidi w:val="0"/>
        <w:adjustRightInd w:val="0"/>
        <w:spacing w:line="440" w:lineRule="exact"/>
        <w:ind w:firstLine="360" w:firstLineChars="15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（6）投标文件格式；</w:t>
      </w:r>
    </w:p>
    <w:p w14:paraId="4700C593">
      <w:pPr>
        <w:keepNext w:val="0"/>
        <w:keepLines w:val="0"/>
        <w:pageBreakBefore w:val="0"/>
        <w:widowControl w:val="0"/>
        <w:kinsoku/>
        <w:wordWrap w:val="0"/>
        <w:overflowPunct/>
        <w:topLinePunct w:val="0"/>
        <w:autoSpaceDE/>
        <w:autoSpaceDN/>
        <w:bidi w:val="0"/>
        <w:adjustRightInd w:val="0"/>
        <w:spacing w:line="440" w:lineRule="exact"/>
        <w:ind w:firstLine="360" w:firstLineChars="1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lang w:eastAsia="zh-CN"/>
        </w:rPr>
        <w:t>）附件。</w:t>
      </w:r>
    </w:p>
    <w:p w14:paraId="35C48D73">
      <w:pPr>
        <w:keepNext w:val="0"/>
        <w:keepLines w:val="0"/>
        <w:pageBreakBefore w:val="0"/>
        <w:widowControl w:val="0"/>
        <w:kinsoku/>
        <w:wordWrap w:val="0"/>
        <w:overflowPunct/>
        <w:topLinePunct w:val="0"/>
        <w:autoSpaceDE/>
        <w:autoSpaceDN/>
        <w:bidi w:val="0"/>
        <w:adjustRightInd w:val="0"/>
        <w:spacing w:line="4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根据本章第 1.10 款、第 2.2 款和第 2.3 款对招标文件所作的澄清、修改，构成招标文件的组成部分，</w:t>
      </w:r>
      <w:r>
        <w:rPr>
          <w:rFonts w:hint="eastAsia" w:ascii="宋体" w:hAnsi="宋体" w:eastAsia="宋体" w:cs="宋体"/>
          <w:color w:val="auto"/>
          <w:sz w:val="24"/>
          <w:szCs w:val="24"/>
          <w:highlight w:val="none"/>
          <w:lang w:val="zh-CN"/>
        </w:rPr>
        <w:t>供应商应认真阅读招标文件中所有事项、格式、条款和规范等要求。如果供应商没有按照招标文件要求提交全部文件资料或投标文件没有对招标文件在各方面都做出实质性响应，是供应商的风险。</w:t>
      </w:r>
    </w:p>
    <w:p w14:paraId="48151275">
      <w:pPr>
        <w:keepNext w:val="0"/>
        <w:keepLines w:val="0"/>
        <w:pageBreakBefore w:val="0"/>
        <w:widowControl w:val="0"/>
        <w:kinsoku/>
        <w:wordWrap w:val="0"/>
        <w:overflowPunct/>
        <w:topLinePunct w:val="0"/>
        <w:autoSpaceDE/>
        <w:autoSpaceDN/>
        <w:bidi w:val="0"/>
        <w:adjustRightInd w:val="0"/>
        <w:spacing w:line="440" w:lineRule="exact"/>
        <w:jc w:val="left"/>
        <w:textAlignment w:val="auto"/>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lang w:val="zh-CN"/>
        </w:rPr>
        <w:t>2.2 招标文件的澄清</w:t>
      </w:r>
    </w:p>
    <w:p w14:paraId="03C56F73">
      <w:pPr>
        <w:keepNext w:val="0"/>
        <w:keepLines w:val="0"/>
        <w:pageBreakBefore w:val="0"/>
        <w:widowControl w:val="0"/>
        <w:kinsoku/>
        <w:wordWrap w:val="0"/>
        <w:overflowPunct/>
        <w:topLinePunct w:val="0"/>
        <w:autoSpaceDE/>
        <w:autoSpaceDN/>
        <w:bidi w:val="0"/>
        <w:adjustRightInd w:val="0"/>
        <w:spacing w:line="440" w:lineRule="exact"/>
        <w:ind w:firstLine="480" w:firstLineChars="200"/>
        <w:jc w:val="lef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2.2.1 </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应仔细阅读和检查招标文件的全部内容。如发现缺页或附件不全，应及时向采购人提出，以便补齐。如有疑问，应按</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须知前附表规定的时间和形式将提出的问题送达采购人，要求采购人对招标文件予以澄清。</w:t>
      </w:r>
    </w:p>
    <w:p w14:paraId="57F0DEFB">
      <w:pPr>
        <w:keepNext w:val="0"/>
        <w:keepLines w:val="0"/>
        <w:pageBreakBefore w:val="0"/>
        <w:widowControl w:val="0"/>
        <w:kinsoku/>
        <w:wordWrap w:val="0"/>
        <w:overflowPunct/>
        <w:topLinePunct w:val="0"/>
        <w:autoSpaceDE/>
        <w:autoSpaceDN/>
        <w:bidi w:val="0"/>
        <w:adjustRightInd w:val="0"/>
        <w:spacing w:line="440" w:lineRule="exact"/>
        <w:ind w:firstLine="480" w:firstLineChars="200"/>
        <w:jc w:val="lef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2.2.2 招标文件的澄清以</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须知前附表规定的形式发给所有获取招标文件的</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，但不指明澄清问题的来源。澄清发出的时间距本章第 4.2.1 款规定的投标截止时间不足 15 日的，并且澄清内容可能影响投标文件编制的，将相应延长投标截止时间。</w:t>
      </w:r>
    </w:p>
    <w:p w14:paraId="48788C10">
      <w:pPr>
        <w:keepNext w:val="0"/>
        <w:keepLines w:val="0"/>
        <w:pageBreakBefore w:val="0"/>
        <w:widowControl w:val="0"/>
        <w:kinsoku/>
        <w:wordWrap w:val="0"/>
        <w:overflowPunct/>
        <w:topLinePunct w:val="0"/>
        <w:autoSpaceDE/>
        <w:autoSpaceDN/>
        <w:bidi w:val="0"/>
        <w:adjustRightInd w:val="0"/>
        <w:spacing w:line="440" w:lineRule="exact"/>
        <w:ind w:firstLine="480" w:firstLineChars="200"/>
        <w:jc w:val="lef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2.2.3 </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在收到澄清后，应按</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须知前附表规定的时间和形式通知采购人，确认已收到该澄清。</w:t>
      </w:r>
    </w:p>
    <w:p w14:paraId="3B9D08F0">
      <w:pPr>
        <w:keepNext w:val="0"/>
        <w:keepLines w:val="0"/>
        <w:pageBreakBefore w:val="0"/>
        <w:widowControl w:val="0"/>
        <w:kinsoku/>
        <w:wordWrap w:val="0"/>
        <w:overflowPunct/>
        <w:topLinePunct w:val="0"/>
        <w:autoSpaceDE/>
        <w:autoSpaceDN/>
        <w:bidi w:val="0"/>
        <w:adjustRightInd w:val="0"/>
        <w:spacing w:line="440" w:lineRule="exact"/>
        <w:ind w:firstLine="482"/>
        <w:textAlignment w:val="auto"/>
        <w:rPr>
          <w:rFonts w:hint="eastAsia" w:ascii="宋体" w:hAnsi="宋体" w:eastAsia="宋体" w:cs="宋体"/>
          <w:b/>
          <w:color w:val="auto"/>
          <w:sz w:val="24"/>
          <w:szCs w:val="24"/>
          <w:highlight w:val="none"/>
        </w:rPr>
      </w:pPr>
      <w:r>
        <w:rPr>
          <w:rFonts w:hint="eastAsia" w:ascii="宋体" w:hAnsi="宋体" w:eastAsia="宋体" w:cs="宋体"/>
          <w:bCs/>
          <w:color w:val="auto"/>
          <w:sz w:val="24"/>
          <w:szCs w:val="24"/>
          <w:highlight w:val="none"/>
        </w:rPr>
        <w:t>2.2.4 除非采购人认为确有必要答复，否则，采购人有权拒绝回复</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在本章第 2.2.1 款规定的时间后的任何澄清要求。</w:t>
      </w:r>
    </w:p>
    <w:p w14:paraId="4C87E4DF">
      <w:pPr>
        <w:keepNext w:val="0"/>
        <w:keepLines w:val="0"/>
        <w:pageBreakBefore w:val="0"/>
        <w:widowControl w:val="0"/>
        <w:kinsoku/>
        <w:wordWrap w:val="0"/>
        <w:overflowPunct/>
        <w:topLinePunct w:val="0"/>
        <w:autoSpaceDE/>
        <w:autoSpaceDN/>
        <w:bidi w:val="0"/>
        <w:adjustRightInd w:val="0"/>
        <w:spacing w:line="440" w:lineRule="exact"/>
        <w:jc w:val="left"/>
        <w:textAlignment w:val="auto"/>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lang w:val="zh-CN"/>
        </w:rPr>
        <w:t>2.3 招标文件的修改</w:t>
      </w:r>
    </w:p>
    <w:p w14:paraId="1FDE52D9">
      <w:pPr>
        <w:keepNext w:val="0"/>
        <w:keepLines w:val="0"/>
        <w:pageBreakBefore w:val="0"/>
        <w:widowControl w:val="0"/>
        <w:kinsoku/>
        <w:wordWrap w:val="0"/>
        <w:overflowPunct/>
        <w:topLinePunct w:val="0"/>
        <w:autoSpaceDE/>
        <w:autoSpaceDN/>
        <w:bidi w:val="0"/>
        <w:adjustRightInd w:val="0"/>
        <w:spacing w:line="440" w:lineRule="exact"/>
        <w:ind w:firstLine="480" w:firstLineChars="200"/>
        <w:jc w:val="lef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2.3.1 采购人以</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须知前附表规定的形式修改招标文件，并通知所有已获取招标文件的</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。修改招标文件的时间距本章第 4.2.1 款规定的投标截止时间不足 15 日的，并且修改内容可能影响投标文件编制的，将相应延长投标截止时间。</w:t>
      </w:r>
    </w:p>
    <w:p w14:paraId="014D378E">
      <w:pPr>
        <w:keepNext w:val="0"/>
        <w:keepLines w:val="0"/>
        <w:pageBreakBefore w:val="0"/>
        <w:widowControl w:val="0"/>
        <w:kinsoku/>
        <w:wordWrap w:val="0"/>
        <w:overflowPunct/>
        <w:topLinePunct w:val="0"/>
        <w:autoSpaceDE/>
        <w:autoSpaceDN/>
        <w:bidi w:val="0"/>
        <w:adjustRightInd w:val="0"/>
        <w:spacing w:line="440" w:lineRule="exact"/>
        <w:ind w:firstLine="482"/>
        <w:textAlignment w:val="auto"/>
        <w:rPr>
          <w:rFonts w:hint="eastAsia" w:ascii="宋体" w:hAnsi="宋体" w:eastAsia="宋体" w:cs="宋体"/>
          <w:b/>
          <w:color w:val="auto"/>
          <w:sz w:val="24"/>
          <w:szCs w:val="24"/>
          <w:highlight w:val="none"/>
          <w:lang w:val="zh-CN"/>
        </w:rPr>
      </w:pPr>
      <w:r>
        <w:rPr>
          <w:rFonts w:hint="eastAsia" w:ascii="宋体" w:hAnsi="宋体" w:eastAsia="宋体" w:cs="宋体"/>
          <w:bCs/>
          <w:color w:val="auto"/>
          <w:sz w:val="24"/>
          <w:szCs w:val="24"/>
          <w:highlight w:val="none"/>
        </w:rPr>
        <w:t xml:space="preserve">2.3.2 </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收到修改内容后，应按</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须知前附表规定的时间和形式通知采购人，确认已收到该修改。</w:t>
      </w:r>
    </w:p>
    <w:p w14:paraId="5B711E1E">
      <w:pPr>
        <w:keepNext w:val="0"/>
        <w:keepLines w:val="0"/>
        <w:pageBreakBefore w:val="0"/>
        <w:widowControl w:val="0"/>
        <w:kinsoku/>
        <w:wordWrap w:val="0"/>
        <w:overflowPunct/>
        <w:topLinePunct w:val="0"/>
        <w:autoSpaceDE/>
        <w:autoSpaceDN/>
        <w:bidi w:val="0"/>
        <w:adjustRightInd w:val="0"/>
        <w:spacing w:line="44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lang w:val="zh-CN"/>
        </w:rPr>
        <w:t>2.3.3 招标文件的澄清、修改、补充文件均构成招标文件的组成部分，对所有供应商具有约束力，而无论其是否已经实际收到该澄清、修改、补充文件（包括答疑会纪要）。供应商都</w:t>
      </w:r>
      <w:r>
        <w:rPr>
          <w:rFonts w:hint="eastAsia" w:ascii="宋体" w:hAnsi="宋体" w:eastAsia="宋体" w:cs="宋体"/>
          <w:bCs/>
          <w:color w:val="auto"/>
          <w:sz w:val="24"/>
          <w:szCs w:val="24"/>
          <w:highlight w:val="none"/>
        </w:rPr>
        <w:t>应按</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须知前附表规定的时间和形式</w:t>
      </w:r>
      <w:r>
        <w:rPr>
          <w:rFonts w:hint="eastAsia" w:ascii="宋体" w:hAnsi="宋体" w:eastAsia="宋体" w:cs="宋体"/>
          <w:color w:val="auto"/>
          <w:sz w:val="24"/>
          <w:szCs w:val="24"/>
          <w:highlight w:val="none"/>
          <w:lang w:val="zh-CN"/>
        </w:rPr>
        <w:t>回复并</w:t>
      </w:r>
      <w:r>
        <w:rPr>
          <w:rFonts w:hint="eastAsia" w:ascii="宋体" w:hAnsi="宋体" w:eastAsia="宋体" w:cs="宋体"/>
          <w:bCs/>
          <w:color w:val="auto"/>
          <w:sz w:val="24"/>
          <w:szCs w:val="24"/>
          <w:highlight w:val="none"/>
        </w:rPr>
        <w:t>通知采购人</w:t>
      </w:r>
      <w:r>
        <w:rPr>
          <w:rFonts w:hint="eastAsia" w:ascii="宋体" w:hAnsi="宋体" w:eastAsia="宋体" w:cs="宋体"/>
          <w:color w:val="auto"/>
          <w:sz w:val="24"/>
          <w:szCs w:val="24"/>
          <w:highlight w:val="none"/>
          <w:lang w:val="zh-CN"/>
        </w:rPr>
        <w:t>确认已收到</w:t>
      </w:r>
      <w:r>
        <w:rPr>
          <w:rFonts w:hint="eastAsia" w:ascii="宋体" w:hAnsi="宋体" w:eastAsia="宋体" w:cs="宋体"/>
          <w:bCs/>
          <w:color w:val="auto"/>
          <w:sz w:val="24"/>
          <w:szCs w:val="24"/>
          <w:highlight w:val="none"/>
        </w:rPr>
        <w:t>。</w:t>
      </w:r>
    </w:p>
    <w:p w14:paraId="75792A74">
      <w:pPr>
        <w:keepNext w:val="0"/>
        <w:keepLines w:val="0"/>
        <w:pageBreakBefore w:val="0"/>
        <w:widowControl w:val="0"/>
        <w:kinsoku/>
        <w:wordWrap w:val="0"/>
        <w:overflowPunct/>
        <w:topLinePunct w:val="0"/>
        <w:autoSpaceDE/>
        <w:autoSpaceDN/>
        <w:bidi w:val="0"/>
        <w:adjustRightInd w:val="0"/>
        <w:spacing w:line="44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lang w:val="zh-CN"/>
        </w:rPr>
        <w:t>2.3.4 为使供应商有充分的时间对招标文件的澄清、修改、补充部分进行研究，采购人可在投标截止时间3日前（含）自行决定酌情延长投标截止时间，延长投标截止时间的公告将在原公告发布媒体发上发布，并</w:t>
      </w:r>
      <w:r>
        <w:rPr>
          <w:rFonts w:hint="eastAsia" w:ascii="宋体" w:hAnsi="宋体" w:eastAsia="宋体" w:cs="宋体"/>
          <w:bCs/>
          <w:color w:val="auto"/>
          <w:sz w:val="24"/>
          <w:szCs w:val="24"/>
          <w:highlight w:val="none"/>
        </w:rPr>
        <w:t>以补遗文件形式发送到</w:t>
      </w:r>
      <w:r>
        <w:rPr>
          <w:rFonts w:hint="eastAsia" w:ascii="宋体" w:hAnsi="宋体" w:eastAsia="宋体" w:cs="宋体"/>
          <w:color w:val="auto"/>
          <w:sz w:val="24"/>
          <w:szCs w:val="24"/>
          <w:highlight w:val="none"/>
          <w:lang w:eastAsia="zh-CN"/>
        </w:rPr>
        <w:t>“政采云”平台(</w:t>
      </w:r>
      <w:r>
        <w:rPr>
          <w:rFonts w:hint="eastAsia" w:ascii="宋体" w:hAnsi="宋体" w:cs="宋体"/>
          <w:color w:val="auto"/>
          <w:sz w:val="24"/>
          <w:szCs w:val="24"/>
          <w:highlight w:val="none"/>
          <w:lang w:eastAsia="zh-CN"/>
        </w:rPr>
        <w:t>https://www.zcygov.cn</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zh-CN"/>
        </w:rPr>
        <w:t>答疑文件</w:t>
      </w:r>
      <w:r>
        <w:rPr>
          <w:rFonts w:hint="eastAsia" w:ascii="宋体" w:hAnsi="宋体" w:eastAsia="宋体" w:cs="宋体"/>
          <w:bCs/>
          <w:color w:val="auto"/>
          <w:sz w:val="24"/>
          <w:szCs w:val="24"/>
          <w:highlight w:val="none"/>
        </w:rPr>
        <w:t>中，</w:t>
      </w:r>
      <w:r>
        <w:rPr>
          <w:rFonts w:hint="eastAsia" w:ascii="宋体" w:hAnsi="宋体" w:eastAsia="宋体" w:cs="宋体"/>
          <w:color w:val="auto"/>
          <w:sz w:val="24"/>
          <w:szCs w:val="24"/>
          <w:highlight w:val="none"/>
          <w:lang w:val="zh-CN"/>
        </w:rPr>
        <w:t>向所有潜在供应商发出</w:t>
      </w:r>
      <w:r>
        <w:rPr>
          <w:rFonts w:hint="eastAsia" w:ascii="宋体" w:hAnsi="宋体" w:eastAsia="宋体" w:cs="宋体"/>
          <w:bCs/>
          <w:color w:val="auto"/>
          <w:sz w:val="24"/>
          <w:szCs w:val="24"/>
          <w:highlight w:val="none"/>
        </w:rPr>
        <w:t>，</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须</w:t>
      </w:r>
      <w:r>
        <w:rPr>
          <w:rFonts w:hint="eastAsia" w:ascii="宋体" w:hAnsi="宋体" w:eastAsia="宋体" w:cs="宋体"/>
          <w:color w:val="auto"/>
          <w:sz w:val="24"/>
          <w:szCs w:val="24"/>
          <w:highlight w:val="none"/>
          <w:lang w:val="zh-CN"/>
        </w:rPr>
        <w:t>在供应商系统中</w:t>
      </w:r>
      <w:r>
        <w:rPr>
          <w:rFonts w:hint="eastAsia" w:ascii="宋体" w:hAnsi="宋体" w:eastAsia="宋体" w:cs="宋体"/>
          <w:bCs/>
          <w:color w:val="auto"/>
          <w:sz w:val="24"/>
          <w:szCs w:val="24"/>
          <w:highlight w:val="none"/>
        </w:rPr>
        <w:t>自行下载答疑文件。</w:t>
      </w:r>
      <w:r>
        <w:rPr>
          <w:rFonts w:hint="eastAsia" w:ascii="宋体" w:hAnsi="宋体" w:eastAsia="宋体" w:cs="宋体"/>
          <w:color w:val="auto"/>
          <w:sz w:val="24"/>
          <w:szCs w:val="24"/>
          <w:highlight w:val="none"/>
          <w:lang w:val="zh-CN"/>
        </w:rPr>
        <w:t>在这种情况下，采购人和供应商受投标截止时间制约的所有权利和义务均相应延长至新的投标截止时间。</w:t>
      </w:r>
    </w:p>
    <w:p w14:paraId="130B6DAE">
      <w:pPr>
        <w:keepNext w:val="0"/>
        <w:keepLines w:val="0"/>
        <w:pageBreakBefore w:val="0"/>
        <w:widowControl w:val="0"/>
        <w:kinsoku/>
        <w:wordWrap w:val="0"/>
        <w:overflowPunct/>
        <w:topLinePunct w:val="0"/>
        <w:autoSpaceDE/>
        <w:autoSpaceDN/>
        <w:bidi w:val="0"/>
        <w:adjustRightInd w:val="0"/>
        <w:spacing w:line="440" w:lineRule="exact"/>
        <w:jc w:val="left"/>
        <w:textAlignment w:val="auto"/>
        <w:rPr>
          <w:rFonts w:hint="eastAsia" w:ascii="宋体" w:hAnsi="宋体" w:eastAsia="宋体" w:cs="宋体"/>
          <w:b/>
          <w:color w:val="auto"/>
          <w:sz w:val="28"/>
          <w:szCs w:val="28"/>
          <w:highlight w:val="none"/>
          <w:lang w:val="zh-CN"/>
        </w:rPr>
      </w:pPr>
      <w:r>
        <w:rPr>
          <w:rFonts w:hint="eastAsia" w:ascii="宋体" w:hAnsi="宋体" w:eastAsia="宋体" w:cs="宋体"/>
          <w:b/>
          <w:color w:val="auto"/>
          <w:sz w:val="28"/>
          <w:szCs w:val="28"/>
          <w:highlight w:val="none"/>
          <w:lang w:val="zh-CN"/>
        </w:rPr>
        <w:t>3.投标文件</w:t>
      </w:r>
    </w:p>
    <w:p w14:paraId="3A786668">
      <w:pPr>
        <w:keepNext w:val="0"/>
        <w:keepLines w:val="0"/>
        <w:pageBreakBefore w:val="0"/>
        <w:widowControl w:val="0"/>
        <w:kinsoku/>
        <w:wordWrap w:val="0"/>
        <w:overflowPunct/>
        <w:topLinePunct w:val="0"/>
        <w:autoSpaceDE/>
        <w:autoSpaceDN/>
        <w:bidi w:val="0"/>
        <w:adjustRightInd w:val="0"/>
        <w:spacing w:line="440" w:lineRule="exact"/>
        <w:jc w:val="left"/>
        <w:textAlignment w:val="auto"/>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lang w:val="zh-CN"/>
        </w:rPr>
        <w:t>3.1 投标文件的组成</w:t>
      </w:r>
    </w:p>
    <w:p w14:paraId="5BAC5420">
      <w:pPr>
        <w:keepNext w:val="0"/>
        <w:keepLines w:val="0"/>
        <w:pageBreakBefore w:val="0"/>
        <w:widowControl w:val="0"/>
        <w:kinsoku/>
        <w:wordWrap w:val="0"/>
        <w:overflowPunct/>
        <w:topLinePunct w:val="0"/>
        <w:autoSpaceDE/>
        <w:autoSpaceDN/>
        <w:bidi w:val="0"/>
        <w:adjustRightInd w:val="0"/>
        <w:spacing w:line="440" w:lineRule="exact"/>
        <w:ind w:firstLine="482"/>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 xml:space="preserve">3.1.1 </w:t>
      </w:r>
      <w:r>
        <w:rPr>
          <w:rFonts w:hint="eastAsia" w:ascii="宋体" w:hAnsi="宋体" w:eastAsia="宋体" w:cs="宋体"/>
          <w:color w:val="auto"/>
          <w:sz w:val="24"/>
          <w:szCs w:val="24"/>
          <w:highlight w:val="none"/>
        </w:rPr>
        <w:t>投标文件分为商务部分和技术部分。商务部分是</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提交的证明其具有合格的投标资格和中标后有能力履行合同的文件。技术部分是能够证明</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所提供货物和服务的合格性和符合招标文件规定的文件，</w:t>
      </w:r>
      <w:r>
        <w:rPr>
          <w:rFonts w:hint="eastAsia" w:ascii="宋体" w:hAnsi="宋体" w:eastAsia="宋体" w:cs="宋体"/>
          <w:color w:val="auto"/>
          <w:sz w:val="24"/>
          <w:szCs w:val="24"/>
          <w:highlight w:val="none"/>
          <w:lang w:eastAsia="zh-CN"/>
        </w:rPr>
        <w:t>所有复印件为加盖公章鲜章的彩色复印件原件，标书内附其扫描件。</w:t>
      </w:r>
      <w:r>
        <w:rPr>
          <w:rFonts w:hint="eastAsia" w:ascii="宋体" w:hAnsi="宋体" w:eastAsia="宋体" w:cs="宋体"/>
          <w:color w:val="auto"/>
          <w:sz w:val="24"/>
          <w:szCs w:val="24"/>
          <w:highlight w:val="none"/>
        </w:rPr>
        <w:t>构成投标文件的其他材料具体见</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须知前附表。</w:t>
      </w:r>
    </w:p>
    <w:p w14:paraId="0E1B737F">
      <w:pPr>
        <w:keepNext w:val="0"/>
        <w:keepLines w:val="0"/>
        <w:pageBreakBefore w:val="0"/>
        <w:widowControl w:val="0"/>
        <w:kinsoku/>
        <w:wordWrap w:val="0"/>
        <w:overflowPunct/>
        <w:topLinePunct w:val="0"/>
        <w:autoSpaceDE/>
        <w:autoSpaceDN/>
        <w:bidi w:val="0"/>
        <w:adjustRightInd w:val="0"/>
        <w:spacing w:line="440" w:lineRule="exact"/>
        <w:ind w:firstLine="482"/>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3.1.2 </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应提交本招标文件第六章《投标文件格式》规定的全部商务文件和技术文件以及招标文件规定的构成投标文件的其他证明材料，若有缺失、无效或者不符合招标文件要求，将导致其投标被拒绝。</w:t>
      </w:r>
    </w:p>
    <w:p w14:paraId="5017A02F">
      <w:pPr>
        <w:keepNext w:val="0"/>
        <w:keepLines w:val="0"/>
        <w:pageBreakBefore w:val="0"/>
        <w:widowControl w:val="0"/>
        <w:kinsoku/>
        <w:wordWrap w:val="0"/>
        <w:overflowPunct/>
        <w:topLinePunct w:val="0"/>
        <w:autoSpaceDE/>
        <w:autoSpaceDN/>
        <w:bidi w:val="0"/>
        <w:adjustRightInd w:val="0"/>
        <w:spacing w:line="440" w:lineRule="exact"/>
        <w:ind w:firstLine="480" w:firstLineChars="200"/>
        <w:jc w:val="lef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3.1.3 </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在评标过程中作出的符合法律法规和招标文件规定的澄清确认，构成投标文件的组成部分。</w:t>
      </w:r>
    </w:p>
    <w:p w14:paraId="5CDEAF01">
      <w:pPr>
        <w:keepNext w:val="0"/>
        <w:keepLines w:val="0"/>
        <w:pageBreakBefore w:val="0"/>
        <w:widowControl w:val="0"/>
        <w:kinsoku/>
        <w:wordWrap w:val="0"/>
        <w:overflowPunct/>
        <w:topLinePunct w:val="0"/>
        <w:autoSpaceDE/>
        <w:autoSpaceDN/>
        <w:bidi w:val="0"/>
        <w:adjustRightInd w:val="0"/>
        <w:spacing w:line="440" w:lineRule="exact"/>
        <w:jc w:val="lef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3.2 投标报价</w:t>
      </w:r>
    </w:p>
    <w:p w14:paraId="47D810E9">
      <w:pPr>
        <w:keepNext w:val="0"/>
        <w:keepLines w:val="0"/>
        <w:pageBreakBefore w:val="0"/>
        <w:widowControl w:val="0"/>
        <w:kinsoku/>
        <w:wordWrap w:val="0"/>
        <w:overflowPunct/>
        <w:topLinePunct w:val="0"/>
        <w:autoSpaceDE/>
        <w:autoSpaceDN/>
        <w:bidi w:val="0"/>
        <w:adjustRightInd w:val="0"/>
        <w:spacing w:line="4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3.2.1 投标报价应包括国家规定的增值税税金，除</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须知前附表另有规定外，增值税税金按一般计税方法计算。</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应按第六章“投标文件格式”的要求在投标函</w:t>
      </w:r>
      <w:r>
        <w:rPr>
          <w:rFonts w:hint="eastAsia" w:ascii="宋体" w:hAnsi="宋体" w:cs="宋体"/>
          <w:color w:val="auto"/>
          <w:sz w:val="24"/>
          <w:szCs w:val="24"/>
          <w:highlight w:val="none"/>
        </w:rPr>
        <w:t>要求在投标函</w:t>
      </w:r>
      <w:r>
        <w:rPr>
          <w:rFonts w:hint="eastAsia" w:ascii="宋体" w:hAnsi="宋体" w:cs="宋体"/>
          <w:color w:val="auto"/>
          <w:sz w:val="24"/>
          <w:szCs w:val="24"/>
          <w:highlight w:val="none"/>
          <w:lang w:eastAsia="zh-CN"/>
        </w:rPr>
        <w:t>、开标一览表</w:t>
      </w:r>
      <w:r>
        <w:rPr>
          <w:rFonts w:hint="eastAsia" w:ascii="宋体" w:hAnsi="宋体" w:cs="宋体"/>
          <w:color w:val="auto"/>
          <w:sz w:val="24"/>
          <w:szCs w:val="24"/>
          <w:highlight w:val="none"/>
        </w:rPr>
        <w:t>中进行报价并填写</w:t>
      </w:r>
      <w:r>
        <w:rPr>
          <w:rFonts w:hint="eastAsia" w:ascii="宋体" w:hAnsi="宋体" w:cs="宋体"/>
          <w:bCs/>
          <w:color w:val="auto"/>
          <w:sz w:val="24"/>
          <w:szCs w:val="24"/>
          <w:highlight w:val="none"/>
        </w:rPr>
        <w:t>投标报价明细表</w:t>
      </w:r>
      <w:r>
        <w:rPr>
          <w:rFonts w:hint="eastAsia" w:ascii="宋体" w:hAnsi="宋体" w:cs="宋体"/>
          <w:bCs/>
          <w:color w:val="auto"/>
          <w:sz w:val="24"/>
          <w:szCs w:val="24"/>
          <w:highlight w:val="none"/>
          <w:lang w:eastAsia="zh-CN"/>
        </w:rPr>
        <w:t>，必须在开标一览表空白处签</w:t>
      </w:r>
      <w:r>
        <w:rPr>
          <w:rFonts w:hint="eastAsia" w:ascii="宋体" w:hAnsi="宋体" w:cs="宋体"/>
          <w:bCs/>
          <w:color w:val="auto"/>
          <w:sz w:val="24"/>
          <w:szCs w:val="24"/>
          <w:highlight w:val="none"/>
          <w:lang w:val="en-US" w:eastAsia="zh-CN"/>
        </w:rPr>
        <w:t xml:space="preserve"> </w:t>
      </w:r>
      <w:r>
        <w:rPr>
          <w:rFonts w:hint="eastAsia" w:ascii="宋体" w:hAnsi="宋体" w:cs="宋体"/>
          <w:bCs/>
          <w:color w:val="auto"/>
          <w:sz w:val="24"/>
          <w:szCs w:val="24"/>
          <w:highlight w:val="none"/>
          <w:lang w:eastAsia="zh-CN"/>
        </w:rPr>
        <w:t>字和加盖公章</w:t>
      </w:r>
      <w:r>
        <w:rPr>
          <w:rFonts w:hint="eastAsia" w:ascii="宋体" w:hAnsi="宋体" w:cs="宋体"/>
          <w:color w:val="auto"/>
          <w:sz w:val="24"/>
          <w:szCs w:val="24"/>
          <w:highlight w:val="none"/>
        </w:rPr>
        <w:t>。</w:t>
      </w:r>
    </w:p>
    <w:p w14:paraId="59AABEB9">
      <w:pPr>
        <w:keepNext w:val="0"/>
        <w:keepLines w:val="0"/>
        <w:pageBreakBefore w:val="0"/>
        <w:widowControl w:val="0"/>
        <w:kinsoku/>
        <w:wordWrap w:val="0"/>
        <w:overflowPunct/>
        <w:topLinePunct w:val="0"/>
        <w:autoSpaceDE/>
        <w:autoSpaceDN/>
        <w:bidi w:val="0"/>
        <w:adjustRightInd w:val="0"/>
        <w:spacing w:line="4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3.2.2 </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应充分了解该项目的总体情况以及影响投标报价的其他要素。</w:t>
      </w:r>
    </w:p>
    <w:p w14:paraId="08EA88E5">
      <w:pPr>
        <w:keepNext w:val="0"/>
        <w:keepLines w:val="0"/>
        <w:pageBreakBefore w:val="0"/>
        <w:widowControl w:val="0"/>
        <w:kinsoku/>
        <w:wordWrap w:val="0"/>
        <w:overflowPunct/>
        <w:topLinePunct w:val="0"/>
        <w:autoSpaceDE/>
        <w:autoSpaceDN/>
        <w:bidi w:val="0"/>
        <w:adjustRightInd w:val="0"/>
        <w:spacing w:line="4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3.2.3 </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在投标截止时间前修改投标函中的投标报价总额，应同时修改投标文件“</w:t>
      </w:r>
      <w:r>
        <w:rPr>
          <w:rFonts w:hint="eastAsia" w:ascii="宋体" w:hAnsi="宋体" w:eastAsia="宋体" w:cs="宋体"/>
          <w:bCs/>
          <w:color w:val="auto"/>
          <w:sz w:val="24"/>
          <w:szCs w:val="24"/>
          <w:highlight w:val="none"/>
        </w:rPr>
        <w:t>投标报价明细表</w:t>
      </w:r>
      <w:r>
        <w:rPr>
          <w:rFonts w:hint="eastAsia" w:ascii="宋体" w:hAnsi="宋体" w:eastAsia="宋体" w:cs="宋体"/>
          <w:color w:val="auto"/>
          <w:sz w:val="24"/>
          <w:szCs w:val="24"/>
          <w:highlight w:val="none"/>
        </w:rPr>
        <w:t>”中的相应报价。此修改须符合本章第 4.3 款的有关要求。</w:t>
      </w:r>
    </w:p>
    <w:p w14:paraId="61FD231F">
      <w:pPr>
        <w:keepNext w:val="0"/>
        <w:keepLines w:val="0"/>
        <w:pageBreakBefore w:val="0"/>
        <w:widowControl w:val="0"/>
        <w:kinsoku/>
        <w:wordWrap w:val="0"/>
        <w:overflowPunct/>
        <w:topLinePunct w:val="0"/>
        <w:autoSpaceDE/>
        <w:autoSpaceDN/>
        <w:bidi w:val="0"/>
        <w:adjustRightInd w:val="0"/>
        <w:spacing w:line="4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3.2.4 采购人设有最高投标限价的，</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的投标报价不得超过最高投标限价，最高投标限价在</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须知前附表中载明。</w:t>
      </w:r>
    </w:p>
    <w:p w14:paraId="377382E2">
      <w:pPr>
        <w:keepNext w:val="0"/>
        <w:keepLines w:val="0"/>
        <w:pageBreakBefore w:val="0"/>
        <w:widowControl w:val="0"/>
        <w:tabs>
          <w:tab w:val="left" w:pos="760"/>
        </w:tabs>
        <w:kinsoku/>
        <w:wordWrap w:val="0"/>
        <w:overflowPunct/>
        <w:topLinePunct w:val="0"/>
        <w:autoSpaceDE/>
        <w:autoSpaceDN/>
        <w:bidi w:val="0"/>
        <w:spacing w:line="440" w:lineRule="exact"/>
        <w:ind w:firstLine="480" w:firstLineChars="200"/>
        <w:jc w:val="left"/>
        <w:textAlignment w:val="auto"/>
        <w:rPr>
          <w:rFonts w:hint="eastAsia" w:ascii="宋体" w:hAnsi="宋体" w:eastAsia="宋体" w:cs="宋体"/>
          <w:bCs/>
          <w:color w:val="auto"/>
          <w:sz w:val="24"/>
          <w:szCs w:val="24"/>
          <w:highlight w:val="none"/>
          <w:lang w:val="zh-CN"/>
        </w:rPr>
      </w:pPr>
      <w:r>
        <w:rPr>
          <w:rFonts w:hint="eastAsia" w:ascii="宋体" w:hAnsi="宋体" w:eastAsia="宋体" w:cs="宋体"/>
          <w:color w:val="auto"/>
          <w:sz w:val="24"/>
          <w:szCs w:val="24"/>
          <w:highlight w:val="none"/>
        </w:rPr>
        <w:t>3.2.5</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bCs/>
          <w:color w:val="auto"/>
          <w:sz w:val="24"/>
          <w:szCs w:val="24"/>
          <w:highlight w:val="none"/>
          <w:lang w:val="zh-CN"/>
        </w:rPr>
        <w:t>投标货币：所有投标报价均以人民币元为计算单位。</w:t>
      </w:r>
    </w:p>
    <w:p w14:paraId="59C6F5DB">
      <w:pPr>
        <w:keepNext w:val="0"/>
        <w:keepLines w:val="0"/>
        <w:pageBreakBefore w:val="0"/>
        <w:widowControl w:val="0"/>
        <w:tabs>
          <w:tab w:val="left" w:pos="760"/>
        </w:tabs>
        <w:kinsoku/>
        <w:wordWrap w:val="0"/>
        <w:overflowPunct/>
        <w:topLinePunct w:val="0"/>
        <w:autoSpaceDE/>
        <w:autoSpaceDN/>
        <w:bidi w:val="0"/>
        <w:spacing w:line="440" w:lineRule="exact"/>
        <w:ind w:firstLine="480" w:firstLineChars="200"/>
        <w:jc w:val="left"/>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3.2.6</w:t>
      </w:r>
      <w:r>
        <w:rPr>
          <w:rFonts w:hint="eastAsia" w:ascii="宋体" w:hAnsi="宋体" w:eastAsia="宋体" w:cs="宋体"/>
          <w:bCs/>
          <w:color w:val="auto"/>
          <w:sz w:val="24"/>
          <w:szCs w:val="24"/>
          <w:highlight w:val="none"/>
          <w:lang w:val="en-US" w:eastAsia="zh-CN"/>
        </w:rPr>
        <w:t xml:space="preserve"> </w:t>
      </w:r>
      <w:r>
        <w:rPr>
          <w:rFonts w:hint="eastAsia" w:ascii="宋体" w:hAnsi="宋体" w:eastAsia="宋体" w:cs="宋体"/>
          <w:bCs/>
          <w:color w:val="auto"/>
          <w:sz w:val="24"/>
          <w:szCs w:val="24"/>
          <w:highlight w:val="none"/>
          <w:lang w:val="zh-CN"/>
        </w:rPr>
        <w:t>供应商应一次性报出投标货物的单价和总价，每种货物只允许有一个报价，任何有选择的报价将不予接受。供应商所报价格应为在本招标文件指定地点交货、由供应商负责安装调试、验收合格并交付的全部价格。</w:t>
      </w:r>
    </w:p>
    <w:p w14:paraId="5C676805">
      <w:pPr>
        <w:keepNext w:val="0"/>
        <w:keepLines w:val="0"/>
        <w:pageBreakBefore w:val="0"/>
        <w:widowControl w:val="0"/>
        <w:tabs>
          <w:tab w:val="left" w:pos="760"/>
        </w:tabs>
        <w:kinsoku/>
        <w:wordWrap w:val="0"/>
        <w:overflowPunct/>
        <w:topLinePunct w:val="0"/>
        <w:autoSpaceDE/>
        <w:autoSpaceDN/>
        <w:bidi w:val="0"/>
        <w:spacing w:line="440" w:lineRule="exact"/>
        <w:ind w:firstLine="480" w:firstLineChars="200"/>
        <w:jc w:val="left"/>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3.2.7</w:t>
      </w:r>
      <w:r>
        <w:rPr>
          <w:rFonts w:hint="eastAsia" w:ascii="宋体" w:hAnsi="宋体" w:eastAsia="宋体" w:cs="宋体"/>
          <w:bCs/>
          <w:color w:val="auto"/>
          <w:sz w:val="24"/>
          <w:szCs w:val="24"/>
          <w:highlight w:val="none"/>
          <w:lang w:val="en-US" w:eastAsia="zh-CN"/>
        </w:rPr>
        <w:t xml:space="preserve"> </w:t>
      </w:r>
      <w:r>
        <w:rPr>
          <w:rFonts w:hint="eastAsia" w:ascii="宋体" w:hAnsi="宋体" w:eastAsia="宋体" w:cs="宋体"/>
          <w:bCs/>
          <w:color w:val="auto"/>
          <w:sz w:val="24"/>
          <w:szCs w:val="24"/>
          <w:highlight w:val="none"/>
          <w:lang w:val="zh-CN"/>
        </w:rPr>
        <w:t>供应商所报的价格在合同执行过程中是固定不变的，不得以任何理由予以变更。以可调整的价格提交的投标将作为非响应性投标予以拒绝。</w:t>
      </w:r>
    </w:p>
    <w:p w14:paraId="6845DD11">
      <w:pPr>
        <w:keepNext w:val="0"/>
        <w:keepLines w:val="0"/>
        <w:pageBreakBefore w:val="0"/>
        <w:widowControl w:val="0"/>
        <w:kinsoku/>
        <w:wordWrap w:val="0"/>
        <w:overflowPunct/>
        <w:topLinePunct w:val="0"/>
        <w:autoSpaceDE/>
        <w:autoSpaceDN/>
        <w:bidi w:val="0"/>
        <w:adjustRightInd w:val="0"/>
        <w:spacing w:line="440" w:lineRule="exact"/>
        <w:ind w:firstLine="480"/>
        <w:textAlignment w:val="auto"/>
        <w:rPr>
          <w:rFonts w:hint="eastAsia" w:ascii="宋体" w:hAnsi="宋体" w:eastAsia="宋体" w:cs="宋体"/>
          <w:color w:val="auto"/>
          <w:sz w:val="24"/>
          <w:szCs w:val="24"/>
          <w:highlight w:val="none"/>
          <w:lang w:val="zh-CN"/>
        </w:rPr>
      </w:pPr>
      <w:r>
        <w:rPr>
          <w:rFonts w:hint="eastAsia" w:ascii="宋体" w:hAnsi="宋体" w:eastAsia="宋体" w:cs="宋体"/>
          <w:bCs/>
          <w:color w:val="auto"/>
          <w:sz w:val="24"/>
          <w:szCs w:val="24"/>
          <w:highlight w:val="none"/>
          <w:lang w:val="zh-CN"/>
        </w:rPr>
        <w:t>3.2.8</w:t>
      </w:r>
      <w:r>
        <w:rPr>
          <w:rFonts w:hint="eastAsia" w:ascii="宋体" w:hAnsi="宋体" w:eastAsia="宋体" w:cs="宋体"/>
          <w:bCs/>
          <w:color w:val="auto"/>
          <w:sz w:val="24"/>
          <w:szCs w:val="24"/>
          <w:highlight w:val="none"/>
          <w:lang w:val="en-US" w:eastAsia="zh-CN"/>
        </w:rPr>
        <w:t xml:space="preserve"> </w:t>
      </w:r>
      <w:r>
        <w:rPr>
          <w:rFonts w:hint="eastAsia" w:ascii="宋体" w:hAnsi="宋体" w:eastAsia="宋体" w:cs="宋体"/>
          <w:bCs/>
          <w:color w:val="auto"/>
          <w:sz w:val="24"/>
          <w:szCs w:val="24"/>
          <w:highlight w:val="none"/>
          <w:lang w:val="zh-CN"/>
        </w:rPr>
        <w:t>最低报价不能作为中标的保证和唯一依据。</w:t>
      </w:r>
    </w:p>
    <w:p w14:paraId="2A1E12C1">
      <w:pPr>
        <w:keepNext w:val="0"/>
        <w:keepLines w:val="0"/>
        <w:pageBreakBefore w:val="0"/>
        <w:widowControl w:val="0"/>
        <w:kinsoku/>
        <w:wordWrap w:val="0"/>
        <w:overflowPunct/>
        <w:topLinePunct w:val="0"/>
        <w:autoSpaceDE/>
        <w:autoSpaceDN/>
        <w:bidi w:val="0"/>
        <w:adjustRightInd w:val="0"/>
        <w:spacing w:line="440" w:lineRule="exact"/>
        <w:jc w:val="left"/>
        <w:textAlignment w:val="auto"/>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lang w:val="zh-CN"/>
        </w:rPr>
        <w:t>3.3 投标有效期</w:t>
      </w:r>
    </w:p>
    <w:p w14:paraId="2653F08F">
      <w:pPr>
        <w:keepNext w:val="0"/>
        <w:keepLines w:val="0"/>
        <w:pageBreakBefore w:val="0"/>
        <w:widowControl w:val="0"/>
        <w:kinsoku/>
        <w:wordWrap w:val="0"/>
        <w:overflowPunct/>
        <w:topLinePunct w:val="0"/>
        <w:autoSpaceDE/>
        <w:autoSpaceDN/>
        <w:bidi w:val="0"/>
        <w:adjustRightInd w:val="0"/>
        <w:spacing w:line="440" w:lineRule="exact"/>
        <w:ind w:firstLine="480" w:firstLineChars="200"/>
        <w:jc w:val="lef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3.3.1 除</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须知前附表另有规定外，投标有效期为 90 天。</w:t>
      </w:r>
    </w:p>
    <w:p w14:paraId="20DF3254">
      <w:pPr>
        <w:keepNext w:val="0"/>
        <w:keepLines w:val="0"/>
        <w:pageBreakBefore w:val="0"/>
        <w:widowControl w:val="0"/>
        <w:kinsoku/>
        <w:wordWrap w:val="0"/>
        <w:overflowPunct/>
        <w:topLinePunct w:val="0"/>
        <w:autoSpaceDE/>
        <w:autoSpaceDN/>
        <w:bidi w:val="0"/>
        <w:adjustRightInd w:val="0"/>
        <w:spacing w:line="440" w:lineRule="exact"/>
        <w:ind w:firstLine="480" w:firstLineChars="200"/>
        <w:jc w:val="lef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3.3.2 在投标有效期内，</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撤销投标文件的，应承担招标文件和法律规定的责任。</w:t>
      </w:r>
    </w:p>
    <w:p w14:paraId="02F090D4">
      <w:pPr>
        <w:keepNext w:val="0"/>
        <w:keepLines w:val="0"/>
        <w:pageBreakBefore w:val="0"/>
        <w:widowControl w:val="0"/>
        <w:kinsoku/>
        <w:wordWrap w:val="0"/>
        <w:overflowPunct/>
        <w:topLinePunct w:val="0"/>
        <w:autoSpaceDE/>
        <w:autoSpaceDN/>
        <w:bidi w:val="0"/>
        <w:adjustRightInd w:val="0"/>
        <w:spacing w:line="440" w:lineRule="exact"/>
        <w:ind w:firstLine="48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3.3.3 出现特殊情况需要延长投标有效期的，采购人或采购代理机构</w:t>
      </w:r>
      <w:r>
        <w:rPr>
          <w:rFonts w:hint="eastAsia" w:ascii="宋体" w:hAnsi="宋体" w:eastAsia="宋体" w:cs="宋体"/>
          <w:color w:val="auto"/>
          <w:sz w:val="24"/>
          <w:szCs w:val="24"/>
          <w:highlight w:val="none"/>
          <w:lang w:val="zh-CN"/>
        </w:rPr>
        <w:t>将</w:t>
      </w:r>
      <w:r>
        <w:rPr>
          <w:rFonts w:hint="eastAsia" w:ascii="宋体" w:hAnsi="宋体" w:eastAsia="宋体" w:cs="宋体"/>
          <w:bCs/>
          <w:color w:val="auto"/>
          <w:sz w:val="24"/>
          <w:szCs w:val="24"/>
          <w:highlight w:val="none"/>
        </w:rPr>
        <w:t>以补遗文件形式发送到</w:t>
      </w:r>
      <w:r>
        <w:rPr>
          <w:rFonts w:hint="eastAsia" w:ascii="宋体" w:hAnsi="宋体" w:eastAsia="宋体" w:cs="宋体"/>
          <w:color w:val="auto"/>
          <w:sz w:val="24"/>
          <w:szCs w:val="24"/>
          <w:highlight w:val="none"/>
          <w:lang w:eastAsia="zh-CN"/>
        </w:rPr>
        <w:t>“政采云”平台(</w:t>
      </w:r>
      <w:r>
        <w:rPr>
          <w:rFonts w:hint="eastAsia" w:ascii="宋体" w:hAnsi="宋体" w:cs="宋体"/>
          <w:color w:val="auto"/>
          <w:sz w:val="24"/>
          <w:szCs w:val="24"/>
          <w:highlight w:val="none"/>
          <w:lang w:eastAsia="zh-CN"/>
        </w:rPr>
        <w:t>https://www.zcygov.cn</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zh-CN"/>
        </w:rPr>
        <w:t>答疑文件</w:t>
      </w:r>
      <w:r>
        <w:rPr>
          <w:rFonts w:hint="eastAsia" w:ascii="宋体" w:hAnsi="宋体" w:eastAsia="宋体" w:cs="宋体"/>
          <w:bCs/>
          <w:color w:val="auto"/>
          <w:sz w:val="24"/>
          <w:szCs w:val="24"/>
          <w:highlight w:val="none"/>
        </w:rPr>
        <w:t>中，</w:t>
      </w:r>
      <w:r>
        <w:rPr>
          <w:rFonts w:hint="eastAsia" w:ascii="宋体" w:hAnsi="宋体" w:eastAsia="宋体" w:cs="宋体"/>
          <w:color w:val="auto"/>
          <w:sz w:val="24"/>
          <w:szCs w:val="24"/>
          <w:highlight w:val="none"/>
          <w:lang w:val="zh-CN"/>
        </w:rPr>
        <w:t>向所有潜在供应商发出</w:t>
      </w:r>
      <w:r>
        <w:rPr>
          <w:rFonts w:hint="eastAsia" w:ascii="宋体" w:hAnsi="宋体" w:eastAsia="宋体" w:cs="宋体"/>
          <w:bCs/>
          <w:color w:val="auto"/>
          <w:sz w:val="24"/>
          <w:szCs w:val="24"/>
          <w:highlight w:val="none"/>
        </w:rPr>
        <w:t>，</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须</w:t>
      </w:r>
      <w:r>
        <w:rPr>
          <w:rFonts w:hint="eastAsia" w:ascii="宋体" w:hAnsi="宋体" w:eastAsia="宋体" w:cs="宋体"/>
          <w:color w:val="auto"/>
          <w:sz w:val="24"/>
          <w:szCs w:val="24"/>
          <w:highlight w:val="none"/>
          <w:lang w:val="zh-CN"/>
        </w:rPr>
        <w:t>在供应商系统中</w:t>
      </w:r>
      <w:r>
        <w:rPr>
          <w:rFonts w:hint="eastAsia" w:ascii="宋体" w:hAnsi="宋体" w:eastAsia="宋体" w:cs="宋体"/>
          <w:bCs/>
          <w:color w:val="auto"/>
          <w:sz w:val="24"/>
          <w:szCs w:val="24"/>
          <w:highlight w:val="none"/>
        </w:rPr>
        <w:t>自行下载答疑文件。</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应予以书面答复，同时将书面答复函送达采购人或采购代理机构，同意延长的，应相应延长其投标保证金的有效期，但不得要求或被允许修改其投标文件；</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拒绝延长的，其投标失效，但</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有权收回其投标保证金及以现金或者支票形式递交的投标保证金的银行同期存款利息。</w:t>
      </w:r>
    </w:p>
    <w:p w14:paraId="5B36B063">
      <w:pPr>
        <w:keepNext w:val="0"/>
        <w:keepLines w:val="0"/>
        <w:pageBreakBefore w:val="0"/>
        <w:widowControl w:val="0"/>
        <w:tabs>
          <w:tab w:val="left" w:pos="1365"/>
        </w:tabs>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lang w:val="zh-CN"/>
        </w:rPr>
        <w:t>3.4 投标保证金</w:t>
      </w:r>
    </w:p>
    <w:p w14:paraId="2C134302">
      <w:pPr>
        <w:keepNext w:val="0"/>
        <w:keepLines w:val="0"/>
        <w:pageBreakBefore w:val="0"/>
        <w:widowControl w:val="0"/>
        <w:kinsoku/>
        <w:wordWrap w:val="0"/>
        <w:overflowPunct/>
        <w:topLinePunct w:val="0"/>
        <w:autoSpaceDE/>
        <w:autoSpaceDN/>
        <w:bidi w:val="0"/>
        <w:adjustRightInd w:val="0"/>
        <w:spacing w:line="440" w:lineRule="exact"/>
        <w:ind w:firstLine="480" w:firstLineChars="200"/>
        <w:jc w:val="lef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3.4.1 </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在递交投标文件的同时，应按</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须知前附表规定的金额、形式和第六章“投标文件格式”规定的投标保证金格式递交投标保证金，并作为其投标文件的组成部分。联合体投标的，其投标保证金可以由牵头人递交，并应符合</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须知前附表的规定。</w:t>
      </w:r>
    </w:p>
    <w:p w14:paraId="476388B6">
      <w:pPr>
        <w:keepNext w:val="0"/>
        <w:keepLines w:val="0"/>
        <w:pageBreakBefore w:val="0"/>
        <w:widowControl w:val="0"/>
        <w:kinsoku/>
        <w:wordWrap w:val="0"/>
        <w:overflowPunct/>
        <w:topLinePunct w:val="0"/>
        <w:autoSpaceDE/>
        <w:autoSpaceDN/>
        <w:bidi w:val="0"/>
        <w:adjustRightInd w:val="0"/>
        <w:spacing w:line="440" w:lineRule="exact"/>
        <w:ind w:firstLine="480" w:firstLineChars="200"/>
        <w:jc w:val="lef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3.4.2 </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不按本章第 3.4.1 款要求提交投标保证金的，</w:t>
      </w:r>
      <w:r>
        <w:rPr>
          <w:rFonts w:hint="eastAsia" w:ascii="宋体" w:hAnsi="宋体" w:eastAsia="宋体" w:cs="宋体"/>
          <w:bCs/>
          <w:color w:val="auto"/>
          <w:sz w:val="24"/>
          <w:szCs w:val="24"/>
          <w:highlight w:val="none"/>
          <w:lang w:eastAsia="zh-CN"/>
        </w:rPr>
        <w:t>投标无效，</w:t>
      </w:r>
      <w:r>
        <w:rPr>
          <w:rFonts w:hint="eastAsia" w:ascii="宋体" w:hAnsi="宋体" w:eastAsia="宋体" w:cs="宋体"/>
          <w:bCs/>
          <w:color w:val="auto"/>
          <w:sz w:val="24"/>
          <w:szCs w:val="24"/>
          <w:highlight w:val="none"/>
        </w:rPr>
        <w:t>评标委员会将否决其投标。</w:t>
      </w:r>
    </w:p>
    <w:p w14:paraId="6518EF26">
      <w:pPr>
        <w:keepNext w:val="0"/>
        <w:keepLines w:val="0"/>
        <w:pageBreakBefore w:val="0"/>
        <w:widowControl w:val="0"/>
        <w:kinsoku/>
        <w:wordWrap w:val="0"/>
        <w:overflowPunct/>
        <w:topLinePunct w:val="0"/>
        <w:autoSpaceDE/>
        <w:autoSpaceDN/>
        <w:bidi w:val="0"/>
        <w:adjustRightInd w:val="0"/>
        <w:spacing w:line="440" w:lineRule="exact"/>
        <w:ind w:firstLine="480" w:firstLineChars="200"/>
        <w:jc w:val="lef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3.4.3 </w:t>
      </w:r>
      <w:r>
        <w:rPr>
          <w:rFonts w:hint="eastAsia" w:ascii="宋体" w:hAnsi="宋体" w:eastAsia="宋体" w:cs="宋体"/>
          <w:color w:val="auto"/>
          <w:sz w:val="24"/>
          <w:szCs w:val="24"/>
          <w:highlight w:val="none"/>
        </w:rPr>
        <w:t>除因处理质疑、投诉等原因外，未中标</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的投标保证金在中标通知书发出之日起5个工作日内退还,</w:t>
      </w:r>
      <w:r>
        <w:rPr>
          <w:rFonts w:hint="eastAsia" w:ascii="宋体" w:hAnsi="宋体" w:eastAsia="宋体" w:cs="宋体"/>
          <w:color w:val="auto"/>
          <w:sz w:val="24"/>
          <w:szCs w:val="24"/>
          <w:highlight w:val="none"/>
          <w:lang w:eastAsia="zh-CN"/>
        </w:rPr>
        <w:t>中标供应商</w:t>
      </w:r>
      <w:r>
        <w:rPr>
          <w:rFonts w:hint="eastAsia" w:ascii="宋体" w:hAnsi="宋体" w:eastAsia="宋体" w:cs="宋体"/>
          <w:color w:val="auto"/>
          <w:sz w:val="24"/>
          <w:szCs w:val="24"/>
          <w:highlight w:val="none"/>
        </w:rPr>
        <w:t>的投标保证金自采购合同签订之日起5个工作日内退还或者转为</w:t>
      </w:r>
      <w:r>
        <w:rPr>
          <w:rFonts w:hint="eastAsia" w:ascii="宋体" w:hAnsi="宋体" w:eastAsia="宋体" w:cs="宋体"/>
          <w:color w:val="auto"/>
          <w:sz w:val="24"/>
          <w:szCs w:val="24"/>
          <w:highlight w:val="none"/>
          <w:lang w:eastAsia="zh-CN"/>
        </w:rPr>
        <w:t>中标供应商</w:t>
      </w:r>
      <w:r>
        <w:rPr>
          <w:rFonts w:hint="eastAsia" w:ascii="宋体" w:hAnsi="宋体" w:eastAsia="宋体" w:cs="宋体"/>
          <w:color w:val="auto"/>
          <w:sz w:val="24"/>
          <w:szCs w:val="24"/>
          <w:highlight w:val="none"/>
        </w:rPr>
        <w:t>的履约保证金</w:t>
      </w:r>
      <w:r>
        <w:rPr>
          <w:rFonts w:hint="eastAsia" w:ascii="宋体" w:hAnsi="宋体" w:eastAsia="宋体" w:cs="宋体"/>
          <w:color w:val="auto"/>
          <w:sz w:val="24"/>
          <w:szCs w:val="24"/>
          <w:highlight w:val="none"/>
          <w:lang w:eastAsia="zh-CN"/>
        </w:rPr>
        <w:t>或质量保证金</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被质疑、投诉的，在调查处理期间该项目的投标保证金暂不退还，待处理结果明确后按规定处理。</w:t>
      </w:r>
    </w:p>
    <w:p w14:paraId="5B5B7697">
      <w:pPr>
        <w:keepNext w:val="0"/>
        <w:keepLines w:val="0"/>
        <w:pageBreakBefore w:val="0"/>
        <w:widowControl w:val="0"/>
        <w:kinsoku/>
        <w:wordWrap w:val="0"/>
        <w:overflowPunct/>
        <w:topLinePunct w:val="0"/>
        <w:autoSpaceDE/>
        <w:autoSpaceDN/>
        <w:bidi w:val="0"/>
        <w:adjustRightInd w:val="0"/>
        <w:spacing w:line="440" w:lineRule="exact"/>
        <w:ind w:firstLine="480" w:firstLineChars="200"/>
        <w:jc w:val="lef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3.4.4 有下列情形之一的，投标保证金将不予退还：</w:t>
      </w:r>
    </w:p>
    <w:p w14:paraId="254C1EB5">
      <w:pPr>
        <w:keepNext w:val="0"/>
        <w:keepLines w:val="0"/>
        <w:pageBreakBefore w:val="0"/>
        <w:widowControl w:val="0"/>
        <w:kinsoku/>
        <w:wordWrap w:val="0"/>
        <w:overflowPunct/>
        <w:topLinePunct w:val="0"/>
        <w:autoSpaceDE/>
        <w:autoSpaceDN/>
        <w:bidi w:val="0"/>
        <w:adjustRightInd w:val="0"/>
        <w:spacing w:line="440" w:lineRule="exact"/>
        <w:ind w:firstLine="480" w:firstLineChars="200"/>
        <w:jc w:val="lef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在投标有效期内撤销投标文件；</w:t>
      </w:r>
    </w:p>
    <w:p w14:paraId="257D9847">
      <w:pPr>
        <w:keepNext w:val="0"/>
        <w:keepLines w:val="0"/>
        <w:pageBreakBefore w:val="0"/>
        <w:widowControl w:val="0"/>
        <w:kinsoku/>
        <w:wordWrap w:val="0"/>
        <w:overflowPunct/>
        <w:topLinePunct w:val="0"/>
        <w:autoSpaceDE/>
        <w:autoSpaceDN/>
        <w:bidi w:val="0"/>
        <w:adjustRightInd w:val="0"/>
        <w:spacing w:line="440" w:lineRule="exact"/>
        <w:ind w:firstLine="480" w:firstLineChars="200"/>
        <w:jc w:val="lef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w:t>
      </w:r>
      <w:r>
        <w:rPr>
          <w:rFonts w:hint="eastAsia" w:ascii="宋体" w:hAnsi="宋体" w:eastAsia="宋体" w:cs="宋体"/>
          <w:bCs/>
          <w:color w:val="auto"/>
          <w:sz w:val="24"/>
          <w:szCs w:val="24"/>
          <w:highlight w:val="none"/>
          <w:lang w:eastAsia="zh-CN"/>
        </w:rPr>
        <w:t>中标供应商</w:t>
      </w:r>
      <w:r>
        <w:rPr>
          <w:rFonts w:hint="eastAsia" w:ascii="宋体" w:hAnsi="宋体" w:eastAsia="宋体" w:cs="宋体"/>
          <w:bCs/>
          <w:color w:val="auto"/>
          <w:sz w:val="24"/>
          <w:szCs w:val="24"/>
          <w:highlight w:val="none"/>
        </w:rPr>
        <w:t>在收到中标通知书后，无正当理由不与采购人订立合同，在签订合同时向采购人提出附加条件，或者不按照招标文件要求提交履约保证金</w:t>
      </w:r>
      <w:r>
        <w:rPr>
          <w:rFonts w:hint="eastAsia" w:ascii="宋体" w:hAnsi="宋体" w:eastAsia="宋体" w:cs="宋体"/>
          <w:color w:val="auto"/>
          <w:sz w:val="24"/>
          <w:szCs w:val="24"/>
          <w:highlight w:val="none"/>
          <w:lang w:eastAsia="zh-CN"/>
        </w:rPr>
        <w:t>或质量保证金</w:t>
      </w:r>
      <w:r>
        <w:rPr>
          <w:rFonts w:hint="eastAsia" w:ascii="宋体" w:hAnsi="宋体" w:eastAsia="宋体" w:cs="宋体"/>
          <w:bCs/>
          <w:color w:val="auto"/>
          <w:sz w:val="24"/>
          <w:szCs w:val="24"/>
          <w:highlight w:val="none"/>
        </w:rPr>
        <w:t>；</w:t>
      </w:r>
    </w:p>
    <w:p w14:paraId="6DE9B1A2">
      <w:pPr>
        <w:keepNext w:val="0"/>
        <w:keepLines w:val="0"/>
        <w:pageBreakBefore w:val="0"/>
        <w:widowControl w:val="0"/>
        <w:kinsoku/>
        <w:wordWrap w:val="0"/>
        <w:overflowPunct/>
        <w:topLinePunct w:val="0"/>
        <w:autoSpaceDE/>
        <w:autoSpaceDN/>
        <w:bidi w:val="0"/>
        <w:adjustRightInd w:val="0"/>
        <w:spacing w:line="440" w:lineRule="exact"/>
        <w:ind w:firstLine="480" w:firstLineChars="200"/>
        <w:jc w:val="left"/>
        <w:textAlignment w:val="auto"/>
        <w:rPr>
          <w:rFonts w:hint="eastAsia" w:ascii="宋体" w:hAnsi="宋体" w:eastAsia="宋体" w:cs="宋体"/>
          <w:color w:val="auto"/>
          <w:highlight w:val="none"/>
        </w:rPr>
      </w:pPr>
      <w:r>
        <w:rPr>
          <w:rFonts w:hint="eastAsia" w:ascii="宋体" w:hAnsi="宋体" w:eastAsia="宋体" w:cs="宋体"/>
          <w:bCs/>
          <w:color w:val="auto"/>
          <w:sz w:val="24"/>
          <w:szCs w:val="24"/>
          <w:highlight w:val="none"/>
        </w:rPr>
        <w:t>（3）经</w:t>
      </w:r>
      <w:r>
        <w:rPr>
          <w:rFonts w:hint="eastAsia" w:ascii="宋体" w:hAnsi="宋体" w:eastAsia="宋体" w:cs="宋体"/>
          <w:color w:val="auto"/>
          <w:sz w:val="24"/>
          <w:szCs w:val="24"/>
          <w:highlight w:val="none"/>
          <w:lang w:val="zh-CN"/>
        </w:rPr>
        <w:t>评标委员会评标过程中发现</w:t>
      </w:r>
      <w:r>
        <w:rPr>
          <w:rFonts w:hint="eastAsia" w:ascii="宋体" w:hAnsi="宋体" w:eastAsia="宋体" w:cs="宋体"/>
          <w:bCs/>
          <w:color w:val="auto"/>
          <w:sz w:val="24"/>
          <w:szCs w:val="24"/>
          <w:highlight w:val="none"/>
          <w:lang w:eastAsia="zh-CN"/>
        </w:rPr>
        <w:t>供应商</w:t>
      </w:r>
      <w:r>
        <w:rPr>
          <w:rFonts w:hint="eastAsia" w:ascii="宋体" w:hAnsi="宋体" w:eastAsia="宋体" w:cs="宋体"/>
          <w:color w:val="auto"/>
          <w:sz w:val="24"/>
          <w:szCs w:val="24"/>
          <w:highlight w:val="none"/>
          <w:lang w:val="zh-CN"/>
        </w:rPr>
        <w:t>符合“6.3.4 审查供应商是否存在串通投标行为”情形的；</w:t>
      </w:r>
    </w:p>
    <w:p w14:paraId="0D183B64">
      <w:pPr>
        <w:keepNext w:val="0"/>
        <w:keepLines w:val="0"/>
        <w:pageBreakBefore w:val="0"/>
        <w:widowControl w:val="0"/>
        <w:kinsoku/>
        <w:wordWrap w:val="0"/>
        <w:overflowPunct/>
        <w:topLinePunct w:val="0"/>
        <w:autoSpaceDE/>
        <w:autoSpaceDN/>
        <w:bidi w:val="0"/>
        <w:adjustRightInd w:val="0"/>
        <w:spacing w:line="440" w:lineRule="exact"/>
        <w:ind w:firstLine="48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（4）其他可以不予退还投标保证金的情形，具体详见</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须知前附表。</w:t>
      </w:r>
    </w:p>
    <w:p w14:paraId="46799908">
      <w:pPr>
        <w:keepNext w:val="0"/>
        <w:keepLines w:val="0"/>
        <w:pageBreakBefore w:val="0"/>
        <w:widowControl w:val="0"/>
        <w:kinsoku/>
        <w:wordWrap w:val="0"/>
        <w:overflowPunct/>
        <w:topLinePunct w:val="0"/>
        <w:autoSpaceDE/>
        <w:autoSpaceDN/>
        <w:bidi w:val="0"/>
        <w:adjustRightInd w:val="0"/>
        <w:spacing w:line="440" w:lineRule="exact"/>
        <w:jc w:val="left"/>
        <w:textAlignment w:val="auto"/>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lang w:val="zh-CN"/>
        </w:rPr>
        <w:t>3.5 资格审查资料</w:t>
      </w:r>
    </w:p>
    <w:p w14:paraId="1B48FEFF">
      <w:pPr>
        <w:keepNext w:val="0"/>
        <w:keepLines w:val="0"/>
        <w:pageBreakBefore w:val="0"/>
        <w:widowControl w:val="0"/>
        <w:kinsoku/>
        <w:wordWrap w:val="0"/>
        <w:overflowPunct/>
        <w:topLinePunct w:val="0"/>
        <w:autoSpaceDE/>
        <w:autoSpaceDN/>
        <w:bidi w:val="0"/>
        <w:adjustRightInd w:val="0"/>
        <w:spacing w:line="440" w:lineRule="exact"/>
        <w:ind w:firstLine="480" w:firstLineChars="200"/>
        <w:jc w:val="lef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除</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须知前附表另有规定外，</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应按</w:t>
      </w:r>
      <w:r>
        <w:rPr>
          <w:rFonts w:hint="eastAsia" w:ascii="宋体" w:hAnsi="宋体" w:eastAsia="宋体" w:cs="宋体"/>
          <w:bCs/>
          <w:color w:val="auto"/>
          <w:sz w:val="24"/>
          <w:szCs w:val="24"/>
          <w:highlight w:val="none"/>
          <w:lang w:eastAsia="zh-CN"/>
        </w:rPr>
        <w:t>《投标文件格式》及</w:t>
      </w:r>
      <w:r>
        <w:rPr>
          <w:rFonts w:hint="eastAsia" w:ascii="宋体" w:hAnsi="宋体" w:eastAsia="宋体" w:cs="宋体"/>
          <w:bCs/>
          <w:color w:val="auto"/>
          <w:sz w:val="24"/>
          <w:szCs w:val="24"/>
          <w:highlight w:val="none"/>
        </w:rPr>
        <w:t>下列规定提供资格审查资料，以证明其满足本章第 1.4 款规定的资质、财务、业绩、信誉等要求。</w:t>
      </w:r>
    </w:p>
    <w:p w14:paraId="6532C061">
      <w:pPr>
        <w:keepNext w:val="0"/>
        <w:keepLines w:val="0"/>
        <w:pageBreakBefore w:val="0"/>
        <w:widowControl w:val="0"/>
        <w:kinsoku/>
        <w:wordWrap w:val="0"/>
        <w:overflowPunct/>
        <w:topLinePunct w:val="0"/>
        <w:autoSpaceDE/>
        <w:autoSpaceDN/>
        <w:bidi w:val="0"/>
        <w:adjustRightInd w:val="0"/>
        <w:spacing w:line="440" w:lineRule="exact"/>
        <w:ind w:firstLine="480" w:firstLineChars="200"/>
        <w:jc w:val="left"/>
        <w:textAlignment w:val="auto"/>
        <w:rPr>
          <w:rFonts w:hint="eastAsia" w:ascii="宋体" w:hAnsi="宋体" w:eastAsia="宋体" w:cs="宋体"/>
          <w:bCs/>
          <w:color w:val="0000FF"/>
          <w:sz w:val="24"/>
          <w:szCs w:val="24"/>
          <w:highlight w:val="none"/>
        </w:rPr>
      </w:pPr>
      <w:r>
        <w:rPr>
          <w:rFonts w:hint="eastAsia" w:ascii="宋体" w:hAnsi="宋体" w:eastAsia="宋体" w:cs="宋体"/>
          <w:bCs/>
          <w:color w:val="auto"/>
          <w:sz w:val="24"/>
          <w:szCs w:val="24"/>
          <w:highlight w:val="none"/>
        </w:rPr>
        <w:t>3.5.1 “</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基本情况”应附</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营业执照和组织机构代码证的复印件（按照“三证合一”或“五证合一”登记制度进行登记的，可仅提供营业执照副本复印件）、</w:t>
      </w:r>
      <w:r>
        <w:rPr>
          <w:rFonts w:hint="eastAsia" w:ascii="宋体" w:hAnsi="宋体" w:eastAsia="宋体" w:cs="宋体"/>
          <w:bCs/>
          <w:color w:val="000000" w:themeColor="text1"/>
          <w:sz w:val="24"/>
          <w:szCs w:val="24"/>
          <w:highlight w:val="none"/>
          <w14:textFill>
            <w14:solidFill>
              <w14:schemeClr w14:val="tx1"/>
            </w14:solidFill>
          </w14:textFill>
        </w:rPr>
        <w:t>开户许可证</w:t>
      </w:r>
      <w:r>
        <w:rPr>
          <w:rFonts w:hint="eastAsia" w:ascii="宋体" w:hAnsi="宋体" w:cs="宋体"/>
          <w:bCs/>
          <w:color w:val="000000" w:themeColor="text1"/>
          <w:sz w:val="24"/>
          <w:szCs w:val="24"/>
          <w:highlight w:val="none"/>
          <w:lang w:val="en-US" w:eastAsia="zh-CN"/>
          <w14:textFill>
            <w14:solidFill>
              <w14:schemeClr w14:val="tx1"/>
            </w14:solidFill>
          </w14:textFill>
        </w:rPr>
        <w:t>或开户证明材料</w:t>
      </w:r>
      <w:r>
        <w:rPr>
          <w:rFonts w:hint="eastAsia" w:ascii="宋体" w:hAnsi="宋体" w:eastAsia="宋体" w:cs="宋体"/>
          <w:bCs/>
          <w:color w:val="000000" w:themeColor="text1"/>
          <w:sz w:val="24"/>
          <w:szCs w:val="24"/>
          <w:highlight w:val="none"/>
          <w14:textFill>
            <w14:solidFill>
              <w14:schemeClr w14:val="tx1"/>
            </w14:solidFill>
          </w14:textFill>
        </w:rPr>
        <w:t>等材料的复印件。</w:t>
      </w:r>
    </w:p>
    <w:p w14:paraId="65D0E694">
      <w:pPr>
        <w:keepNext w:val="0"/>
        <w:keepLines w:val="0"/>
        <w:pageBreakBefore w:val="0"/>
        <w:widowControl w:val="0"/>
        <w:kinsoku/>
        <w:wordWrap w:val="0"/>
        <w:overflowPunct/>
        <w:topLinePunct w:val="0"/>
        <w:autoSpaceDE/>
        <w:autoSpaceDN/>
        <w:bidi w:val="0"/>
        <w:adjustRightInd w:val="0"/>
        <w:spacing w:line="440" w:lineRule="exact"/>
        <w:ind w:firstLine="480" w:firstLineChars="200"/>
        <w:jc w:val="lef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3.5.2 “公司财务状况”应附财务报表或财务审计报告，包括资产负债表、现金流量表、利润表和财务情况说明书的复印件，具体年份要求见</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须知前附表。</w:t>
      </w:r>
    </w:p>
    <w:p w14:paraId="2961EADD">
      <w:pPr>
        <w:keepNext w:val="0"/>
        <w:keepLines w:val="0"/>
        <w:pageBreakBefore w:val="0"/>
        <w:widowControl w:val="0"/>
        <w:kinsoku/>
        <w:wordWrap w:val="0"/>
        <w:overflowPunct/>
        <w:topLinePunct w:val="0"/>
        <w:autoSpaceDE/>
        <w:autoSpaceDN/>
        <w:bidi w:val="0"/>
        <w:adjustRightInd w:val="0"/>
        <w:spacing w:line="440" w:lineRule="exact"/>
        <w:ind w:firstLine="480" w:firstLineChars="200"/>
        <w:jc w:val="lef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3.5.3 “</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的信誉情况”应附①参加政府采购活动前3年内在经营活动中没有重大违法记录的书面声明，格式自拟；②“信用中国”及“中国政府采购网”官网截图，具体要求见本章“</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须知前附表”第3.1.1款；③“中国裁判文书网”行贿犯罪记录官网截图，具体要求见本章“</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须知前附表”第3.1.1款；</w:t>
      </w:r>
      <w:r>
        <w:rPr>
          <w:rFonts w:hint="eastAsia" w:ascii="宋体" w:hAnsi="宋体" w:eastAsia="宋体" w:cs="宋体"/>
          <w:bCs/>
          <w:color w:val="auto"/>
          <w:sz w:val="24"/>
          <w:szCs w:val="24"/>
          <w:highlight w:val="none"/>
        </w:rPr>
        <w:sym w:font="Wingdings" w:char="F084"/>
      </w:r>
      <w:r>
        <w:rPr>
          <w:rFonts w:hint="eastAsia" w:ascii="宋体" w:hAnsi="宋体" w:eastAsia="宋体" w:cs="宋体"/>
          <w:bCs/>
          <w:color w:val="auto"/>
          <w:sz w:val="24"/>
          <w:szCs w:val="24"/>
          <w:highlight w:val="none"/>
          <w:lang w:val="zh-CN"/>
        </w:rPr>
        <w:t>发生的诉讼及仲裁情况，如有须提供</w:t>
      </w:r>
      <w:r>
        <w:rPr>
          <w:rFonts w:hint="eastAsia" w:ascii="宋体" w:hAnsi="宋体" w:eastAsia="宋体" w:cs="宋体"/>
          <w:bCs/>
          <w:color w:val="auto"/>
          <w:sz w:val="24"/>
          <w:szCs w:val="24"/>
          <w:highlight w:val="none"/>
        </w:rPr>
        <w:t>法院或仲裁机构作出的判决、裁决等有关法律文书复印件；具体时间要求见</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须知前附表。</w:t>
      </w:r>
    </w:p>
    <w:p w14:paraId="3915F8D7">
      <w:pPr>
        <w:keepNext w:val="0"/>
        <w:keepLines w:val="0"/>
        <w:pageBreakBefore w:val="0"/>
        <w:widowControl w:val="0"/>
        <w:kinsoku/>
        <w:wordWrap w:val="0"/>
        <w:overflowPunct/>
        <w:topLinePunct w:val="0"/>
        <w:autoSpaceDE/>
        <w:autoSpaceDN/>
        <w:bidi w:val="0"/>
        <w:adjustRightInd w:val="0"/>
        <w:spacing w:line="440" w:lineRule="exact"/>
        <w:ind w:firstLine="48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3.5.</w:t>
      </w:r>
      <w:r>
        <w:rPr>
          <w:rFonts w:hint="eastAsia" w:ascii="宋体" w:hAnsi="宋体" w:eastAsia="宋体" w:cs="宋体"/>
          <w:bCs/>
          <w:color w:val="auto"/>
          <w:sz w:val="24"/>
          <w:szCs w:val="24"/>
          <w:highlight w:val="none"/>
          <w:lang w:val="en-US" w:eastAsia="zh-CN"/>
        </w:rPr>
        <w:t>4</w:t>
      </w:r>
      <w:r>
        <w:rPr>
          <w:rFonts w:hint="eastAsia" w:ascii="宋体" w:hAnsi="宋体" w:eastAsia="宋体" w:cs="宋体"/>
          <w:bCs/>
          <w:color w:val="auto"/>
          <w:sz w:val="24"/>
          <w:szCs w:val="24"/>
          <w:highlight w:val="none"/>
        </w:rPr>
        <w:t xml:space="preserve"> </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须知前附表规定接受联合体投标的，本章第 3.5.1 款至第 3.5.</w:t>
      </w:r>
      <w:r>
        <w:rPr>
          <w:rFonts w:hint="eastAsia" w:ascii="宋体" w:hAnsi="宋体" w:eastAsia="宋体" w:cs="宋体"/>
          <w:bCs/>
          <w:color w:val="auto"/>
          <w:sz w:val="24"/>
          <w:szCs w:val="24"/>
          <w:highlight w:val="none"/>
          <w:lang w:val="en-US" w:eastAsia="zh-CN"/>
        </w:rPr>
        <w:t>3</w:t>
      </w:r>
      <w:r>
        <w:rPr>
          <w:rFonts w:hint="eastAsia" w:ascii="宋体" w:hAnsi="宋体" w:eastAsia="宋体" w:cs="宋体"/>
          <w:bCs/>
          <w:color w:val="auto"/>
          <w:sz w:val="24"/>
          <w:szCs w:val="24"/>
          <w:highlight w:val="none"/>
        </w:rPr>
        <w:t xml:space="preserve"> 款规定的表格和资料应包括联合体各方相关情况。</w:t>
      </w:r>
    </w:p>
    <w:p w14:paraId="12EC99A8">
      <w:pPr>
        <w:keepNext w:val="0"/>
        <w:keepLines w:val="0"/>
        <w:pageBreakBefore w:val="0"/>
        <w:widowControl w:val="0"/>
        <w:kinsoku/>
        <w:wordWrap w:val="0"/>
        <w:overflowPunct/>
        <w:topLinePunct w:val="0"/>
        <w:autoSpaceDE/>
        <w:autoSpaceDN/>
        <w:bidi w:val="0"/>
        <w:adjustRightInd w:val="0"/>
        <w:spacing w:line="440" w:lineRule="exact"/>
        <w:jc w:val="left"/>
        <w:textAlignment w:val="auto"/>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lang w:val="zh-CN"/>
        </w:rPr>
        <w:t>3.6 备选投标方案</w:t>
      </w:r>
    </w:p>
    <w:p w14:paraId="6562F7D7">
      <w:pPr>
        <w:keepNext w:val="0"/>
        <w:keepLines w:val="0"/>
        <w:pageBreakBefore w:val="0"/>
        <w:widowControl w:val="0"/>
        <w:kinsoku/>
        <w:wordWrap w:val="0"/>
        <w:overflowPunct/>
        <w:topLinePunct w:val="0"/>
        <w:autoSpaceDE/>
        <w:autoSpaceDN/>
        <w:bidi w:val="0"/>
        <w:adjustRightInd w:val="0"/>
        <w:spacing w:line="440" w:lineRule="exact"/>
        <w:ind w:firstLine="480" w:firstLineChars="200"/>
        <w:jc w:val="lef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3.6.1 除</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须知前附表规定允许外，</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不得递交备选投标方案，否则其投标将被否决。</w:t>
      </w:r>
    </w:p>
    <w:p w14:paraId="2F3EB7E9">
      <w:pPr>
        <w:keepNext w:val="0"/>
        <w:keepLines w:val="0"/>
        <w:pageBreakBefore w:val="0"/>
        <w:widowControl w:val="0"/>
        <w:kinsoku/>
        <w:wordWrap w:val="0"/>
        <w:overflowPunct/>
        <w:topLinePunct w:val="0"/>
        <w:autoSpaceDE/>
        <w:autoSpaceDN/>
        <w:bidi w:val="0"/>
        <w:adjustRightInd w:val="0"/>
        <w:spacing w:line="440" w:lineRule="exact"/>
        <w:ind w:firstLine="480" w:firstLineChars="200"/>
        <w:jc w:val="lef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3.6.2 允许</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递交备选投标方案的，只有</w:t>
      </w:r>
      <w:r>
        <w:rPr>
          <w:rFonts w:hint="eastAsia" w:ascii="宋体" w:hAnsi="宋体" w:eastAsia="宋体" w:cs="宋体"/>
          <w:bCs/>
          <w:color w:val="auto"/>
          <w:sz w:val="24"/>
          <w:szCs w:val="24"/>
          <w:highlight w:val="none"/>
          <w:lang w:eastAsia="zh-CN"/>
        </w:rPr>
        <w:t>中标供应商</w:t>
      </w:r>
      <w:r>
        <w:rPr>
          <w:rFonts w:hint="eastAsia" w:ascii="宋体" w:hAnsi="宋体" w:eastAsia="宋体" w:cs="宋体"/>
          <w:bCs/>
          <w:color w:val="auto"/>
          <w:sz w:val="24"/>
          <w:szCs w:val="24"/>
          <w:highlight w:val="none"/>
        </w:rPr>
        <w:t>所递交的备选投标方案方可予以考虑。评标委员会认为</w:t>
      </w:r>
      <w:r>
        <w:rPr>
          <w:rFonts w:hint="eastAsia" w:ascii="宋体" w:hAnsi="宋体" w:eastAsia="宋体" w:cs="宋体"/>
          <w:bCs/>
          <w:color w:val="auto"/>
          <w:sz w:val="24"/>
          <w:szCs w:val="24"/>
          <w:highlight w:val="none"/>
          <w:lang w:eastAsia="zh-CN"/>
        </w:rPr>
        <w:t>中标供应商</w:t>
      </w:r>
      <w:r>
        <w:rPr>
          <w:rFonts w:hint="eastAsia" w:ascii="宋体" w:hAnsi="宋体" w:eastAsia="宋体" w:cs="宋体"/>
          <w:bCs/>
          <w:color w:val="auto"/>
          <w:sz w:val="24"/>
          <w:szCs w:val="24"/>
          <w:highlight w:val="none"/>
        </w:rPr>
        <w:t>的备选投标方案优于其按照招标文件要求编制的投标方案的，采购人可以接受该备选投标方案。</w:t>
      </w:r>
    </w:p>
    <w:p w14:paraId="1F8547F3">
      <w:pPr>
        <w:keepNext w:val="0"/>
        <w:keepLines w:val="0"/>
        <w:pageBreakBefore w:val="0"/>
        <w:widowControl w:val="0"/>
        <w:kinsoku/>
        <w:wordWrap w:val="0"/>
        <w:overflowPunct/>
        <w:topLinePunct w:val="0"/>
        <w:autoSpaceDE/>
        <w:autoSpaceDN/>
        <w:bidi w:val="0"/>
        <w:adjustRightInd w:val="0"/>
        <w:spacing w:line="440" w:lineRule="exact"/>
        <w:ind w:firstLine="48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3.6.3 </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提供两个或两个以上投标报价，或者在投标文件中提供一个报价，但同时提供两个或两个以上技术方案的，视为提供备选方案。</w:t>
      </w:r>
    </w:p>
    <w:p w14:paraId="671877B8">
      <w:pPr>
        <w:keepNext w:val="0"/>
        <w:keepLines w:val="0"/>
        <w:pageBreakBefore w:val="0"/>
        <w:widowControl w:val="0"/>
        <w:kinsoku/>
        <w:wordWrap w:val="0"/>
        <w:overflowPunct/>
        <w:topLinePunct w:val="0"/>
        <w:autoSpaceDE/>
        <w:autoSpaceDN/>
        <w:bidi w:val="0"/>
        <w:adjustRightInd w:val="0"/>
        <w:spacing w:line="440" w:lineRule="exact"/>
        <w:jc w:val="left"/>
        <w:textAlignment w:val="auto"/>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lang w:val="zh-CN"/>
        </w:rPr>
        <w:t>3.7 投标文件的编制</w:t>
      </w:r>
    </w:p>
    <w:p w14:paraId="6DC4D608">
      <w:pPr>
        <w:keepNext w:val="0"/>
        <w:keepLines w:val="0"/>
        <w:pageBreakBefore w:val="0"/>
        <w:widowControl w:val="0"/>
        <w:kinsoku/>
        <w:wordWrap w:val="0"/>
        <w:overflowPunct/>
        <w:topLinePunct w:val="0"/>
        <w:autoSpaceDE/>
        <w:autoSpaceDN/>
        <w:bidi w:val="0"/>
        <w:adjustRightInd w:val="0"/>
        <w:spacing w:line="440" w:lineRule="exact"/>
        <w:ind w:firstLine="480" w:firstLineChars="200"/>
        <w:jc w:val="lef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3.7.1 投标文件应按第六章“投标文件格式”</w:t>
      </w:r>
      <w:r>
        <w:rPr>
          <w:rFonts w:hint="eastAsia" w:ascii="宋体" w:hAnsi="宋体" w:eastAsia="宋体" w:cs="宋体"/>
          <w:bCs/>
          <w:color w:val="auto"/>
          <w:sz w:val="24"/>
          <w:szCs w:val="24"/>
          <w:highlight w:val="none"/>
          <w:lang w:eastAsia="zh-CN"/>
        </w:rPr>
        <w:t>及本章条款要求</w:t>
      </w:r>
      <w:r>
        <w:rPr>
          <w:rFonts w:hint="eastAsia" w:ascii="宋体" w:hAnsi="宋体" w:eastAsia="宋体" w:cs="宋体"/>
          <w:bCs/>
          <w:color w:val="auto"/>
          <w:sz w:val="24"/>
          <w:szCs w:val="24"/>
          <w:highlight w:val="none"/>
        </w:rPr>
        <w:t>进行编写，</w:t>
      </w:r>
      <w:r>
        <w:rPr>
          <w:rFonts w:hint="eastAsia" w:ascii="宋体" w:hAnsi="宋体" w:eastAsia="宋体" w:cs="宋体"/>
          <w:bCs/>
          <w:color w:val="auto"/>
          <w:sz w:val="24"/>
          <w:szCs w:val="24"/>
          <w:highlight w:val="none"/>
          <w:lang w:eastAsia="zh-CN"/>
        </w:rPr>
        <w:t>否则均视为无效投标情形，由此引发的</w:t>
      </w:r>
      <w:r>
        <w:rPr>
          <w:rFonts w:hint="eastAsia" w:ascii="宋体" w:hAnsi="宋体" w:eastAsia="宋体" w:cs="宋体"/>
          <w:bCs/>
          <w:color w:val="auto"/>
          <w:sz w:val="24"/>
          <w:szCs w:val="24"/>
          <w:highlight w:val="none"/>
        </w:rPr>
        <w:t>后果由</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自行负责。如有必要，可以增加附页，作为投标文件的组成部分。其中，商务条款在满足招标文件实质性要求的基础上，可以提出比招标文件要求更有利于采购人的承诺。</w:t>
      </w:r>
    </w:p>
    <w:p w14:paraId="28839562">
      <w:pPr>
        <w:keepNext w:val="0"/>
        <w:keepLines w:val="0"/>
        <w:pageBreakBefore w:val="0"/>
        <w:widowControl w:val="0"/>
        <w:kinsoku/>
        <w:wordWrap w:val="0"/>
        <w:overflowPunct/>
        <w:topLinePunct w:val="0"/>
        <w:autoSpaceDE/>
        <w:autoSpaceDN/>
        <w:bidi w:val="0"/>
        <w:adjustRightInd w:val="0"/>
        <w:spacing w:line="440" w:lineRule="exact"/>
        <w:ind w:firstLine="480" w:firstLineChars="200"/>
        <w:jc w:val="lef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3.7.2 投标文件应当对招标文件有关供货期、投标有效期、招标范围等实质性内容作出响应。</w:t>
      </w:r>
    </w:p>
    <w:p w14:paraId="72B8A6F4">
      <w:pPr>
        <w:keepNext w:val="0"/>
        <w:keepLines w:val="0"/>
        <w:pageBreakBefore w:val="0"/>
        <w:widowControl w:val="0"/>
        <w:kinsoku/>
        <w:wordWrap w:val="0"/>
        <w:overflowPunct/>
        <w:topLinePunct w:val="0"/>
        <w:autoSpaceDE/>
        <w:autoSpaceDN/>
        <w:bidi w:val="0"/>
        <w:adjustRightInd w:val="0"/>
        <w:spacing w:line="440" w:lineRule="exact"/>
        <w:ind w:firstLine="480" w:firstLineChars="200"/>
        <w:jc w:val="lef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3.7.3（1）投标文件应按招标文件所提供的投标文件格式标准制作，签字或盖章应清晰，易于识别，要求签字盖章处必须签字盖章，严禁代签和仿造行为。电子</w:t>
      </w:r>
      <w:r>
        <w:rPr>
          <w:rFonts w:hint="eastAsia" w:ascii="宋体" w:hAnsi="宋体" w:eastAsia="宋体" w:cs="宋体"/>
          <w:bCs/>
          <w:color w:val="auto"/>
          <w:sz w:val="24"/>
          <w:szCs w:val="24"/>
          <w:highlight w:val="none"/>
          <w:lang w:eastAsia="zh-CN"/>
        </w:rPr>
        <w:t>版</w:t>
      </w:r>
      <w:r>
        <w:rPr>
          <w:rFonts w:hint="eastAsia" w:ascii="宋体" w:hAnsi="宋体" w:eastAsia="宋体" w:cs="宋体"/>
          <w:bCs/>
          <w:color w:val="auto"/>
          <w:sz w:val="24"/>
          <w:szCs w:val="24"/>
          <w:highlight w:val="none"/>
        </w:rPr>
        <w:t>投标文件加盖的公章盖电子印章、</w:t>
      </w:r>
      <w:r>
        <w:rPr>
          <w:rFonts w:hint="eastAsia" w:ascii="宋体" w:hAnsi="宋体" w:eastAsia="宋体" w:cs="宋体"/>
          <w:bCs/>
          <w:color w:val="auto"/>
          <w:sz w:val="24"/>
          <w:szCs w:val="24"/>
          <w:highlight w:val="none"/>
          <w:lang w:eastAsia="zh-CN"/>
        </w:rPr>
        <w:t>法定代表人或</w:t>
      </w:r>
      <w:r>
        <w:rPr>
          <w:rFonts w:hint="eastAsia" w:ascii="宋体" w:hAnsi="宋体" w:eastAsia="宋体" w:cs="宋体"/>
          <w:bCs/>
          <w:color w:val="auto"/>
          <w:sz w:val="24"/>
          <w:szCs w:val="24"/>
          <w:highlight w:val="none"/>
        </w:rPr>
        <w:t>委托代理人</w:t>
      </w:r>
      <w:r>
        <w:rPr>
          <w:rFonts w:hint="eastAsia" w:ascii="宋体" w:hAnsi="宋体" w:eastAsia="宋体" w:cs="宋体"/>
          <w:bCs/>
          <w:color w:val="auto"/>
          <w:sz w:val="24"/>
          <w:szCs w:val="24"/>
          <w:highlight w:val="none"/>
          <w:lang w:eastAsia="zh-CN"/>
        </w:rPr>
        <w:t>手写签字</w:t>
      </w:r>
      <w:r>
        <w:rPr>
          <w:rFonts w:hint="eastAsia" w:ascii="宋体" w:hAnsi="宋体" w:eastAsia="宋体" w:cs="宋体"/>
          <w:bCs/>
          <w:color w:val="auto"/>
          <w:sz w:val="24"/>
          <w:szCs w:val="24"/>
          <w:highlight w:val="none"/>
          <w:lang w:val="en-US" w:eastAsia="zh-CN"/>
        </w:rPr>
        <w:t>；</w:t>
      </w:r>
      <w:r>
        <w:rPr>
          <w:rFonts w:hint="eastAsia" w:ascii="宋体" w:hAnsi="宋体" w:eastAsia="宋体" w:cs="宋体"/>
          <w:bCs/>
          <w:color w:val="auto"/>
          <w:sz w:val="24"/>
          <w:szCs w:val="24"/>
          <w:highlight w:val="none"/>
        </w:rPr>
        <w:t>纸质版投标文件必须使用从投标文件制作工具中生成的投标文件（打印版）进行单面打印</w:t>
      </w:r>
      <w:r>
        <w:rPr>
          <w:rFonts w:hint="eastAsia" w:ascii="宋体" w:hAnsi="宋体" w:eastAsia="宋体" w:cs="宋体"/>
          <w:bCs/>
          <w:color w:val="auto"/>
          <w:sz w:val="24"/>
          <w:szCs w:val="24"/>
          <w:highlight w:val="none"/>
          <w:lang w:eastAsia="zh-CN"/>
        </w:rPr>
        <w:t>并</w:t>
      </w:r>
      <w:r>
        <w:rPr>
          <w:rFonts w:hint="eastAsia" w:ascii="宋体" w:hAnsi="宋体" w:eastAsia="宋体" w:cs="宋体"/>
          <w:bCs/>
          <w:color w:val="auto"/>
          <w:sz w:val="24"/>
          <w:szCs w:val="24"/>
          <w:highlight w:val="none"/>
        </w:rPr>
        <w:t>加盖公章鲜章</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签字必须由</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的法定代表人或委托代理人亲笔手写签字（包括姓和名），</w:t>
      </w:r>
      <w:r>
        <w:rPr>
          <w:rFonts w:hint="eastAsia" w:ascii="宋体" w:hAnsi="宋体" w:eastAsia="宋体" w:cs="宋体"/>
          <w:bCs/>
          <w:color w:val="auto"/>
          <w:sz w:val="24"/>
          <w:szCs w:val="24"/>
          <w:highlight w:val="none"/>
          <w:lang w:eastAsia="zh-CN"/>
        </w:rPr>
        <w:t>签字处</w:t>
      </w:r>
      <w:r>
        <w:rPr>
          <w:rFonts w:hint="eastAsia" w:ascii="宋体" w:hAnsi="宋体" w:eastAsia="宋体" w:cs="宋体"/>
          <w:bCs/>
          <w:color w:val="auto"/>
          <w:sz w:val="24"/>
          <w:szCs w:val="24"/>
          <w:highlight w:val="none"/>
        </w:rPr>
        <w:t>不得</w:t>
      </w:r>
      <w:r>
        <w:rPr>
          <w:rFonts w:hint="eastAsia" w:ascii="宋体" w:hAnsi="宋体" w:eastAsia="宋体" w:cs="宋体"/>
          <w:bCs/>
          <w:color w:val="auto"/>
          <w:sz w:val="24"/>
          <w:szCs w:val="24"/>
          <w:highlight w:val="none"/>
          <w:lang w:eastAsia="zh-CN"/>
        </w:rPr>
        <w:t>使</w:t>
      </w:r>
      <w:r>
        <w:rPr>
          <w:rFonts w:hint="eastAsia" w:ascii="宋体" w:hAnsi="宋体" w:eastAsia="宋体" w:cs="宋体"/>
          <w:bCs/>
          <w:color w:val="auto"/>
          <w:sz w:val="24"/>
          <w:szCs w:val="24"/>
          <w:highlight w:val="none"/>
        </w:rPr>
        <w:t>用</w:t>
      </w:r>
      <w:r>
        <w:rPr>
          <w:rFonts w:hint="eastAsia" w:ascii="宋体" w:hAnsi="宋体" w:eastAsia="宋体" w:cs="宋体"/>
          <w:bCs/>
          <w:color w:val="auto"/>
          <w:sz w:val="24"/>
          <w:szCs w:val="24"/>
          <w:highlight w:val="none"/>
          <w:lang w:eastAsia="zh-CN"/>
        </w:rPr>
        <w:t>印</w:t>
      </w:r>
      <w:r>
        <w:rPr>
          <w:rFonts w:hint="eastAsia" w:ascii="宋体" w:hAnsi="宋体" w:eastAsia="宋体" w:cs="宋体"/>
          <w:bCs/>
          <w:color w:val="auto"/>
          <w:sz w:val="24"/>
          <w:szCs w:val="24"/>
          <w:highlight w:val="none"/>
        </w:rPr>
        <w:t>章（如签名章、签字章等）代替</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也不得由他人代签，由委托代理人签字的，投标文件应附法定代表人签署的授权委托书。投标文件应尽量避免涂改、行间插字或删除。如果出现上述情况，改动之处应加盖公章并由</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的法定代表人或委托代理人签字确认。</w:t>
      </w:r>
    </w:p>
    <w:p w14:paraId="0A9797AF">
      <w:pPr>
        <w:keepNext w:val="0"/>
        <w:keepLines w:val="0"/>
        <w:pageBreakBefore w:val="0"/>
        <w:widowControl w:val="0"/>
        <w:kinsoku/>
        <w:wordWrap w:val="0"/>
        <w:overflowPunct/>
        <w:topLinePunct w:val="0"/>
        <w:autoSpaceDE/>
        <w:autoSpaceDN/>
        <w:bidi w:val="0"/>
        <w:adjustRightInd w:val="0"/>
        <w:spacing w:line="440" w:lineRule="exact"/>
        <w:ind w:firstLine="480" w:firstLineChars="200"/>
        <w:jc w:val="lef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（2）纸质版投标文件应用不褪色的材料书写或打印，正本必须彩色打印并加盖</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公章鲜章，副本可以是正本的复印件，但应加盖骑页公章，并在封面标明“正本”、“副本”字样，当正本与副本内容不一致时，以正本为准。投标文件因内容不全或关键字迹模糊、无法辨认、字迹潦草或表达不清引起的后果，由</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自行负责。</w:t>
      </w:r>
    </w:p>
    <w:p w14:paraId="268D0E5E">
      <w:pPr>
        <w:keepNext w:val="0"/>
        <w:keepLines w:val="0"/>
        <w:pageBreakBefore w:val="0"/>
        <w:widowControl w:val="0"/>
        <w:kinsoku/>
        <w:wordWrap w:val="0"/>
        <w:overflowPunct/>
        <w:topLinePunct w:val="0"/>
        <w:autoSpaceDE/>
        <w:autoSpaceDN/>
        <w:bidi w:val="0"/>
        <w:adjustRightInd w:val="0"/>
        <w:spacing w:line="440" w:lineRule="exact"/>
        <w:ind w:firstLine="480" w:firstLineChars="200"/>
        <w:jc w:val="lef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（3）纸质版投标文件的装订要整齐、牢固、采用左侧纵向无线胶订机胶订，</w:t>
      </w:r>
      <w:r>
        <w:rPr>
          <w:rFonts w:hint="eastAsia" w:ascii="宋体" w:hAnsi="宋体" w:eastAsia="宋体" w:cs="宋体"/>
          <w:bCs/>
          <w:color w:val="auto"/>
          <w:sz w:val="24"/>
          <w:szCs w:val="24"/>
          <w:highlight w:val="none"/>
          <w:lang w:eastAsia="zh-CN"/>
        </w:rPr>
        <w:t>自行</w:t>
      </w:r>
      <w:r>
        <w:rPr>
          <w:rFonts w:hint="eastAsia" w:ascii="宋体" w:hAnsi="宋体" w:eastAsia="宋体" w:cs="宋体"/>
          <w:bCs/>
          <w:color w:val="auto"/>
          <w:sz w:val="24"/>
          <w:szCs w:val="24"/>
          <w:highlight w:val="none"/>
        </w:rPr>
        <w:t>编制目录</w:t>
      </w:r>
      <w:r>
        <w:rPr>
          <w:rFonts w:hint="eastAsia" w:ascii="宋体" w:hAnsi="宋体" w:eastAsia="宋体" w:cs="宋体"/>
          <w:bCs/>
          <w:color w:val="auto"/>
          <w:sz w:val="24"/>
          <w:szCs w:val="24"/>
          <w:highlight w:val="none"/>
          <w:lang w:eastAsia="zh-CN"/>
        </w:rPr>
        <w:t>（对应</w:t>
      </w:r>
      <w:r>
        <w:rPr>
          <w:rFonts w:hint="eastAsia" w:ascii="宋体" w:hAnsi="宋体" w:eastAsia="宋体" w:cs="宋体"/>
          <w:bCs/>
          <w:color w:val="auto"/>
          <w:sz w:val="24"/>
          <w:szCs w:val="24"/>
          <w:highlight w:val="none"/>
        </w:rPr>
        <w:t>页码</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，使用标准的宋体字、A4纸打印胶装装订成册，投标文件需分册装订的，具体要求见</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须知前附表规定。</w:t>
      </w:r>
    </w:p>
    <w:p w14:paraId="5A1C65A3">
      <w:pPr>
        <w:keepNext w:val="0"/>
        <w:keepLines w:val="0"/>
        <w:pageBreakBefore w:val="0"/>
        <w:widowControl w:val="0"/>
        <w:kinsoku/>
        <w:wordWrap w:val="0"/>
        <w:overflowPunct/>
        <w:topLinePunct w:val="0"/>
        <w:autoSpaceDE/>
        <w:autoSpaceDN/>
        <w:bidi w:val="0"/>
        <w:adjustRightInd w:val="0"/>
        <w:spacing w:line="440" w:lineRule="exact"/>
        <w:ind w:firstLine="480" w:firstLineChars="200"/>
        <w:jc w:val="left"/>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rPr>
        <w:t>（4）</w:t>
      </w:r>
      <w:r>
        <w:rPr>
          <w:rFonts w:hint="eastAsia" w:ascii="宋体" w:hAnsi="宋体" w:eastAsia="宋体" w:cs="宋体"/>
          <w:bCs/>
          <w:color w:val="auto"/>
          <w:sz w:val="24"/>
          <w:szCs w:val="24"/>
          <w:highlight w:val="none"/>
          <w:lang w:val="zh-CN"/>
        </w:rPr>
        <w:t>投标文件的补充递交，具体要求见供应商须知前附表规定。</w:t>
      </w:r>
    </w:p>
    <w:p w14:paraId="79C8BDF2">
      <w:pPr>
        <w:keepNext w:val="0"/>
        <w:keepLines w:val="0"/>
        <w:pageBreakBefore w:val="0"/>
        <w:widowControl w:val="0"/>
        <w:kinsoku/>
        <w:wordWrap w:val="0"/>
        <w:overflowPunct/>
        <w:topLinePunct w:val="0"/>
        <w:autoSpaceDE/>
        <w:autoSpaceDN/>
        <w:bidi w:val="0"/>
        <w:adjustRightInd w:val="0"/>
        <w:spacing w:line="440" w:lineRule="exact"/>
        <w:jc w:val="left"/>
        <w:textAlignment w:val="auto"/>
        <w:rPr>
          <w:rFonts w:hint="eastAsia" w:ascii="宋体" w:hAnsi="宋体" w:eastAsia="宋体" w:cs="宋体"/>
          <w:b/>
          <w:color w:val="auto"/>
          <w:sz w:val="28"/>
          <w:szCs w:val="28"/>
          <w:highlight w:val="none"/>
          <w:lang w:val="zh-CN"/>
        </w:rPr>
      </w:pPr>
      <w:r>
        <w:rPr>
          <w:rFonts w:hint="eastAsia" w:ascii="宋体" w:hAnsi="宋体" w:eastAsia="宋体" w:cs="宋体"/>
          <w:b/>
          <w:color w:val="auto"/>
          <w:sz w:val="28"/>
          <w:szCs w:val="28"/>
          <w:highlight w:val="none"/>
          <w:lang w:val="zh-CN"/>
        </w:rPr>
        <w:t>4.投标</w:t>
      </w:r>
    </w:p>
    <w:p w14:paraId="4F911ACD">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b/>
          <w:bCs/>
          <w:color w:val="auto"/>
          <w:sz w:val="24"/>
          <w:szCs w:val="24"/>
          <w:highlight w:val="none"/>
          <w:lang w:val="zh-CN"/>
        </w:rPr>
      </w:pPr>
      <w:bookmarkStart w:id="7" w:name="_Toc30156082"/>
      <w:bookmarkStart w:id="8" w:name="_Toc201719090"/>
      <w:bookmarkStart w:id="9" w:name="_Toc28681"/>
      <w:bookmarkStart w:id="10" w:name="_Toc10534"/>
      <w:r>
        <w:rPr>
          <w:rFonts w:hint="eastAsia" w:ascii="宋体" w:hAnsi="宋体" w:eastAsia="宋体" w:cs="宋体"/>
          <w:b/>
          <w:bCs/>
          <w:color w:val="auto"/>
          <w:sz w:val="24"/>
          <w:szCs w:val="24"/>
          <w:highlight w:val="none"/>
          <w:lang w:val="zh-CN"/>
        </w:rPr>
        <w:t xml:space="preserve">4.1 </w:t>
      </w:r>
      <w:bookmarkEnd w:id="7"/>
      <w:bookmarkEnd w:id="8"/>
      <w:r>
        <w:rPr>
          <w:rFonts w:hint="eastAsia" w:ascii="宋体" w:hAnsi="宋体" w:eastAsia="宋体" w:cs="宋体"/>
          <w:b/>
          <w:bCs/>
          <w:color w:val="auto"/>
          <w:sz w:val="24"/>
          <w:szCs w:val="24"/>
          <w:highlight w:val="none"/>
          <w:lang w:val="zh-CN"/>
        </w:rPr>
        <w:t>投标文件的保密</w:t>
      </w:r>
      <w:bookmarkEnd w:id="9"/>
      <w:bookmarkEnd w:id="10"/>
    </w:p>
    <w:p w14:paraId="3DC19C2D">
      <w:pPr>
        <w:keepNext w:val="0"/>
        <w:keepLines w:val="0"/>
        <w:pageBreakBefore w:val="0"/>
        <w:widowControl w:val="0"/>
        <w:kinsoku/>
        <w:wordWrap w:val="0"/>
        <w:overflowPunct/>
        <w:topLinePunct w:val="0"/>
        <w:autoSpaceDE/>
        <w:autoSpaceDN/>
        <w:bidi w:val="0"/>
        <w:adjustRightInd w:val="0"/>
        <w:spacing w:line="440" w:lineRule="exact"/>
        <w:ind w:firstLine="480" w:firstLineChars="200"/>
        <w:jc w:val="left"/>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投标文件应独立制作，包封按招标文件</w:t>
      </w:r>
      <w:r>
        <w:rPr>
          <w:rFonts w:hint="eastAsia" w:ascii="宋体" w:hAnsi="宋体" w:eastAsia="宋体" w:cs="宋体"/>
          <w:color w:val="auto"/>
          <w:sz w:val="24"/>
          <w:szCs w:val="24"/>
          <w:highlight w:val="none"/>
          <w:lang w:val="zh-CN" w:eastAsia="zh-CN"/>
        </w:rPr>
        <w:t>要求进行密封</w:t>
      </w:r>
      <w:r>
        <w:rPr>
          <w:rFonts w:hint="eastAsia" w:ascii="宋体" w:hAnsi="宋体" w:eastAsia="宋体" w:cs="宋体"/>
          <w:color w:val="auto"/>
          <w:sz w:val="24"/>
          <w:szCs w:val="24"/>
          <w:highlight w:val="none"/>
          <w:lang w:val="zh-CN"/>
        </w:rPr>
        <w:t>，并在封套的封口处加盖投标供应商公章</w:t>
      </w:r>
      <w:r>
        <w:rPr>
          <w:rFonts w:hint="eastAsia" w:ascii="宋体" w:hAnsi="宋体" w:eastAsia="宋体" w:cs="宋体"/>
          <w:color w:val="auto"/>
          <w:sz w:val="24"/>
          <w:szCs w:val="24"/>
          <w:highlight w:val="none"/>
          <w:lang w:val="zh-CN" w:eastAsia="zh-CN"/>
        </w:rPr>
        <w:t>、法人章及法定代表人手书签字，包封格式详见附件</w:t>
      </w:r>
      <w:r>
        <w:rPr>
          <w:rFonts w:hint="eastAsia" w:ascii="宋体" w:hAnsi="宋体" w:eastAsia="宋体" w:cs="宋体"/>
          <w:color w:val="auto"/>
          <w:sz w:val="24"/>
          <w:szCs w:val="24"/>
          <w:highlight w:val="none"/>
          <w:lang w:val="zh-CN"/>
        </w:rPr>
        <w:t>。</w:t>
      </w:r>
    </w:p>
    <w:p w14:paraId="00C6472C">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b/>
          <w:bCs/>
          <w:color w:val="auto"/>
          <w:sz w:val="24"/>
          <w:szCs w:val="24"/>
          <w:highlight w:val="none"/>
          <w:lang w:val="zh-CN"/>
        </w:rPr>
      </w:pPr>
      <w:bookmarkStart w:id="11" w:name="_Toc31814"/>
      <w:bookmarkStart w:id="12" w:name="_Toc10334"/>
      <w:r>
        <w:rPr>
          <w:rFonts w:hint="eastAsia" w:ascii="宋体" w:hAnsi="宋体" w:eastAsia="宋体" w:cs="宋体"/>
          <w:b/>
          <w:bCs/>
          <w:color w:val="auto"/>
          <w:sz w:val="24"/>
          <w:szCs w:val="24"/>
          <w:highlight w:val="none"/>
          <w:lang w:val="zh-CN"/>
        </w:rPr>
        <w:t>4.2 投标文件的递交</w:t>
      </w:r>
      <w:bookmarkEnd w:id="11"/>
      <w:bookmarkEnd w:id="12"/>
    </w:p>
    <w:p w14:paraId="69662471">
      <w:pPr>
        <w:keepNext w:val="0"/>
        <w:keepLines w:val="0"/>
        <w:pageBreakBefore w:val="0"/>
        <w:widowControl w:val="0"/>
        <w:kinsoku/>
        <w:wordWrap w:val="0"/>
        <w:overflowPunct/>
        <w:topLinePunct w:val="0"/>
        <w:autoSpaceDE/>
        <w:autoSpaceDN/>
        <w:bidi w:val="0"/>
        <w:adjustRightInd w:val="0"/>
        <w:spacing w:line="440" w:lineRule="exact"/>
        <w:ind w:firstLine="480" w:firstLineChars="200"/>
        <w:jc w:val="left"/>
        <w:textAlignment w:val="auto"/>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4.2.1 供应商应在供应商须知前附表规定的供应商上传提交投标文件的截止时间(开标时间）前递交投标文件。</w:t>
      </w:r>
    </w:p>
    <w:p w14:paraId="4185B7DD">
      <w:pPr>
        <w:keepNext w:val="0"/>
        <w:keepLines w:val="0"/>
        <w:pageBreakBefore w:val="0"/>
        <w:widowControl w:val="0"/>
        <w:kinsoku/>
        <w:wordWrap w:val="0"/>
        <w:overflowPunct/>
        <w:topLinePunct w:val="0"/>
        <w:autoSpaceDE/>
        <w:autoSpaceDN/>
        <w:bidi w:val="0"/>
        <w:adjustRightInd w:val="0"/>
        <w:spacing w:line="440" w:lineRule="exact"/>
        <w:ind w:firstLine="480"/>
        <w:jc w:val="left"/>
        <w:textAlignment w:val="auto"/>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4.2.2 供应商上传提交投标文件的平台：见供应商须知前附表。</w:t>
      </w:r>
    </w:p>
    <w:p w14:paraId="622A69ED">
      <w:pPr>
        <w:keepNext w:val="0"/>
        <w:keepLines w:val="0"/>
        <w:pageBreakBefore w:val="0"/>
        <w:widowControl w:val="0"/>
        <w:kinsoku/>
        <w:wordWrap w:val="0"/>
        <w:overflowPunct/>
        <w:topLinePunct w:val="0"/>
        <w:autoSpaceDE/>
        <w:autoSpaceDN/>
        <w:bidi w:val="0"/>
        <w:adjustRightInd w:val="0"/>
        <w:spacing w:line="440" w:lineRule="exact"/>
        <w:ind w:firstLine="480"/>
        <w:jc w:val="left"/>
        <w:textAlignment w:val="auto"/>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4.2.3 除供应商须知前附表另有规定外，供应商所递交的投标文件不予退还。</w:t>
      </w:r>
    </w:p>
    <w:p w14:paraId="05B87B49">
      <w:pPr>
        <w:keepNext w:val="0"/>
        <w:keepLines w:val="0"/>
        <w:pageBreakBefore w:val="0"/>
        <w:widowControl w:val="0"/>
        <w:kinsoku/>
        <w:wordWrap w:val="0"/>
        <w:overflowPunct/>
        <w:topLinePunct w:val="0"/>
        <w:autoSpaceDE/>
        <w:autoSpaceDN/>
        <w:bidi w:val="0"/>
        <w:adjustRightInd w:val="0"/>
        <w:spacing w:line="440" w:lineRule="exact"/>
        <w:ind w:firstLine="480"/>
        <w:jc w:val="left"/>
        <w:textAlignment w:val="auto"/>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4.2.</w:t>
      </w:r>
      <w:r>
        <w:rPr>
          <w:rFonts w:hint="eastAsia" w:ascii="宋体" w:hAnsi="宋体" w:eastAsia="宋体" w:cs="宋体"/>
          <w:bCs/>
          <w:color w:val="auto"/>
          <w:sz w:val="24"/>
          <w:highlight w:val="none"/>
        </w:rPr>
        <w:t>4</w:t>
      </w:r>
      <w:r>
        <w:rPr>
          <w:rFonts w:hint="eastAsia" w:ascii="宋体" w:hAnsi="宋体" w:eastAsia="宋体" w:cs="宋体"/>
          <w:bCs/>
          <w:color w:val="auto"/>
          <w:sz w:val="24"/>
          <w:highlight w:val="none"/>
          <w:lang w:val="zh-CN"/>
        </w:rPr>
        <w:t xml:space="preserve"> 首次招标投标截止时间结束后供应商不足三家的，将重新招标；重新招标仍出现本款前述情形的，可按本须知正文第11款的规定办理。</w:t>
      </w:r>
    </w:p>
    <w:p w14:paraId="159E3849">
      <w:pPr>
        <w:keepNext w:val="0"/>
        <w:keepLines w:val="0"/>
        <w:pageBreakBefore w:val="0"/>
        <w:widowControl w:val="0"/>
        <w:kinsoku/>
        <w:wordWrap w:val="0"/>
        <w:overflowPunct/>
        <w:topLinePunct w:val="0"/>
        <w:autoSpaceDE/>
        <w:autoSpaceDN/>
        <w:bidi w:val="0"/>
        <w:adjustRightInd w:val="0"/>
        <w:spacing w:line="440" w:lineRule="exact"/>
        <w:ind w:firstLine="480"/>
        <w:jc w:val="left"/>
        <w:textAlignment w:val="auto"/>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4.2.</w:t>
      </w:r>
      <w:r>
        <w:rPr>
          <w:rFonts w:hint="eastAsia" w:ascii="宋体" w:hAnsi="宋体" w:eastAsia="宋体" w:cs="宋体"/>
          <w:bCs/>
          <w:color w:val="auto"/>
          <w:sz w:val="24"/>
          <w:highlight w:val="none"/>
        </w:rPr>
        <w:t>5</w:t>
      </w:r>
      <w:r>
        <w:rPr>
          <w:rFonts w:hint="eastAsia" w:ascii="宋体" w:hAnsi="宋体" w:eastAsia="宋体" w:cs="宋体"/>
          <w:bCs/>
          <w:color w:val="auto"/>
          <w:sz w:val="24"/>
          <w:highlight w:val="none"/>
          <w:lang w:val="zh-CN"/>
        </w:rPr>
        <w:t xml:space="preserve"> 采购人在任何时候发现供应商提交的投标文件内容有下列情形之一时，将给予废标、解除合同及赔偿损失，同时有权依法追究供应商的责任：</w:t>
      </w:r>
    </w:p>
    <w:p w14:paraId="356983EB">
      <w:pPr>
        <w:keepNext w:val="0"/>
        <w:keepLines w:val="0"/>
        <w:pageBreakBefore w:val="0"/>
        <w:widowControl w:val="0"/>
        <w:kinsoku/>
        <w:wordWrap w:val="0"/>
        <w:overflowPunct/>
        <w:topLinePunct w:val="0"/>
        <w:autoSpaceDE/>
        <w:autoSpaceDN/>
        <w:bidi w:val="0"/>
        <w:adjustRightInd w:val="0"/>
        <w:spacing w:line="440" w:lineRule="exact"/>
        <w:ind w:firstLine="480"/>
        <w:jc w:val="left"/>
        <w:textAlignment w:val="auto"/>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（1）虚假的资料。</w:t>
      </w:r>
    </w:p>
    <w:p w14:paraId="10B26539">
      <w:pPr>
        <w:keepNext w:val="0"/>
        <w:keepLines w:val="0"/>
        <w:pageBreakBefore w:val="0"/>
        <w:widowControl w:val="0"/>
        <w:kinsoku/>
        <w:wordWrap w:val="0"/>
        <w:overflowPunct/>
        <w:topLinePunct w:val="0"/>
        <w:autoSpaceDE/>
        <w:autoSpaceDN/>
        <w:bidi w:val="0"/>
        <w:adjustRightInd w:val="0"/>
        <w:spacing w:line="440" w:lineRule="exact"/>
        <w:ind w:firstLine="480"/>
        <w:jc w:val="left"/>
        <w:textAlignment w:val="auto"/>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（2）在实质性方面失实。</w:t>
      </w:r>
    </w:p>
    <w:p w14:paraId="6BC5EC8E">
      <w:pPr>
        <w:keepNext w:val="0"/>
        <w:keepLines w:val="0"/>
        <w:pageBreakBefore w:val="0"/>
        <w:widowControl w:val="0"/>
        <w:kinsoku/>
        <w:wordWrap w:val="0"/>
        <w:overflowPunct/>
        <w:topLinePunct w:val="0"/>
        <w:autoSpaceDE/>
        <w:autoSpaceDN/>
        <w:bidi w:val="0"/>
        <w:adjustRightInd w:val="0"/>
        <w:spacing w:line="440" w:lineRule="exact"/>
        <w:jc w:val="left"/>
        <w:textAlignment w:val="auto"/>
        <w:rPr>
          <w:rFonts w:hint="eastAsia" w:ascii="宋体" w:hAnsi="宋体" w:eastAsia="宋体" w:cs="宋体"/>
          <w:b/>
          <w:color w:val="auto"/>
          <w:sz w:val="28"/>
          <w:szCs w:val="28"/>
          <w:highlight w:val="none"/>
          <w:lang w:val="zh-CN"/>
        </w:rPr>
      </w:pPr>
      <w:r>
        <w:rPr>
          <w:rFonts w:hint="eastAsia" w:ascii="宋体" w:hAnsi="宋体" w:eastAsia="宋体" w:cs="宋体"/>
          <w:b/>
          <w:color w:val="auto"/>
          <w:sz w:val="28"/>
          <w:szCs w:val="28"/>
          <w:highlight w:val="none"/>
          <w:lang w:val="zh-CN"/>
        </w:rPr>
        <w:t>5.开标</w:t>
      </w:r>
    </w:p>
    <w:p w14:paraId="201F3772">
      <w:pPr>
        <w:keepNext w:val="0"/>
        <w:keepLines w:val="0"/>
        <w:pageBreakBefore w:val="0"/>
        <w:widowControl w:val="0"/>
        <w:kinsoku/>
        <w:wordWrap w:val="0"/>
        <w:overflowPunct/>
        <w:topLinePunct w:val="0"/>
        <w:autoSpaceDE/>
        <w:autoSpaceDN/>
        <w:bidi w:val="0"/>
        <w:adjustRightInd w:val="0"/>
        <w:spacing w:line="440" w:lineRule="exact"/>
        <w:jc w:val="left"/>
        <w:textAlignment w:val="auto"/>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5.1</w:t>
      </w:r>
      <w:r>
        <w:rPr>
          <w:rFonts w:hint="eastAsia" w:ascii="宋体" w:hAnsi="宋体" w:eastAsia="宋体" w:cs="宋体"/>
          <w:b/>
          <w:bCs/>
          <w:color w:val="auto"/>
          <w:sz w:val="24"/>
          <w:szCs w:val="24"/>
          <w:highlight w:val="none"/>
        </w:rPr>
        <w:t>开标时间</w:t>
      </w:r>
      <w:r>
        <w:rPr>
          <w:rFonts w:hint="eastAsia" w:ascii="宋体" w:hAnsi="宋体" w:eastAsia="宋体" w:cs="宋体"/>
          <w:b/>
          <w:bCs/>
          <w:color w:val="auto"/>
          <w:sz w:val="24"/>
          <w:szCs w:val="24"/>
          <w:highlight w:val="none"/>
          <w:lang w:val="zh-CN"/>
        </w:rPr>
        <w:t>和地点</w:t>
      </w:r>
    </w:p>
    <w:p w14:paraId="3F5E3D7D">
      <w:pPr>
        <w:keepNext w:val="0"/>
        <w:keepLines w:val="0"/>
        <w:pageBreakBefore w:val="0"/>
        <w:widowControl w:val="0"/>
        <w:kinsoku/>
        <w:wordWrap w:val="0"/>
        <w:overflowPunct/>
        <w:topLinePunct w:val="0"/>
        <w:autoSpaceDE/>
        <w:autoSpaceDN/>
        <w:bidi w:val="0"/>
        <w:adjustRightInd w:val="0"/>
        <w:spacing w:line="440" w:lineRule="exact"/>
        <w:ind w:firstLine="480" w:firstLineChars="200"/>
        <w:jc w:val="left"/>
        <w:textAlignment w:val="auto"/>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采购人在本章第4.</w:t>
      </w:r>
      <w:r>
        <w:rPr>
          <w:rFonts w:hint="eastAsia" w:ascii="宋体" w:hAnsi="宋体" w:eastAsia="宋体" w:cs="宋体"/>
          <w:bCs/>
          <w:color w:val="auto"/>
          <w:sz w:val="24"/>
          <w:highlight w:val="none"/>
        </w:rPr>
        <w:t>2.1</w:t>
      </w:r>
      <w:r>
        <w:rPr>
          <w:rFonts w:hint="eastAsia" w:ascii="宋体" w:hAnsi="宋体" w:eastAsia="宋体" w:cs="宋体"/>
          <w:bCs/>
          <w:color w:val="auto"/>
          <w:sz w:val="24"/>
          <w:highlight w:val="none"/>
          <w:lang w:val="zh-CN"/>
        </w:rPr>
        <w:t>项规定的供应商上传提交投标文件的截止时间(开标时间）和供应商须知前附表规定的网址、地点公开开标。</w:t>
      </w:r>
    </w:p>
    <w:p w14:paraId="145C368D">
      <w:pPr>
        <w:keepNext w:val="0"/>
        <w:keepLines w:val="0"/>
        <w:pageBreakBefore w:val="0"/>
        <w:widowControl w:val="0"/>
        <w:kinsoku/>
        <w:wordWrap w:val="0"/>
        <w:overflowPunct/>
        <w:topLinePunct w:val="0"/>
        <w:autoSpaceDE/>
        <w:autoSpaceDN/>
        <w:bidi w:val="0"/>
        <w:adjustRightInd w:val="0"/>
        <w:spacing w:line="440" w:lineRule="exact"/>
        <w:jc w:val="left"/>
        <w:textAlignment w:val="auto"/>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5.2 开标程序</w:t>
      </w:r>
    </w:p>
    <w:p w14:paraId="2AB37661">
      <w:pPr>
        <w:keepNext w:val="0"/>
        <w:keepLines w:val="0"/>
        <w:pageBreakBefore w:val="0"/>
        <w:widowControl w:val="0"/>
        <w:tabs>
          <w:tab w:val="left" w:pos="760"/>
        </w:tabs>
        <w:kinsoku/>
        <w:wordWrap w:val="0"/>
        <w:overflowPunct/>
        <w:topLinePunct w:val="0"/>
        <w:autoSpaceDE/>
        <w:autoSpaceDN/>
        <w:bidi w:val="0"/>
        <w:spacing w:line="440" w:lineRule="exact"/>
        <w:ind w:firstLine="480" w:firstLineChars="200"/>
        <w:jc w:val="lef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开标由采购人或者采购代理机构主持</w:t>
      </w:r>
      <w:r>
        <w:rPr>
          <w:rFonts w:hint="eastAsia" w:ascii="宋体" w:hAnsi="宋体" w:eastAsia="宋体" w:cs="宋体"/>
          <w:bCs/>
          <w:color w:val="auto"/>
          <w:sz w:val="24"/>
          <w:szCs w:val="24"/>
          <w:highlight w:val="none"/>
          <w:lang w:val="zh-CN"/>
        </w:rPr>
        <w:t>。开标时未宣读的投标价格等实质性内容，评标时不予承认。</w:t>
      </w:r>
    </w:p>
    <w:p w14:paraId="5087A4B9">
      <w:pPr>
        <w:keepNext w:val="0"/>
        <w:keepLines w:val="0"/>
        <w:pageBreakBefore w:val="0"/>
        <w:widowControl w:val="0"/>
        <w:kinsoku/>
        <w:wordWrap w:val="0"/>
        <w:overflowPunct/>
        <w:topLinePunct w:val="0"/>
        <w:autoSpaceDE/>
        <w:autoSpaceDN/>
        <w:bidi w:val="0"/>
        <w:adjustRightInd w:val="0"/>
        <w:spacing w:line="440" w:lineRule="exact"/>
        <w:ind w:firstLine="480" w:firstLineChars="200"/>
        <w:jc w:val="left"/>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主持人按下列程序进行开标：</w:t>
      </w:r>
    </w:p>
    <w:p w14:paraId="6452EF18">
      <w:pPr>
        <w:keepNext w:val="0"/>
        <w:keepLines w:val="0"/>
        <w:pageBreakBefore w:val="0"/>
        <w:widowControl w:val="0"/>
        <w:kinsoku/>
        <w:wordWrap w:val="0"/>
        <w:overflowPunct/>
        <w:topLinePunct w:val="0"/>
        <w:autoSpaceDE/>
        <w:autoSpaceDN/>
        <w:bidi w:val="0"/>
        <w:adjustRightInd w:val="0"/>
        <w:spacing w:line="440" w:lineRule="exact"/>
        <w:ind w:firstLine="480" w:firstLineChars="200"/>
        <w:jc w:val="left"/>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（1）宣布开标纪律；</w:t>
      </w:r>
    </w:p>
    <w:p w14:paraId="196D516D">
      <w:pPr>
        <w:keepNext w:val="0"/>
        <w:keepLines w:val="0"/>
        <w:pageBreakBefore w:val="0"/>
        <w:widowControl w:val="0"/>
        <w:kinsoku/>
        <w:wordWrap w:val="0"/>
        <w:overflowPunct/>
        <w:topLinePunct w:val="0"/>
        <w:autoSpaceDE/>
        <w:autoSpaceDN/>
        <w:bidi w:val="0"/>
        <w:adjustRightInd w:val="0"/>
        <w:spacing w:line="440" w:lineRule="exact"/>
        <w:ind w:firstLine="480" w:firstLineChars="200"/>
        <w:jc w:val="left"/>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（2）查看并公布投标报名名单；</w:t>
      </w:r>
    </w:p>
    <w:p w14:paraId="1E1B4E09">
      <w:pPr>
        <w:keepNext w:val="0"/>
        <w:keepLines w:val="0"/>
        <w:pageBreakBefore w:val="0"/>
        <w:widowControl w:val="0"/>
        <w:kinsoku/>
        <w:wordWrap w:val="0"/>
        <w:overflowPunct/>
        <w:topLinePunct w:val="0"/>
        <w:autoSpaceDE/>
        <w:autoSpaceDN/>
        <w:bidi w:val="0"/>
        <w:adjustRightInd w:val="0"/>
        <w:spacing w:line="440" w:lineRule="exact"/>
        <w:ind w:firstLine="480" w:firstLineChars="200"/>
        <w:jc w:val="left"/>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（3）宣布开标人、唱标人、监标人等有关人员；</w:t>
      </w:r>
    </w:p>
    <w:p w14:paraId="097E82DE">
      <w:pPr>
        <w:keepNext w:val="0"/>
        <w:keepLines w:val="0"/>
        <w:pageBreakBefore w:val="0"/>
        <w:widowControl w:val="0"/>
        <w:kinsoku/>
        <w:wordWrap w:val="0"/>
        <w:overflowPunct/>
        <w:topLinePunct w:val="0"/>
        <w:autoSpaceDE/>
        <w:autoSpaceDN/>
        <w:bidi w:val="0"/>
        <w:adjustRightInd w:val="0"/>
        <w:spacing w:line="440" w:lineRule="exact"/>
        <w:ind w:firstLine="480" w:firstLineChars="200"/>
        <w:jc w:val="left"/>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4）采购人或者采购代理机构将按照供应商电子投标文件解密后的开标记录，当众宣读供应商名称、修改和撤回投标的通知、投标价格、交货时间、是否提交了投标保证金等内容；并在开标后由供应商代表、采购人或者监督人员签字确认。</w:t>
      </w:r>
    </w:p>
    <w:p w14:paraId="6C01A17B">
      <w:pPr>
        <w:keepNext w:val="0"/>
        <w:keepLines w:val="0"/>
        <w:pageBreakBefore w:val="0"/>
        <w:widowControl w:val="0"/>
        <w:kinsoku/>
        <w:wordWrap w:val="0"/>
        <w:overflowPunct/>
        <w:topLinePunct w:val="0"/>
        <w:autoSpaceDE/>
        <w:autoSpaceDN/>
        <w:bidi w:val="0"/>
        <w:adjustRightInd w:val="0"/>
        <w:spacing w:line="440" w:lineRule="exact"/>
        <w:ind w:firstLine="480" w:firstLineChars="200"/>
        <w:jc w:val="left"/>
        <w:textAlignment w:val="auto"/>
        <w:rPr>
          <w:rFonts w:hint="eastAsia" w:ascii="宋体" w:hAnsi="宋体" w:eastAsia="宋体" w:cs="宋体"/>
          <w:b/>
          <w:bCs/>
          <w:color w:val="auto"/>
          <w:sz w:val="24"/>
          <w:szCs w:val="24"/>
          <w:highlight w:val="none"/>
          <w:lang w:val="zh-CN"/>
        </w:rPr>
      </w:pPr>
      <w:r>
        <w:rPr>
          <w:rFonts w:hint="eastAsia" w:ascii="宋体" w:hAnsi="宋体" w:eastAsia="宋体" w:cs="宋体"/>
          <w:bCs/>
          <w:color w:val="auto"/>
          <w:sz w:val="24"/>
          <w:szCs w:val="24"/>
          <w:highlight w:val="none"/>
          <w:lang w:val="zh-CN"/>
        </w:rPr>
        <w:t>（5）开标结束。</w:t>
      </w:r>
    </w:p>
    <w:p w14:paraId="3CB1D587">
      <w:pPr>
        <w:keepNext w:val="0"/>
        <w:keepLines w:val="0"/>
        <w:pageBreakBefore w:val="0"/>
        <w:widowControl w:val="0"/>
        <w:kinsoku/>
        <w:wordWrap w:val="0"/>
        <w:overflowPunct/>
        <w:topLinePunct w:val="0"/>
        <w:autoSpaceDE/>
        <w:autoSpaceDN/>
        <w:bidi w:val="0"/>
        <w:adjustRightInd w:val="0"/>
        <w:spacing w:line="440" w:lineRule="exact"/>
        <w:jc w:val="left"/>
        <w:textAlignment w:val="auto"/>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5.3 开标质疑</w:t>
      </w:r>
    </w:p>
    <w:p w14:paraId="71F79595">
      <w:pPr>
        <w:keepNext w:val="0"/>
        <w:keepLines w:val="0"/>
        <w:pageBreakBefore w:val="0"/>
        <w:widowControl w:val="0"/>
        <w:kinsoku/>
        <w:wordWrap w:val="0"/>
        <w:overflowPunct/>
        <w:topLinePunct w:val="0"/>
        <w:autoSpaceDE/>
        <w:autoSpaceDN/>
        <w:bidi w:val="0"/>
        <w:spacing w:line="440" w:lineRule="exact"/>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供应商</w:t>
      </w:r>
      <w:r>
        <w:rPr>
          <w:rFonts w:hint="eastAsia" w:ascii="宋体" w:hAnsi="宋体" w:eastAsia="宋体" w:cs="宋体"/>
          <w:color w:val="auto"/>
          <w:kern w:val="0"/>
          <w:sz w:val="24"/>
          <w:szCs w:val="24"/>
          <w:highlight w:val="none"/>
        </w:rPr>
        <w:t>代表对开标过程和开标记录有异议，以及认为采购人、采购代理机构相关工作人员有需要回避的情形的，应当场提出询问或者回避申请。采购人、采购代理机构对</w:t>
      </w:r>
      <w:r>
        <w:rPr>
          <w:rFonts w:hint="eastAsia" w:ascii="宋体" w:hAnsi="宋体" w:eastAsia="宋体" w:cs="宋体"/>
          <w:color w:val="auto"/>
          <w:kern w:val="0"/>
          <w:sz w:val="24"/>
          <w:szCs w:val="24"/>
          <w:highlight w:val="none"/>
          <w:lang w:eastAsia="zh-CN"/>
        </w:rPr>
        <w:t>供应商</w:t>
      </w:r>
      <w:r>
        <w:rPr>
          <w:rFonts w:hint="eastAsia" w:ascii="宋体" w:hAnsi="宋体" w:eastAsia="宋体" w:cs="宋体"/>
          <w:color w:val="auto"/>
          <w:kern w:val="0"/>
          <w:sz w:val="24"/>
          <w:szCs w:val="24"/>
          <w:highlight w:val="none"/>
        </w:rPr>
        <w:t>代表提出的询问或者回避申请应当及时处理，如当场未提出，过后不予受理。</w:t>
      </w:r>
    </w:p>
    <w:p w14:paraId="4344FC31">
      <w:pPr>
        <w:keepNext w:val="0"/>
        <w:keepLines w:val="0"/>
        <w:pageBreakBefore w:val="0"/>
        <w:widowControl w:val="0"/>
        <w:kinsoku/>
        <w:wordWrap w:val="0"/>
        <w:overflowPunct/>
        <w:topLinePunct w:val="0"/>
        <w:autoSpaceDE/>
        <w:autoSpaceDN/>
        <w:bidi w:val="0"/>
        <w:adjustRightInd w:val="0"/>
        <w:spacing w:line="440" w:lineRule="exact"/>
        <w:jc w:val="left"/>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zh-CN"/>
        </w:rPr>
        <w:t>5.4、供应商</w:t>
      </w:r>
      <w:r>
        <w:rPr>
          <w:rFonts w:hint="eastAsia" w:ascii="宋体" w:hAnsi="宋体" w:eastAsia="宋体" w:cs="宋体"/>
          <w:b/>
          <w:bCs/>
          <w:color w:val="auto"/>
          <w:sz w:val="24"/>
          <w:szCs w:val="24"/>
          <w:highlight w:val="none"/>
        </w:rPr>
        <w:t>存在下列情况之一的，投标无效:</w:t>
      </w:r>
    </w:p>
    <w:p w14:paraId="3D4EB560">
      <w:pPr>
        <w:keepNext w:val="0"/>
        <w:keepLines w:val="0"/>
        <w:pageBreakBefore w:val="0"/>
        <w:widowControl w:val="0"/>
        <w:kinsoku/>
        <w:wordWrap w:val="0"/>
        <w:overflowPunct/>
        <w:topLinePunct w:val="0"/>
        <w:autoSpaceDE/>
        <w:autoSpaceDN/>
        <w:bidi w:val="0"/>
        <w:adjustRightInd w:val="0"/>
        <w:spacing w:line="440" w:lineRule="exact"/>
        <w:ind w:firstLine="48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（1）投标文件在规定的投标截止时间以后未上传的；</w:t>
      </w:r>
    </w:p>
    <w:p w14:paraId="722DAE8A">
      <w:pPr>
        <w:keepNext w:val="0"/>
        <w:keepLines w:val="0"/>
        <w:pageBreakBefore w:val="0"/>
        <w:widowControl w:val="0"/>
        <w:kinsoku/>
        <w:wordWrap w:val="0"/>
        <w:overflowPunct/>
        <w:topLinePunct w:val="0"/>
        <w:autoSpaceDE/>
        <w:autoSpaceDN/>
        <w:bidi w:val="0"/>
        <w:adjustRightInd w:val="0"/>
        <w:spacing w:line="440" w:lineRule="exact"/>
        <w:ind w:firstLine="48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（2）未按招标文件的规定提交投标保证金的；</w:t>
      </w:r>
    </w:p>
    <w:p w14:paraId="41FF4FD8">
      <w:pPr>
        <w:keepNext w:val="0"/>
        <w:keepLines w:val="0"/>
        <w:pageBreakBefore w:val="0"/>
        <w:widowControl w:val="0"/>
        <w:kinsoku/>
        <w:wordWrap w:val="0"/>
        <w:overflowPunct/>
        <w:topLinePunct w:val="0"/>
        <w:autoSpaceDE/>
        <w:autoSpaceDN/>
        <w:bidi w:val="0"/>
        <w:adjustRightInd w:val="0"/>
        <w:spacing w:line="440" w:lineRule="exact"/>
        <w:ind w:firstLine="48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（3）上传的</w:t>
      </w:r>
      <w:r>
        <w:rPr>
          <w:rFonts w:hint="eastAsia" w:ascii="宋体" w:hAnsi="宋体" w:eastAsia="宋体" w:cs="宋体"/>
          <w:color w:val="auto"/>
          <w:sz w:val="24"/>
          <w:szCs w:val="24"/>
          <w:highlight w:val="none"/>
        </w:rPr>
        <w:t>投标文件未按招标文件要求签署、盖章</w:t>
      </w:r>
      <w:r>
        <w:rPr>
          <w:rFonts w:hint="eastAsia" w:ascii="宋体" w:hAnsi="宋体" w:eastAsia="宋体" w:cs="宋体"/>
          <w:color w:val="auto"/>
          <w:sz w:val="24"/>
          <w:szCs w:val="24"/>
          <w:highlight w:val="none"/>
          <w:lang w:val="zh-CN"/>
        </w:rPr>
        <w:t>的；</w:t>
      </w:r>
    </w:p>
    <w:p w14:paraId="26A9ABF7">
      <w:pPr>
        <w:pStyle w:val="6"/>
        <w:keepNext w:val="0"/>
        <w:keepLines w:val="0"/>
        <w:pageBreakBefore w:val="0"/>
        <w:widowControl w:val="0"/>
        <w:kinsoku/>
        <w:wordWrap w:val="0"/>
        <w:overflowPunct/>
        <w:topLinePunct w:val="0"/>
        <w:autoSpaceDE/>
        <w:autoSpaceDN/>
        <w:bidi w:val="0"/>
        <w:spacing w:line="440" w:lineRule="exact"/>
        <w:ind w:firstLine="482"/>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zh-CN"/>
        </w:rPr>
        <w:t>）上传的投标文件签署、盖章不一致的情形；</w:t>
      </w:r>
    </w:p>
    <w:p w14:paraId="3B65349E">
      <w:pPr>
        <w:keepNext w:val="0"/>
        <w:keepLines w:val="0"/>
        <w:pageBreakBefore w:val="0"/>
        <w:widowControl w:val="0"/>
        <w:kinsoku/>
        <w:wordWrap w:val="0"/>
        <w:overflowPunct/>
        <w:topLinePunct w:val="0"/>
        <w:autoSpaceDE/>
        <w:autoSpaceDN/>
        <w:bidi w:val="0"/>
        <w:adjustRightInd w:val="0"/>
        <w:spacing w:line="440" w:lineRule="exact"/>
        <w:ind w:firstLine="482"/>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5</w:t>
      </w:r>
      <w:r>
        <w:rPr>
          <w:rFonts w:hint="eastAsia" w:ascii="宋体" w:hAnsi="宋体" w:eastAsia="宋体" w:cs="宋体"/>
          <w:color w:val="auto"/>
          <w:sz w:val="24"/>
          <w:szCs w:val="24"/>
          <w:highlight w:val="none"/>
          <w:lang w:val="zh-CN"/>
        </w:rPr>
        <w:t>）供应商所提交的投标文件无效、缺失或者不符合招标文件的规定；</w:t>
      </w:r>
    </w:p>
    <w:p w14:paraId="6A138FE3">
      <w:pPr>
        <w:keepNext w:val="0"/>
        <w:keepLines w:val="0"/>
        <w:pageBreakBefore w:val="0"/>
        <w:widowControl w:val="0"/>
        <w:kinsoku/>
        <w:wordWrap w:val="0"/>
        <w:overflowPunct/>
        <w:topLinePunct w:val="0"/>
        <w:autoSpaceDE/>
        <w:autoSpaceDN/>
        <w:bidi w:val="0"/>
        <w:adjustRightInd w:val="0"/>
        <w:spacing w:line="440" w:lineRule="exact"/>
        <w:ind w:firstLine="482"/>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6</w:t>
      </w: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不具备招标文件中规定的资格要求的；</w:t>
      </w:r>
    </w:p>
    <w:p w14:paraId="03B1C8DA">
      <w:pPr>
        <w:keepNext w:val="0"/>
        <w:keepLines w:val="0"/>
        <w:pageBreakBefore w:val="0"/>
        <w:widowControl w:val="0"/>
        <w:kinsoku/>
        <w:wordWrap w:val="0"/>
        <w:overflowPunct/>
        <w:topLinePunct w:val="0"/>
        <w:autoSpaceDE/>
        <w:autoSpaceDN/>
        <w:bidi w:val="0"/>
        <w:adjustRightInd w:val="0"/>
        <w:spacing w:line="440" w:lineRule="exact"/>
        <w:ind w:firstLine="482"/>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7</w:t>
      </w:r>
      <w:r>
        <w:rPr>
          <w:rFonts w:hint="eastAsia" w:ascii="宋体" w:hAnsi="宋体" w:eastAsia="宋体" w:cs="宋体"/>
          <w:color w:val="auto"/>
          <w:sz w:val="24"/>
          <w:szCs w:val="24"/>
          <w:highlight w:val="none"/>
          <w:lang w:val="zh-CN"/>
        </w:rPr>
        <w:t>）未实质性响应招标文件要求的其他情形；</w:t>
      </w:r>
    </w:p>
    <w:p w14:paraId="2186BF7C">
      <w:pPr>
        <w:keepNext w:val="0"/>
        <w:keepLines w:val="0"/>
        <w:pageBreakBefore w:val="0"/>
        <w:widowControl w:val="0"/>
        <w:kinsoku/>
        <w:wordWrap w:val="0"/>
        <w:overflowPunct/>
        <w:topLinePunct w:val="0"/>
        <w:autoSpaceDE/>
        <w:autoSpaceDN/>
        <w:bidi w:val="0"/>
        <w:adjustRightInd w:val="0"/>
        <w:spacing w:line="440" w:lineRule="exact"/>
        <w:ind w:firstLine="482"/>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8</w:t>
      </w: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报价超过招标文件中规定的预算金额或者最高限价的；</w:t>
      </w:r>
    </w:p>
    <w:p w14:paraId="575E969D">
      <w:pPr>
        <w:keepNext w:val="0"/>
        <w:keepLines w:val="0"/>
        <w:pageBreakBefore w:val="0"/>
        <w:widowControl w:val="0"/>
        <w:kinsoku/>
        <w:wordWrap w:val="0"/>
        <w:overflowPunct/>
        <w:topLinePunct w:val="0"/>
        <w:autoSpaceDE/>
        <w:autoSpaceDN/>
        <w:bidi w:val="0"/>
        <w:adjustRightInd w:val="0"/>
        <w:spacing w:line="440" w:lineRule="exact"/>
        <w:ind w:firstLine="482"/>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（9）投标文件含有采购人不能接受的附加条件的；</w:t>
      </w:r>
    </w:p>
    <w:p w14:paraId="173DBB0A">
      <w:pPr>
        <w:keepNext w:val="0"/>
        <w:keepLines w:val="0"/>
        <w:pageBreakBefore w:val="0"/>
        <w:widowControl w:val="0"/>
        <w:kinsoku/>
        <w:wordWrap w:val="0"/>
        <w:overflowPunct/>
        <w:topLinePunct w:val="0"/>
        <w:autoSpaceDE/>
        <w:autoSpaceDN/>
        <w:bidi w:val="0"/>
        <w:adjustRightInd w:val="0"/>
        <w:spacing w:line="440" w:lineRule="exact"/>
        <w:ind w:firstLine="482"/>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（10）法律、法规和招标文件规定的其他无效情形。</w:t>
      </w:r>
    </w:p>
    <w:p w14:paraId="7E1EC129">
      <w:pPr>
        <w:keepNext w:val="0"/>
        <w:keepLines w:val="0"/>
        <w:pageBreakBefore w:val="0"/>
        <w:widowControl w:val="0"/>
        <w:kinsoku/>
        <w:wordWrap w:val="0"/>
        <w:overflowPunct/>
        <w:topLinePunct w:val="0"/>
        <w:autoSpaceDE/>
        <w:autoSpaceDN/>
        <w:bidi w:val="0"/>
        <w:adjustRightInd w:val="0"/>
        <w:spacing w:line="440" w:lineRule="exact"/>
        <w:ind w:firstLine="482"/>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存在以上任何一种情况，相关</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的投标无效，做废标处理。</w:t>
      </w:r>
    </w:p>
    <w:p w14:paraId="0BB4277B">
      <w:pPr>
        <w:keepNext w:val="0"/>
        <w:keepLines w:val="0"/>
        <w:pageBreakBefore w:val="0"/>
        <w:widowControl w:val="0"/>
        <w:kinsoku/>
        <w:wordWrap w:val="0"/>
        <w:overflowPunct/>
        <w:topLinePunct w:val="0"/>
        <w:autoSpaceDE/>
        <w:autoSpaceDN/>
        <w:bidi w:val="0"/>
        <w:adjustRightInd w:val="0"/>
        <w:spacing w:line="440" w:lineRule="exact"/>
        <w:textAlignment w:val="auto"/>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lang w:val="zh-CN"/>
        </w:rPr>
        <w:t>5.5、开标时有下列情形之一的，采购人有权宣布本项目废标：</w:t>
      </w:r>
    </w:p>
    <w:p w14:paraId="444D7EDC">
      <w:pPr>
        <w:keepNext w:val="0"/>
        <w:keepLines w:val="0"/>
        <w:pageBreakBefore w:val="0"/>
        <w:widowControl w:val="0"/>
        <w:kinsoku/>
        <w:wordWrap w:val="0"/>
        <w:overflowPunct/>
        <w:topLinePunct w:val="0"/>
        <w:autoSpaceDE/>
        <w:autoSpaceDN/>
        <w:bidi w:val="0"/>
        <w:adjustRightInd w:val="0"/>
        <w:spacing w:line="440" w:lineRule="exact"/>
        <w:ind w:firstLine="48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（1）交货时间符合招标文件要求的供应商不足三家的；</w:t>
      </w:r>
    </w:p>
    <w:p w14:paraId="7C157FA6">
      <w:pPr>
        <w:keepNext w:val="0"/>
        <w:keepLines w:val="0"/>
        <w:pageBreakBefore w:val="0"/>
        <w:widowControl w:val="0"/>
        <w:kinsoku/>
        <w:wordWrap w:val="0"/>
        <w:overflowPunct/>
        <w:topLinePunct w:val="0"/>
        <w:autoSpaceDE/>
        <w:autoSpaceDN/>
        <w:bidi w:val="0"/>
        <w:adjustRightInd w:val="0"/>
        <w:spacing w:line="440" w:lineRule="exact"/>
        <w:ind w:firstLine="48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（2）所有供应商的报价均超过采购项目预算，采购人不能支付的。</w:t>
      </w:r>
    </w:p>
    <w:p w14:paraId="4DE7FACE">
      <w:pPr>
        <w:keepNext w:val="0"/>
        <w:keepLines w:val="0"/>
        <w:pageBreakBefore w:val="0"/>
        <w:widowControl w:val="0"/>
        <w:kinsoku/>
        <w:wordWrap w:val="0"/>
        <w:overflowPunct/>
        <w:topLinePunct w:val="0"/>
        <w:autoSpaceDE/>
        <w:autoSpaceDN/>
        <w:bidi w:val="0"/>
        <w:adjustRightInd w:val="0"/>
        <w:spacing w:line="440" w:lineRule="exact"/>
        <w:ind w:firstLine="48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首次招标废标后将重新招标，重新招标仍出现本款情形的，可按本须知第11款的规定处理。</w:t>
      </w:r>
    </w:p>
    <w:p w14:paraId="74169302">
      <w:pPr>
        <w:keepNext w:val="0"/>
        <w:keepLines w:val="0"/>
        <w:pageBreakBefore w:val="0"/>
        <w:widowControl w:val="0"/>
        <w:kinsoku/>
        <w:wordWrap w:val="0"/>
        <w:overflowPunct/>
        <w:topLinePunct w:val="0"/>
        <w:autoSpaceDE/>
        <w:autoSpaceDN/>
        <w:bidi w:val="0"/>
        <w:adjustRightInd w:val="0"/>
        <w:spacing w:line="440" w:lineRule="exact"/>
        <w:jc w:val="left"/>
        <w:textAlignment w:val="auto"/>
        <w:rPr>
          <w:rFonts w:hint="eastAsia" w:ascii="宋体" w:hAnsi="宋体" w:eastAsia="宋体" w:cs="宋体"/>
          <w:b/>
          <w:color w:val="auto"/>
          <w:sz w:val="28"/>
          <w:szCs w:val="28"/>
          <w:highlight w:val="none"/>
          <w:lang w:val="zh-CN"/>
        </w:rPr>
      </w:pPr>
      <w:r>
        <w:rPr>
          <w:rFonts w:hint="eastAsia" w:ascii="宋体" w:hAnsi="宋体" w:eastAsia="宋体" w:cs="宋体"/>
          <w:b/>
          <w:color w:val="auto"/>
          <w:sz w:val="28"/>
          <w:szCs w:val="28"/>
          <w:highlight w:val="none"/>
          <w:lang w:val="zh-CN"/>
        </w:rPr>
        <w:t>6.评标</w:t>
      </w:r>
    </w:p>
    <w:p w14:paraId="063AABB6">
      <w:pPr>
        <w:keepNext w:val="0"/>
        <w:keepLines w:val="0"/>
        <w:pageBreakBefore w:val="0"/>
        <w:widowControl w:val="0"/>
        <w:kinsoku/>
        <w:wordWrap w:val="0"/>
        <w:overflowPunct/>
        <w:topLinePunct w:val="0"/>
        <w:autoSpaceDE/>
        <w:autoSpaceDN/>
        <w:bidi w:val="0"/>
        <w:adjustRightInd w:val="0"/>
        <w:spacing w:line="440" w:lineRule="exact"/>
        <w:jc w:val="left"/>
        <w:textAlignment w:val="auto"/>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6.1 评标委员会</w:t>
      </w:r>
    </w:p>
    <w:p w14:paraId="79F4FB51">
      <w:pPr>
        <w:keepNext w:val="0"/>
        <w:keepLines w:val="0"/>
        <w:pageBreakBefore w:val="0"/>
        <w:widowControl w:val="0"/>
        <w:tabs>
          <w:tab w:val="left" w:pos="760"/>
        </w:tabs>
        <w:kinsoku/>
        <w:wordWrap w:val="0"/>
        <w:overflowPunct/>
        <w:topLinePunct w:val="0"/>
        <w:autoSpaceDE/>
        <w:autoSpaceDN/>
        <w:bidi w:val="0"/>
        <w:spacing w:line="4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zh-CN"/>
        </w:rPr>
        <w:t>6.1.1 评标由采购人依法组建的评标委员会负责。评标委员会由采购人或其委托的采购代理机构熟悉相关业务的代表，以及有关技术、经济等方面的专家组成。评标委员会成员人数以及技术、经济等方面专家的确定方式见供应商须知前附表。</w:t>
      </w:r>
      <w:r>
        <w:rPr>
          <w:rFonts w:hint="eastAsia" w:ascii="宋体" w:hAnsi="宋体" w:eastAsia="宋体" w:cs="宋体"/>
          <w:color w:val="auto"/>
          <w:sz w:val="24"/>
          <w:szCs w:val="24"/>
          <w:highlight w:val="none"/>
          <w:lang w:val="zh-CN"/>
        </w:rPr>
        <w:t>需要设立评标委员会主任的，评标委员会主任由专家担任，由评标委员会成员选举产生，负责主持具体评标工作。评标委员会根据有关法律法规和招标文件规定的评标方法和标准，</w:t>
      </w:r>
      <w:r>
        <w:rPr>
          <w:rFonts w:hint="eastAsia" w:ascii="宋体" w:hAnsi="宋体" w:eastAsia="宋体" w:cs="宋体"/>
          <w:color w:val="auto"/>
          <w:sz w:val="24"/>
          <w:szCs w:val="24"/>
          <w:highlight w:val="none"/>
        </w:rPr>
        <w:t>对符合性审查合格的投标文件进行商务和技术评估，综合比较与评价</w:t>
      </w:r>
      <w:r>
        <w:rPr>
          <w:rFonts w:hint="eastAsia" w:ascii="宋体" w:hAnsi="宋体" w:eastAsia="宋体" w:cs="宋体"/>
          <w:color w:val="auto"/>
          <w:sz w:val="24"/>
          <w:szCs w:val="24"/>
          <w:highlight w:val="none"/>
          <w:lang w:val="zh-CN"/>
        </w:rPr>
        <w:t>，负责完成评标的全过程直至评定预中标供应商。</w:t>
      </w:r>
    </w:p>
    <w:p w14:paraId="614AB23B">
      <w:pPr>
        <w:keepNext w:val="0"/>
        <w:keepLines w:val="0"/>
        <w:pageBreakBefore w:val="0"/>
        <w:widowControl w:val="0"/>
        <w:tabs>
          <w:tab w:val="left" w:pos="760"/>
        </w:tabs>
        <w:kinsoku/>
        <w:wordWrap w:val="0"/>
        <w:overflowPunct/>
        <w:topLinePunct w:val="0"/>
        <w:autoSpaceDE/>
        <w:autoSpaceDN/>
        <w:bidi w:val="0"/>
        <w:spacing w:line="440" w:lineRule="exact"/>
        <w:ind w:firstLine="480" w:firstLineChars="200"/>
        <w:jc w:val="left"/>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6.1.2 评标委员会成员有下列情形之一的，应当回避：</w:t>
      </w:r>
    </w:p>
    <w:p w14:paraId="21C6FD8B">
      <w:pPr>
        <w:keepNext w:val="0"/>
        <w:keepLines w:val="0"/>
        <w:pageBreakBefore w:val="0"/>
        <w:widowControl w:val="0"/>
        <w:tabs>
          <w:tab w:val="left" w:pos="760"/>
        </w:tabs>
        <w:kinsoku/>
        <w:wordWrap w:val="0"/>
        <w:overflowPunct/>
        <w:topLinePunct w:val="0"/>
        <w:autoSpaceDE/>
        <w:autoSpaceDN/>
        <w:bidi w:val="0"/>
        <w:spacing w:line="440" w:lineRule="exact"/>
        <w:ind w:firstLine="360" w:firstLineChars="150"/>
        <w:jc w:val="left"/>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（1）供应商或供应商主要负责人的近亲属；</w:t>
      </w:r>
    </w:p>
    <w:p w14:paraId="1FB57A5C">
      <w:pPr>
        <w:keepNext w:val="0"/>
        <w:keepLines w:val="0"/>
        <w:pageBreakBefore w:val="0"/>
        <w:widowControl w:val="0"/>
        <w:tabs>
          <w:tab w:val="left" w:pos="760"/>
        </w:tabs>
        <w:kinsoku/>
        <w:wordWrap w:val="0"/>
        <w:overflowPunct/>
        <w:topLinePunct w:val="0"/>
        <w:autoSpaceDE/>
        <w:autoSpaceDN/>
        <w:bidi w:val="0"/>
        <w:spacing w:line="440" w:lineRule="exact"/>
        <w:ind w:firstLine="360" w:firstLineChars="150"/>
        <w:jc w:val="left"/>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（2）项目主管部门或者行政监督部门的人员；</w:t>
      </w:r>
    </w:p>
    <w:p w14:paraId="68B93DCD">
      <w:pPr>
        <w:keepNext w:val="0"/>
        <w:keepLines w:val="0"/>
        <w:pageBreakBefore w:val="0"/>
        <w:widowControl w:val="0"/>
        <w:tabs>
          <w:tab w:val="left" w:pos="760"/>
        </w:tabs>
        <w:kinsoku/>
        <w:wordWrap w:val="0"/>
        <w:overflowPunct/>
        <w:topLinePunct w:val="0"/>
        <w:autoSpaceDE/>
        <w:autoSpaceDN/>
        <w:bidi w:val="0"/>
        <w:spacing w:line="440" w:lineRule="exact"/>
        <w:ind w:firstLine="360" w:firstLineChars="150"/>
        <w:jc w:val="left"/>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（3）与供应商有经济利益关系，可能影响对投标公正评审的；</w:t>
      </w:r>
    </w:p>
    <w:p w14:paraId="5C7F8FD1">
      <w:pPr>
        <w:keepNext w:val="0"/>
        <w:keepLines w:val="0"/>
        <w:pageBreakBefore w:val="0"/>
        <w:widowControl w:val="0"/>
        <w:tabs>
          <w:tab w:val="left" w:pos="760"/>
        </w:tabs>
        <w:kinsoku/>
        <w:wordWrap w:val="0"/>
        <w:overflowPunct/>
        <w:topLinePunct w:val="0"/>
        <w:autoSpaceDE/>
        <w:autoSpaceDN/>
        <w:bidi w:val="0"/>
        <w:spacing w:line="440" w:lineRule="exact"/>
        <w:ind w:firstLine="360" w:firstLineChars="150"/>
        <w:jc w:val="left"/>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（4）曾因在招标、评标以及其他与招标投标有关活动中从事违法行为而受过行政处罚或刑事处罚的；</w:t>
      </w:r>
    </w:p>
    <w:p w14:paraId="45A6AA86">
      <w:pPr>
        <w:keepNext w:val="0"/>
        <w:keepLines w:val="0"/>
        <w:pageBreakBefore w:val="0"/>
        <w:widowControl w:val="0"/>
        <w:tabs>
          <w:tab w:val="left" w:pos="760"/>
        </w:tabs>
        <w:kinsoku/>
        <w:wordWrap w:val="0"/>
        <w:overflowPunct/>
        <w:topLinePunct w:val="0"/>
        <w:autoSpaceDE/>
        <w:autoSpaceDN/>
        <w:bidi w:val="0"/>
        <w:spacing w:line="440" w:lineRule="exact"/>
        <w:ind w:firstLine="360" w:firstLineChars="150"/>
        <w:jc w:val="left"/>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（5）与供应商有其他利害关系。</w:t>
      </w:r>
    </w:p>
    <w:p w14:paraId="32DDAA74">
      <w:pPr>
        <w:keepNext w:val="0"/>
        <w:keepLines w:val="0"/>
        <w:pageBreakBefore w:val="0"/>
        <w:widowControl w:val="0"/>
        <w:tabs>
          <w:tab w:val="left" w:pos="760"/>
        </w:tabs>
        <w:kinsoku/>
        <w:wordWrap w:val="0"/>
        <w:overflowPunct/>
        <w:topLinePunct w:val="0"/>
        <w:autoSpaceDE/>
        <w:autoSpaceDN/>
        <w:bidi w:val="0"/>
        <w:spacing w:line="440" w:lineRule="exact"/>
        <w:ind w:firstLine="480" w:firstLineChars="200"/>
        <w:jc w:val="lef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zh-CN"/>
        </w:rPr>
        <w:t>6.1.3 评标过程中，</w:t>
      </w:r>
      <w:r>
        <w:rPr>
          <w:rFonts w:hint="eastAsia" w:ascii="宋体" w:hAnsi="宋体" w:eastAsia="宋体" w:cs="宋体"/>
          <w:bCs/>
          <w:color w:val="auto"/>
          <w:sz w:val="24"/>
          <w:szCs w:val="24"/>
          <w:highlight w:val="none"/>
        </w:rPr>
        <w:t>因评标委员会成员缺席、回避或者健康等特殊原因导致评标委员会组成不符合本办法规定的，采购人或者采购代理机构应当依法补足后继续评标。被更换的评标委员会成员所作出的评标意见无效。</w:t>
      </w:r>
    </w:p>
    <w:p w14:paraId="46CE3C81">
      <w:pPr>
        <w:keepNext w:val="0"/>
        <w:keepLines w:val="0"/>
        <w:pageBreakBefore w:val="0"/>
        <w:widowControl w:val="0"/>
        <w:kinsoku/>
        <w:wordWrap w:val="0"/>
        <w:overflowPunct/>
        <w:topLinePunct w:val="0"/>
        <w:autoSpaceDE/>
        <w:autoSpaceDN/>
        <w:bidi w:val="0"/>
        <w:adjustRightInd w:val="0"/>
        <w:spacing w:line="440" w:lineRule="exact"/>
        <w:jc w:val="left"/>
        <w:textAlignment w:val="auto"/>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6.2 评标原则</w:t>
      </w:r>
    </w:p>
    <w:p w14:paraId="72994182">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评标活动遵循公平、公正、科学和择优的原则。</w:t>
      </w:r>
    </w:p>
    <w:p w14:paraId="5024815A">
      <w:pPr>
        <w:keepNext w:val="0"/>
        <w:keepLines w:val="0"/>
        <w:pageBreakBefore w:val="0"/>
        <w:widowControl w:val="0"/>
        <w:kinsoku/>
        <w:wordWrap w:val="0"/>
        <w:overflowPunct/>
        <w:topLinePunct w:val="0"/>
        <w:autoSpaceDE/>
        <w:autoSpaceDN/>
        <w:bidi w:val="0"/>
        <w:adjustRightInd w:val="0"/>
        <w:spacing w:line="440" w:lineRule="exact"/>
        <w:jc w:val="left"/>
        <w:textAlignment w:val="auto"/>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6.3 评标</w:t>
      </w:r>
    </w:p>
    <w:p w14:paraId="3DFBA4D7">
      <w:pPr>
        <w:keepNext w:val="0"/>
        <w:keepLines w:val="0"/>
        <w:pageBreakBefore w:val="0"/>
        <w:widowControl w:val="0"/>
        <w:tabs>
          <w:tab w:val="left" w:pos="760"/>
        </w:tabs>
        <w:kinsoku/>
        <w:wordWrap w:val="0"/>
        <w:overflowPunct/>
        <w:topLinePunct w:val="0"/>
        <w:autoSpaceDE/>
        <w:autoSpaceDN/>
        <w:bidi w:val="0"/>
        <w:spacing w:line="440" w:lineRule="exact"/>
        <w:ind w:firstLine="480" w:firstLineChars="200"/>
        <w:jc w:val="left"/>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6.3.1</w:t>
      </w:r>
      <w:r>
        <w:rPr>
          <w:rFonts w:hint="eastAsia" w:ascii="宋体" w:hAnsi="宋体" w:eastAsia="宋体" w:cs="宋体"/>
          <w:color w:val="auto"/>
          <w:sz w:val="24"/>
          <w:szCs w:val="24"/>
          <w:highlight w:val="none"/>
          <w:lang w:val="zh-CN"/>
        </w:rPr>
        <w:t xml:space="preserve"> </w:t>
      </w:r>
      <w:r>
        <w:rPr>
          <w:rFonts w:hint="eastAsia" w:ascii="宋体" w:hAnsi="宋体" w:eastAsia="宋体" w:cs="宋体"/>
          <w:bCs/>
          <w:color w:val="auto"/>
          <w:sz w:val="24"/>
          <w:szCs w:val="24"/>
          <w:highlight w:val="none"/>
          <w:lang w:val="zh-CN"/>
        </w:rPr>
        <w:t>按照本章及第三章“评标办法”规定的方法、评审因素、标准和程序对投标文件进行评审。本章及第三章“评标办法”没有规定的方法、评审因素和标准，不作为评标依据。</w:t>
      </w:r>
    </w:p>
    <w:p w14:paraId="03C8CD46">
      <w:pPr>
        <w:keepNext w:val="0"/>
        <w:keepLines w:val="0"/>
        <w:pageBreakBefore w:val="0"/>
        <w:widowControl w:val="0"/>
        <w:kinsoku/>
        <w:wordWrap w:val="0"/>
        <w:overflowPunct/>
        <w:topLinePunct w:val="0"/>
        <w:autoSpaceDE/>
        <w:autoSpaceDN/>
        <w:bidi w:val="0"/>
        <w:adjustRightInd w:val="0"/>
        <w:spacing w:line="440" w:lineRule="exact"/>
        <w:ind w:firstLine="480" w:firstLineChars="200"/>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6.3.2 评标完成后，评标委员会应当向采购人提交书面评标报告和中标候选人名单。评标委员会推荐中标候选人的人数见供应商须知前附表。</w:t>
      </w:r>
    </w:p>
    <w:p w14:paraId="419CB7FE">
      <w:pPr>
        <w:keepNext w:val="0"/>
        <w:keepLines w:val="0"/>
        <w:pageBreakBefore w:val="0"/>
        <w:widowControl w:val="0"/>
        <w:kinsoku/>
        <w:wordWrap w:val="0"/>
        <w:overflowPunct/>
        <w:topLinePunct w:val="0"/>
        <w:autoSpaceDE/>
        <w:autoSpaceDN/>
        <w:bidi w:val="0"/>
        <w:adjustRightInd w:val="0"/>
        <w:spacing w:line="440" w:lineRule="exact"/>
        <w:ind w:firstLine="482"/>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6.3.3 审查是否所有供应商的报价均超过最高投标限价：</w:t>
      </w:r>
    </w:p>
    <w:p w14:paraId="2C97EF53">
      <w:pPr>
        <w:keepNext w:val="0"/>
        <w:keepLines w:val="0"/>
        <w:pageBreakBefore w:val="0"/>
        <w:widowControl w:val="0"/>
        <w:kinsoku/>
        <w:wordWrap w:val="0"/>
        <w:overflowPunct/>
        <w:topLinePunct w:val="0"/>
        <w:autoSpaceDE/>
        <w:autoSpaceDN/>
        <w:bidi w:val="0"/>
        <w:adjustRightInd w:val="0"/>
        <w:spacing w:line="440" w:lineRule="exact"/>
        <w:ind w:firstLine="482"/>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根据《中华人民共和国政府采购法》的规定，所有供应商的报价均超过最高投标限价，采购人不能支付的，应予废标。</w:t>
      </w:r>
    </w:p>
    <w:p w14:paraId="5729D60F">
      <w:pPr>
        <w:keepNext w:val="0"/>
        <w:keepLines w:val="0"/>
        <w:pageBreakBefore w:val="0"/>
        <w:widowControl w:val="0"/>
        <w:kinsoku/>
        <w:wordWrap w:val="0"/>
        <w:overflowPunct/>
        <w:topLinePunct w:val="0"/>
        <w:autoSpaceDE/>
        <w:autoSpaceDN/>
        <w:bidi w:val="0"/>
        <w:adjustRightInd w:val="0"/>
        <w:spacing w:line="440" w:lineRule="exact"/>
        <w:ind w:firstLine="482"/>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6.3.4 审查供应商是否存在串通投标行为：</w:t>
      </w:r>
    </w:p>
    <w:p w14:paraId="20B1E4C6">
      <w:pPr>
        <w:keepNext w:val="0"/>
        <w:keepLines w:val="0"/>
        <w:pageBreakBefore w:val="0"/>
        <w:widowControl w:val="0"/>
        <w:kinsoku/>
        <w:wordWrap w:val="0"/>
        <w:overflowPunct/>
        <w:topLinePunct w:val="0"/>
        <w:autoSpaceDE/>
        <w:autoSpaceDN/>
        <w:bidi w:val="0"/>
        <w:adjustRightInd w:val="0"/>
        <w:spacing w:line="440" w:lineRule="exact"/>
        <w:ind w:firstLine="482"/>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评标委员会发现供应商有下列情形之一的，将认定属于串通投标行为，相关供应商的投标应作废标处理。评标结束后，招标机构将以书面形式报告本级财政部门：</w:t>
      </w:r>
    </w:p>
    <w:p w14:paraId="46A17AD7">
      <w:pPr>
        <w:keepNext w:val="0"/>
        <w:keepLines w:val="0"/>
        <w:pageBreakBefore w:val="0"/>
        <w:widowControl w:val="0"/>
        <w:kinsoku/>
        <w:wordWrap w:val="0"/>
        <w:overflowPunct/>
        <w:topLinePunct w:val="0"/>
        <w:autoSpaceDE/>
        <w:autoSpaceDN/>
        <w:bidi w:val="0"/>
        <w:adjustRightInd w:val="0"/>
        <w:spacing w:line="440" w:lineRule="exact"/>
        <w:ind w:firstLine="482"/>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（1）不同供应商的投标文件中错、漏之处相同的；</w:t>
      </w:r>
    </w:p>
    <w:p w14:paraId="6365F0DE">
      <w:pPr>
        <w:keepNext w:val="0"/>
        <w:keepLines w:val="0"/>
        <w:pageBreakBefore w:val="0"/>
        <w:widowControl w:val="0"/>
        <w:kinsoku/>
        <w:wordWrap w:val="0"/>
        <w:overflowPunct/>
        <w:topLinePunct w:val="0"/>
        <w:autoSpaceDE/>
        <w:autoSpaceDN/>
        <w:bidi w:val="0"/>
        <w:adjustRightInd w:val="0"/>
        <w:spacing w:line="440" w:lineRule="exact"/>
        <w:ind w:firstLine="482"/>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（2）不同供应商的投标文件相互混装的，或者相互加盖了对方公章的，或者相互出现了对方法定代表人或者委托代理人签名的，或者相互书写了对方名称的；</w:t>
      </w:r>
    </w:p>
    <w:p w14:paraId="0B5597AC">
      <w:pPr>
        <w:keepNext w:val="0"/>
        <w:keepLines w:val="0"/>
        <w:pageBreakBefore w:val="0"/>
        <w:widowControl w:val="0"/>
        <w:kinsoku/>
        <w:wordWrap w:val="0"/>
        <w:overflowPunct/>
        <w:topLinePunct w:val="0"/>
        <w:autoSpaceDE/>
        <w:autoSpaceDN/>
        <w:bidi w:val="0"/>
        <w:adjustRightInd w:val="0"/>
        <w:spacing w:line="440" w:lineRule="exact"/>
        <w:ind w:firstLine="482"/>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（3）一家供应商的投标文件中加盖了另一家供应商公章的；</w:t>
      </w:r>
    </w:p>
    <w:p w14:paraId="756392AF">
      <w:pPr>
        <w:keepNext w:val="0"/>
        <w:keepLines w:val="0"/>
        <w:pageBreakBefore w:val="0"/>
        <w:widowControl w:val="0"/>
        <w:kinsoku/>
        <w:wordWrap w:val="0"/>
        <w:overflowPunct/>
        <w:topLinePunct w:val="0"/>
        <w:autoSpaceDE/>
        <w:autoSpaceDN/>
        <w:bidi w:val="0"/>
        <w:adjustRightInd w:val="0"/>
        <w:spacing w:line="440" w:lineRule="exact"/>
        <w:ind w:firstLine="482"/>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（4）</w:t>
      </w:r>
      <w:r>
        <w:rPr>
          <w:rFonts w:hint="eastAsia" w:ascii="宋体" w:hAnsi="宋体" w:eastAsia="宋体" w:cs="宋体"/>
          <w:color w:val="auto"/>
          <w:sz w:val="24"/>
          <w:szCs w:val="24"/>
          <w:highlight w:val="none"/>
        </w:rPr>
        <w:t>不同</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的投标文件载明的项目管理成员或者联系人员为同一人</w:t>
      </w:r>
      <w:r>
        <w:rPr>
          <w:rFonts w:hint="eastAsia" w:ascii="宋体" w:hAnsi="宋体" w:eastAsia="宋体" w:cs="宋体"/>
          <w:color w:val="auto"/>
          <w:sz w:val="24"/>
          <w:szCs w:val="24"/>
          <w:highlight w:val="none"/>
          <w:lang w:val="zh-CN"/>
        </w:rPr>
        <w:t>；</w:t>
      </w:r>
    </w:p>
    <w:p w14:paraId="199E4D4A">
      <w:pPr>
        <w:keepNext w:val="0"/>
        <w:keepLines w:val="0"/>
        <w:pageBreakBefore w:val="0"/>
        <w:widowControl w:val="0"/>
        <w:kinsoku/>
        <w:wordWrap w:val="0"/>
        <w:overflowPunct/>
        <w:topLinePunct w:val="0"/>
        <w:autoSpaceDE/>
        <w:autoSpaceDN/>
        <w:bidi w:val="0"/>
        <w:adjustRightInd w:val="0"/>
        <w:spacing w:line="440" w:lineRule="exact"/>
        <w:ind w:firstLine="482"/>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（5）</w:t>
      </w:r>
      <w:r>
        <w:rPr>
          <w:rFonts w:hint="eastAsia" w:ascii="宋体" w:hAnsi="宋体" w:eastAsia="宋体" w:cs="宋体"/>
          <w:color w:val="auto"/>
          <w:sz w:val="24"/>
          <w:szCs w:val="24"/>
          <w:highlight w:val="none"/>
        </w:rPr>
        <w:t>不同</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的投标文件异常一致或者投标报价呈规律性差异</w:t>
      </w:r>
      <w:r>
        <w:rPr>
          <w:rFonts w:hint="eastAsia" w:ascii="宋体" w:hAnsi="宋体" w:eastAsia="宋体" w:cs="宋体"/>
          <w:color w:val="auto"/>
          <w:sz w:val="24"/>
          <w:szCs w:val="24"/>
          <w:highlight w:val="none"/>
          <w:lang w:val="zh-CN"/>
        </w:rPr>
        <w:t>；</w:t>
      </w:r>
    </w:p>
    <w:p w14:paraId="6503A4EF">
      <w:pPr>
        <w:keepNext w:val="0"/>
        <w:keepLines w:val="0"/>
        <w:pageBreakBefore w:val="0"/>
        <w:widowControl w:val="0"/>
        <w:kinsoku/>
        <w:wordWrap w:val="0"/>
        <w:overflowPunct/>
        <w:topLinePunct w:val="0"/>
        <w:autoSpaceDE/>
        <w:autoSpaceDN/>
        <w:bidi w:val="0"/>
        <w:adjustRightInd w:val="0"/>
        <w:spacing w:line="440" w:lineRule="exact"/>
        <w:ind w:firstLine="482"/>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（6）不同供应商的投标文件中相关内容的段落、字句、售后服务电话、联系人姓名等非正常一致的；</w:t>
      </w:r>
    </w:p>
    <w:p w14:paraId="3A6BEC0E">
      <w:pPr>
        <w:keepNext w:val="0"/>
        <w:keepLines w:val="0"/>
        <w:pageBreakBefore w:val="0"/>
        <w:widowControl w:val="0"/>
        <w:kinsoku/>
        <w:wordWrap w:val="0"/>
        <w:overflowPunct/>
        <w:topLinePunct w:val="0"/>
        <w:autoSpaceDE/>
        <w:autoSpaceDN/>
        <w:bidi w:val="0"/>
        <w:adjustRightInd w:val="0"/>
        <w:spacing w:line="440" w:lineRule="exact"/>
        <w:ind w:firstLine="482"/>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（7）一家供应商的投标文件中装订了标有另一家供应商名称的文件材料，或者出现了另一家法定代表人或者授予代理人签名的，其投标作废标处理；</w:t>
      </w:r>
    </w:p>
    <w:p w14:paraId="2CAED031">
      <w:pPr>
        <w:keepNext w:val="0"/>
        <w:keepLines w:val="0"/>
        <w:pageBreakBefore w:val="0"/>
        <w:widowControl w:val="0"/>
        <w:kinsoku/>
        <w:wordWrap w:val="0"/>
        <w:overflowPunct/>
        <w:topLinePunct w:val="0"/>
        <w:autoSpaceDE/>
        <w:autoSpaceDN/>
        <w:bidi w:val="0"/>
        <w:adjustRightInd w:val="0"/>
        <w:spacing w:line="440" w:lineRule="exact"/>
        <w:ind w:firstLine="482"/>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（8）不同供应商的投标文件由同一单位或者个人编制；</w:t>
      </w:r>
    </w:p>
    <w:p w14:paraId="2CA479FC">
      <w:pPr>
        <w:keepNext w:val="0"/>
        <w:keepLines w:val="0"/>
        <w:pageBreakBefore w:val="0"/>
        <w:widowControl w:val="0"/>
        <w:kinsoku/>
        <w:wordWrap w:val="0"/>
        <w:overflowPunct/>
        <w:topLinePunct w:val="0"/>
        <w:autoSpaceDE/>
        <w:autoSpaceDN/>
        <w:bidi w:val="0"/>
        <w:adjustRightInd w:val="0"/>
        <w:spacing w:line="440" w:lineRule="exact"/>
        <w:ind w:firstLine="482"/>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（9）不同供应商委托同一单位或者个人办理投标事宜；</w:t>
      </w:r>
    </w:p>
    <w:p w14:paraId="17CF86EB">
      <w:pPr>
        <w:keepNext w:val="0"/>
        <w:keepLines w:val="0"/>
        <w:pageBreakBefore w:val="0"/>
        <w:widowControl w:val="0"/>
        <w:kinsoku/>
        <w:wordWrap w:val="0"/>
        <w:overflowPunct/>
        <w:topLinePunct w:val="0"/>
        <w:autoSpaceDE/>
        <w:autoSpaceDN/>
        <w:bidi w:val="0"/>
        <w:adjustRightInd w:val="0"/>
        <w:spacing w:line="440" w:lineRule="exact"/>
        <w:ind w:firstLine="482"/>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（10）不同供应商的投标文件由同一台电脑编制。</w:t>
      </w:r>
    </w:p>
    <w:p w14:paraId="2DC7DF78">
      <w:pPr>
        <w:keepNext w:val="0"/>
        <w:keepLines w:val="0"/>
        <w:pageBreakBefore w:val="0"/>
        <w:widowControl w:val="0"/>
        <w:kinsoku/>
        <w:wordWrap w:val="0"/>
        <w:overflowPunct/>
        <w:topLinePunct w:val="0"/>
        <w:autoSpaceDE/>
        <w:autoSpaceDN/>
        <w:bidi w:val="0"/>
        <w:adjustRightInd w:val="0"/>
        <w:spacing w:line="440" w:lineRule="exact"/>
        <w:ind w:firstLine="482"/>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（11）电子招投标时不同供应商的电子投标文件机器制作码或创建标识码一致的；</w:t>
      </w:r>
    </w:p>
    <w:p w14:paraId="027DD552">
      <w:pPr>
        <w:keepNext w:val="0"/>
        <w:keepLines w:val="0"/>
        <w:pageBreakBefore w:val="0"/>
        <w:widowControl w:val="0"/>
        <w:kinsoku/>
        <w:wordWrap w:val="0"/>
        <w:overflowPunct/>
        <w:topLinePunct w:val="0"/>
        <w:autoSpaceDE/>
        <w:autoSpaceDN/>
        <w:bidi w:val="0"/>
        <w:adjustRightInd w:val="0"/>
        <w:spacing w:line="440" w:lineRule="exact"/>
        <w:ind w:firstLine="482"/>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（1</w:t>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zh-CN"/>
        </w:rPr>
        <w:t>）不同供应商的投标保证金从同一单位或者个</w:t>
      </w:r>
      <w:r>
        <w:rPr>
          <w:rFonts w:hint="eastAsia" w:ascii="宋体" w:hAnsi="宋体" w:eastAsia="宋体" w:cs="宋体"/>
          <w:color w:val="auto"/>
          <w:sz w:val="24"/>
          <w:szCs w:val="24"/>
          <w:highlight w:val="none"/>
        </w:rPr>
        <w:t>人账户转出。</w:t>
      </w:r>
    </w:p>
    <w:p w14:paraId="6CEBE670">
      <w:pPr>
        <w:keepNext w:val="0"/>
        <w:keepLines w:val="0"/>
        <w:pageBreakBefore w:val="0"/>
        <w:widowControl w:val="0"/>
        <w:kinsoku/>
        <w:wordWrap w:val="0"/>
        <w:overflowPunct/>
        <w:topLinePunct w:val="0"/>
        <w:autoSpaceDE/>
        <w:autoSpaceDN/>
        <w:bidi w:val="0"/>
        <w:adjustRightInd w:val="0"/>
        <w:spacing w:line="440" w:lineRule="exact"/>
        <w:ind w:firstLine="482"/>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w:t>
      </w: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zh-CN"/>
        </w:rPr>
        <w:t>）《关于禁止串通招标投标行为的暂行规定》（国家工商行政管理局令第82号）第三条规定的串通投标行为；</w:t>
      </w:r>
    </w:p>
    <w:p w14:paraId="58BFAE86">
      <w:pPr>
        <w:keepNext w:val="0"/>
        <w:keepLines w:val="0"/>
        <w:pageBreakBefore w:val="0"/>
        <w:widowControl w:val="0"/>
        <w:kinsoku/>
        <w:wordWrap w:val="0"/>
        <w:overflowPunct/>
        <w:topLinePunct w:val="0"/>
        <w:autoSpaceDE/>
        <w:autoSpaceDN/>
        <w:bidi w:val="0"/>
        <w:adjustRightInd w:val="0"/>
        <w:spacing w:line="440" w:lineRule="exact"/>
        <w:ind w:firstLine="480" w:firstLineChars="20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w:t>
      </w: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zh-CN"/>
        </w:rPr>
        <w:t>）供应商串通投标的其他情形。</w:t>
      </w:r>
    </w:p>
    <w:p w14:paraId="743835CE">
      <w:pPr>
        <w:keepNext w:val="0"/>
        <w:keepLines w:val="0"/>
        <w:pageBreakBefore w:val="0"/>
        <w:widowControl w:val="0"/>
        <w:kinsoku/>
        <w:wordWrap w:val="0"/>
        <w:overflowPunct/>
        <w:topLinePunct w:val="0"/>
        <w:autoSpaceDE/>
        <w:autoSpaceDN/>
        <w:bidi w:val="0"/>
        <w:adjustRightInd w:val="0"/>
        <w:spacing w:line="440" w:lineRule="exact"/>
        <w:ind w:firstLine="482"/>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6.3.5 对投标文件商务部分（资格性）进行审查：</w:t>
      </w:r>
    </w:p>
    <w:p w14:paraId="5EC08D2D">
      <w:pPr>
        <w:keepNext w:val="0"/>
        <w:keepLines w:val="0"/>
        <w:pageBreakBefore w:val="0"/>
        <w:widowControl w:val="0"/>
        <w:kinsoku/>
        <w:wordWrap w:val="0"/>
        <w:overflowPunct/>
        <w:topLinePunct w:val="0"/>
        <w:autoSpaceDE/>
        <w:autoSpaceDN/>
        <w:bidi w:val="0"/>
        <w:adjustRightInd w:val="0"/>
        <w:spacing w:line="440" w:lineRule="exact"/>
        <w:ind w:firstLine="482"/>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评标委员会将审查每个供应商提交的商务文件是否齐全完整，是否合法有效，是否有重大偏离和保留，是否符合招标文件的全部要求。商务（供应商资格）审查不符合招标文件要求的投标文件将被拒绝。</w:t>
      </w:r>
    </w:p>
    <w:p w14:paraId="6BCAD0B2">
      <w:pPr>
        <w:keepNext w:val="0"/>
        <w:keepLines w:val="0"/>
        <w:pageBreakBefore w:val="0"/>
        <w:widowControl w:val="0"/>
        <w:kinsoku/>
        <w:wordWrap w:val="0"/>
        <w:overflowPunct/>
        <w:topLinePunct w:val="0"/>
        <w:autoSpaceDE/>
        <w:autoSpaceDN/>
        <w:bidi w:val="0"/>
        <w:adjustRightInd w:val="0"/>
        <w:spacing w:line="440" w:lineRule="exact"/>
        <w:ind w:firstLine="482"/>
        <w:textAlignment w:val="auto"/>
        <w:rPr>
          <w:rFonts w:hint="eastAsia" w:ascii="宋体" w:hAnsi="宋体" w:eastAsia="宋体" w:cs="宋体"/>
          <w:color w:val="auto"/>
          <w:sz w:val="24"/>
          <w:szCs w:val="24"/>
          <w:highlight w:val="none"/>
          <w:lang w:val="zh-CN"/>
        </w:rPr>
      </w:pPr>
      <w:r>
        <w:rPr>
          <w:rFonts w:hint="eastAsia" w:ascii="宋体" w:hAnsi="宋体" w:eastAsia="宋体" w:cs="宋体"/>
          <w:bCs/>
          <w:color w:val="auto"/>
          <w:sz w:val="24"/>
          <w:szCs w:val="24"/>
          <w:highlight w:val="none"/>
          <w:lang w:val="zh-CN"/>
        </w:rPr>
        <w:t>6.3.6  对投标文件技术部分（符合性）进行审查：</w:t>
      </w:r>
    </w:p>
    <w:p w14:paraId="57D28131">
      <w:pPr>
        <w:keepNext w:val="0"/>
        <w:keepLines w:val="0"/>
        <w:pageBreakBefore w:val="0"/>
        <w:widowControl w:val="0"/>
        <w:kinsoku/>
        <w:wordWrap w:val="0"/>
        <w:overflowPunct/>
        <w:topLinePunct w:val="0"/>
        <w:autoSpaceDE/>
        <w:autoSpaceDN/>
        <w:bidi w:val="0"/>
        <w:adjustRightInd w:val="0"/>
        <w:spacing w:line="440" w:lineRule="exact"/>
        <w:ind w:firstLine="48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6.3.6.1 对于商务审查合格的供应商，评标委员会将审查其投标文件技术部分是否对招标文件规定的事项、格式及内容、条款、技术规格及要求等都做出了实质性响应。</w:t>
      </w:r>
    </w:p>
    <w:p w14:paraId="0FB2473B">
      <w:pPr>
        <w:keepNext w:val="0"/>
        <w:keepLines w:val="0"/>
        <w:pageBreakBefore w:val="0"/>
        <w:widowControl w:val="0"/>
        <w:kinsoku/>
        <w:wordWrap w:val="0"/>
        <w:overflowPunct/>
        <w:topLinePunct w:val="0"/>
        <w:autoSpaceDE/>
        <w:autoSpaceDN/>
        <w:bidi w:val="0"/>
        <w:adjustRightInd w:val="0"/>
        <w:spacing w:line="440" w:lineRule="exact"/>
        <w:ind w:firstLine="48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6.3.6.2 实质性响应的投标是指与招标文件规定的事项、格式及内容、条款、技术规格及要求等如实进行响应，没有重大偏离和保留。没有实质性响应招标文件要求的投标将被拒绝。</w:t>
      </w:r>
    </w:p>
    <w:p w14:paraId="1BCEBA78">
      <w:pPr>
        <w:keepNext w:val="0"/>
        <w:keepLines w:val="0"/>
        <w:pageBreakBefore w:val="0"/>
        <w:widowControl w:val="0"/>
        <w:kinsoku/>
        <w:wordWrap w:val="0"/>
        <w:overflowPunct/>
        <w:topLinePunct w:val="0"/>
        <w:autoSpaceDE/>
        <w:autoSpaceDN/>
        <w:bidi w:val="0"/>
        <w:adjustRightInd w:val="0"/>
        <w:spacing w:line="440" w:lineRule="exact"/>
        <w:ind w:firstLine="48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6.3.7 重大偏离和保留是指实质上影响合同的供货范围、质量和性能，或者实质上限制了合同中采购人的权利或供应商的义务。投标文件有下列情形之一的属于重大偏离和保留，将作废标处理：</w:t>
      </w:r>
    </w:p>
    <w:p w14:paraId="64664FFF">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（1）供应商未按招标文件规定提交所要求提交的全部文件或者提交的文件无效、缺失、漏项或者不符合招标文件的规定；</w:t>
      </w:r>
    </w:p>
    <w:p w14:paraId="7A59DEBD">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（2）投标文件未按招标文件的规定密封、签署或盖章；</w:t>
      </w:r>
    </w:p>
    <w:p w14:paraId="23025548">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（3）投标文件载明的项目完成期限超过招标文件规定的期限；</w:t>
      </w:r>
    </w:p>
    <w:p w14:paraId="5B6C4F6E">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（4）投标文件技术部分存在明显雷同响应、响应内容与证明资料不一致、提供虚假证明资料或虚假描述的；</w:t>
      </w:r>
    </w:p>
    <w:p w14:paraId="6DA4F157">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（5）投标文件技术规格、标准和技术参数与文件中证明材料不符合及不响应的；</w:t>
      </w:r>
    </w:p>
    <w:p w14:paraId="5E14FCAF">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（6）投标文件载明的货物包装方式、检验方法和标准等不符合招标文件要求；</w:t>
      </w:r>
    </w:p>
    <w:p w14:paraId="09F60733">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（7）投标文件附有采购人不能接受的条件；</w:t>
      </w:r>
    </w:p>
    <w:p w14:paraId="48D164B0">
      <w:pPr>
        <w:keepNext w:val="0"/>
        <w:keepLines w:val="0"/>
        <w:pageBreakBefore w:val="0"/>
        <w:widowControl w:val="0"/>
        <w:kinsoku/>
        <w:wordWrap w:val="0"/>
        <w:overflowPunct/>
        <w:topLinePunct w:val="0"/>
        <w:autoSpaceDE/>
        <w:autoSpaceDN/>
        <w:bidi w:val="0"/>
        <w:adjustRightInd w:val="0"/>
        <w:spacing w:line="440" w:lineRule="exact"/>
        <w:ind w:firstLine="480" w:firstLineChars="20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（8）不符合招标文件规定的其他实质性要求。</w:t>
      </w:r>
    </w:p>
    <w:p w14:paraId="1AD64016">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6.3.8 评标委员会将允许修正投标文件中不构成重大偏离的细微偏离，但这些修正应不会对实质上响应招标文件要求的供应商的竞争地位（相互排序）产生不公正的影响。</w:t>
      </w:r>
    </w:p>
    <w:p w14:paraId="4FA64B11">
      <w:pPr>
        <w:keepNext w:val="0"/>
        <w:keepLines w:val="0"/>
        <w:pageBreakBefore w:val="0"/>
        <w:widowControl w:val="0"/>
        <w:kinsoku/>
        <w:wordWrap w:val="0"/>
        <w:overflowPunct/>
        <w:topLinePunct w:val="0"/>
        <w:autoSpaceDE/>
        <w:autoSpaceDN/>
        <w:bidi w:val="0"/>
        <w:adjustRightInd w:val="0"/>
        <w:spacing w:line="440" w:lineRule="exact"/>
        <w:ind w:firstLine="480" w:firstLineChars="20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6.3.9 评标委员会对投标文件的判定，只依据投标文件内容本身，不依据任何外来证明。</w:t>
      </w:r>
    </w:p>
    <w:p w14:paraId="2779A25F">
      <w:pPr>
        <w:keepNext w:val="0"/>
        <w:keepLines w:val="0"/>
        <w:pageBreakBefore w:val="0"/>
        <w:widowControl w:val="0"/>
        <w:kinsoku/>
        <w:wordWrap w:val="0"/>
        <w:overflowPunct/>
        <w:topLinePunct w:val="0"/>
        <w:autoSpaceDE/>
        <w:autoSpaceDN/>
        <w:bidi w:val="0"/>
        <w:adjustRightInd w:val="0"/>
        <w:spacing w:line="440" w:lineRule="exact"/>
        <w:ind w:firstLine="48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6.3.10 投标报价的审查：评标委员会将对商务审查、技术审查合格的投标文件的报价进行审核，看其是否有计算和累加上的错误或前后不一致的，按下列规定修正：</w:t>
      </w:r>
    </w:p>
    <w:p w14:paraId="39B4D405">
      <w:pPr>
        <w:keepNext w:val="0"/>
        <w:keepLines w:val="0"/>
        <w:pageBreakBefore w:val="0"/>
        <w:widowControl w:val="0"/>
        <w:kinsoku/>
        <w:wordWrap w:val="0"/>
        <w:overflowPunct/>
        <w:topLinePunct w:val="0"/>
        <w:autoSpaceDE/>
        <w:autoSpaceDN/>
        <w:bidi w:val="0"/>
        <w:adjustRightInd w:val="0"/>
        <w:spacing w:line="44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（1）</w:t>
      </w:r>
      <w:r>
        <w:rPr>
          <w:rFonts w:hint="eastAsia" w:ascii="宋体" w:hAnsi="宋体" w:eastAsia="宋体" w:cs="宋体"/>
          <w:color w:val="auto"/>
          <w:sz w:val="24"/>
          <w:szCs w:val="24"/>
          <w:highlight w:val="none"/>
        </w:rPr>
        <w:t>投标文件中开标一览表（报价表）内容与投标文件中相应内容不一致的，以开标一览表（报价表）为准；</w:t>
      </w:r>
    </w:p>
    <w:p w14:paraId="51A1A382">
      <w:pPr>
        <w:keepNext w:val="0"/>
        <w:keepLines w:val="0"/>
        <w:pageBreakBefore w:val="0"/>
        <w:widowControl w:val="0"/>
        <w:kinsoku/>
        <w:wordWrap w:val="0"/>
        <w:overflowPunct/>
        <w:topLinePunct w:val="0"/>
        <w:autoSpaceDE/>
        <w:autoSpaceDN/>
        <w:bidi w:val="0"/>
        <w:adjustRightInd w:val="0"/>
        <w:spacing w:line="44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（2）大写金额和小写金额不一致的，以大写金额为准；</w:t>
      </w:r>
    </w:p>
    <w:p w14:paraId="55951D1A">
      <w:pPr>
        <w:keepNext w:val="0"/>
        <w:keepLines w:val="0"/>
        <w:pageBreakBefore w:val="0"/>
        <w:widowControl w:val="0"/>
        <w:kinsoku/>
        <w:wordWrap w:val="0"/>
        <w:overflowPunct/>
        <w:topLinePunct w:val="0"/>
        <w:autoSpaceDE/>
        <w:autoSpaceDN/>
        <w:bidi w:val="0"/>
        <w:adjustRightInd w:val="0"/>
        <w:spacing w:line="44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（3）总价金额与按单价汇总金额不一致的，以单价金额计算结果为准。</w:t>
      </w:r>
    </w:p>
    <w:p w14:paraId="4C70318C">
      <w:pPr>
        <w:keepNext w:val="0"/>
        <w:keepLines w:val="0"/>
        <w:pageBreakBefore w:val="0"/>
        <w:widowControl w:val="0"/>
        <w:kinsoku/>
        <w:wordWrap w:val="0"/>
        <w:overflowPunct/>
        <w:topLinePunct w:val="0"/>
        <w:autoSpaceDE/>
        <w:autoSpaceDN/>
        <w:bidi w:val="0"/>
        <w:adjustRightInd w:val="0"/>
        <w:spacing w:line="440" w:lineRule="exact"/>
        <w:ind w:firstLine="48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6.3.11</w:t>
      </w:r>
      <w:r>
        <w:rPr>
          <w:rFonts w:hint="eastAsia" w:ascii="宋体" w:hAnsi="宋体" w:eastAsia="宋体" w:cs="宋体"/>
          <w:b/>
          <w:color w:val="auto"/>
          <w:sz w:val="24"/>
          <w:szCs w:val="24"/>
          <w:highlight w:val="none"/>
          <w:lang w:val="zh-CN"/>
        </w:rPr>
        <w:t xml:space="preserve"> </w:t>
      </w:r>
      <w:r>
        <w:rPr>
          <w:rFonts w:hint="eastAsia" w:ascii="宋体" w:hAnsi="宋体" w:eastAsia="宋体" w:cs="宋体"/>
          <w:color w:val="auto"/>
          <w:sz w:val="24"/>
          <w:szCs w:val="24"/>
          <w:highlight w:val="none"/>
          <w:lang w:val="zh-CN"/>
        </w:rPr>
        <w:t>公开开标后，直至向中标的供应商授予合同时止，除按招标文件规定予以公开的评标结果外，凡与审查、澄清、评价和比较投标有关的资料以及授标意见等，均不得向供应商及与评标无关的其他人透露。</w:t>
      </w:r>
    </w:p>
    <w:p w14:paraId="4333CF9F">
      <w:pPr>
        <w:keepNext w:val="0"/>
        <w:keepLines w:val="0"/>
        <w:pageBreakBefore w:val="0"/>
        <w:widowControl w:val="0"/>
        <w:kinsoku/>
        <w:wordWrap w:val="0"/>
        <w:overflowPunct/>
        <w:topLinePunct w:val="0"/>
        <w:autoSpaceDE/>
        <w:autoSpaceDN/>
        <w:bidi w:val="0"/>
        <w:adjustRightInd w:val="0"/>
        <w:spacing w:line="440" w:lineRule="exact"/>
        <w:ind w:firstLine="482"/>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 xml:space="preserve">6.3.12 </w:t>
      </w:r>
      <w:r>
        <w:rPr>
          <w:rFonts w:hint="eastAsia" w:ascii="宋体" w:hAnsi="宋体" w:eastAsia="宋体" w:cs="宋体"/>
          <w:color w:val="auto"/>
          <w:sz w:val="24"/>
          <w:szCs w:val="24"/>
          <w:highlight w:val="none"/>
        </w:rPr>
        <w:t>对于投标文件中含义不明确、同类问题表述不一致或者有明显文字和计算错误的内容，评标委员会</w:t>
      </w:r>
      <w:r>
        <w:rPr>
          <w:rFonts w:hint="eastAsia" w:ascii="宋体" w:hAnsi="宋体" w:eastAsia="宋体" w:cs="宋体"/>
          <w:color w:val="auto"/>
          <w:sz w:val="24"/>
          <w:szCs w:val="24"/>
          <w:highlight w:val="none"/>
          <w:lang w:val="zh-CN"/>
        </w:rPr>
        <w:t>将以书面形式（澄清细微偏离由评标委员会依据招标文件集体决定并由评标委员会专家签字）要求供应商在规定的时限内（在评标结束前）作出必要的澄清、说明或者补正。供应商的澄清、说明或者补正应当采用书面形式，由供应商法定代表人或其委托代理人签字（须提交签字人身份证件并与投标文件签字人一致）并加盖公章，供应商的澄清、说明或者补正不得超出投标文件的范围或者改变投标文件的实质性内容。供应商拒不进行澄清、说明、补正的，或者不能在规定时间内作出书面澄清、说明、补正的，评标委员会将拒绝其投标。</w:t>
      </w:r>
    </w:p>
    <w:p w14:paraId="4E1B9F47">
      <w:pPr>
        <w:keepNext w:val="0"/>
        <w:keepLines w:val="0"/>
        <w:pageBreakBefore w:val="0"/>
        <w:widowControl w:val="0"/>
        <w:tabs>
          <w:tab w:val="left" w:pos="3675"/>
        </w:tabs>
        <w:kinsoku/>
        <w:wordWrap w:val="0"/>
        <w:overflowPunct/>
        <w:topLinePunct w:val="0"/>
        <w:autoSpaceDE/>
        <w:autoSpaceDN/>
        <w:bidi w:val="0"/>
        <w:adjustRightInd w:val="0"/>
        <w:spacing w:line="440" w:lineRule="exact"/>
        <w:ind w:firstLine="482"/>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6.3.13本项目采用综合评分法，评标委员会将按不同供应商评审后得分由高到低的顺序推荐前三名中标候选人；得分相同的，按投标报价由低到高顺序排列；得分且投标报价也相同的，按技术标评审得分由高到低顺序排列。投标文件在满足招标文件全部实质性要求，且按照评审因素的量化指标评审后得分最高的供应商为第一中标候选人，依次排列。提供相同品牌产品且通过资格审查、符合性审查的不同供应商参加同一合同项下投标的，按一家供应商计算，评审后得分最高的同品牌供应商获得中标供应商推荐资格；得分相同的，按投标报价最低的同品牌供应商确定一个供应商获得中标供应商推荐资格；得分且投标报价也相同的，按技术标评审得分最高的同品牌供应商确定一个供应商获得中标供应商推荐资格。</w:t>
      </w:r>
    </w:p>
    <w:p w14:paraId="587B46DC">
      <w:pPr>
        <w:keepNext w:val="0"/>
        <w:keepLines w:val="0"/>
        <w:pageBreakBefore w:val="0"/>
        <w:widowControl w:val="0"/>
        <w:tabs>
          <w:tab w:val="left" w:pos="3675"/>
        </w:tabs>
        <w:kinsoku/>
        <w:wordWrap w:val="0"/>
        <w:overflowPunct/>
        <w:topLinePunct w:val="0"/>
        <w:autoSpaceDE/>
        <w:autoSpaceDN/>
        <w:bidi w:val="0"/>
        <w:adjustRightInd w:val="0"/>
        <w:spacing w:line="440" w:lineRule="exact"/>
        <w:ind w:firstLine="482"/>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6.3.14评标结果汇总完成后，除下列情形外，任何人不得修改评标结果：</w:t>
      </w:r>
    </w:p>
    <w:p w14:paraId="14EF62AF">
      <w:pPr>
        <w:keepNext w:val="0"/>
        <w:keepLines w:val="0"/>
        <w:pageBreakBefore w:val="0"/>
        <w:widowControl w:val="0"/>
        <w:tabs>
          <w:tab w:val="left" w:pos="3675"/>
        </w:tabs>
        <w:kinsoku/>
        <w:wordWrap w:val="0"/>
        <w:overflowPunct/>
        <w:topLinePunct w:val="0"/>
        <w:autoSpaceDE/>
        <w:autoSpaceDN/>
        <w:bidi w:val="0"/>
        <w:adjustRightInd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（1）分值汇总计算错误的；</w:t>
      </w:r>
    </w:p>
    <w:p w14:paraId="3B2F5395">
      <w:pPr>
        <w:keepNext w:val="0"/>
        <w:keepLines w:val="0"/>
        <w:pageBreakBefore w:val="0"/>
        <w:widowControl w:val="0"/>
        <w:tabs>
          <w:tab w:val="left" w:pos="3675"/>
        </w:tabs>
        <w:kinsoku/>
        <w:wordWrap w:val="0"/>
        <w:overflowPunct/>
        <w:topLinePunct w:val="0"/>
        <w:autoSpaceDE/>
        <w:autoSpaceDN/>
        <w:bidi w:val="0"/>
        <w:adjustRightInd w:val="0"/>
        <w:spacing w:line="440" w:lineRule="exact"/>
        <w:ind w:firstLine="482"/>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（2）分项评分超出评分标准范围的；</w:t>
      </w:r>
    </w:p>
    <w:p w14:paraId="2F5DDF7B">
      <w:pPr>
        <w:keepNext w:val="0"/>
        <w:keepLines w:val="0"/>
        <w:pageBreakBefore w:val="0"/>
        <w:widowControl w:val="0"/>
        <w:tabs>
          <w:tab w:val="left" w:pos="3675"/>
        </w:tabs>
        <w:kinsoku/>
        <w:wordWrap w:val="0"/>
        <w:overflowPunct/>
        <w:topLinePunct w:val="0"/>
        <w:autoSpaceDE/>
        <w:autoSpaceDN/>
        <w:bidi w:val="0"/>
        <w:adjustRightInd w:val="0"/>
        <w:spacing w:line="440" w:lineRule="exact"/>
        <w:ind w:firstLine="482"/>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（3）评标委员会成员对客观评审因素评分不一致的；</w:t>
      </w:r>
    </w:p>
    <w:p w14:paraId="08FAE1A6">
      <w:pPr>
        <w:keepNext w:val="0"/>
        <w:keepLines w:val="0"/>
        <w:pageBreakBefore w:val="0"/>
        <w:widowControl w:val="0"/>
        <w:tabs>
          <w:tab w:val="left" w:pos="3675"/>
        </w:tabs>
        <w:kinsoku/>
        <w:wordWrap w:val="0"/>
        <w:overflowPunct/>
        <w:topLinePunct w:val="0"/>
        <w:autoSpaceDE/>
        <w:autoSpaceDN/>
        <w:bidi w:val="0"/>
        <w:adjustRightInd w:val="0"/>
        <w:spacing w:line="440" w:lineRule="exact"/>
        <w:ind w:firstLine="482"/>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（4）经评标委员会认定评分畸高、畸低的。</w:t>
      </w:r>
    </w:p>
    <w:p w14:paraId="1CD95C70">
      <w:pPr>
        <w:keepNext w:val="0"/>
        <w:keepLines w:val="0"/>
        <w:pageBreakBefore w:val="0"/>
        <w:widowControl w:val="0"/>
        <w:tabs>
          <w:tab w:val="left" w:pos="3675"/>
        </w:tabs>
        <w:kinsoku/>
        <w:wordWrap w:val="0"/>
        <w:overflowPunct/>
        <w:topLinePunct w:val="0"/>
        <w:autoSpaceDE/>
        <w:autoSpaceDN/>
        <w:bidi w:val="0"/>
        <w:adjustRightInd w:val="0"/>
        <w:spacing w:line="440" w:lineRule="exact"/>
        <w:ind w:firstLine="482"/>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报告签署前，经复核发现存在以上情形之一的，评标委员会应当当场修改评标结果，并在评标报告中记载；评标报告签署后，采购人或者采购代理机构发现存在以上情形之一的，应当组织原评标委员会进行重新评审，重新评审改变评标结果的，书面报告本级财政部门。</w:t>
      </w:r>
    </w:p>
    <w:p w14:paraId="3DDD9326">
      <w:pPr>
        <w:keepNext w:val="0"/>
        <w:keepLines w:val="0"/>
        <w:pageBreakBefore w:val="0"/>
        <w:widowControl w:val="0"/>
        <w:tabs>
          <w:tab w:val="left" w:pos="3675"/>
        </w:tabs>
        <w:kinsoku/>
        <w:wordWrap w:val="0"/>
        <w:overflowPunct/>
        <w:topLinePunct w:val="0"/>
        <w:autoSpaceDE/>
        <w:autoSpaceDN/>
        <w:bidi w:val="0"/>
        <w:adjustRightInd w:val="0"/>
        <w:spacing w:line="440" w:lineRule="exact"/>
        <w:ind w:firstLine="482"/>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对本条第一款情形提出质疑的，采购人或者采购代理机构可以组织原评标委员会进行重新评审，重新评审改变评标结果的，应当书面报告本级财政部门。</w:t>
      </w:r>
    </w:p>
    <w:p w14:paraId="2C6268F9">
      <w:pPr>
        <w:keepNext w:val="0"/>
        <w:keepLines w:val="0"/>
        <w:pageBreakBefore w:val="0"/>
        <w:widowControl w:val="0"/>
        <w:kinsoku/>
        <w:wordWrap w:val="0"/>
        <w:overflowPunct/>
        <w:topLinePunct w:val="0"/>
        <w:autoSpaceDE/>
        <w:autoSpaceDN/>
        <w:bidi w:val="0"/>
        <w:adjustRightInd w:val="0"/>
        <w:spacing w:line="440" w:lineRule="exact"/>
        <w:jc w:val="left"/>
        <w:textAlignment w:val="auto"/>
        <w:rPr>
          <w:rFonts w:hint="eastAsia" w:ascii="宋体" w:hAnsi="宋体" w:eastAsia="宋体" w:cs="宋体"/>
          <w:b/>
          <w:color w:val="auto"/>
          <w:sz w:val="28"/>
          <w:szCs w:val="28"/>
          <w:highlight w:val="none"/>
          <w:lang w:val="zh-CN"/>
        </w:rPr>
      </w:pPr>
      <w:r>
        <w:rPr>
          <w:rFonts w:hint="eastAsia" w:ascii="宋体" w:hAnsi="宋体" w:eastAsia="宋体" w:cs="宋体"/>
          <w:b/>
          <w:color w:val="auto"/>
          <w:sz w:val="28"/>
          <w:szCs w:val="28"/>
          <w:highlight w:val="none"/>
          <w:lang w:val="zh-CN"/>
        </w:rPr>
        <w:t>7.合同授予</w:t>
      </w:r>
    </w:p>
    <w:p w14:paraId="76B34433">
      <w:pPr>
        <w:keepNext w:val="0"/>
        <w:keepLines w:val="0"/>
        <w:pageBreakBefore w:val="0"/>
        <w:widowControl w:val="0"/>
        <w:kinsoku/>
        <w:wordWrap w:val="0"/>
        <w:overflowPunct/>
        <w:topLinePunct w:val="0"/>
        <w:autoSpaceDE/>
        <w:autoSpaceDN/>
        <w:bidi w:val="0"/>
        <w:adjustRightInd w:val="0"/>
        <w:spacing w:line="440" w:lineRule="exact"/>
        <w:jc w:val="left"/>
        <w:textAlignment w:val="auto"/>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7.1 中标公告</w:t>
      </w:r>
    </w:p>
    <w:p w14:paraId="4FD1EA2F">
      <w:pPr>
        <w:keepNext w:val="0"/>
        <w:keepLines w:val="0"/>
        <w:pageBreakBefore w:val="0"/>
        <w:widowControl w:val="0"/>
        <w:tabs>
          <w:tab w:val="left" w:pos="760"/>
        </w:tabs>
        <w:kinsoku/>
        <w:wordWrap w:val="0"/>
        <w:overflowPunct/>
        <w:topLinePunct w:val="0"/>
        <w:autoSpaceDE/>
        <w:autoSpaceDN/>
        <w:bidi w:val="0"/>
        <w:spacing w:line="440" w:lineRule="exact"/>
        <w:ind w:firstLine="480" w:firstLineChars="200"/>
        <w:jc w:val="lef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采购代理机构应当在评标结束后2个工作日内将评标报告送采购人，采购人应当自收到评标报告之日起5个工作日内，在评标报告确定的中标候选人名单中按顺序确定</w:t>
      </w:r>
      <w:r>
        <w:rPr>
          <w:rFonts w:hint="eastAsia" w:ascii="宋体" w:hAnsi="宋体" w:eastAsia="宋体" w:cs="宋体"/>
          <w:bCs/>
          <w:color w:val="auto"/>
          <w:sz w:val="24"/>
          <w:szCs w:val="24"/>
          <w:highlight w:val="none"/>
          <w:lang w:eastAsia="zh-CN"/>
        </w:rPr>
        <w:t>中标供应商</w:t>
      </w:r>
      <w:r>
        <w:rPr>
          <w:rFonts w:hint="eastAsia" w:ascii="宋体" w:hAnsi="宋体" w:eastAsia="宋体" w:cs="宋体"/>
          <w:bCs/>
          <w:color w:val="auto"/>
          <w:sz w:val="24"/>
          <w:szCs w:val="24"/>
          <w:highlight w:val="none"/>
        </w:rPr>
        <w:t>，</w:t>
      </w:r>
      <w:r>
        <w:rPr>
          <w:rFonts w:hint="eastAsia" w:ascii="宋体" w:hAnsi="宋体" w:eastAsia="宋体" w:cs="宋体"/>
          <w:bCs/>
          <w:color w:val="auto"/>
          <w:sz w:val="24"/>
          <w:szCs w:val="24"/>
          <w:highlight w:val="none"/>
          <w:lang w:val="zh-CN"/>
        </w:rPr>
        <w:t>按照供应商须知前附表规定的公告媒介和期限公告中标结果，</w:t>
      </w:r>
      <w:r>
        <w:rPr>
          <w:rFonts w:hint="eastAsia" w:ascii="宋体" w:hAnsi="宋体" w:eastAsia="宋体" w:cs="宋体"/>
          <w:bCs/>
          <w:color w:val="auto"/>
          <w:sz w:val="24"/>
          <w:szCs w:val="24"/>
          <w:highlight w:val="none"/>
        </w:rPr>
        <w:t>中标公告期限为1个工作日</w:t>
      </w:r>
      <w:r>
        <w:rPr>
          <w:rFonts w:hint="eastAsia" w:ascii="宋体" w:hAnsi="宋体" w:eastAsia="宋体" w:cs="宋体"/>
          <w:bCs/>
          <w:color w:val="auto"/>
          <w:sz w:val="24"/>
          <w:szCs w:val="24"/>
          <w:highlight w:val="none"/>
          <w:lang w:val="zh-CN"/>
        </w:rPr>
        <w:t>。</w:t>
      </w:r>
    </w:p>
    <w:p w14:paraId="16C2CCCE">
      <w:pPr>
        <w:keepNext w:val="0"/>
        <w:keepLines w:val="0"/>
        <w:pageBreakBefore w:val="0"/>
        <w:widowControl w:val="0"/>
        <w:kinsoku/>
        <w:wordWrap w:val="0"/>
        <w:overflowPunct/>
        <w:topLinePunct w:val="0"/>
        <w:autoSpaceDE/>
        <w:autoSpaceDN/>
        <w:bidi w:val="0"/>
        <w:adjustRightInd w:val="0"/>
        <w:spacing w:line="440" w:lineRule="exact"/>
        <w:jc w:val="left"/>
        <w:textAlignment w:val="auto"/>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7.2 评标结果异议</w:t>
      </w:r>
    </w:p>
    <w:p w14:paraId="5A7C96F6">
      <w:pPr>
        <w:keepNext w:val="0"/>
        <w:keepLines w:val="0"/>
        <w:pageBreakBefore w:val="0"/>
        <w:widowControl w:val="0"/>
        <w:tabs>
          <w:tab w:val="left" w:pos="760"/>
        </w:tabs>
        <w:kinsoku/>
        <w:wordWrap w:val="0"/>
        <w:overflowPunct/>
        <w:topLinePunct w:val="0"/>
        <w:autoSpaceDE/>
        <w:autoSpaceDN/>
        <w:bidi w:val="0"/>
        <w:spacing w:line="440" w:lineRule="exact"/>
        <w:ind w:firstLine="480" w:firstLineChars="200"/>
        <w:jc w:val="left"/>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供应商认为中标、成交结果使自己的权益受到损害的，可以在发布中标、成交结果公告之日起七个工作日内，以书面形式向采购人提出质疑。采购人应当在收到供应商的书面质疑后七</w:t>
      </w:r>
      <w:r>
        <w:rPr>
          <w:rFonts w:hint="eastAsia" w:ascii="宋体" w:hAnsi="宋体" w:eastAsia="宋体" w:cs="宋体"/>
          <w:bCs/>
          <w:color w:val="auto"/>
          <w:sz w:val="24"/>
          <w:szCs w:val="24"/>
          <w:highlight w:val="none"/>
        </w:rPr>
        <w:t>个工作日内</w:t>
      </w:r>
      <w:r>
        <w:rPr>
          <w:rFonts w:hint="eastAsia" w:ascii="宋体" w:hAnsi="宋体" w:eastAsia="宋体" w:cs="宋体"/>
          <w:bCs/>
          <w:color w:val="auto"/>
          <w:sz w:val="24"/>
          <w:szCs w:val="24"/>
          <w:highlight w:val="none"/>
          <w:lang w:val="zh-CN"/>
        </w:rPr>
        <w:t>作出答复。</w:t>
      </w:r>
    </w:p>
    <w:p w14:paraId="7630960B">
      <w:pPr>
        <w:keepNext w:val="0"/>
        <w:keepLines w:val="0"/>
        <w:pageBreakBefore w:val="0"/>
        <w:widowControl w:val="0"/>
        <w:kinsoku/>
        <w:wordWrap w:val="0"/>
        <w:overflowPunct/>
        <w:topLinePunct w:val="0"/>
        <w:autoSpaceDE/>
        <w:autoSpaceDN/>
        <w:bidi w:val="0"/>
        <w:adjustRightInd w:val="0"/>
        <w:spacing w:line="440" w:lineRule="exact"/>
        <w:jc w:val="left"/>
        <w:textAlignment w:val="auto"/>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7.3 中标候选人履约能力审查</w:t>
      </w:r>
    </w:p>
    <w:p w14:paraId="535D729D">
      <w:pPr>
        <w:keepNext w:val="0"/>
        <w:keepLines w:val="0"/>
        <w:pageBreakBefore w:val="0"/>
        <w:widowControl w:val="0"/>
        <w:kinsoku/>
        <w:wordWrap w:val="0"/>
        <w:overflowPunct/>
        <w:topLinePunct w:val="0"/>
        <w:autoSpaceDE/>
        <w:autoSpaceDN/>
        <w:bidi w:val="0"/>
        <w:adjustRightInd w:val="0"/>
        <w:spacing w:line="440" w:lineRule="exact"/>
        <w:ind w:firstLine="480" w:firstLineChars="200"/>
        <w:jc w:val="left"/>
        <w:textAlignment w:val="auto"/>
        <w:rPr>
          <w:rFonts w:hint="eastAsia" w:ascii="宋体" w:hAnsi="宋体" w:eastAsia="宋体" w:cs="宋体"/>
          <w:b/>
          <w:bCs/>
          <w:color w:val="auto"/>
          <w:sz w:val="24"/>
          <w:szCs w:val="24"/>
          <w:highlight w:val="none"/>
          <w:lang w:val="zh-CN"/>
        </w:rPr>
      </w:pPr>
      <w:r>
        <w:rPr>
          <w:rFonts w:hint="eastAsia" w:ascii="宋体" w:hAnsi="宋体" w:eastAsia="宋体" w:cs="宋体"/>
          <w:color w:val="auto"/>
          <w:sz w:val="24"/>
          <w:szCs w:val="24"/>
          <w:highlight w:val="none"/>
          <w:lang w:val="zh-CN"/>
        </w:rPr>
        <w:t>中标候选人的经营、财务状况发生较大变化或存在违法行为以及经采购人考察中标候选人提供中标货物的技术参数、技术规格、技术标准与招标文件的要求不符，采购人认为可能影响其履约能力的，将在发出中标通知书前提请原评标委员会按照招标文件规定的标准和方法进行审查确认。</w:t>
      </w:r>
    </w:p>
    <w:p w14:paraId="70524CE6">
      <w:pPr>
        <w:keepNext w:val="0"/>
        <w:keepLines w:val="0"/>
        <w:pageBreakBefore w:val="0"/>
        <w:widowControl w:val="0"/>
        <w:kinsoku/>
        <w:wordWrap w:val="0"/>
        <w:overflowPunct/>
        <w:topLinePunct w:val="0"/>
        <w:autoSpaceDE/>
        <w:autoSpaceDN/>
        <w:bidi w:val="0"/>
        <w:adjustRightInd w:val="0"/>
        <w:spacing w:line="440" w:lineRule="exact"/>
        <w:jc w:val="left"/>
        <w:textAlignment w:val="auto"/>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7.4 定标</w:t>
      </w:r>
    </w:p>
    <w:p w14:paraId="34B96D0B">
      <w:pPr>
        <w:keepNext w:val="0"/>
        <w:keepLines w:val="0"/>
        <w:pageBreakBefore w:val="0"/>
        <w:widowControl w:val="0"/>
        <w:tabs>
          <w:tab w:val="left" w:pos="760"/>
        </w:tabs>
        <w:kinsoku/>
        <w:wordWrap w:val="0"/>
        <w:overflowPunct/>
        <w:topLinePunct w:val="0"/>
        <w:autoSpaceDE/>
        <w:autoSpaceDN/>
        <w:bidi w:val="0"/>
        <w:spacing w:line="440" w:lineRule="exact"/>
        <w:ind w:firstLine="480" w:firstLineChars="200"/>
        <w:jc w:val="left"/>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按照供应商须知前附表的规定，采购人或采购人授权的评标委员会依法确定中标供应商。</w:t>
      </w:r>
    </w:p>
    <w:p w14:paraId="3BF0E197">
      <w:pPr>
        <w:keepNext w:val="0"/>
        <w:keepLines w:val="0"/>
        <w:pageBreakBefore w:val="0"/>
        <w:widowControl w:val="0"/>
        <w:kinsoku/>
        <w:wordWrap w:val="0"/>
        <w:overflowPunct/>
        <w:topLinePunct w:val="0"/>
        <w:autoSpaceDE/>
        <w:autoSpaceDN/>
        <w:bidi w:val="0"/>
        <w:adjustRightInd w:val="0"/>
        <w:spacing w:line="440" w:lineRule="exact"/>
        <w:jc w:val="left"/>
        <w:textAlignment w:val="auto"/>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7.5 中标通知</w:t>
      </w:r>
    </w:p>
    <w:p w14:paraId="34AB21A3">
      <w:pPr>
        <w:keepNext w:val="0"/>
        <w:keepLines w:val="0"/>
        <w:pageBreakBefore w:val="0"/>
        <w:widowControl w:val="0"/>
        <w:kinsoku/>
        <w:wordWrap w:val="0"/>
        <w:overflowPunct/>
        <w:topLinePunct w:val="0"/>
        <w:autoSpaceDE/>
        <w:autoSpaceDN/>
        <w:bidi w:val="0"/>
        <w:adjustRightInd w:val="0"/>
        <w:spacing w:line="440" w:lineRule="exact"/>
        <w:ind w:firstLine="482"/>
        <w:textAlignment w:val="auto"/>
        <w:rPr>
          <w:rFonts w:hint="eastAsia" w:ascii="宋体" w:hAnsi="宋体" w:eastAsia="宋体" w:cs="宋体"/>
          <w:color w:val="auto"/>
          <w:sz w:val="24"/>
          <w:szCs w:val="24"/>
          <w:highlight w:val="none"/>
          <w:lang w:val="zh-CN"/>
        </w:rPr>
      </w:pPr>
      <w:r>
        <w:rPr>
          <w:rFonts w:hint="eastAsia" w:ascii="宋体" w:hAnsi="宋体" w:eastAsia="宋体" w:cs="宋体"/>
          <w:bCs/>
          <w:color w:val="auto"/>
          <w:sz w:val="24"/>
          <w:szCs w:val="24"/>
          <w:highlight w:val="none"/>
          <w:lang w:val="zh-CN"/>
        </w:rPr>
        <w:t>在本章第 3.3 款规定的投标有效期内，采购人以书面形式向中标供应商发出中标通知书，</w:t>
      </w:r>
      <w:r>
        <w:rPr>
          <w:rFonts w:hint="eastAsia" w:ascii="宋体" w:hAnsi="宋体" w:eastAsia="宋体" w:cs="宋体"/>
          <w:color w:val="auto"/>
          <w:sz w:val="24"/>
          <w:szCs w:val="24"/>
          <w:highlight w:val="none"/>
          <w:lang w:val="zh-CN"/>
        </w:rPr>
        <w:t>中标通知书是合同的组成部分，对采购人和中标供应商均具有法律约束力。</w:t>
      </w:r>
    </w:p>
    <w:p w14:paraId="617EF790">
      <w:pPr>
        <w:keepNext w:val="0"/>
        <w:keepLines w:val="0"/>
        <w:pageBreakBefore w:val="0"/>
        <w:widowControl w:val="0"/>
        <w:kinsoku/>
        <w:wordWrap w:val="0"/>
        <w:overflowPunct/>
        <w:topLinePunct w:val="0"/>
        <w:autoSpaceDE/>
        <w:autoSpaceDN/>
        <w:bidi w:val="0"/>
        <w:adjustRightInd w:val="0"/>
        <w:spacing w:line="440" w:lineRule="exact"/>
        <w:jc w:val="left"/>
        <w:textAlignment w:val="auto"/>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7.6 技术成果经济补偿</w:t>
      </w:r>
    </w:p>
    <w:p w14:paraId="14320732">
      <w:pPr>
        <w:keepNext w:val="0"/>
        <w:keepLines w:val="0"/>
        <w:pageBreakBefore w:val="0"/>
        <w:widowControl w:val="0"/>
        <w:tabs>
          <w:tab w:val="left" w:pos="760"/>
        </w:tabs>
        <w:kinsoku/>
        <w:wordWrap w:val="0"/>
        <w:overflowPunct/>
        <w:topLinePunct w:val="0"/>
        <w:autoSpaceDE/>
        <w:autoSpaceDN/>
        <w:bidi w:val="0"/>
        <w:spacing w:line="440" w:lineRule="exact"/>
        <w:ind w:firstLine="480" w:firstLineChars="200"/>
        <w:jc w:val="left"/>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采购人对符合招标文件规定的未中标供应商的技术成果进行补偿的，采购人将在供应商须知前附表中规定给予经济补偿标准，未规定的不予经济补偿。</w:t>
      </w:r>
    </w:p>
    <w:p w14:paraId="6CF66169">
      <w:pPr>
        <w:keepNext w:val="0"/>
        <w:keepLines w:val="0"/>
        <w:pageBreakBefore w:val="0"/>
        <w:widowControl w:val="0"/>
        <w:kinsoku/>
        <w:wordWrap w:val="0"/>
        <w:overflowPunct/>
        <w:topLinePunct w:val="0"/>
        <w:autoSpaceDE/>
        <w:autoSpaceDN/>
        <w:bidi w:val="0"/>
        <w:adjustRightInd w:val="0"/>
        <w:spacing w:line="440" w:lineRule="exact"/>
        <w:jc w:val="left"/>
        <w:textAlignment w:val="auto"/>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7.7 履约保证金</w:t>
      </w:r>
    </w:p>
    <w:p w14:paraId="31C69785">
      <w:pPr>
        <w:keepNext w:val="0"/>
        <w:keepLines w:val="0"/>
        <w:pageBreakBefore w:val="0"/>
        <w:widowControl w:val="0"/>
        <w:kinsoku/>
        <w:wordWrap w:val="0"/>
        <w:overflowPunct/>
        <w:topLinePunct w:val="0"/>
        <w:autoSpaceDE/>
        <w:autoSpaceDN/>
        <w:bidi w:val="0"/>
        <w:adjustRightInd w:val="0"/>
        <w:spacing w:line="440" w:lineRule="exact"/>
        <w:jc w:val="left"/>
        <w:textAlignment w:val="auto"/>
        <w:rPr>
          <w:rFonts w:hint="eastAsia" w:ascii="宋体" w:hAnsi="宋体" w:cs="宋体"/>
          <w:bCs/>
          <w:color w:val="auto"/>
          <w:sz w:val="24"/>
          <w:szCs w:val="24"/>
          <w:highlight w:val="none"/>
          <w:lang w:val="zh-CN"/>
        </w:rPr>
      </w:pPr>
      <w:r>
        <w:rPr>
          <w:rFonts w:hint="eastAsia" w:ascii="宋体" w:hAnsi="宋体" w:cs="宋体"/>
          <w:bCs/>
          <w:color w:val="auto"/>
          <w:sz w:val="24"/>
          <w:szCs w:val="24"/>
          <w:highlight w:val="none"/>
          <w:lang w:val="en-US" w:eastAsia="zh-CN"/>
        </w:rPr>
        <w:t>看供应商须知</w:t>
      </w:r>
      <w:r>
        <w:rPr>
          <w:rFonts w:hint="eastAsia" w:ascii="宋体" w:hAnsi="宋体" w:eastAsia="宋体" w:cs="宋体"/>
          <w:bCs/>
          <w:color w:val="auto"/>
          <w:sz w:val="24"/>
          <w:szCs w:val="24"/>
          <w:highlight w:val="none"/>
          <w:lang w:val="zh-CN"/>
        </w:rPr>
        <w:t>7.7.1</w:t>
      </w:r>
      <w:r>
        <w:rPr>
          <w:rFonts w:hint="eastAsia" w:ascii="宋体" w:hAnsi="宋体" w:cs="宋体"/>
          <w:bCs/>
          <w:color w:val="auto"/>
          <w:sz w:val="24"/>
          <w:szCs w:val="24"/>
          <w:highlight w:val="none"/>
          <w:lang w:val="zh-CN"/>
        </w:rPr>
        <w:t>条款</w:t>
      </w:r>
    </w:p>
    <w:p w14:paraId="2E1C05CE">
      <w:pPr>
        <w:keepNext w:val="0"/>
        <w:keepLines w:val="0"/>
        <w:pageBreakBefore w:val="0"/>
        <w:widowControl w:val="0"/>
        <w:kinsoku/>
        <w:wordWrap w:val="0"/>
        <w:overflowPunct/>
        <w:topLinePunct w:val="0"/>
        <w:autoSpaceDE/>
        <w:autoSpaceDN/>
        <w:bidi w:val="0"/>
        <w:adjustRightInd w:val="0"/>
        <w:spacing w:line="440" w:lineRule="exact"/>
        <w:jc w:val="left"/>
        <w:textAlignment w:val="auto"/>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7.8 签订合同</w:t>
      </w:r>
    </w:p>
    <w:p w14:paraId="7B327A26">
      <w:pPr>
        <w:keepNext w:val="0"/>
        <w:keepLines w:val="0"/>
        <w:pageBreakBefore w:val="0"/>
        <w:widowControl w:val="0"/>
        <w:tabs>
          <w:tab w:val="left" w:pos="760"/>
        </w:tabs>
        <w:kinsoku/>
        <w:wordWrap w:val="0"/>
        <w:overflowPunct/>
        <w:topLinePunct w:val="0"/>
        <w:autoSpaceDE/>
        <w:autoSpaceDN/>
        <w:bidi w:val="0"/>
        <w:spacing w:line="440" w:lineRule="exact"/>
        <w:ind w:firstLine="480" w:firstLineChars="200"/>
        <w:jc w:val="left"/>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7.8.1 采购人和中标供应商应当自中标通知书发出之日起 30 日内，按照招标文件和中标供应商投标文件的规定订立书面合同。中标供应商无正当理由拒签合同，在签订合同时向采购人提出附加条件，或者不按照招标文件要求提交履约保证金的，采购人有权取消其中标资格，其投标保证金不予退还，同时</w:t>
      </w:r>
      <w:r>
        <w:rPr>
          <w:rFonts w:hint="eastAsia" w:ascii="宋体" w:hAnsi="宋体" w:eastAsia="宋体" w:cs="宋体"/>
          <w:color w:val="auto"/>
          <w:sz w:val="24"/>
          <w:szCs w:val="24"/>
          <w:highlight w:val="none"/>
          <w:lang w:val="zh-CN"/>
        </w:rPr>
        <w:t>列入不良行为记录名单，在一至三年内禁止参加政府采购活动并予以公告。供应商在被评标委员会评定为预中标供应商（中标供应商）之后、中标通知书发出之前放弃中标的，按本条规定处理</w:t>
      </w:r>
      <w:r>
        <w:rPr>
          <w:rFonts w:hint="eastAsia" w:ascii="宋体" w:hAnsi="宋体" w:eastAsia="宋体" w:cs="宋体"/>
          <w:bCs/>
          <w:color w:val="auto"/>
          <w:sz w:val="24"/>
          <w:szCs w:val="24"/>
          <w:highlight w:val="none"/>
          <w:lang w:val="zh-CN"/>
        </w:rPr>
        <w:t>给采购人造成的损失超过投标保证金数额的，中标供应商还应当对超过部分予以赔偿。</w:t>
      </w:r>
    </w:p>
    <w:p w14:paraId="497A3E49">
      <w:pPr>
        <w:keepNext w:val="0"/>
        <w:keepLines w:val="0"/>
        <w:pageBreakBefore w:val="0"/>
        <w:widowControl w:val="0"/>
        <w:tabs>
          <w:tab w:val="left" w:pos="760"/>
        </w:tabs>
        <w:kinsoku/>
        <w:wordWrap w:val="0"/>
        <w:overflowPunct/>
        <w:topLinePunct w:val="0"/>
        <w:autoSpaceDE/>
        <w:autoSpaceDN/>
        <w:bidi w:val="0"/>
        <w:spacing w:line="440" w:lineRule="exact"/>
        <w:ind w:firstLine="480" w:firstLineChars="200"/>
        <w:jc w:val="left"/>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7.8.2 发出中标通知书后，采购人无正当理由拒签合同，或者在签订合同时向中标供应商提出附加条件的，采购人向中标供应商退还投标保证金，给中标供应商造成损失的，还应当赔偿损失。</w:t>
      </w:r>
    </w:p>
    <w:p w14:paraId="6FFEE0C4">
      <w:pPr>
        <w:keepNext w:val="0"/>
        <w:keepLines w:val="0"/>
        <w:pageBreakBefore w:val="0"/>
        <w:widowControl w:val="0"/>
        <w:kinsoku/>
        <w:wordWrap w:val="0"/>
        <w:overflowPunct/>
        <w:topLinePunct w:val="0"/>
        <w:autoSpaceDE/>
        <w:autoSpaceDN/>
        <w:bidi w:val="0"/>
        <w:adjustRightInd w:val="0"/>
        <w:spacing w:line="440" w:lineRule="exact"/>
        <w:ind w:firstLine="480" w:firstLineChars="200"/>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7.8.3 联合体中标的，联合体各方应当共同与采购人签订合同，就中标项目向采购人承担连带责任。</w:t>
      </w:r>
    </w:p>
    <w:p w14:paraId="0692A6E6">
      <w:pPr>
        <w:keepNext w:val="0"/>
        <w:keepLines w:val="0"/>
        <w:pageBreakBefore w:val="0"/>
        <w:widowControl w:val="0"/>
        <w:kinsoku/>
        <w:wordWrap w:val="0"/>
        <w:overflowPunct/>
        <w:topLinePunct w:val="0"/>
        <w:autoSpaceDE/>
        <w:autoSpaceDN/>
        <w:bidi w:val="0"/>
        <w:adjustRightInd w:val="0"/>
        <w:spacing w:line="440" w:lineRule="exact"/>
        <w:jc w:val="left"/>
        <w:textAlignment w:val="auto"/>
        <w:rPr>
          <w:rFonts w:hint="eastAsia" w:ascii="宋体" w:hAnsi="宋体" w:eastAsia="宋体" w:cs="宋体"/>
          <w:b/>
          <w:color w:val="auto"/>
          <w:sz w:val="28"/>
          <w:szCs w:val="28"/>
          <w:highlight w:val="none"/>
          <w:lang w:val="zh-CN"/>
        </w:rPr>
      </w:pPr>
      <w:r>
        <w:rPr>
          <w:rFonts w:hint="eastAsia" w:ascii="宋体" w:hAnsi="宋体" w:eastAsia="宋体" w:cs="宋体"/>
          <w:b/>
          <w:color w:val="auto"/>
          <w:sz w:val="28"/>
          <w:szCs w:val="28"/>
          <w:highlight w:val="none"/>
          <w:lang w:val="zh-CN"/>
        </w:rPr>
        <w:t>8.纪律和监督</w:t>
      </w:r>
    </w:p>
    <w:p w14:paraId="682D099B">
      <w:pPr>
        <w:keepNext w:val="0"/>
        <w:keepLines w:val="0"/>
        <w:pageBreakBefore w:val="0"/>
        <w:widowControl w:val="0"/>
        <w:kinsoku/>
        <w:wordWrap w:val="0"/>
        <w:overflowPunct/>
        <w:topLinePunct w:val="0"/>
        <w:autoSpaceDE/>
        <w:autoSpaceDN/>
        <w:bidi w:val="0"/>
        <w:adjustRightInd w:val="0"/>
        <w:spacing w:line="440" w:lineRule="exact"/>
        <w:jc w:val="left"/>
        <w:textAlignment w:val="auto"/>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8.1 对采购人的纪律要求</w:t>
      </w:r>
    </w:p>
    <w:p w14:paraId="53BA6175">
      <w:pPr>
        <w:keepNext w:val="0"/>
        <w:keepLines w:val="0"/>
        <w:pageBreakBefore w:val="0"/>
        <w:widowControl w:val="0"/>
        <w:tabs>
          <w:tab w:val="left" w:pos="760"/>
        </w:tabs>
        <w:kinsoku/>
        <w:wordWrap w:val="0"/>
        <w:overflowPunct/>
        <w:topLinePunct w:val="0"/>
        <w:autoSpaceDE/>
        <w:autoSpaceDN/>
        <w:bidi w:val="0"/>
        <w:spacing w:line="440" w:lineRule="exact"/>
        <w:ind w:firstLine="480" w:firstLineChars="200"/>
        <w:jc w:val="left"/>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采购人不得泄露招标投标活动中应当保密的情况和资料，不得与供应商串通损害国家利益、社会公共利益或者他人合法权益。</w:t>
      </w:r>
      <w:r>
        <w:rPr>
          <w:rFonts w:hint="eastAsia" w:ascii="宋体" w:hAnsi="宋体" w:eastAsia="宋体" w:cs="宋体"/>
          <w:color w:val="auto"/>
          <w:sz w:val="24"/>
          <w:szCs w:val="24"/>
          <w:highlight w:val="none"/>
          <w:lang w:val="zh-CN"/>
        </w:rPr>
        <w:t>采购人只负责评标组织工作，不参加评标。</w:t>
      </w:r>
      <w:r>
        <w:rPr>
          <w:rFonts w:hint="eastAsia" w:ascii="宋体" w:hAnsi="宋体" w:eastAsia="宋体" w:cs="宋体"/>
          <w:color w:val="auto"/>
          <w:sz w:val="24"/>
          <w:szCs w:val="24"/>
          <w:highlight w:val="none"/>
        </w:rPr>
        <w:t>采购人委托的采购代理机构工作人员不得参加由本机构代理的政府采购项目的评标。</w:t>
      </w:r>
    </w:p>
    <w:p w14:paraId="3828A9B6">
      <w:pPr>
        <w:keepNext w:val="0"/>
        <w:keepLines w:val="0"/>
        <w:pageBreakBefore w:val="0"/>
        <w:widowControl w:val="0"/>
        <w:kinsoku/>
        <w:wordWrap w:val="0"/>
        <w:overflowPunct/>
        <w:topLinePunct w:val="0"/>
        <w:autoSpaceDE/>
        <w:autoSpaceDN/>
        <w:bidi w:val="0"/>
        <w:adjustRightInd w:val="0"/>
        <w:spacing w:line="440" w:lineRule="exact"/>
        <w:jc w:val="left"/>
        <w:textAlignment w:val="auto"/>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8.2 对供应商的纪律要求</w:t>
      </w:r>
    </w:p>
    <w:p w14:paraId="0188D688">
      <w:pPr>
        <w:keepNext w:val="0"/>
        <w:keepLines w:val="0"/>
        <w:pageBreakBefore w:val="0"/>
        <w:widowControl w:val="0"/>
        <w:tabs>
          <w:tab w:val="left" w:pos="760"/>
        </w:tabs>
        <w:kinsoku/>
        <w:wordWrap w:val="0"/>
        <w:overflowPunct/>
        <w:topLinePunct w:val="0"/>
        <w:autoSpaceDE/>
        <w:autoSpaceDN/>
        <w:bidi w:val="0"/>
        <w:spacing w:line="440" w:lineRule="exact"/>
        <w:ind w:firstLine="480" w:firstLineChars="200"/>
        <w:jc w:val="left"/>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供应商不得相互串通投标或者与采购人串通投标，不得向采购人或者评标委员会成员行贿谋取中标，不得以他人名义投标或者以其他方式弄虚作假骗取中标；供应商不得以任何方式干扰、影响评标工作。</w:t>
      </w:r>
    </w:p>
    <w:p w14:paraId="0944FE5D">
      <w:pPr>
        <w:keepNext w:val="0"/>
        <w:keepLines w:val="0"/>
        <w:pageBreakBefore w:val="0"/>
        <w:widowControl w:val="0"/>
        <w:kinsoku/>
        <w:wordWrap w:val="0"/>
        <w:overflowPunct/>
        <w:topLinePunct w:val="0"/>
        <w:autoSpaceDE/>
        <w:autoSpaceDN/>
        <w:bidi w:val="0"/>
        <w:adjustRightInd w:val="0"/>
        <w:spacing w:line="440" w:lineRule="exact"/>
        <w:jc w:val="left"/>
        <w:textAlignment w:val="auto"/>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8.3 对评标委员会成员的纪律要求</w:t>
      </w:r>
    </w:p>
    <w:p w14:paraId="0AB11701">
      <w:pPr>
        <w:keepNext w:val="0"/>
        <w:keepLines w:val="0"/>
        <w:pageBreakBefore w:val="0"/>
        <w:widowControl w:val="0"/>
        <w:tabs>
          <w:tab w:val="left" w:pos="760"/>
        </w:tabs>
        <w:kinsoku/>
        <w:wordWrap w:val="0"/>
        <w:overflowPunct/>
        <w:topLinePunct w:val="0"/>
        <w:autoSpaceDE/>
        <w:autoSpaceDN/>
        <w:bidi w:val="0"/>
        <w:spacing w:line="440" w:lineRule="exact"/>
        <w:ind w:firstLine="480" w:firstLineChars="200"/>
        <w:jc w:val="left"/>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评标委员会成员不得收受他人的财物或者其他好处，不得向他人透露对投标文件的评审和比较、中标候选人的推荐情况以及评标有关的其他情况。在评标活动中，评标委员会成员应当客观、公正地履行职责，遵守职业道德，不得擅离职守，影响评标程序正常进行，不得使用第三章“评标办法”没有规定的评审因素和标准进行评标。</w:t>
      </w:r>
    </w:p>
    <w:p w14:paraId="583FCFFD">
      <w:pPr>
        <w:keepNext w:val="0"/>
        <w:keepLines w:val="0"/>
        <w:pageBreakBefore w:val="0"/>
        <w:widowControl w:val="0"/>
        <w:kinsoku/>
        <w:wordWrap w:val="0"/>
        <w:overflowPunct/>
        <w:topLinePunct w:val="0"/>
        <w:autoSpaceDE/>
        <w:autoSpaceDN/>
        <w:bidi w:val="0"/>
        <w:adjustRightInd w:val="0"/>
        <w:spacing w:line="440" w:lineRule="exact"/>
        <w:jc w:val="left"/>
        <w:textAlignment w:val="auto"/>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8.4 对与评标活动有关的工作人员的纪律要求</w:t>
      </w:r>
    </w:p>
    <w:p w14:paraId="6CDFDF6D">
      <w:pPr>
        <w:keepNext w:val="0"/>
        <w:keepLines w:val="0"/>
        <w:pageBreakBefore w:val="0"/>
        <w:widowControl w:val="0"/>
        <w:tabs>
          <w:tab w:val="left" w:pos="760"/>
        </w:tabs>
        <w:kinsoku/>
        <w:wordWrap w:val="0"/>
        <w:overflowPunct/>
        <w:topLinePunct w:val="0"/>
        <w:autoSpaceDE/>
        <w:autoSpaceDN/>
        <w:bidi w:val="0"/>
        <w:spacing w:line="440" w:lineRule="exact"/>
        <w:ind w:firstLine="480" w:firstLineChars="200"/>
        <w:jc w:val="left"/>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与评标活动有关的工作人员不得收受他人的财物或者其他好处，不得向他人透露对投标文件的评审和比较、中标候选人的推荐情况以及评标有关的其他情况。在评标活动中，与评标活动有关的工作人员不得擅离职守，影响评标程序正常进行。</w:t>
      </w:r>
    </w:p>
    <w:p w14:paraId="61CADAB0">
      <w:pPr>
        <w:keepNext w:val="0"/>
        <w:keepLines w:val="0"/>
        <w:pageBreakBefore w:val="0"/>
        <w:widowControl w:val="0"/>
        <w:kinsoku/>
        <w:wordWrap w:val="0"/>
        <w:overflowPunct/>
        <w:topLinePunct w:val="0"/>
        <w:autoSpaceDE/>
        <w:autoSpaceDN/>
        <w:bidi w:val="0"/>
        <w:adjustRightInd w:val="0"/>
        <w:spacing w:line="440" w:lineRule="exact"/>
        <w:jc w:val="left"/>
        <w:textAlignment w:val="auto"/>
        <w:rPr>
          <w:rFonts w:hint="eastAsia" w:ascii="宋体" w:hAnsi="宋体" w:eastAsia="宋体" w:cs="宋体"/>
          <w:b/>
          <w:color w:val="auto"/>
          <w:sz w:val="28"/>
          <w:szCs w:val="28"/>
          <w:highlight w:val="none"/>
          <w:lang w:val="zh-CN"/>
        </w:rPr>
      </w:pPr>
      <w:r>
        <w:rPr>
          <w:rFonts w:hint="eastAsia" w:ascii="宋体" w:hAnsi="宋体" w:eastAsia="宋体" w:cs="宋体"/>
          <w:b/>
          <w:color w:val="auto"/>
          <w:sz w:val="28"/>
          <w:szCs w:val="28"/>
          <w:highlight w:val="none"/>
          <w:lang w:val="zh-CN"/>
        </w:rPr>
        <w:t>9.是否采用电子招标投标</w:t>
      </w:r>
    </w:p>
    <w:p w14:paraId="28120B87">
      <w:pPr>
        <w:keepNext w:val="0"/>
        <w:keepLines w:val="0"/>
        <w:pageBreakBefore w:val="0"/>
        <w:widowControl w:val="0"/>
        <w:tabs>
          <w:tab w:val="left" w:pos="760"/>
        </w:tabs>
        <w:kinsoku/>
        <w:wordWrap w:val="0"/>
        <w:overflowPunct/>
        <w:topLinePunct w:val="0"/>
        <w:autoSpaceDE/>
        <w:autoSpaceDN/>
        <w:bidi w:val="0"/>
        <w:spacing w:line="440" w:lineRule="exact"/>
        <w:ind w:firstLine="480" w:firstLineChars="200"/>
        <w:jc w:val="left"/>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本招标项目是否采用电子招标投标方式，见供应商须知前附表。</w:t>
      </w:r>
    </w:p>
    <w:p w14:paraId="6F1E60E2">
      <w:pPr>
        <w:keepNext w:val="0"/>
        <w:keepLines w:val="0"/>
        <w:pageBreakBefore w:val="0"/>
        <w:widowControl w:val="0"/>
        <w:kinsoku/>
        <w:wordWrap w:val="0"/>
        <w:overflowPunct/>
        <w:topLinePunct w:val="0"/>
        <w:autoSpaceDE/>
        <w:autoSpaceDN/>
        <w:bidi w:val="0"/>
        <w:adjustRightInd w:val="0"/>
        <w:spacing w:line="440" w:lineRule="exact"/>
        <w:jc w:val="left"/>
        <w:textAlignment w:val="auto"/>
        <w:rPr>
          <w:rFonts w:hint="eastAsia" w:ascii="宋体" w:hAnsi="宋体" w:eastAsia="宋体" w:cs="宋体"/>
          <w:b/>
          <w:color w:val="auto"/>
          <w:sz w:val="28"/>
          <w:szCs w:val="28"/>
          <w:highlight w:val="none"/>
          <w:lang w:val="zh-CN"/>
        </w:rPr>
      </w:pPr>
      <w:r>
        <w:rPr>
          <w:rFonts w:hint="eastAsia" w:ascii="宋体" w:hAnsi="宋体" w:eastAsia="宋体" w:cs="宋体"/>
          <w:b/>
          <w:color w:val="auto"/>
          <w:sz w:val="28"/>
          <w:szCs w:val="28"/>
          <w:highlight w:val="none"/>
          <w:lang w:val="zh-CN"/>
        </w:rPr>
        <w:t>10.需要补充的其他内容</w:t>
      </w:r>
    </w:p>
    <w:p w14:paraId="3739FDD9">
      <w:pPr>
        <w:keepNext w:val="0"/>
        <w:keepLines w:val="0"/>
        <w:pageBreakBefore w:val="0"/>
        <w:widowControl w:val="0"/>
        <w:kinsoku/>
        <w:wordWrap w:val="0"/>
        <w:overflowPunct/>
        <w:topLinePunct w:val="0"/>
        <w:autoSpaceDE/>
        <w:autoSpaceDN/>
        <w:bidi w:val="0"/>
        <w:adjustRightInd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zh-CN"/>
        </w:rPr>
        <w:t>需要补充的其他内容：见供应商须知前附表</w:t>
      </w:r>
    </w:p>
    <w:p w14:paraId="1FCD129D">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b/>
          <w:color w:val="auto"/>
          <w:sz w:val="28"/>
          <w:szCs w:val="28"/>
          <w:highlight w:val="none"/>
        </w:rPr>
      </w:pPr>
      <w:r>
        <w:rPr>
          <w:rFonts w:hint="eastAsia" w:ascii="宋体" w:hAnsi="宋体" w:eastAsia="宋体" w:cs="宋体"/>
          <w:b/>
          <w:color w:val="auto"/>
          <w:kern w:val="0"/>
          <w:sz w:val="28"/>
          <w:szCs w:val="28"/>
          <w:highlight w:val="none"/>
        </w:rPr>
        <w:t>1</w:t>
      </w:r>
      <w:r>
        <w:rPr>
          <w:rFonts w:hint="eastAsia" w:ascii="宋体" w:hAnsi="宋体" w:eastAsia="宋体" w:cs="宋体"/>
          <w:b/>
          <w:color w:val="auto"/>
          <w:sz w:val="28"/>
          <w:szCs w:val="28"/>
          <w:highlight w:val="none"/>
          <w:lang w:val="zh-CN"/>
        </w:rPr>
        <w:t>1. 重新招标及采购方式变更</w:t>
      </w:r>
    </w:p>
    <w:p w14:paraId="6F75679D">
      <w:pPr>
        <w:keepNext w:val="0"/>
        <w:keepLines w:val="0"/>
        <w:pageBreakBefore w:val="0"/>
        <w:widowControl w:val="0"/>
        <w:kinsoku/>
        <w:wordWrap w:val="0"/>
        <w:overflowPunct/>
        <w:topLinePunct w:val="0"/>
        <w:autoSpaceDE/>
        <w:autoSpaceDN/>
        <w:bidi w:val="0"/>
        <w:spacing w:line="440" w:lineRule="exact"/>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公开招标数额标准以上的采购项目，投标截止后</w:t>
      </w:r>
      <w:r>
        <w:rPr>
          <w:rFonts w:hint="eastAsia" w:ascii="宋体" w:hAnsi="宋体" w:eastAsia="宋体" w:cs="宋体"/>
          <w:color w:val="auto"/>
          <w:kern w:val="0"/>
          <w:sz w:val="24"/>
          <w:szCs w:val="24"/>
          <w:highlight w:val="none"/>
          <w:lang w:eastAsia="zh-CN"/>
        </w:rPr>
        <w:t>供应商</w:t>
      </w:r>
      <w:r>
        <w:rPr>
          <w:rFonts w:hint="eastAsia" w:ascii="宋体" w:hAnsi="宋体" w:eastAsia="宋体" w:cs="宋体"/>
          <w:color w:val="auto"/>
          <w:kern w:val="0"/>
          <w:sz w:val="24"/>
          <w:szCs w:val="24"/>
          <w:highlight w:val="none"/>
        </w:rPr>
        <w:t>不足3家或者通过资格审查或符合性审查的</w:t>
      </w:r>
      <w:r>
        <w:rPr>
          <w:rFonts w:hint="eastAsia" w:ascii="宋体" w:hAnsi="宋体" w:eastAsia="宋体" w:cs="宋体"/>
          <w:color w:val="auto"/>
          <w:kern w:val="0"/>
          <w:sz w:val="24"/>
          <w:szCs w:val="24"/>
          <w:highlight w:val="none"/>
          <w:lang w:eastAsia="zh-CN"/>
        </w:rPr>
        <w:t>供应商</w:t>
      </w:r>
      <w:r>
        <w:rPr>
          <w:rFonts w:hint="eastAsia" w:ascii="宋体" w:hAnsi="宋体" w:eastAsia="宋体" w:cs="宋体"/>
          <w:color w:val="auto"/>
          <w:kern w:val="0"/>
          <w:sz w:val="24"/>
          <w:szCs w:val="24"/>
          <w:highlight w:val="none"/>
        </w:rPr>
        <w:t>不足3家的，除采购任务取消情形外，按照以下方式处理：</w:t>
      </w:r>
    </w:p>
    <w:p w14:paraId="459C5BDD">
      <w:pPr>
        <w:keepNext w:val="0"/>
        <w:keepLines w:val="0"/>
        <w:pageBreakBefore w:val="0"/>
        <w:widowControl w:val="0"/>
        <w:kinsoku/>
        <w:wordWrap w:val="0"/>
        <w:overflowPunct/>
        <w:topLinePunct w:val="0"/>
        <w:autoSpaceDE/>
        <w:autoSpaceDN/>
        <w:bidi w:val="0"/>
        <w:spacing w:line="440" w:lineRule="exact"/>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 采用公开招标采购的项目，如果</w:t>
      </w:r>
      <w:r>
        <w:rPr>
          <w:rFonts w:hint="eastAsia" w:ascii="宋体" w:hAnsi="宋体" w:eastAsia="宋体" w:cs="宋体"/>
          <w:bCs/>
          <w:color w:val="auto"/>
          <w:sz w:val="24"/>
          <w:szCs w:val="24"/>
          <w:highlight w:val="none"/>
        </w:rPr>
        <w:t>招标</w:t>
      </w:r>
      <w:r>
        <w:rPr>
          <w:rFonts w:hint="eastAsia" w:ascii="宋体" w:hAnsi="宋体" w:eastAsia="宋体" w:cs="宋体"/>
          <w:color w:val="auto"/>
          <w:kern w:val="0"/>
          <w:sz w:val="24"/>
          <w:szCs w:val="24"/>
          <w:highlight w:val="none"/>
        </w:rPr>
        <w:t>文件存在不合理条款或者招标程序不符合规定的，采购人、采购代理机构改正后依法重新招标；如果招标文件没有不合理条款、招标程序符合规定，需要采用其他采购方式采购的，采购人应当依法报财政部门批准。</w:t>
      </w:r>
    </w:p>
    <w:p w14:paraId="0921E201">
      <w:pPr>
        <w:keepNext w:val="0"/>
        <w:keepLines w:val="0"/>
        <w:pageBreakBefore w:val="0"/>
        <w:widowControl w:val="0"/>
        <w:kinsoku/>
        <w:wordWrap w:val="0"/>
        <w:overflowPunct/>
        <w:topLinePunct w:val="0"/>
        <w:autoSpaceDE/>
        <w:autoSpaceDN/>
        <w:bidi w:val="0"/>
        <w:spacing w:line="4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（2）采用竞争性谈判方式采购的项目，如果</w:t>
      </w:r>
      <w:r>
        <w:rPr>
          <w:rFonts w:hint="eastAsia" w:ascii="宋体" w:hAnsi="宋体" w:eastAsia="宋体" w:cs="宋体"/>
          <w:color w:val="auto"/>
          <w:kern w:val="0"/>
          <w:sz w:val="24"/>
          <w:szCs w:val="24"/>
          <w:highlight w:val="none"/>
        </w:rPr>
        <w:t>公开招标的货物、服务采购项目，在招标过程中提交投标文件或者经评审实质性响应招标文件要求的</w:t>
      </w:r>
      <w:r>
        <w:rPr>
          <w:rFonts w:hint="eastAsia" w:ascii="宋体" w:hAnsi="宋体" w:eastAsia="宋体" w:cs="宋体"/>
          <w:color w:val="auto"/>
          <w:kern w:val="0"/>
          <w:sz w:val="24"/>
          <w:szCs w:val="24"/>
          <w:highlight w:val="none"/>
          <w:lang w:eastAsia="zh-CN"/>
        </w:rPr>
        <w:t>供应商</w:t>
      </w:r>
      <w:r>
        <w:rPr>
          <w:rFonts w:hint="eastAsia" w:ascii="宋体" w:hAnsi="宋体" w:eastAsia="宋体" w:cs="宋体"/>
          <w:color w:val="auto"/>
          <w:kern w:val="0"/>
          <w:sz w:val="24"/>
          <w:szCs w:val="24"/>
          <w:highlight w:val="none"/>
        </w:rPr>
        <w:t>只有两家时，采购人拟采用非招标采购方式</w:t>
      </w:r>
      <w:r>
        <w:rPr>
          <w:rFonts w:hint="eastAsia" w:ascii="宋体" w:hAnsi="宋体" w:eastAsia="宋体" w:cs="宋体"/>
          <w:color w:val="auto"/>
          <w:sz w:val="24"/>
          <w:szCs w:val="24"/>
          <w:highlight w:val="none"/>
        </w:rPr>
        <w:t>竞争性谈判</w:t>
      </w:r>
      <w:r>
        <w:rPr>
          <w:rFonts w:hint="eastAsia" w:ascii="宋体" w:hAnsi="宋体" w:eastAsia="宋体" w:cs="宋体"/>
          <w:color w:val="auto"/>
          <w:kern w:val="0"/>
          <w:sz w:val="24"/>
          <w:szCs w:val="24"/>
          <w:highlight w:val="none"/>
        </w:rPr>
        <w:t>的，采购人应当在采购活动开始前，经主管预算单位同意后，向设区的市、自治州以上人民政府财政部门申请批准后可以与该两家</w:t>
      </w:r>
      <w:r>
        <w:rPr>
          <w:rFonts w:hint="eastAsia" w:ascii="宋体" w:hAnsi="宋体" w:eastAsia="宋体" w:cs="宋体"/>
          <w:color w:val="auto"/>
          <w:kern w:val="0"/>
          <w:sz w:val="24"/>
          <w:szCs w:val="24"/>
          <w:highlight w:val="none"/>
          <w:lang w:eastAsia="zh-CN"/>
        </w:rPr>
        <w:t>供应商</w:t>
      </w:r>
      <w:r>
        <w:rPr>
          <w:rFonts w:hint="eastAsia" w:ascii="宋体" w:hAnsi="宋体" w:eastAsia="宋体" w:cs="宋体"/>
          <w:color w:val="auto"/>
          <w:kern w:val="0"/>
          <w:sz w:val="24"/>
          <w:szCs w:val="24"/>
          <w:highlight w:val="none"/>
        </w:rPr>
        <w:t>进行竞争性谈判采购，采购人、采购代理机构应当根据采购需求编制</w:t>
      </w:r>
      <w:r>
        <w:rPr>
          <w:rFonts w:hint="eastAsia" w:ascii="宋体" w:hAnsi="宋体" w:eastAsia="宋体" w:cs="宋体"/>
          <w:color w:val="auto"/>
          <w:kern w:val="0"/>
          <w:sz w:val="24"/>
          <w:szCs w:val="24"/>
          <w:highlight w:val="none"/>
          <w:lang w:eastAsia="zh-CN"/>
        </w:rPr>
        <w:t>谈判文件</w:t>
      </w:r>
      <w:r>
        <w:rPr>
          <w:rFonts w:hint="eastAsia" w:ascii="宋体" w:hAnsi="宋体" w:eastAsia="宋体" w:cs="宋体"/>
          <w:color w:val="auto"/>
          <w:kern w:val="0"/>
          <w:sz w:val="24"/>
          <w:szCs w:val="24"/>
          <w:highlight w:val="none"/>
        </w:rPr>
        <w:t>，成立谈判小组，由谈判小组对</w:t>
      </w:r>
      <w:r>
        <w:rPr>
          <w:rFonts w:hint="eastAsia" w:ascii="宋体" w:hAnsi="宋体" w:eastAsia="宋体" w:cs="宋体"/>
          <w:color w:val="auto"/>
          <w:kern w:val="0"/>
          <w:sz w:val="24"/>
          <w:szCs w:val="24"/>
          <w:highlight w:val="none"/>
          <w:lang w:eastAsia="zh-CN"/>
        </w:rPr>
        <w:t>谈判文件</w:t>
      </w:r>
      <w:r>
        <w:rPr>
          <w:rFonts w:hint="eastAsia" w:ascii="宋体" w:hAnsi="宋体" w:eastAsia="宋体" w:cs="宋体"/>
          <w:color w:val="auto"/>
          <w:kern w:val="0"/>
          <w:sz w:val="24"/>
          <w:szCs w:val="24"/>
          <w:highlight w:val="none"/>
        </w:rPr>
        <w:t>进行确认。符合本款情形的</w:t>
      </w:r>
      <w:r>
        <w:rPr>
          <w:rFonts w:hint="eastAsia" w:ascii="宋体" w:hAnsi="宋体" w:eastAsia="宋体" w:cs="宋体"/>
          <w:color w:val="auto"/>
          <w:kern w:val="0"/>
          <w:sz w:val="24"/>
          <w:szCs w:val="24"/>
          <w:highlight w:val="none"/>
          <w:lang w:eastAsia="zh-CN"/>
        </w:rPr>
        <w:t>供应商</w:t>
      </w:r>
      <w:r>
        <w:rPr>
          <w:rFonts w:hint="eastAsia" w:ascii="宋体" w:hAnsi="宋体" w:eastAsia="宋体" w:cs="宋体"/>
          <w:color w:val="auto"/>
          <w:kern w:val="0"/>
          <w:sz w:val="24"/>
          <w:szCs w:val="24"/>
          <w:highlight w:val="none"/>
        </w:rPr>
        <w:t>最低数量可以为两家。</w:t>
      </w:r>
    </w:p>
    <w:p w14:paraId="13072017">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（3）采用单一来源方式采购的项目，如果</w:t>
      </w:r>
      <w:r>
        <w:rPr>
          <w:rFonts w:hint="eastAsia" w:ascii="宋体" w:hAnsi="宋体" w:eastAsia="宋体" w:cs="宋体"/>
          <w:color w:val="auto"/>
          <w:kern w:val="0"/>
          <w:sz w:val="24"/>
          <w:szCs w:val="24"/>
          <w:highlight w:val="none"/>
        </w:rPr>
        <w:t>公开招标的货物、服务采购项目，在招标过程中提交投标文件或者经评审实质性响应招标文件要求的</w:t>
      </w:r>
      <w:r>
        <w:rPr>
          <w:rFonts w:hint="eastAsia" w:ascii="宋体" w:hAnsi="宋体" w:eastAsia="宋体" w:cs="宋体"/>
          <w:color w:val="auto"/>
          <w:kern w:val="0"/>
          <w:sz w:val="24"/>
          <w:szCs w:val="24"/>
          <w:highlight w:val="none"/>
          <w:lang w:eastAsia="zh-CN"/>
        </w:rPr>
        <w:t>供应商</w:t>
      </w:r>
      <w:r>
        <w:rPr>
          <w:rFonts w:hint="eastAsia" w:ascii="宋体" w:hAnsi="宋体" w:eastAsia="宋体" w:cs="宋体"/>
          <w:color w:val="auto"/>
          <w:kern w:val="0"/>
          <w:sz w:val="24"/>
          <w:szCs w:val="24"/>
          <w:highlight w:val="none"/>
        </w:rPr>
        <w:t>只有一家时，</w:t>
      </w:r>
      <w:r>
        <w:rPr>
          <w:rFonts w:hint="eastAsia" w:ascii="宋体" w:hAnsi="宋体" w:eastAsia="宋体" w:cs="宋体"/>
          <w:color w:val="auto"/>
          <w:sz w:val="24"/>
          <w:szCs w:val="24"/>
          <w:highlight w:val="none"/>
        </w:rPr>
        <w:t>不得直接变更为单一来源方式采购，</w:t>
      </w:r>
      <w:r>
        <w:rPr>
          <w:rFonts w:hint="eastAsia" w:ascii="宋体" w:hAnsi="宋体" w:eastAsia="宋体" w:cs="宋体"/>
          <w:color w:val="auto"/>
          <w:kern w:val="0"/>
          <w:sz w:val="24"/>
          <w:szCs w:val="24"/>
          <w:highlight w:val="none"/>
        </w:rPr>
        <w:t>采购人拟采用非招标采购方式</w:t>
      </w:r>
      <w:r>
        <w:rPr>
          <w:rFonts w:hint="eastAsia" w:ascii="宋体" w:hAnsi="宋体" w:eastAsia="宋体" w:cs="宋体"/>
          <w:color w:val="auto"/>
          <w:sz w:val="24"/>
          <w:szCs w:val="24"/>
          <w:highlight w:val="none"/>
        </w:rPr>
        <w:t>单一来源</w:t>
      </w:r>
      <w:r>
        <w:rPr>
          <w:rFonts w:hint="eastAsia" w:ascii="宋体" w:hAnsi="宋体" w:eastAsia="宋体" w:cs="宋体"/>
          <w:color w:val="auto"/>
          <w:kern w:val="0"/>
          <w:sz w:val="24"/>
          <w:szCs w:val="24"/>
          <w:highlight w:val="none"/>
        </w:rPr>
        <w:t>的，采购人、采购代理机构应当先做废标处理，然后经主管预算单位同意后，向设区的市、自治州以上人民政府财政部门申请批准前在省级以上财政部门指定媒体上公示，并将公示情况一并报财政部门，公示期不得少于5个工作日。</w:t>
      </w:r>
    </w:p>
    <w:p w14:paraId="0F8F520A">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b/>
          <w:bCs/>
          <w:color w:val="auto"/>
          <w:sz w:val="24"/>
          <w:szCs w:val="24"/>
          <w:highlight w:val="none"/>
        </w:rPr>
      </w:pPr>
      <w:r>
        <w:rPr>
          <w:rFonts w:hint="eastAsia" w:ascii="宋体" w:hAnsi="宋体" w:eastAsia="宋体" w:cs="宋体"/>
          <w:b/>
          <w:color w:val="auto"/>
          <w:sz w:val="28"/>
          <w:szCs w:val="28"/>
          <w:highlight w:val="none"/>
        </w:rPr>
        <w:t>12.</w:t>
      </w:r>
      <w:r>
        <w:rPr>
          <w:rFonts w:hint="eastAsia" w:ascii="宋体" w:hAnsi="宋体" w:eastAsia="宋体" w:cs="宋体"/>
          <w:b/>
          <w:bCs/>
          <w:color w:val="auto"/>
          <w:sz w:val="28"/>
          <w:szCs w:val="28"/>
          <w:highlight w:val="none"/>
        </w:rPr>
        <w:t>质疑</w:t>
      </w:r>
    </w:p>
    <w:p w14:paraId="3A261272">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 xml:space="preserve">.1 </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对采购活动及有关事项有质疑的，可以向采购人或采购代理机构提出询问或质疑，但应符合相关法律法规的规定。</w:t>
      </w:r>
    </w:p>
    <w:p w14:paraId="65F8AB3D">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认为采购文件、采购过程和中标、成交结果使自己的权益受到损害的，可以在知道或者应知其权益受到损害之日起七个工作日内，</w:t>
      </w:r>
      <w:r>
        <w:rPr>
          <w:rFonts w:hint="eastAsia" w:ascii="宋体" w:hAnsi="宋体" w:eastAsia="宋体" w:cs="宋体"/>
          <w:color w:val="auto"/>
          <w:sz w:val="24"/>
          <w:szCs w:val="24"/>
          <w:highlight w:val="none"/>
          <w:lang w:eastAsia="zh-CN"/>
        </w:rPr>
        <w:t>“政采云”平台(</w:t>
      </w:r>
      <w:r>
        <w:rPr>
          <w:rFonts w:hint="eastAsia" w:ascii="宋体" w:hAnsi="宋体" w:cs="宋体"/>
          <w:color w:val="auto"/>
          <w:sz w:val="24"/>
          <w:szCs w:val="24"/>
          <w:highlight w:val="none"/>
          <w:lang w:eastAsia="zh-CN"/>
        </w:rPr>
        <w:t>https://www.zcygov.cn</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提问的形式向采购人或采购代理机构提出质疑，并在法定质疑期内一次性提出针对同一采购程序环节的质疑，同时将书面质疑送至采购人或采购代理机构。网站质疑和书面质疑均应在质疑期内送至采购人或采购代理机构，否则采购人或采购代理机构视其质疑为无效，接收质疑函的联系部门、联系电话和通讯地址等信息详见招标公告中的采购人信息或采购代理机构信息。</w:t>
      </w:r>
    </w:p>
    <w:p w14:paraId="418EEC0C">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.3 采购人或采购代理机构应在收到</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网站质疑和书面质疑后七个工作日内作出答复，</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应自主在网上查看，同时通知质疑</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领取书面回复和通知其他有关</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，但回复内容不涉及商业秘密。</w:t>
      </w:r>
    </w:p>
    <w:p w14:paraId="7D276F00">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.4 对采购代理机构提出质疑的，若质疑内容超出招标代理范围的，应明确告知质疑</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向采购人提出质疑或协调采购人答复质疑</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w:t>
      </w:r>
    </w:p>
    <w:p w14:paraId="1DD2A904">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.5</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质疑应当按照（财政部94号令）《政府采购质疑和投诉办法》规定执行，否则采购人或采购代理机构有权拒绝。</w:t>
      </w:r>
    </w:p>
    <w:p w14:paraId="636AA84A">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1</w:t>
      </w:r>
      <w:r>
        <w:rPr>
          <w:rFonts w:hint="eastAsia" w:ascii="宋体" w:hAnsi="宋体" w:eastAsia="宋体" w:cs="宋体"/>
          <w:b/>
          <w:bCs/>
          <w:color w:val="auto"/>
          <w:sz w:val="28"/>
          <w:szCs w:val="28"/>
          <w:highlight w:val="none"/>
          <w:lang w:val="en-US" w:eastAsia="zh-CN"/>
        </w:rPr>
        <w:t>3</w:t>
      </w:r>
      <w:r>
        <w:rPr>
          <w:rFonts w:hint="eastAsia" w:ascii="宋体" w:hAnsi="宋体" w:eastAsia="宋体" w:cs="宋体"/>
          <w:b/>
          <w:bCs/>
          <w:color w:val="auto"/>
          <w:sz w:val="28"/>
          <w:szCs w:val="28"/>
          <w:highlight w:val="none"/>
        </w:rPr>
        <w:t>.投诉</w:t>
      </w:r>
    </w:p>
    <w:p w14:paraId="505B4CEA">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.1 已提出质疑的</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对答复内容不满意或采购人未在规定时间内作出答复的，可以在答复期满后十五个工作日内向同级政府采购监督管理部门投诉。</w:t>
      </w:r>
    </w:p>
    <w:p w14:paraId="412AFB80">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.2 投诉应当按照（财政部94号令）《政府采购质疑和投诉办法》规定执行，否则监督部门有权拒绝受理。</w:t>
      </w:r>
    </w:p>
    <w:p w14:paraId="3BD63166">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 xml:space="preserve">.3 </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投诉事项必须与质疑事项保持一致，不得超出质疑事项范围。</w:t>
      </w:r>
    </w:p>
    <w:p w14:paraId="209D9167">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.4 监督部门受理投诉后可以进行调查取证或抄送有关单位进行质证，并在三十个工作日内对投诉事项作出处理决定，并以书面方式通知投诉人与投诉事项有关的当事人。</w:t>
      </w:r>
    </w:p>
    <w:p w14:paraId="6B86F0A3">
      <w:pPr>
        <w:keepNext w:val="0"/>
        <w:keepLines w:val="0"/>
        <w:pageBreakBefore w:val="0"/>
        <w:widowControl w:val="0"/>
        <w:kinsoku/>
        <w:wordWrap w:val="0"/>
        <w:overflowPunct/>
        <w:topLinePunct w:val="0"/>
        <w:autoSpaceDE/>
        <w:autoSpaceDN/>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13</w:t>
      </w:r>
      <w:r>
        <w:rPr>
          <w:rFonts w:hint="eastAsia" w:ascii="宋体" w:hAnsi="宋体" w:eastAsia="宋体" w:cs="宋体"/>
          <w:color w:val="auto"/>
          <w:sz w:val="24"/>
          <w:szCs w:val="24"/>
          <w:highlight w:val="none"/>
        </w:rPr>
        <w:t>.5 投诉人对政府采购监督管理部门的投诉处理决定不服或者政府采购监督管理部门逾期未作出处理的，可以依法申请行政复议或者向人民法院提起行政诉讼。</w:t>
      </w:r>
    </w:p>
    <w:p w14:paraId="14487477">
      <w:pPr>
        <w:keepNext w:val="0"/>
        <w:keepLines w:val="0"/>
        <w:pageBreakBefore w:val="0"/>
        <w:widowControl w:val="0"/>
        <w:kinsoku/>
        <w:wordWrap w:val="0"/>
        <w:overflowPunct/>
        <w:topLinePunct w:val="0"/>
        <w:autoSpaceDE/>
        <w:autoSpaceDN/>
        <w:bidi w:val="0"/>
        <w:adjustRightInd/>
        <w:snapToGrid/>
        <w:spacing w:line="440" w:lineRule="exact"/>
        <w:textAlignment w:val="auto"/>
        <w:rPr>
          <w:rFonts w:hint="eastAsia" w:ascii="宋体" w:hAnsi="宋体" w:eastAsia="宋体" w:cs="宋体"/>
          <w:b/>
          <w:bCs/>
          <w:color w:val="auto"/>
          <w:sz w:val="28"/>
          <w:szCs w:val="28"/>
          <w:highlight w:val="none"/>
          <w:lang w:eastAsia="zh-CN"/>
        </w:rPr>
      </w:pPr>
      <w:r>
        <w:rPr>
          <w:rFonts w:hint="eastAsia" w:ascii="宋体" w:hAnsi="宋体" w:eastAsia="宋体" w:cs="宋体"/>
          <w:b/>
          <w:bCs/>
          <w:color w:val="auto"/>
          <w:sz w:val="28"/>
          <w:szCs w:val="28"/>
          <w:highlight w:val="none"/>
        </w:rPr>
        <w:t>1</w:t>
      </w:r>
      <w:r>
        <w:rPr>
          <w:rFonts w:hint="eastAsia" w:ascii="宋体" w:hAnsi="宋体" w:eastAsia="宋体" w:cs="宋体"/>
          <w:b/>
          <w:bCs/>
          <w:color w:val="auto"/>
          <w:sz w:val="28"/>
          <w:szCs w:val="28"/>
          <w:highlight w:val="none"/>
          <w:lang w:val="en-US" w:eastAsia="zh-CN"/>
        </w:rPr>
        <w:t>4</w:t>
      </w:r>
      <w:r>
        <w:rPr>
          <w:rFonts w:hint="eastAsia" w:ascii="宋体" w:hAnsi="宋体" w:eastAsia="宋体" w:cs="宋体"/>
          <w:b/>
          <w:bCs/>
          <w:color w:val="auto"/>
          <w:sz w:val="28"/>
          <w:szCs w:val="28"/>
          <w:highlight w:val="none"/>
        </w:rPr>
        <w:t>.</w:t>
      </w:r>
      <w:r>
        <w:rPr>
          <w:rFonts w:hint="eastAsia" w:ascii="宋体" w:hAnsi="宋体" w:eastAsia="宋体" w:cs="宋体"/>
          <w:b/>
          <w:bCs/>
          <w:color w:val="auto"/>
          <w:sz w:val="28"/>
          <w:szCs w:val="28"/>
          <w:highlight w:val="none"/>
          <w:lang w:eastAsia="zh-CN"/>
        </w:rPr>
        <w:t>验收</w:t>
      </w:r>
    </w:p>
    <w:p w14:paraId="6EBA7F10">
      <w:pPr>
        <w:pageBreakBefore w:val="0"/>
        <w:widowControl/>
        <w:kinsoku/>
        <w:wordWrap/>
        <w:overflowPunct/>
        <w:topLinePunct w:val="0"/>
        <w:bidi w:val="0"/>
        <w:adjustRightInd/>
        <w:snapToGrid/>
        <w:spacing w:line="288" w:lineRule="auto"/>
        <w:jc w:val="both"/>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采购人应当及时对采购项目进行验收。采购人可以邀请参加本项目的其他</w:t>
      </w:r>
      <w:r>
        <w:rPr>
          <w:rFonts w:hint="eastAsia" w:ascii="宋体" w:hAnsi="宋体" w:eastAsia="宋体" w:cs="宋体"/>
          <w:color w:val="auto"/>
          <w:kern w:val="0"/>
          <w:sz w:val="24"/>
          <w:szCs w:val="24"/>
          <w:highlight w:val="none"/>
          <w:lang w:eastAsia="zh-CN"/>
        </w:rPr>
        <w:t>供应商</w:t>
      </w:r>
      <w:r>
        <w:rPr>
          <w:rFonts w:hint="eastAsia" w:ascii="宋体" w:hAnsi="宋体" w:eastAsia="宋体" w:cs="宋体"/>
          <w:color w:val="auto"/>
          <w:kern w:val="0"/>
          <w:sz w:val="24"/>
          <w:szCs w:val="24"/>
          <w:highlight w:val="none"/>
        </w:rPr>
        <w:t>或者第三方机构参与验收。参与验收的</w:t>
      </w:r>
      <w:r>
        <w:rPr>
          <w:rFonts w:hint="eastAsia" w:ascii="宋体" w:hAnsi="宋体" w:eastAsia="宋体" w:cs="宋体"/>
          <w:color w:val="auto"/>
          <w:kern w:val="0"/>
          <w:sz w:val="24"/>
          <w:szCs w:val="24"/>
          <w:highlight w:val="none"/>
          <w:lang w:eastAsia="zh-CN"/>
        </w:rPr>
        <w:t>供应商</w:t>
      </w:r>
      <w:r>
        <w:rPr>
          <w:rFonts w:hint="eastAsia" w:ascii="宋体" w:hAnsi="宋体" w:eastAsia="宋体" w:cs="宋体"/>
          <w:color w:val="auto"/>
          <w:kern w:val="0"/>
          <w:sz w:val="24"/>
          <w:szCs w:val="24"/>
          <w:highlight w:val="none"/>
        </w:rPr>
        <w:t>或者第三方机构的意见作为验收书的参考资料一并存档</w:t>
      </w:r>
      <w:r>
        <w:rPr>
          <w:rFonts w:hint="eastAsia" w:ascii="宋体" w:hAnsi="宋体" w:eastAsia="宋体" w:cs="宋体"/>
          <w:color w:val="auto"/>
          <w:kern w:val="0"/>
          <w:sz w:val="24"/>
          <w:szCs w:val="24"/>
          <w:highlight w:val="none"/>
          <w:lang w:eastAsia="zh-CN"/>
        </w:rPr>
        <w:t>。</w:t>
      </w:r>
    </w:p>
    <w:p w14:paraId="734E4FC1">
      <w:pPr>
        <w:rPr>
          <w:rFonts w:hint="eastAsia" w:ascii="宋体" w:hAnsi="宋体" w:eastAsia="宋体" w:cs="宋体"/>
          <w:color w:val="auto"/>
          <w:highlight w:val="none"/>
        </w:rPr>
      </w:pPr>
      <w:bookmarkStart w:id="13" w:name="_Toc98580422"/>
      <w:bookmarkStart w:id="14" w:name="_Toc24696155"/>
      <w:r>
        <w:rPr>
          <w:rFonts w:hint="eastAsia" w:ascii="宋体" w:hAnsi="宋体" w:eastAsia="宋体" w:cs="宋体"/>
          <w:color w:val="auto"/>
          <w:sz w:val="21"/>
          <w:szCs w:val="21"/>
          <w:highlight w:val="none"/>
        </w:rPr>
        <w:br w:type="page"/>
      </w:r>
    </w:p>
    <w:p w14:paraId="50E9D6AB">
      <w:pPr>
        <w:rPr>
          <w:rFonts w:hint="eastAsia" w:ascii="宋体" w:hAnsi="宋体" w:eastAsia="宋体" w:cs="宋体"/>
          <w:color w:val="auto"/>
          <w:highlight w:val="none"/>
        </w:rPr>
      </w:pPr>
    </w:p>
    <w:p w14:paraId="346ED682">
      <w:pPr>
        <w:pStyle w:val="3"/>
        <w:spacing w:before="0" w:after="0" w:line="360" w:lineRule="auto"/>
        <w:jc w:val="center"/>
        <w:rPr>
          <w:rFonts w:hint="eastAsia" w:ascii="宋体" w:hAnsi="宋体" w:eastAsia="宋体" w:cs="宋体"/>
          <w:color w:val="auto"/>
          <w:sz w:val="30"/>
          <w:szCs w:val="30"/>
          <w:highlight w:val="none"/>
        </w:rPr>
      </w:pPr>
      <w:bookmarkStart w:id="15" w:name="_Toc8440"/>
      <w:r>
        <w:rPr>
          <w:rFonts w:hint="eastAsia" w:ascii="宋体" w:hAnsi="宋体" w:eastAsia="宋体" w:cs="宋体"/>
          <w:color w:val="auto"/>
          <w:highlight w:val="none"/>
        </w:rPr>
        <w:t>第三部分  评标办法</w:t>
      </w:r>
      <w:bookmarkEnd w:id="15"/>
    </w:p>
    <w:p w14:paraId="0CE2DA21">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按照国家相关部门的规定，遵循公开、公平、公正和诚实信用的原则，结合本招标项目的实际情况，制定本招标项目评标办法。</w:t>
      </w:r>
    </w:p>
    <w:p w14:paraId="3EFB9D31">
      <w:pPr>
        <w:spacing w:line="440" w:lineRule="exact"/>
        <w:jc w:val="both"/>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一、评标程序</w:t>
      </w:r>
    </w:p>
    <w:p w14:paraId="22427CA5">
      <w:pPr>
        <w:spacing w:line="440" w:lineRule="exac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（一）组成评标委员会</w:t>
      </w:r>
    </w:p>
    <w:p w14:paraId="7F23EC84">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按照国家有关部委及省、市的相关规定，从专家库中随机抽取技术、经济等方面的专家共5人组成评标委员会（以下简称“评委会”）。为保证评标工作的顺利进行，推荐一名评委担任评委会主任，负责评标全面工作。</w:t>
      </w:r>
    </w:p>
    <w:p w14:paraId="58E660EE">
      <w:pPr>
        <w:pStyle w:val="88"/>
        <w:spacing w:line="440" w:lineRule="exac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（二）评审方法：综合评分法</w:t>
      </w:r>
    </w:p>
    <w:p w14:paraId="3D1C19FD">
      <w:pPr>
        <w:spacing w:line="440" w:lineRule="exact"/>
        <w:ind w:firstLine="480" w:firstLineChars="200"/>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综合评分法，是指投标文件满足招标文件全部实质性要求，且按照评审因素的量化指标评审得分最高的供应商为中标候选人的评标方法。</w:t>
      </w:r>
    </w:p>
    <w:p w14:paraId="1B52666F">
      <w:pPr>
        <w:pStyle w:val="88"/>
        <w:spacing w:line="440" w:lineRule="exac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（三）评标工作</w:t>
      </w:r>
    </w:p>
    <w:p w14:paraId="741A90B3">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评标本着客观公正、公平竞争、择优推荐、规范合法的原则进行。评标工作分为</w:t>
      </w:r>
      <w:r>
        <w:rPr>
          <w:rFonts w:hint="eastAsia" w:ascii="宋体" w:hAnsi="宋体" w:cs="宋体"/>
          <w:color w:val="auto"/>
          <w:sz w:val="24"/>
          <w:szCs w:val="24"/>
          <w:highlight w:val="none"/>
          <w:lang w:val="en-US" w:eastAsia="zh-CN"/>
        </w:rPr>
        <w:t>形式评审、</w:t>
      </w:r>
      <w:r>
        <w:rPr>
          <w:rFonts w:hint="eastAsia" w:ascii="宋体" w:hAnsi="宋体" w:eastAsia="宋体" w:cs="宋体"/>
          <w:color w:val="auto"/>
          <w:sz w:val="24"/>
          <w:szCs w:val="24"/>
          <w:highlight w:val="none"/>
        </w:rPr>
        <w:t>资格</w:t>
      </w:r>
      <w:r>
        <w:rPr>
          <w:rFonts w:hint="eastAsia" w:ascii="宋体" w:hAnsi="宋体" w:cs="宋体"/>
          <w:color w:val="auto"/>
          <w:sz w:val="24"/>
          <w:szCs w:val="24"/>
          <w:highlight w:val="none"/>
          <w:lang w:val="en-US" w:eastAsia="zh-CN"/>
        </w:rPr>
        <w:t>评审响应</w:t>
      </w:r>
      <w:r>
        <w:rPr>
          <w:rFonts w:hint="eastAsia" w:ascii="宋体" w:hAnsi="宋体" w:eastAsia="宋体" w:cs="宋体"/>
          <w:color w:val="auto"/>
          <w:sz w:val="24"/>
          <w:szCs w:val="24"/>
          <w:highlight w:val="none"/>
        </w:rPr>
        <w:t>性</w:t>
      </w:r>
      <w:r>
        <w:rPr>
          <w:rFonts w:hint="eastAsia" w:ascii="宋体" w:hAnsi="宋体" w:cs="宋体"/>
          <w:color w:val="auto"/>
          <w:sz w:val="24"/>
          <w:szCs w:val="24"/>
          <w:highlight w:val="none"/>
          <w:lang w:val="en-US" w:eastAsia="zh-CN"/>
        </w:rPr>
        <w:t>评审</w:t>
      </w:r>
      <w:r>
        <w:rPr>
          <w:rFonts w:hint="eastAsia" w:ascii="宋体" w:hAnsi="宋体" w:eastAsia="宋体" w:cs="宋体"/>
          <w:color w:val="auto"/>
          <w:sz w:val="24"/>
          <w:szCs w:val="24"/>
          <w:highlight w:val="none"/>
        </w:rPr>
        <w:t>和详细评审三个步骤。</w:t>
      </w:r>
    </w:p>
    <w:p w14:paraId="78233ADA">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cs="宋体"/>
          <w:color w:val="auto"/>
          <w:sz w:val="24"/>
          <w:szCs w:val="24"/>
          <w:highlight w:val="none"/>
          <w:lang w:val="en-US" w:eastAsia="zh-CN"/>
        </w:rPr>
        <w:t>形式</w:t>
      </w:r>
      <w:r>
        <w:rPr>
          <w:rFonts w:hint="eastAsia" w:ascii="宋体" w:hAnsi="宋体" w:eastAsia="宋体" w:cs="宋体"/>
          <w:color w:val="auto"/>
          <w:sz w:val="24"/>
          <w:szCs w:val="24"/>
          <w:highlight w:val="none"/>
        </w:rPr>
        <w:t>审查。采购人或代理机构对各供应商的</w:t>
      </w:r>
      <w:r>
        <w:rPr>
          <w:rFonts w:hint="eastAsia" w:ascii="宋体" w:hAnsi="宋体" w:cs="宋体"/>
          <w:color w:val="auto"/>
          <w:sz w:val="24"/>
          <w:szCs w:val="24"/>
          <w:highlight w:val="none"/>
          <w:lang w:val="en-US" w:eastAsia="zh-CN"/>
        </w:rPr>
        <w:t>形式</w:t>
      </w:r>
      <w:r>
        <w:rPr>
          <w:rFonts w:hint="eastAsia" w:ascii="宋体" w:hAnsi="宋体" w:eastAsia="宋体" w:cs="宋体"/>
          <w:color w:val="auto"/>
          <w:sz w:val="24"/>
          <w:szCs w:val="24"/>
          <w:highlight w:val="none"/>
        </w:rPr>
        <w:t>进行审查。</w:t>
      </w:r>
      <w:r>
        <w:rPr>
          <w:rFonts w:hint="eastAsia" w:ascii="宋体" w:hAnsi="宋体" w:cs="宋体"/>
          <w:color w:val="auto"/>
          <w:sz w:val="24"/>
          <w:szCs w:val="24"/>
          <w:highlight w:val="none"/>
          <w:lang w:val="en-US" w:eastAsia="zh-CN"/>
        </w:rPr>
        <w:t>形式</w:t>
      </w:r>
      <w:r>
        <w:rPr>
          <w:rFonts w:hint="eastAsia" w:ascii="宋体" w:hAnsi="宋体" w:eastAsia="宋体" w:cs="宋体"/>
          <w:color w:val="auto"/>
          <w:sz w:val="24"/>
          <w:szCs w:val="24"/>
          <w:highlight w:val="none"/>
        </w:rPr>
        <w:t>审查合格的供应商方可进入</w:t>
      </w:r>
      <w:r>
        <w:rPr>
          <w:rFonts w:hint="eastAsia" w:ascii="宋体" w:hAnsi="宋体" w:cs="宋体"/>
          <w:color w:val="auto"/>
          <w:sz w:val="24"/>
          <w:szCs w:val="24"/>
          <w:highlight w:val="none"/>
          <w:lang w:val="en-US" w:eastAsia="zh-CN"/>
        </w:rPr>
        <w:t>资格</w:t>
      </w:r>
      <w:r>
        <w:rPr>
          <w:rFonts w:hint="eastAsia" w:ascii="宋体" w:hAnsi="宋体" w:eastAsia="宋体" w:cs="宋体"/>
          <w:color w:val="auto"/>
          <w:sz w:val="24"/>
          <w:szCs w:val="24"/>
          <w:highlight w:val="none"/>
        </w:rPr>
        <w:t>审查。</w:t>
      </w:r>
      <w:r>
        <w:rPr>
          <w:rFonts w:hint="eastAsia" w:ascii="宋体" w:hAnsi="宋体" w:eastAsia="宋体" w:cs="宋体"/>
          <w:color w:val="auto"/>
          <w:sz w:val="24"/>
          <w:highlight w:val="none"/>
        </w:rPr>
        <w:t>不具备招标文件中规定的要求的，投标无效。合格供应商不足3家的，不得评标。</w:t>
      </w:r>
    </w:p>
    <w:p w14:paraId="30204368">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.资格审查。采购人或代理机构对各供应商的资格进行审查。资格审查合格的供应商方可进入</w:t>
      </w:r>
      <w:r>
        <w:rPr>
          <w:rFonts w:hint="eastAsia" w:ascii="宋体" w:hAnsi="宋体" w:cs="宋体"/>
          <w:color w:val="auto"/>
          <w:sz w:val="24"/>
          <w:szCs w:val="24"/>
          <w:highlight w:val="none"/>
          <w:lang w:val="en-US" w:eastAsia="zh-CN"/>
        </w:rPr>
        <w:t>响应</w:t>
      </w:r>
      <w:r>
        <w:rPr>
          <w:rFonts w:hint="eastAsia" w:ascii="宋体" w:hAnsi="宋体" w:eastAsia="宋体" w:cs="宋体"/>
          <w:color w:val="auto"/>
          <w:sz w:val="24"/>
          <w:szCs w:val="24"/>
          <w:highlight w:val="none"/>
        </w:rPr>
        <w:t>性审查。</w:t>
      </w:r>
      <w:r>
        <w:rPr>
          <w:rFonts w:hint="eastAsia" w:ascii="宋体" w:hAnsi="宋体" w:eastAsia="宋体" w:cs="宋体"/>
          <w:color w:val="auto"/>
          <w:sz w:val="24"/>
          <w:highlight w:val="none"/>
        </w:rPr>
        <w:t>不具备招标文件中规定的资格要求的，投标无效。合格供应商不足3家的，不得评标。</w:t>
      </w:r>
    </w:p>
    <w:p w14:paraId="1CFDB486">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响应</w:t>
      </w:r>
      <w:r>
        <w:rPr>
          <w:rFonts w:hint="eastAsia" w:ascii="宋体" w:hAnsi="宋体" w:eastAsia="宋体" w:cs="宋体"/>
          <w:color w:val="auto"/>
          <w:sz w:val="24"/>
          <w:szCs w:val="24"/>
          <w:highlight w:val="none"/>
        </w:rPr>
        <w:t>性审查。评委会对供应商的投标文件进行符合性审查。符合性审查合格的供应商方可进入详细评审。</w:t>
      </w:r>
      <w:r>
        <w:rPr>
          <w:rFonts w:hint="eastAsia" w:ascii="宋体" w:hAnsi="宋体" w:eastAsia="宋体" w:cs="宋体"/>
          <w:color w:val="auto"/>
          <w:sz w:val="24"/>
          <w:highlight w:val="none"/>
        </w:rPr>
        <w:t>有一项不符合的，投标无效。</w:t>
      </w:r>
    </w:p>
    <w:p w14:paraId="3180C150">
      <w:pPr>
        <w:spacing w:line="440" w:lineRule="exact"/>
        <w:ind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rPr>
        <w:t>.1</w:t>
      </w:r>
      <w:r>
        <w:rPr>
          <w:rFonts w:hint="eastAsia" w:ascii="宋体" w:hAnsi="宋体" w:eastAsia="宋体" w:cs="宋体"/>
          <w:bCs/>
          <w:color w:val="auto"/>
          <w:sz w:val="24"/>
          <w:highlight w:val="none"/>
        </w:rPr>
        <w:t>政府采购应当采购本国货物。按照财政部《政府采购进口产品管理办法》规定确需采购进口产品的，实行审核管理。经审核允许采购进口产品的，不得排斥符合要求的本国产品。在</w:t>
      </w:r>
      <w:r>
        <w:rPr>
          <w:rFonts w:hint="eastAsia" w:ascii="宋体" w:hAnsi="宋体" w:eastAsia="宋体" w:cs="宋体"/>
          <w:color w:val="auto"/>
          <w:sz w:val="24"/>
          <w:highlight w:val="none"/>
        </w:rPr>
        <w:t>招标文件</w:t>
      </w:r>
      <w:r>
        <w:rPr>
          <w:rFonts w:hint="eastAsia" w:ascii="宋体" w:hAnsi="宋体" w:eastAsia="宋体" w:cs="宋体"/>
          <w:bCs/>
          <w:color w:val="auto"/>
          <w:sz w:val="24"/>
          <w:highlight w:val="none"/>
        </w:rPr>
        <w:t>中未标明采购进口产品的，均为采购本国产品。供应商必须投标本国产品，投标进口产品的，投标无效。进口产品是指通过中国海关报关验放进入中国境内且产自关境外的产品。</w:t>
      </w:r>
    </w:p>
    <w:p w14:paraId="10E4B999">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rPr>
        <w:t>.2</w:t>
      </w:r>
      <w:r>
        <w:rPr>
          <w:rFonts w:hint="eastAsia" w:ascii="宋体" w:hAnsi="宋体" w:cs="宋体"/>
          <w:color w:val="auto"/>
          <w:sz w:val="24"/>
          <w:highlight w:val="none"/>
          <w:lang w:eastAsia="zh-CN"/>
        </w:rPr>
        <w:t>核心产品</w:t>
      </w:r>
      <w:r>
        <w:rPr>
          <w:rFonts w:hint="eastAsia" w:ascii="宋体" w:hAnsi="宋体" w:eastAsia="宋体" w:cs="宋体"/>
          <w:color w:val="auto"/>
          <w:sz w:val="24"/>
          <w:highlight w:val="none"/>
        </w:rPr>
        <w:t>提供相同品牌</w:t>
      </w:r>
      <w:r>
        <w:rPr>
          <w:rFonts w:hint="eastAsia" w:ascii="宋体" w:hAnsi="宋体" w:cs="宋体"/>
          <w:color w:val="auto"/>
          <w:sz w:val="24"/>
          <w:highlight w:val="none"/>
          <w:lang w:eastAsia="zh-CN"/>
        </w:rPr>
        <w:t>、相同型号</w:t>
      </w:r>
      <w:r>
        <w:rPr>
          <w:rFonts w:hint="eastAsia" w:ascii="宋体" w:hAnsi="宋体" w:eastAsia="宋体" w:cs="宋体"/>
          <w:color w:val="auto"/>
          <w:sz w:val="24"/>
          <w:highlight w:val="none"/>
        </w:rPr>
        <w:t>且通过资格审查、符合性审查的不同</w:t>
      </w:r>
      <w:r>
        <w:rPr>
          <w:rFonts w:hint="eastAsia" w:ascii="宋体" w:hAnsi="宋体" w:eastAsia="宋体" w:cs="宋体"/>
          <w:color w:val="auto"/>
          <w:sz w:val="24"/>
          <w:highlight w:val="none"/>
          <w:lang w:eastAsia="zh-CN"/>
        </w:rPr>
        <w:t>投标供应商</w:t>
      </w:r>
      <w:r>
        <w:rPr>
          <w:rFonts w:hint="eastAsia" w:ascii="宋体" w:hAnsi="宋体" w:eastAsia="宋体" w:cs="宋体"/>
          <w:color w:val="auto"/>
          <w:sz w:val="24"/>
          <w:highlight w:val="none"/>
        </w:rPr>
        <w:t>参加同一合同项下投标的，按一家</w:t>
      </w:r>
      <w:r>
        <w:rPr>
          <w:rFonts w:hint="eastAsia" w:ascii="宋体" w:hAnsi="宋体" w:eastAsia="宋体" w:cs="宋体"/>
          <w:color w:val="auto"/>
          <w:sz w:val="24"/>
          <w:highlight w:val="none"/>
          <w:lang w:eastAsia="zh-CN"/>
        </w:rPr>
        <w:t>投标供应商</w:t>
      </w:r>
      <w:r>
        <w:rPr>
          <w:rFonts w:hint="eastAsia" w:ascii="宋体" w:hAnsi="宋体" w:eastAsia="宋体" w:cs="宋体"/>
          <w:color w:val="auto"/>
          <w:sz w:val="24"/>
          <w:highlight w:val="none"/>
        </w:rPr>
        <w:t>计算，评审后得分最高的同品牌</w:t>
      </w:r>
      <w:r>
        <w:rPr>
          <w:rFonts w:hint="eastAsia" w:ascii="宋体" w:hAnsi="宋体" w:cs="宋体"/>
          <w:color w:val="auto"/>
          <w:sz w:val="24"/>
          <w:highlight w:val="none"/>
          <w:lang w:eastAsia="zh-CN"/>
        </w:rPr>
        <w:t>同型号</w:t>
      </w:r>
      <w:r>
        <w:rPr>
          <w:rFonts w:hint="eastAsia" w:ascii="宋体" w:hAnsi="宋体" w:eastAsia="宋体" w:cs="宋体"/>
          <w:color w:val="auto"/>
          <w:sz w:val="24"/>
          <w:highlight w:val="none"/>
          <w:lang w:eastAsia="zh-CN"/>
        </w:rPr>
        <w:t>投标供应商</w:t>
      </w:r>
      <w:r>
        <w:rPr>
          <w:rFonts w:hint="eastAsia" w:ascii="宋体" w:hAnsi="宋体" w:eastAsia="宋体" w:cs="宋体"/>
          <w:color w:val="auto"/>
          <w:sz w:val="24"/>
          <w:highlight w:val="none"/>
        </w:rPr>
        <w:t>获得中标人推荐资格；评审得分相同的，参照5.1规定确定一个</w:t>
      </w:r>
      <w:r>
        <w:rPr>
          <w:rFonts w:hint="eastAsia" w:ascii="宋体" w:hAnsi="宋体" w:eastAsia="宋体" w:cs="宋体"/>
          <w:color w:val="auto"/>
          <w:sz w:val="24"/>
          <w:highlight w:val="none"/>
          <w:lang w:eastAsia="zh-CN"/>
        </w:rPr>
        <w:t>投标供应商</w:t>
      </w:r>
      <w:r>
        <w:rPr>
          <w:rFonts w:hint="eastAsia" w:ascii="宋体" w:hAnsi="宋体" w:eastAsia="宋体" w:cs="宋体"/>
          <w:color w:val="auto"/>
          <w:sz w:val="24"/>
          <w:highlight w:val="none"/>
        </w:rPr>
        <w:t>获得中标人推荐资格，其他同品牌</w:t>
      </w:r>
      <w:r>
        <w:rPr>
          <w:rFonts w:hint="eastAsia" w:ascii="宋体" w:hAnsi="宋体" w:cs="宋体"/>
          <w:color w:val="auto"/>
          <w:sz w:val="24"/>
          <w:highlight w:val="none"/>
          <w:lang w:eastAsia="zh-CN"/>
        </w:rPr>
        <w:t>同型号</w:t>
      </w:r>
      <w:r>
        <w:rPr>
          <w:rFonts w:hint="eastAsia" w:ascii="宋体" w:hAnsi="宋体" w:eastAsia="宋体" w:cs="宋体"/>
          <w:color w:val="auto"/>
          <w:sz w:val="24"/>
          <w:highlight w:val="none"/>
          <w:lang w:eastAsia="zh-CN"/>
        </w:rPr>
        <w:t>投标供应商</w:t>
      </w:r>
      <w:r>
        <w:rPr>
          <w:rFonts w:hint="eastAsia" w:ascii="宋体" w:hAnsi="宋体" w:eastAsia="宋体" w:cs="宋体"/>
          <w:color w:val="auto"/>
          <w:sz w:val="24"/>
          <w:highlight w:val="none"/>
        </w:rPr>
        <w:t>不作为中标候选人。符合性审查后，因提供相同品牌</w:t>
      </w:r>
      <w:r>
        <w:rPr>
          <w:rFonts w:hint="eastAsia" w:ascii="宋体" w:hAnsi="宋体" w:cs="宋体"/>
          <w:color w:val="auto"/>
          <w:sz w:val="24"/>
          <w:highlight w:val="none"/>
          <w:lang w:eastAsia="zh-CN"/>
        </w:rPr>
        <w:t>、相同型号</w:t>
      </w:r>
      <w:r>
        <w:rPr>
          <w:rFonts w:hint="eastAsia" w:ascii="宋体" w:hAnsi="宋体" w:eastAsia="宋体" w:cs="宋体"/>
          <w:color w:val="auto"/>
          <w:sz w:val="24"/>
          <w:highlight w:val="none"/>
        </w:rPr>
        <w:t>产品的不同</w:t>
      </w:r>
      <w:r>
        <w:rPr>
          <w:rFonts w:hint="eastAsia" w:ascii="宋体" w:hAnsi="宋体" w:eastAsia="宋体" w:cs="宋体"/>
          <w:color w:val="auto"/>
          <w:sz w:val="24"/>
          <w:highlight w:val="none"/>
          <w:lang w:eastAsia="zh-CN"/>
        </w:rPr>
        <w:t>投标供应商</w:t>
      </w:r>
      <w:r>
        <w:rPr>
          <w:rFonts w:hint="eastAsia" w:ascii="宋体" w:hAnsi="宋体" w:eastAsia="宋体" w:cs="宋体"/>
          <w:color w:val="auto"/>
          <w:sz w:val="24"/>
          <w:highlight w:val="none"/>
        </w:rPr>
        <w:t>按一家计算而导致有效</w:t>
      </w:r>
      <w:r>
        <w:rPr>
          <w:rFonts w:hint="eastAsia" w:ascii="宋体" w:hAnsi="宋体" w:eastAsia="宋体" w:cs="宋体"/>
          <w:color w:val="auto"/>
          <w:sz w:val="24"/>
          <w:highlight w:val="none"/>
          <w:lang w:eastAsia="zh-CN"/>
        </w:rPr>
        <w:t>投标供应商</w:t>
      </w:r>
      <w:r>
        <w:rPr>
          <w:rFonts w:hint="eastAsia" w:ascii="宋体" w:hAnsi="宋体" w:eastAsia="宋体" w:cs="宋体"/>
          <w:color w:val="auto"/>
          <w:sz w:val="24"/>
          <w:highlight w:val="none"/>
        </w:rPr>
        <w:t>不足3家的，应予废标。</w:t>
      </w:r>
    </w:p>
    <w:p w14:paraId="4EC50464">
      <w:pPr>
        <w:spacing w:line="440" w:lineRule="exact"/>
        <w:ind w:firstLine="480" w:firstLineChars="200"/>
        <w:rPr>
          <w:rFonts w:hint="eastAsia" w:ascii="宋体" w:hAnsi="宋体" w:eastAsia="宋体" w:cs="宋体"/>
          <w:color w:val="auto"/>
          <w:sz w:val="24"/>
          <w:highlight w:val="none"/>
        </w:rPr>
      </w:pP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.详细评审。详细评审采用综合评分法。评委依据评标办法分别对各供应商的投标文件进行评审、赋分。如果通过资格审查和符合性审查的供应商不足三家，则采购人重新招标。</w:t>
      </w:r>
    </w:p>
    <w:p w14:paraId="0F8074EE">
      <w:pPr>
        <w:spacing w:line="440" w:lineRule="exac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（四）询标（必要时）</w:t>
      </w:r>
    </w:p>
    <w:p w14:paraId="1B912D74">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评标委员会对投标文件需要澄清的问题，采用集体询标方式进行。</w:t>
      </w:r>
    </w:p>
    <w:p w14:paraId="2D425E30">
      <w:pPr>
        <w:spacing w:line="440" w:lineRule="exac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（五）推荐中标候选人</w:t>
      </w:r>
    </w:p>
    <w:p w14:paraId="72A335AC">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5.1汇总各评委得分,</w:t>
      </w:r>
      <w:r>
        <w:rPr>
          <w:rFonts w:hint="eastAsia" w:ascii="宋体" w:hAnsi="宋体" w:eastAsia="宋体" w:cs="宋体"/>
          <w:color w:val="auto"/>
          <w:sz w:val="24"/>
          <w:highlight w:val="none"/>
          <w:lang w:eastAsia="zh-CN"/>
        </w:rPr>
        <w:t>投标供应商</w:t>
      </w:r>
      <w:r>
        <w:rPr>
          <w:rFonts w:hint="eastAsia" w:ascii="宋体" w:hAnsi="宋体" w:eastAsia="宋体" w:cs="宋体"/>
          <w:color w:val="auto"/>
          <w:sz w:val="24"/>
          <w:highlight w:val="none"/>
        </w:rPr>
        <w:t>最终得分按各位评委打分平均值计取,保留小数点后两位。评标结果按评审后得分由高到低顺序排列。得分相同的，按投标报价由低到高顺序排列。得分且投标报价相同的并列。投标文件满足招标文件全部实质性要求，且按照评审因素的量化指标评审得分最高的</w:t>
      </w:r>
      <w:r>
        <w:rPr>
          <w:rFonts w:hint="eastAsia" w:ascii="宋体" w:hAnsi="宋体" w:eastAsia="宋体" w:cs="宋体"/>
          <w:color w:val="auto"/>
          <w:sz w:val="24"/>
          <w:highlight w:val="none"/>
          <w:lang w:eastAsia="zh-CN"/>
        </w:rPr>
        <w:t>投标供应商</w:t>
      </w:r>
      <w:r>
        <w:rPr>
          <w:rFonts w:hint="eastAsia" w:ascii="宋体" w:hAnsi="宋体" w:eastAsia="宋体" w:cs="宋体"/>
          <w:color w:val="auto"/>
          <w:sz w:val="24"/>
          <w:highlight w:val="none"/>
        </w:rPr>
        <w:t>为排名第一的中标候选人。评标委员会根据综合评审结果，按照综合得分由高到低的顺序，推荐三名中标候选人，由采购人确定排名第一的供应商为中标人。</w:t>
      </w:r>
    </w:p>
    <w:p w14:paraId="239DFE07">
      <w:pPr>
        <w:spacing w:line="440" w:lineRule="exact"/>
        <w:ind w:firstLine="480" w:firstLineChars="200"/>
        <w:rPr>
          <w:rFonts w:hint="eastAsia" w:ascii="宋体" w:hAnsi="宋体" w:eastAsia="宋体" w:cs="宋体"/>
          <w:color w:val="auto"/>
          <w:highlight w:val="none"/>
        </w:rPr>
      </w:pPr>
      <w:r>
        <w:rPr>
          <w:rFonts w:hint="eastAsia" w:ascii="宋体" w:hAnsi="宋体" w:eastAsia="宋体" w:cs="宋体"/>
          <w:color w:val="auto"/>
          <w:sz w:val="24"/>
          <w:highlight w:val="none"/>
        </w:rPr>
        <w:t>5.2评标委员会成员对需要共同认定的事项存在争议的，应当按照少数服从多数的原则作出结论。持不同意见的评标委员会成员应当在评标报告上签署不同意见及理由，否则视为同意评标报告。</w:t>
      </w:r>
    </w:p>
    <w:p w14:paraId="1B4C01E4">
      <w:pPr>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br w:type="page"/>
      </w:r>
    </w:p>
    <w:p w14:paraId="25E99943">
      <w:pPr>
        <w:spacing w:line="440" w:lineRule="exact"/>
        <w:jc w:val="both"/>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二、评标办法和标准</w:t>
      </w:r>
    </w:p>
    <w:tbl>
      <w:tblPr>
        <w:tblStyle w:val="44"/>
        <w:tblW w:w="9898" w:type="dxa"/>
        <w:jc w:val="center"/>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Layout w:type="fixed"/>
        <w:tblCellMar>
          <w:top w:w="0" w:type="dxa"/>
          <w:left w:w="108" w:type="dxa"/>
          <w:bottom w:w="0" w:type="dxa"/>
          <w:right w:w="108" w:type="dxa"/>
        </w:tblCellMar>
      </w:tblPr>
      <w:tblGrid>
        <w:gridCol w:w="1088"/>
        <w:gridCol w:w="1155"/>
        <w:gridCol w:w="1755"/>
        <w:gridCol w:w="5900"/>
      </w:tblGrid>
      <w:tr w14:paraId="5E0692CD">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648" w:hRule="atLeast"/>
          <w:tblHeader/>
          <w:jc w:val="center"/>
        </w:trPr>
        <w:tc>
          <w:tcPr>
            <w:tcW w:w="2243" w:type="dxa"/>
            <w:gridSpan w:val="2"/>
            <w:tcBorders>
              <w:top w:val="single" w:color="000000" w:sz="12" w:space="0"/>
            </w:tcBorders>
            <w:noWrap w:val="0"/>
            <w:vAlign w:val="center"/>
          </w:tcPr>
          <w:p w14:paraId="43F9C38A">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条款号</w:t>
            </w:r>
          </w:p>
        </w:tc>
        <w:tc>
          <w:tcPr>
            <w:tcW w:w="1755" w:type="dxa"/>
            <w:tcBorders>
              <w:top w:val="single" w:color="000000" w:sz="12" w:space="0"/>
            </w:tcBorders>
            <w:noWrap w:val="0"/>
            <w:vAlign w:val="center"/>
          </w:tcPr>
          <w:p w14:paraId="42494259">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评审因素</w:t>
            </w:r>
          </w:p>
        </w:tc>
        <w:tc>
          <w:tcPr>
            <w:tcW w:w="5900" w:type="dxa"/>
            <w:tcBorders>
              <w:top w:val="single" w:color="000000" w:sz="12" w:space="0"/>
            </w:tcBorders>
            <w:noWrap w:val="0"/>
            <w:vAlign w:val="center"/>
          </w:tcPr>
          <w:p w14:paraId="32EA0D1B">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评审标准</w:t>
            </w:r>
          </w:p>
        </w:tc>
      </w:tr>
      <w:tr w14:paraId="12EEC3C1">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1088" w:type="dxa"/>
            <w:vMerge w:val="restart"/>
            <w:noWrap w:val="0"/>
            <w:vAlign w:val="center"/>
          </w:tcPr>
          <w:p w14:paraId="6FE79B06">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2.1.1</w:t>
            </w:r>
          </w:p>
        </w:tc>
        <w:tc>
          <w:tcPr>
            <w:tcW w:w="1155" w:type="dxa"/>
            <w:vMerge w:val="restart"/>
            <w:noWrap w:val="0"/>
            <w:vAlign w:val="center"/>
          </w:tcPr>
          <w:p w14:paraId="68023E80">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形式评审标准</w:t>
            </w:r>
          </w:p>
        </w:tc>
        <w:tc>
          <w:tcPr>
            <w:tcW w:w="1755" w:type="dxa"/>
            <w:noWrap w:val="0"/>
            <w:vAlign w:val="center"/>
          </w:tcPr>
          <w:p w14:paraId="13DE5B47">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名称</w:t>
            </w:r>
          </w:p>
        </w:tc>
        <w:tc>
          <w:tcPr>
            <w:tcW w:w="5900" w:type="dxa"/>
            <w:noWrap w:val="0"/>
            <w:vAlign w:val="center"/>
          </w:tcPr>
          <w:p w14:paraId="29CD7332">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与营业执照一致为合格，否则为不合格。</w:t>
            </w:r>
          </w:p>
        </w:tc>
      </w:tr>
      <w:tr w14:paraId="19CE08E5">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1088" w:type="dxa"/>
            <w:vMerge w:val="continue"/>
            <w:noWrap w:val="0"/>
            <w:vAlign w:val="top"/>
          </w:tcPr>
          <w:p w14:paraId="58109C85">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155" w:type="dxa"/>
            <w:vMerge w:val="continue"/>
            <w:noWrap w:val="0"/>
            <w:vAlign w:val="top"/>
          </w:tcPr>
          <w:p w14:paraId="4C116AF7">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755" w:type="dxa"/>
            <w:noWrap w:val="0"/>
            <w:vAlign w:val="center"/>
          </w:tcPr>
          <w:p w14:paraId="5CD0DEB2">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签字和盖章要求</w:t>
            </w:r>
          </w:p>
        </w:tc>
        <w:tc>
          <w:tcPr>
            <w:tcW w:w="5900" w:type="dxa"/>
            <w:noWrap w:val="0"/>
            <w:vAlign w:val="center"/>
          </w:tcPr>
          <w:p w14:paraId="122A9165">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符合招标文件规定的要求为合格，否则为不合格。</w:t>
            </w:r>
          </w:p>
        </w:tc>
      </w:tr>
      <w:tr w14:paraId="5BD41868">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961" w:hRule="atLeast"/>
          <w:jc w:val="center"/>
        </w:trPr>
        <w:tc>
          <w:tcPr>
            <w:tcW w:w="1088" w:type="dxa"/>
            <w:vMerge w:val="continue"/>
            <w:noWrap w:val="0"/>
            <w:vAlign w:val="top"/>
          </w:tcPr>
          <w:p w14:paraId="30432531">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155" w:type="dxa"/>
            <w:vMerge w:val="continue"/>
            <w:noWrap w:val="0"/>
            <w:vAlign w:val="top"/>
          </w:tcPr>
          <w:p w14:paraId="16E8F864">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755" w:type="dxa"/>
            <w:noWrap w:val="0"/>
            <w:vAlign w:val="center"/>
          </w:tcPr>
          <w:p w14:paraId="0D31E00B">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投标文件的编制</w:t>
            </w:r>
          </w:p>
        </w:tc>
        <w:tc>
          <w:tcPr>
            <w:tcW w:w="5900" w:type="dxa"/>
            <w:noWrap w:val="0"/>
            <w:vAlign w:val="center"/>
          </w:tcPr>
          <w:p w14:paraId="7B0AAFAD">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按照招标文件规定的要求编制</w:t>
            </w:r>
            <w:r>
              <w:rPr>
                <w:rFonts w:hint="eastAsia" w:ascii="宋体" w:hAnsi="宋体" w:eastAsia="宋体" w:cs="宋体"/>
                <w:bCs/>
                <w:color w:val="auto"/>
                <w:sz w:val="24"/>
                <w:szCs w:val="24"/>
                <w:highlight w:val="none"/>
              </w:rPr>
              <w:t>，内容齐全、关键字迹清晰，符合投标文件格式的要求为合格；未按</w:t>
            </w:r>
            <w:r>
              <w:rPr>
                <w:rFonts w:hint="eastAsia" w:ascii="宋体" w:hAnsi="宋体" w:eastAsia="宋体" w:cs="宋体"/>
                <w:color w:val="auto"/>
                <w:sz w:val="24"/>
                <w:szCs w:val="24"/>
                <w:highlight w:val="none"/>
              </w:rPr>
              <w:t>招标文件</w:t>
            </w:r>
            <w:r>
              <w:rPr>
                <w:rFonts w:hint="eastAsia" w:ascii="宋体" w:hAnsi="宋体" w:eastAsia="宋体" w:cs="宋体"/>
                <w:bCs/>
                <w:color w:val="auto"/>
                <w:sz w:val="24"/>
                <w:szCs w:val="24"/>
                <w:highlight w:val="none"/>
              </w:rPr>
              <w:t>规定的要求编制，内容不全或关键字迹模糊、无法辨认，不符合投标文件格式的要求为不合格。</w:t>
            </w:r>
          </w:p>
        </w:tc>
      </w:tr>
      <w:tr w14:paraId="286EA25C">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961" w:hRule="atLeast"/>
          <w:jc w:val="center"/>
        </w:trPr>
        <w:tc>
          <w:tcPr>
            <w:tcW w:w="1088" w:type="dxa"/>
            <w:vMerge w:val="continue"/>
            <w:noWrap w:val="0"/>
            <w:vAlign w:val="top"/>
          </w:tcPr>
          <w:p w14:paraId="480F238F">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155" w:type="dxa"/>
            <w:vMerge w:val="continue"/>
            <w:noWrap w:val="0"/>
            <w:vAlign w:val="top"/>
          </w:tcPr>
          <w:p w14:paraId="71669F6B">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755" w:type="dxa"/>
            <w:noWrap w:val="0"/>
            <w:vAlign w:val="center"/>
          </w:tcPr>
          <w:p w14:paraId="77B974B4">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报价唯一</w:t>
            </w:r>
          </w:p>
        </w:tc>
        <w:tc>
          <w:tcPr>
            <w:tcW w:w="5900" w:type="dxa"/>
            <w:shd w:val="clear" w:color="auto" w:fill="auto"/>
            <w:noWrap w:val="0"/>
            <w:vAlign w:val="center"/>
          </w:tcPr>
          <w:p w14:paraId="31E4B9DE">
            <w:pPr>
              <w:keepNext w:val="0"/>
              <w:keepLines w:val="0"/>
              <w:pageBreakBefore w:val="0"/>
              <w:widowControl w:val="0"/>
              <w:kinsoku/>
              <w:wordWrap/>
              <w:overflowPunct/>
              <w:topLinePunct w:val="0"/>
              <w:bidi w:val="0"/>
              <w:adjustRightInd w:val="0"/>
              <w:snapToGrid w:val="0"/>
              <w:spacing w:line="288" w:lineRule="auto"/>
              <w:jc w:val="both"/>
              <w:textAlignment w:val="baseline"/>
              <w:rPr>
                <w:rFonts w:hint="eastAsia" w:ascii="宋体" w:hAnsi="宋体" w:eastAsia="宋体" w:cs="宋体"/>
                <w:bCs/>
                <w:snapToGrid w:val="0"/>
                <w:color w:val="auto"/>
                <w:sz w:val="24"/>
                <w:szCs w:val="24"/>
                <w:highlight w:val="none"/>
                <w:lang w:val="en-US" w:eastAsia="zh-CN" w:bidi="ar-SA"/>
              </w:rPr>
            </w:pPr>
            <w:r>
              <w:rPr>
                <w:rFonts w:hint="eastAsia" w:ascii="宋体" w:hAnsi="宋体" w:eastAsia="宋体" w:cs="宋体"/>
                <w:bCs/>
                <w:snapToGrid w:val="0"/>
                <w:color w:val="auto"/>
                <w:sz w:val="24"/>
                <w:szCs w:val="24"/>
                <w:highlight w:val="none"/>
                <w:lang w:val="en-US" w:eastAsia="zh-CN" w:bidi="ar-SA"/>
              </w:rPr>
              <w:t>只能有一个有效报价，不得提交选择性报价</w:t>
            </w:r>
            <w:r>
              <w:rPr>
                <w:rFonts w:hint="eastAsia" w:ascii="宋体" w:hAnsi="宋体" w:cs="宋体"/>
                <w:bCs/>
                <w:snapToGrid w:val="0"/>
                <w:color w:val="auto"/>
                <w:sz w:val="24"/>
                <w:szCs w:val="24"/>
                <w:highlight w:val="none"/>
                <w:lang w:val="en-US" w:eastAsia="zh-CN" w:bidi="ar-SA"/>
              </w:rPr>
              <w:t>。</w:t>
            </w:r>
          </w:p>
        </w:tc>
      </w:tr>
      <w:tr w14:paraId="7068555A">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09" w:hRule="atLeast"/>
          <w:jc w:val="center"/>
        </w:trPr>
        <w:tc>
          <w:tcPr>
            <w:tcW w:w="1088" w:type="dxa"/>
            <w:vMerge w:val="continue"/>
            <w:noWrap w:val="0"/>
            <w:vAlign w:val="top"/>
          </w:tcPr>
          <w:p w14:paraId="25FB9E33">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155" w:type="dxa"/>
            <w:vMerge w:val="continue"/>
            <w:noWrap w:val="0"/>
            <w:vAlign w:val="top"/>
          </w:tcPr>
          <w:p w14:paraId="0DA1D5BC">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7655" w:type="dxa"/>
            <w:gridSpan w:val="2"/>
            <w:noWrap w:val="0"/>
            <w:vAlign w:val="center"/>
          </w:tcPr>
          <w:p w14:paraId="761A99CD">
            <w:pPr>
              <w:keepNext w:val="0"/>
              <w:keepLines w:val="0"/>
              <w:pageBreakBefore w:val="0"/>
              <w:widowControl w:val="0"/>
              <w:kinsoku/>
              <w:wordWrap w:val="0"/>
              <w:overflowPunct/>
              <w:topLinePunct w:val="0"/>
              <w:autoSpaceDE/>
              <w:autoSpaceDN/>
              <w:bidi w:val="0"/>
              <w:spacing w:line="4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上述评审因素都合格为形式评审合格，有一项不合格为</w:t>
            </w:r>
            <w:r>
              <w:rPr>
                <w:rFonts w:hint="eastAsia" w:ascii="宋体" w:hAnsi="宋体" w:eastAsia="宋体" w:cs="宋体"/>
                <w:color w:val="auto"/>
                <w:sz w:val="24"/>
                <w:szCs w:val="24"/>
                <w:highlight w:val="none"/>
                <w:lang w:val="en-US" w:eastAsia="zh-CN"/>
              </w:rPr>
              <w:t>无效投标</w:t>
            </w:r>
            <w:r>
              <w:rPr>
                <w:rFonts w:hint="eastAsia" w:ascii="宋体" w:hAnsi="宋体" w:eastAsia="宋体" w:cs="宋体"/>
                <w:color w:val="auto"/>
                <w:sz w:val="24"/>
                <w:szCs w:val="24"/>
                <w:highlight w:val="none"/>
              </w:rPr>
              <w:t>，不再进行下一步评审。</w:t>
            </w:r>
          </w:p>
        </w:tc>
      </w:tr>
      <w:tr w14:paraId="0B5D2272">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1088" w:type="dxa"/>
            <w:vMerge w:val="restart"/>
            <w:noWrap w:val="0"/>
            <w:vAlign w:val="center"/>
          </w:tcPr>
          <w:p w14:paraId="380A0BD3">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2.1.2</w:t>
            </w:r>
          </w:p>
        </w:tc>
        <w:tc>
          <w:tcPr>
            <w:tcW w:w="1155" w:type="dxa"/>
            <w:vMerge w:val="restart"/>
            <w:noWrap w:val="0"/>
            <w:vAlign w:val="center"/>
          </w:tcPr>
          <w:p w14:paraId="3ADC5041">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资格评审标准</w:t>
            </w:r>
          </w:p>
        </w:tc>
        <w:tc>
          <w:tcPr>
            <w:tcW w:w="1755" w:type="dxa"/>
            <w:noWrap w:val="0"/>
            <w:vAlign w:val="center"/>
          </w:tcPr>
          <w:p w14:paraId="5544FAF2">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营业执照</w:t>
            </w:r>
          </w:p>
        </w:tc>
        <w:tc>
          <w:tcPr>
            <w:tcW w:w="5900" w:type="dxa"/>
            <w:noWrap w:val="0"/>
            <w:vAlign w:val="center"/>
          </w:tcPr>
          <w:p w14:paraId="116D484A">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具备有效的营业执照（提供营业执照副本</w:t>
            </w:r>
            <w:r>
              <w:rPr>
                <w:rFonts w:hint="eastAsia" w:ascii="宋体" w:hAnsi="宋体" w:eastAsia="宋体" w:cs="宋体"/>
                <w:color w:val="auto"/>
                <w:sz w:val="24"/>
                <w:szCs w:val="24"/>
                <w:highlight w:val="none"/>
                <w:lang w:val="en-US" w:eastAsia="zh-CN"/>
              </w:rPr>
              <w:t>复印件</w:t>
            </w:r>
            <w:r>
              <w:rPr>
                <w:rFonts w:hint="eastAsia" w:ascii="宋体" w:hAnsi="宋体" w:eastAsia="宋体" w:cs="宋体"/>
                <w:color w:val="auto"/>
                <w:sz w:val="24"/>
                <w:szCs w:val="24"/>
                <w:highlight w:val="none"/>
              </w:rPr>
              <w:t>加盖公章）。</w:t>
            </w:r>
          </w:p>
        </w:tc>
      </w:tr>
      <w:tr w14:paraId="2D386598">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1088" w:type="dxa"/>
            <w:vMerge w:val="continue"/>
            <w:noWrap w:val="0"/>
            <w:vAlign w:val="center"/>
          </w:tcPr>
          <w:p w14:paraId="4D05C726">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rPr>
            </w:pPr>
          </w:p>
        </w:tc>
        <w:tc>
          <w:tcPr>
            <w:tcW w:w="1155" w:type="dxa"/>
            <w:vMerge w:val="continue"/>
            <w:noWrap w:val="0"/>
            <w:vAlign w:val="center"/>
          </w:tcPr>
          <w:p w14:paraId="6AB8CAFC">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rPr>
            </w:pPr>
          </w:p>
        </w:tc>
        <w:tc>
          <w:tcPr>
            <w:tcW w:w="1755" w:type="dxa"/>
            <w:noWrap w:val="0"/>
            <w:vAlign w:val="center"/>
          </w:tcPr>
          <w:p w14:paraId="4D618BFC">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医疗器械许可</w:t>
            </w:r>
          </w:p>
        </w:tc>
        <w:tc>
          <w:tcPr>
            <w:tcW w:w="5900" w:type="dxa"/>
            <w:noWrap w:val="0"/>
            <w:vAlign w:val="center"/>
          </w:tcPr>
          <w:p w14:paraId="1B14A158">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pacing w:val="0"/>
                <w:kern w:val="0"/>
                <w:sz w:val="24"/>
                <w:szCs w:val="24"/>
                <w:highlight w:val="none"/>
                <w:lang w:val="en-US" w:eastAsia="zh-CN" w:bidi="ar"/>
              </w:rPr>
              <w:t>供应商须具有《医疗器械经营许可证》或《医疗器械生产许可证》或《第二类医疗器械经营备案凭证》；</w:t>
            </w:r>
          </w:p>
        </w:tc>
      </w:tr>
      <w:tr w14:paraId="514C3A42">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1088" w:type="dxa"/>
            <w:vMerge w:val="continue"/>
            <w:noWrap w:val="0"/>
            <w:vAlign w:val="top"/>
          </w:tcPr>
          <w:p w14:paraId="10C1A735">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155" w:type="dxa"/>
            <w:vMerge w:val="continue"/>
            <w:noWrap w:val="0"/>
            <w:vAlign w:val="top"/>
          </w:tcPr>
          <w:p w14:paraId="69A522D2">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755" w:type="dxa"/>
            <w:noWrap w:val="0"/>
            <w:vAlign w:val="center"/>
          </w:tcPr>
          <w:p w14:paraId="10687FA6">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财务要求</w:t>
            </w:r>
          </w:p>
        </w:tc>
        <w:tc>
          <w:tcPr>
            <w:tcW w:w="5900" w:type="dxa"/>
            <w:noWrap w:val="0"/>
            <w:vAlign w:val="center"/>
          </w:tcPr>
          <w:p w14:paraId="6F68E0CE">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eastAsia="zh-CN"/>
              </w:rPr>
              <w:t>投标文件</w:t>
            </w:r>
            <w:r>
              <w:rPr>
                <w:rFonts w:hint="eastAsia" w:ascii="宋体" w:hAnsi="宋体" w:cs="宋体"/>
                <w:color w:val="auto"/>
                <w:sz w:val="24"/>
                <w:szCs w:val="24"/>
                <w:highlight w:val="none"/>
                <w:lang w:val="en-US" w:eastAsia="zh-CN"/>
              </w:rPr>
              <w:t>内提供</w:t>
            </w:r>
            <w:r>
              <w:rPr>
                <w:rFonts w:hint="eastAsia" w:ascii="宋体" w:hAnsi="宋体" w:eastAsia="宋体" w:cs="宋体"/>
                <w:color w:val="auto"/>
                <w:sz w:val="24"/>
                <w:szCs w:val="24"/>
                <w:highlight w:val="none"/>
                <w:lang w:eastAsia="zh-CN"/>
              </w:rPr>
              <w:t>20</w:t>
            </w:r>
            <w:r>
              <w:rPr>
                <w:rFonts w:hint="eastAsia" w:ascii="宋体" w:hAnsi="宋体" w:eastAsia="宋体" w:cs="宋体"/>
                <w:color w:val="auto"/>
                <w:sz w:val="24"/>
                <w:szCs w:val="24"/>
                <w:highlight w:val="none"/>
                <w:lang w:val="en-US" w:eastAsia="zh-CN"/>
              </w:rPr>
              <w:t>2</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 xml:space="preserve"> 年至 </w:t>
            </w:r>
            <w:r>
              <w:rPr>
                <w:rFonts w:hint="eastAsia" w:ascii="宋体" w:hAnsi="宋体" w:eastAsia="宋体" w:cs="宋体"/>
                <w:color w:val="auto"/>
                <w:sz w:val="24"/>
                <w:szCs w:val="24"/>
                <w:highlight w:val="none"/>
                <w:lang w:eastAsia="zh-CN"/>
              </w:rPr>
              <w:t>202</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年</w:t>
            </w:r>
            <w:r>
              <w:rPr>
                <w:rFonts w:hint="eastAsia" w:ascii="宋体" w:hAnsi="宋体" w:cs="宋体"/>
                <w:color w:val="auto"/>
                <w:sz w:val="24"/>
                <w:szCs w:val="24"/>
                <w:highlight w:val="none"/>
                <w:lang w:val="en-US" w:eastAsia="zh-CN"/>
              </w:rPr>
              <w:t>的审计报告或企业财务报表</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投标人的成立时间少于规定年份的，应提供成立以来至202</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zh-CN"/>
              </w:rPr>
              <w:t>年</w:t>
            </w:r>
            <w:r>
              <w:rPr>
                <w:rFonts w:hint="eastAsia" w:ascii="宋体" w:hAnsi="宋体" w:eastAsia="宋体" w:cs="宋体"/>
                <w:color w:val="auto"/>
                <w:sz w:val="24"/>
                <w:szCs w:val="24"/>
                <w:highlight w:val="none"/>
                <w:lang w:val="en-US" w:eastAsia="zh-CN"/>
              </w:rPr>
              <w:t>的</w:t>
            </w:r>
            <w:r>
              <w:rPr>
                <w:rFonts w:hint="eastAsia" w:ascii="宋体" w:hAnsi="宋体" w:eastAsia="宋体" w:cs="宋体"/>
                <w:color w:val="auto"/>
                <w:sz w:val="24"/>
                <w:szCs w:val="24"/>
                <w:highlight w:val="none"/>
                <w:lang w:val="zh-CN"/>
              </w:rPr>
              <w:t>；202</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zh-CN"/>
              </w:rPr>
              <w:t>年新成立企业需提供当年银行出具的公司资信证明）。</w:t>
            </w:r>
          </w:p>
        </w:tc>
      </w:tr>
      <w:tr w14:paraId="183938C7">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1088" w:type="dxa"/>
            <w:vMerge w:val="continue"/>
            <w:noWrap w:val="0"/>
            <w:vAlign w:val="top"/>
          </w:tcPr>
          <w:p w14:paraId="304278A2">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155" w:type="dxa"/>
            <w:vMerge w:val="continue"/>
            <w:noWrap w:val="0"/>
            <w:vAlign w:val="top"/>
          </w:tcPr>
          <w:p w14:paraId="6C5D88E0">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755" w:type="dxa"/>
            <w:noWrap w:val="0"/>
            <w:vAlign w:val="center"/>
          </w:tcPr>
          <w:p w14:paraId="1384FF1E">
            <w:pPr>
              <w:keepNext w:val="0"/>
              <w:keepLines w:val="0"/>
              <w:pageBreakBefore w:val="0"/>
              <w:widowControl/>
              <w:kinsoku/>
              <w:wordWrap/>
              <w:overflowPunct/>
              <w:topLinePunct w:val="0"/>
              <w:bidi w:val="0"/>
              <w:snapToGrid/>
              <w:spacing w:line="0" w:lineRule="atLeas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履约</w:t>
            </w:r>
            <w:r>
              <w:rPr>
                <w:rFonts w:hint="eastAsia" w:ascii="宋体" w:hAnsi="宋体" w:eastAsia="宋体" w:cs="宋体"/>
                <w:color w:val="auto"/>
                <w:sz w:val="24"/>
                <w:szCs w:val="24"/>
                <w:highlight w:val="none"/>
              </w:rPr>
              <w:t>能力</w:t>
            </w:r>
          </w:p>
        </w:tc>
        <w:tc>
          <w:tcPr>
            <w:tcW w:w="5900" w:type="dxa"/>
            <w:noWrap w:val="0"/>
            <w:vAlign w:val="center"/>
          </w:tcPr>
          <w:p w14:paraId="44081242">
            <w:pPr>
              <w:keepNext w:val="0"/>
              <w:keepLines w:val="0"/>
              <w:pageBreakBefore w:val="0"/>
              <w:widowControl/>
              <w:kinsoku/>
              <w:wordWrap/>
              <w:overflowPunct/>
              <w:topLinePunct w:val="0"/>
              <w:bidi w:val="0"/>
              <w:snapToGrid/>
              <w:spacing w:line="0" w:lineRule="atLeast"/>
              <w:jc w:val="both"/>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rPr>
              <w:t>具</w:t>
            </w:r>
            <w:r>
              <w:rPr>
                <w:rFonts w:hint="eastAsia" w:ascii="宋体" w:hAnsi="宋体" w:eastAsia="宋体" w:cs="宋体"/>
                <w:color w:val="auto"/>
                <w:sz w:val="24"/>
                <w:szCs w:val="24"/>
                <w:highlight w:val="none"/>
                <w:lang w:val="zh-CN" w:eastAsia="zh-CN"/>
              </w:rPr>
              <w:t>有</w:t>
            </w:r>
            <w:r>
              <w:rPr>
                <w:rFonts w:hint="eastAsia" w:ascii="宋体" w:hAnsi="宋体" w:eastAsia="宋体" w:cs="宋体"/>
                <w:color w:val="auto"/>
                <w:sz w:val="24"/>
                <w:szCs w:val="24"/>
                <w:highlight w:val="none"/>
                <w:lang w:val="zh-CN"/>
              </w:rPr>
              <w:t>履行合同所必需的设备和专业技术能力。投标文件内附由法定代表人或授权代表签字或盖章并加盖公章的承诺书。</w:t>
            </w:r>
          </w:p>
        </w:tc>
      </w:tr>
      <w:tr w14:paraId="41DCBFC3">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1088" w:type="dxa"/>
            <w:vMerge w:val="continue"/>
            <w:noWrap w:val="0"/>
            <w:vAlign w:val="top"/>
          </w:tcPr>
          <w:p w14:paraId="75900112">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155" w:type="dxa"/>
            <w:vMerge w:val="continue"/>
            <w:noWrap w:val="0"/>
            <w:vAlign w:val="top"/>
          </w:tcPr>
          <w:p w14:paraId="24A3F23C">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755" w:type="dxa"/>
            <w:noWrap w:val="0"/>
            <w:vAlign w:val="center"/>
          </w:tcPr>
          <w:p w14:paraId="0E36D29D">
            <w:pPr>
              <w:keepNext w:val="0"/>
              <w:keepLines w:val="0"/>
              <w:pageBreakBefore w:val="0"/>
              <w:kinsoku/>
              <w:wordWrap/>
              <w:overflowPunct/>
              <w:topLinePunct w:val="0"/>
              <w:bidi w:val="0"/>
              <w:snapToGrid/>
              <w:spacing w:line="288"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纳税</w:t>
            </w:r>
            <w:r>
              <w:rPr>
                <w:rFonts w:hint="eastAsia" w:ascii="宋体" w:hAnsi="宋体" w:eastAsia="宋体" w:cs="宋体"/>
                <w:color w:val="auto"/>
                <w:sz w:val="24"/>
                <w:szCs w:val="24"/>
                <w:highlight w:val="none"/>
                <w:lang w:eastAsia="zh-CN"/>
              </w:rPr>
              <w:t>及</w:t>
            </w:r>
            <w:r>
              <w:rPr>
                <w:rFonts w:hint="eastAsia" w:ascii="宋体" w:hAnsi="宋体" w:eastAsia="宋体" w:cs="宋体"/>
                <w:color w:val="auto"/>
                <w:sz w:val="24"/>
                <w:szCs w:val="24"/>
                <w:highlight w:val="none"/>
              </w:rPr>
              <w:t>社保</w:t>
            </w:r>
          </w:p>
        </w:tc>
        <w:tc>
          <w:tcPr>
            <w:tcW w:w="5900" w:type="dxa"/>
            <w:noWrap w:val="0"/>
            <w:vAlign w:val="center"/>
          </w:tcPr>
          <w:p w14:paraId="53B4EDFE">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具有依法缴纳税收和社会保障金的良好记录。</w:t>
            </w:r>
          </w:p>
          <w:p w14:paraId="7C29B2DA">
            <w:pPr>
              <w:keepNext w:val="0"/>
              <w:keepLines w:val="0"/>
              <w:pageBreakBefore w:val="0"/>
              <w:widowControl w:val="0"/>
              <w:kinsoku/>
              <w:wordWrap w:val="0"/>
              <w:overflowPunct/>
              <w:topLinePunct w:val="0"/>
              <w:autoSpaceDE/>
              <w:autoSpaceDN/>
              <w:bidi w:val="0"/>
              <w:spacing w:line="440" w:lineRule="exact"/>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eastAsia="zh-CN"/>
              </w:rPr>
              <w:t>投标文件内</w:t>
            </w:r>
            <w:r>
              <w:rPr>
                <w:rFonts w:hint="eastAsia" w:ascii="宋体" w:hAnsi="宋体" w:eastAsia="宋体" w:cs="宋体"/>
                <w:color w:val="auto"/>
                <w:sz w:val="24"/>
                <w:szCs w:val="24"/>
                <w:highlight w:val="none"/>
                <w:lang w:val="en-US" w:eastAsia="zh-CN"/>
              </w:rPr>
              <w:t>提供</w:t>
            </w:r>
            <w:r>
              <w:rPr>
                <w:rFonts w:hint="eastAsia" w:ascii="宋体" w:hAnsi="宋体" w:cs="宋体"/>
                <w:color w:val="auto"/>
                <w:sz w:val="24"/>
                <w:szCs w:val="24"/>
                <w:highlight w:val="none"/>
                <w:lang w:val="en-US" w:eastAsia="zh-CN"/>
              </w:rPr>
              <w:t>2024年内</w:t>
            </w:r>
            <w:r>
              <w:rPr>
                <w:rFonts w:hint="eastAsia" w:ascii="宋体" w:hAnsi="宋体" w:eastAsia="宋体" w:cs="宋体"/>
                <w:color w:val="auto"/>
                <w:sz w:val="24"/>
                <w:szCs w:val="24"/>
                <w:highlight w:val="none"/>
                <w:lang w:val="zh-CN" w:eastAsia="zh-CN"/>
              </w:rPr>
              <w:t>任意一个月纳税证明及社会保障资金缴纳证明复印件加盖公章。依法免</w:t>
            </w:r>
            <w:r>
              <w:rPr>
                <w:rFonts w:hint="eastAsia" w:ascii="宋体" w:hAnsi="宋体" w:cs="宋体"/>
                <w:color w:val="auto"/>
                <w:sz w:val="24"/>
                <w:szCs w:val="24"/>
                <w:highlight w:val="none"/>
                <w:lang w:val="en-US" w:eastAsia="zh-CN"/>
              </w:rPr>
              <w:t>缴</w:t>
            </w:r>
            <w:r>
              <w:rPr>
                <w:rFonts w:hint="eastAsia" w:ascii="宋体" w:hAnsi="宋体" w:eastAsia="宋体" w:cs="宋体"/>
                <w:color w:val="auto"/>
                <w:sz w:val="24"/>
                <w:szCs w:val="24"/>
                <w:highlight w:val="none"/>
                <w:lang w:val="zh-CN" w:eastAsia="zh-CN"/>
              </w:rPr>
              <w:t>的，应提供其依法免</w:t>
            </w:r>
            <w:r>
              <w:rPr>
                <w:rFonts w:hint="eastAsia" w:ascii="宋体" w:hAnsi="宋体" w:cs="宋体"/>
                <w:color w:val="auto"/>
                <w:sz w:val="24"/>
                <w:szCs w:val="24"/>
                <w:highlight w:val="none"/>
                <w:lang w:val="en-US" w:eastAsia="zh-CN"/>
              </w:rPr>
              <w:t>缴</w:t>
            </w:r>
            <w:r>
              <w:rPr>
                <w:rFonts w:hint="eastAsia" w:ascii="宋体" w:hAnsi="宋体" w:eastAsia="宋体" w:cs="宋体"/>
                <w:color w:val="auto"/>
                <w:sz w:val="24"/>
                <w:szCs w:val="24"/>
                <w:highlight w:val="none"/>
                <w:lang w:val="zh-CN" w:eastAsia="zh-CN"/>
              </w:rPr>
              <w:t>证明。</w:t>
            </w:r>
            <w:r>
              <w:rPr>
                <w:rFonts w:hint="eastAsia" w:ascii="宋体" w:hAnsi="宋体" w:cs="宋体"/>
                <w:color w:val="auto"/>
                <w:sz w:val="24"/>
                <w:szCs w:val="24"/>
                <w:highlight w:val="none"/>
                <w:lang w:val="en-US" w:eastAsia="zh-CN"/>
              </w:rPr>
              <w:t>新成立公司提供情况说明复印件加盖公章。</w:t>
            </w:r>
          </w:p>
        </w:tc>
      </w:tr>
      <w:tr w14:paraId="0B08AE12">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2836" w:hRule="atLeast"/>
          <w:jc w:val="center"/>
        </w:trPr>
        <w:tc>
          <w:tcPr>
            <w:tcW w:w="1088" w:type="dxa"/>
            <w:vMerge w:val="continue"/>
            <w:noWrap w:val="0"/>
            <w:vAlign w:val="top"/>
          </w:tcPr>
          <w:p w14:paraId="4CE7E8BC">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155" w:type="dxa"/>
            <w:vMerge w:val="continue"/>
            <w:noWrap w:val="0"/>
            <w:vAlign w:val="top"/>
          </w:tcPr>
          <w:p w14:paraId="12F6AA6A">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755" w:type="dxa"/>
            <w:noWrap w:val="0"/>
            <w:vAlign w:val="center"/>
          </w:tcPr>
          <w:p w14:paraId="6C0C310F">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信誉要求</w:t>
            </w:r>
          </w:p>
        </w:tc>
        <w:tc>
          <w:tcPr>
            <w:tcW w:w="5900" w:type="dxa"/>
            <w:noWrap w:val="0"/>
            <w:vAlign w:val="center"/>
          </w:tcPr>
          <w:p w14:paraId="79F032B1">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cs="宋体"/>
                <w:bCs/>
                <w:color w:val="auto"/>
                <w:kern w:val="0"/>
                <w:sz w:val="24"/>
                <w:szCs w:val="24"/>
                <w:highlight w:val="none"/>
                <w:lang w:val="en-US" w:eastAsia="zh-CN"/>
              </w:rPr>
            </w:pPr>
            <w:r>
              <w:rPr>
                <w:rFonts w:hint="eastAsia" w:ascii="宋体" w:hAnsi="宋体" w:cs="宋体"/>
                <w:bCs/>
                <w:color w:val="auto"/>
                <w:kern w:val="0"/>
                <w:sz w:val="24"/>
                <w:szCs w:val="24"/>
                <w:highlight w:val="none"/>
                <w:lang w:val="en-US" w:eastAsia="zh-CN"/>
              </w:rPr>
              <w:t>(1)拒绝列入政府取消投标资格记录期间的企业或个人投标；</w:t>
            </w:r>
          </w:p>
          <w:p w14:paraId="35B7E660">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cs="宋体"/>
                <w:bCs/>
                <w:color w:val="auto"/>
                <w:kern w:val="0"/>
                <w:sz w:val="24"/>
                <w:szCs w:val="24"/>
                <w:highlight w:val="none"/>
                <w:lang w:val="en-US" w:eastAsia="zh-CN"/>
              </w:rPr>
            </w:pPr>
            <w:r>
              <w:rPr>
                <w:rFonts w:hint="eastAsia" w:ascii="宋体" w:hAnsi="宋体" w:cs="宋体"/>
                <w:bCs/>
                <w:color w:val="auto"/>
                <w:kern w:val="0"/>
                <w:sz w:val="24"/>
                <w:szCs w:val="24"/>
                <w:highlight w:val="none"/>
                <w:lang w:val="en-US" w:eastAsia="zh-CN"/>
              </w:rPr>
              <w:t>(2)不得为“信用中国”网站（www.creditchina.gov.cn）中列入失信被执行人和重大税收违法失信主体供应商；不得为中国政府采购网（www.ccpg.gov.cn）政府采购严重违法失信行为记录名单中被财政部门禁止参加政府采购活动的供应商（在处罚决定规定的时间和地域范围内）（详见财库[2016]125号）；在2020年至今供应商和其法定代表人在“中国裁判文书网”(wenshu.court.gov.cn)上无行贿犯罪行为；</w:t>
            </w:r>
          </w:p>
          <w:p w14:paraId="2695363B">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cs="宋体"/>
                <w:bCs/>
                <w:color w:val="auto"/>
                <w:kern w:val="0"/>
                <w:sz w:val="24"/>
                <w:szCs w:val="24"/>
                <w:highlight w:val="none"/>
                <w:lang w:val="en-US" w:eastAsia="zh-CN"/>
              </w:rPr>
            </w:pPr>
            <w:r>
              <w:rPr>
                <w:rFonts w:hint="eastAsia" w:ascii="宋体" w:hAnsi="宋体" w:cs="宋体"/>
                <w:bCs/>
                <w:color w:val="auto"/>
                <w:kern w:val="0"/>
                <w:sz w:val="24"/>
                <w:szCs w:val="24"/>
                <w:highlight w:val="none"/>
                <w:lang w:val="en-US" w:eastAsia="zh-CN"/>
              </w:rPr>
              <w:t>(3)单位负责人为同一人或者存在直接控股、管理关系的不同供应商，不得参加同一合同项下的政府采购活动；</w:t>
            </w:r>
          </w:p>
          <w:p w14:paraId="2AE7BF40">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cs="宋体"/>
                <w:bCs/>
                <w:color w:val="auto"/>
                <w:kern w:val="0"/>
                <w:sz w:val="24"/>
                <w:szCs w:val="24"/>
                <w:highlight w:val="none"/>
                <w:lang w:val="en-US" w:eastAsia="zh-CN"/>
              </w:rPr>
            </w:pPr>
            <w:r>
              <w:rPr>
                <w:rFonts w:hint="eastAsia" w:ascii="宋体" w:hAnsi="宋体" w:cs="宋体"/>
                <w:bCs/>
                <w:color w:val="auto"/>
                <w:kern w:val="0"/>
                <w:sz w:val="24"/>
                <w:szCs w:val="24"/>
                <w:highlight w:val="none"/>
                <w:lang w:val="en-US" w:eastAsia="zh-CN"/>
              </w:rPr>
              <w:t>(4)参加政府采购活动前三年内，在经营活动中没有重大违法记录。</w:t>
            </w:r>
          </w:p>
          <w:p w14:paraId="573F2C82">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cs="宋体"/>
                <w:bCs/>
                <w:color w:val="auto"/>
                <w:kern w:val="0"/>
                <w:sz w:val="24"/>
                <w:szCs w:val="24"/>
                <w:highlight w:val="none"/>
                <w:lang w:val="en-US" w:eastAsia="zh-CN"/>
              </w:rPr>
            </w:pPr>
            <w:r>
              <w:rPr>
                <w:rFonts w:hint="eastAsia" w:ascii="宋体" w:hAnsi="宋体"/>
                <w:sz w:val="24"/>
                <w:szCs w:val="24"/>
                <w:lang w:eastAsia="zh-CN"/>
              </w:rPr>
              <w:t>针对上述内容</w:t>
            </w:r>
            <w:r>
              <w:rPr>
                <w:rFonts w:hint="eastAsia" w:ascii="宋体" w:hAnsi="宋体"/>
                <w:sz w:val="24"/>
                <w:szCs w:val="24"/>
              </w:rPr>
              <w:t>提供</w:t>
            </w:r>
            <w:r>
              <w:rPr>
                <w:rFonts w:hint="eastAsia" w:ascii="宋体" w:hAnsi="宋体"/>
                <w:sz w:val="24"/>
                <w:szCs w:val="24"/>
                <w:lang w:eastAsia="zh-CN"/>
              </w:rPr>
              <w:t>由</w:t>
            </w:r>
            <w:r>
              <w:rPr>
                <w:rFonts w:ascii="宋体" w:hAnsi="宋体"/>
                <w:sz w:val="24"/>
                <w:szCs w:val="24"/>
              </w:rPr>
              <w:t>法定代表人</w:t>
            </w:r>
            <w:r>
              <w:rPr>
                <w:rFonts w:hint="eastAsia" w:ascii="宋体" w:hAnsi="宋体"/>
                <w:sz w:val="24"/>
                <w:szCs w:val="24"/>
              </w:rPr>
              <w:t>或</w:t>
            </w:r>
            <w:r>
              <w:rPr>
                <w:rFonts w:ascii="宋体" w:hAnsi="宋体"/>
                <w:sz w:val="24"/>
                <w:szCs w:val="24"/>
              </w:rPr>
              <w:t>委托代理人盖章</w:t>
            </w:r>
            <w:r>
              <w:rPr>
                <w:rFonts w:hint="eastAsia" w:ascii="宋体" w:hAnsi="宋体"/>
                <w:sz w:val="24"/>
                <w:szCs w:val="24"/>
              </w:rPr>
              <w:t>或</w:t>
            </w:r>
            <w:r>
              <w:rPr>
                <w:rFonts w:ascii="宋体" w:hAnsi="宋体"/>
                <w:sz w:val="24"/>
                <w:szCs w:val="24"/>
              </w:rPr>
              <w:t>签字</w:t>
            </w:r>
            <w:r>
              <w:rPr>
                <w:rFonts w:hint="eastAsia" w:ascii="宋体" w:hAnsi="宋体"/>
                <w:sz w:val="24"/>
                <w:szCs w:val="24"/>
              </w:rPr>
              <w:t>并加盖公章的承诺</w:t>
            </w:r>
            <w:r>
              <w:rPr>
                <w:rFonts w:hint="eastAsia" w:ascii="宋体" w:hAnsi="宋体"/>
                <w:sz w:val="24"/>
                <w:szCs w:val="24"/>
                <w:lang w:eastAsia="zh-CN"/>
              </w:rPr>
              <w:t>书</w:t>
            </w:r>
            <w:r>
              <w:rPr>
                <w:rFonts w:ascii="宋体" w:hAnsi="宋体"/>
                <w:sz w:val="24"/>
                <w:szCs w:val="24"/>
              </w:rPr>
              <w:t>。</w:t>
            </w:r>
          </w:p>
        </w:tc>
      </w:tr>
      <w:tr w14:paraId="3CDAE496">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1208" w:hRule="atLeast"/>
          <w:jc w:val="center"/>
        </w:trPr>
        <w:tc>
          <w:tcPr>
            <w:tcW w:w="1088" w:type="dxa"/>
            <w:vMerge w:val="continue"/>
            <w:noWrap w:val="0"/>
            <w:vAlign w:val="top"/>
          </w:tcPr>
          <w:p w14:paraId="32957935">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155" w:type="dxa"/>
            <w:vMerge w:val="continue"/>
            <w:noWrap w:val="0"/>
            <w:vAlign w:val="top"/>
          </w:tcPr>
          <w:p w14:paraId="61D42813">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755" w:type="dxa"/>
            <w:noWrap w:val="0"/>
            <w:vAlign w:val="center"/>
          </w:tcPr>
          <w:p w14:paraId="63044416">
            <w:pPr>
              <w:keepNext w:val="0"/>
              <w:keepLines w:val="0"/>
              <w:pageBreakBefore w:val="0"/>
              <w:widowControl/>
              <w:kinsoku/>
              <w:wordWrap/>
              <w:overflowPunct/>
              <w:topLinePunct w:val="0"/>
              <w:autoSpaceDE w:val="0"/>
              <w:autoSpaceDN w:val="0"/>
              <w:bidi w:val="0"/>
              <w:adjustRightInd w:val="0"/>
              <w:snapToGrid/>
              <w:spacing w:line="0" w:lineRule="atLeast"/>
              <w:jc w:val="center"/>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企业划型</w:t>
            </w:r>
          </w:p>
        </w:tc>
        <w:tc>
          <w:tcPr>
            <w:tcW w:w="5900" w:type="dxa"/>
            <w:noWrap w:val="0"/>
            <w:vAlign w:val="center"/>
          </w:tcPr>
          <w:p w14:paraId="7B54BD62">
            <w:pPr>
              <w:keepNext w:val="0"/>
              <w:keepLines w:val="0"/>
              <w:pageBreakBefore w:val="0"/>
              <w:widowControl/>
              <w:kinsoku/>
              <w:wordWrap/>
              <w:overflowPunct/>
              <w:topLinePunct w:val="0"/>
              <w:autoSpaceDE/>
              <w:autoSpaceDN/>
              <w:bidi w:val="0"/>
              <w:adjustRightInd/>
              <w:snapToGrid/>
              <w:spacing w:line="0" w:lineRule="atLeast"/>
              <w:jc w:val="both"/>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en-US" w:eastAsia="zh-CN"/>
              </w:rPr>
              <w:t>供应商须为</w:t>
            </w:r>
            <w:r>
              <w:rPr>
                <w:rFonts w:hint="eastAsia" w:ascii="宋体" w:hAnsi="宋体" w:eastAsia="宋体" w:cs="宋体"/>
                <w:color w:val="auto"/>
                <w:sz w:val="24"/>
                <w:szCs w:val="24"/>
                <w:highlight w:val="none"/>
                <w:lang w:eastAsia="zh-CN"/>
              </w:rPr>
              <w:t>中、小、</w:t>
            </w:r>
            <w:r>
              <w:rPr>
                <w:rFonts w:hint="eastAsia" w:ascii="宋体" w:hAnsi="宋体" w:eastAsia="宋体" w:cs="宋体"/>
                <w:color w:val="auto"/>
                <w:sz w:val="24"/>
                <w:szCs w:val="24"/>
                <w:highlight w:val="none"/>
                <w:lang w:val="en-US" w:eastAsia="zh-CN"/>
              </w:rPr>
              <w:t>微型</w:t>
            </w:r>
            <w:r>
              <w:rPr>
                <w:rFonts w:hint="eastAsia" w:ascii="宋体" w:hAnsi="宋体" w:eastAsia="宋体" w:cs="宋体"/>
                <w:color w:val="auto"/>
                <w:sz w:val="24"/>
                <w:szCs w:val="24"/>
                <w:highlight w:val="none"/>
                <w:lang w:eastAsia="zh-CN"/>
              </w:rPr>
              <w:t>企业，</w:t>
            </w:r>
            <w:r>
              <w:rPr>
                <w:rFonts w:hint="eastAsia" w:ascii="宋体" w:hAnsi="宋体" w:eastAsia="宋体" w:cs="宋体"/>
                <w:color w:val="auto"/>
                <w:sz w:val="24"/>
                <w:szCs w:val="24"/>
                <w:highlight w:val="none"/>
                <w:lang w:val="zh-CN" w:eastAsia="zh-CN"/>
              </w:rPr>
              <w:t>监狱企业、残疾人福利性单位视同小微企业。</w:t>
            </w:r>
          </w:p>
          <w:p w14:paraId="7C8D0EC8">
            <w:pPr>
              <w:keepNext w:val="0"/>
              <w:keepLines w:val="0"/>
              <w:pageBreakBefore w:val="0"/>
              <w:widowControl/>
              <w:kinsoku/>
              <w:wordWrap/>
              <w:overflowPunct/>
              <w:topLinePunct w:val="0"/>
              <w:autoSpaceDE/>
              <w:autoSpaceDN/>
              <w:bidi w:val="0"/>
              <w:adjustRightInd/>
              <w:snapToGrid/>
              <w:spacing w:line="0" w:lineRule="atLeas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投标文件中提供有效的中小企业声明函。</w:t>
            </w:r>
          </w:p>
        </w:tc>
      </w:tr>
      <w:tr w14:paraId="72E7379F">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09" w:hRule="atLeast"/>
          <w:jc w:val="center"/>
        </w:trPr>
        <w:tc>
          <w:tcPr>
            <w:tcW w:w="1088" w:type="dxa"/>
            <w:vMerge w:val="continue"/>
            <w:noWrap w:val="0"/>
            <w:vAlign w:val="top"/>
          </w:tcPr>
          <w:p w14:paraId="72D9B70F">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155" w:type="dxa"/>
            <w:vMerge w:val="continue"/>
            <w:noWrap w:val="0"/>
            <w:vAlign w:val="top"/>
          </w:tcPr>
          <w:p w14:paraId="754CE8BB">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7655" w:type="dxa"/>
            <w:gridSpan w:val="2"/>
            <w:noWrap w:val="0"/>
            <w:vAlign w:val="center"/>
          </w:tcPr>
          <w:p w14:paraId="4E63A130">
            <w:pPr>
              <w:keepNext w:val="0"/>
              <w:keepLines w:val="0"/>
              <w:pageBreakBefore w:val="0"/>
              <w:widowControl w:val="0"/>
              <w:kinsoku/>
              <w:wordWrap w:val="0"/>
              <w:overflowPunct/>
              <w:topLinePunct w:val="0"/>
              <w:autoSpaceDE/>
              <w:autoSpaceDN/>
              <w:bidi w:val="0"/>
              <w:spacing w:line="4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上述评审因素都合格为资格评审合格，有一项不合格为</w:t>
            </w:r>
            <w:r>
              <w:rPr>
                <w:rFonts w:hint="eastAsia" w:ascii="宋体" w:hAnsi="宋体" w:eastAsia="宋体" w:cs="宋体"/>
                <w:color w:val="auto"/>
                <w:sz w:val="24"/>
                <w:szCs w:val="24"/>
                <w:highlight w:val="none"/>
                <w:lang w:val="en-US" w:eastAsia="zh-CN"/>
              </w:rPr>
              <w:t>无效投标</w:t>
            </w:r>
            <w:r>
              <w:rPr>
                <w:rFonts w:hint="eastAsia" w:ascii="宋体" w:hAnsi="宋体" w:eastAsia="宋体" w:cs="宋体"/>
                <w:color w:val="auto"/>
                <w:sz w:val="24"/>
                <w:szCs w:val="24"/>
                <w:highlight w:val="none"/>
              </w:rPr>
              <w:t>，不再进行下一步评审。</w:t>
            </w:r>
          </w:p>
        </w:tc>
      </w:tr>
      <w:tr w14:paraId="017044AD">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1088" w:type="dxa"/>
            <w:vMerge w:val="restart"/>
            <w:noWrap w:val="0"/>
            <w:vAlign w:val="center"/>
          </w:tcPr>
          <w:p w14:paraId="1511E613">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2.1.3</w:t>
            </w:r>
          </w:p>
        </w:tc>
        <w:tc>
          <w:tcPr>
            <w:tcW w:w="1155" w:type="dxa"/>
            <w:vMerge w:val="restart"/>
            <w:noWrap w:val="0"/>
            <w:vAlign w:val="center"/>
          </w:tcPr>
          <w:p w14:paraId="1F006FBA">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响应性评审标准</w:t>
            </w:r>
          </w:p>
        </w:tc>
        <w:tc>
          <w:tcPr>
            <w:tcW w:w="1755" w:type="dxa"/>
            <w:noWrap w:val="0"/>
            <w:vAlign w:val="center"/>
          </w:tcPr>
          <w:p w14:paraId="43C1F666">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投标内容</w:t>
            </w:r>
          </w:p>
        </w:tc>
        <w:tc>
          <w:tcPr>
            <w:tcW w:w="5900" w:type="dxa"/>
            <w:noWrap w:val="0"/>
            <w:vAlign w:val="center"/>
          </w:tcPr>
          <w:p w14:paraId="3E907575">
            <w:pPr>
              <w:keepNext w:val="0"/>
              <w:keepLines w:val="0"/>
              <w:pageBreakBefore w:val="0"/>
              <w:widowControl w:val="0"/>
              <w:kinsoku/>
              <w:wordWrap w:val="0"/>
              <w:overflowPunct/>
              <w:topLinePunct w:val="0"/>
              <w:autoSpaceDE/>
              <w:autoSpaceDN/>
              <w:bidi w:val="0"/>
              <w:spacing w:line="440" w:lineRule="exact"/>
              <w:textAlignment w:val="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符合招标文件要求</w:t>
            </w:r>
          </w:p>
        </w:tc>
      </w:tr>
      <w:tr w14:paraId="5531BC8E">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09" w:hRule="atLeast"/>
          <w:jc w:val="center"/>
        </w:trPr>
        <w:tc>
          <w:tcPr>
            <w:tcW w:w="1088" w:type="dxa"/>
            <w:vMerge w:val="continue"/>
            <w:noWrap w:val="0"/>
            <w:vAlign w:val="top"/>
          </w:tcPr>
          <w:p w14:paraId="3A4B12F2">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155" w:type="dxa"/>
            <w:vMerge w:val="continue"/>
            <w:noWrap w:val="0"/>
            <w:vAlign w:val="top"/>
          </w:tcPr>
          <w:p w14:paraId="0BEE25B7">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755" w:type="dxa"/>
            <w:noWrap w:val="0"/>
            <w:vAlign w:val="center"/>
          </w:tcPr>
          <w:p w14:paraId="0240FA77">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供货期</w:t>
            </w:r>
          </w:p>
        </w:tc>
        <w:tc>
          <w:tcPr>
            <w:tcW w:w="5900" w:type="dxa"/>
            <w:noWrap w:val="0"/>
            <w:vAlign w:val="center"/>
          </w:tcPr>
          <w:p w14:paraId="403CBC95">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r>
              <w:rPr>
                <w:rFonts w:hint="eastAsia" w:ascii="宋体" w:hAnsi="宋体" w:cs="宋体"/>
                <w:color w:val="auto"/>
                <w:kern w:val="0"/>
                <w:sz w:val="24"/>
                <w:szCs w:val="24"/>
                <w:highlight w:val="none"/>
                <w:lang w:bidi="ar"/>
              </w:rPr>
              <w:t xml:space="preserve">自合同签订之日起 </w:t>
            </w:r>
            <w:r>
              <w:rPr>
                <w:rFonts w:hint="eastAsia" w:ascii="宋体" w:hAnsi="宋体" w:cs="宋体"/>
                <w:color w:val="auto"/>
                <w:kern w:val="0"/>
                <w:sz w:val="24"/>
                <w:szCs w:val="24"/>
                <w:highlight w:val="none"/>
                <w:lang w:val="en-US" w:eastAsia="zh-CN" w:bidi="ar"/>
              </w:rPr>
              <w:t>60日历日</w:t>
            </w:r>
            <w:r>
              <w:rPr>
                <w:rFonts w:hint="eastAsia" w:ascii="宋体" w:hAnsi="宋体" w:cs="宋体"/>
                <w:color w:val="auto"/>
                <w:kern w:val="0"/>
                <w:sz w:val="24"/>
                <w:szCs w:val="24"/>
                <w:highlight w:val="none"/>
                <w:lang w:bidi="ar"/>
              </w:rPr>
              <w:t>内完成供货并安装调试完毕；</w:t>
            </w:r>
          </w:p>
        </w:tc>
      </w:tr>
      <w:tr w14:paraId="12EA0C17">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09" w:hRule="atLeast"/>
          <w:jc w:val="center"/>
        </w:trPr>
        <w:tc>
          <w:tcPr>
            <w:tcW w:w="1088" w:type="dxa"/>
            <w:vMerge w:val="continue"/>
            <w:noWrap w:val="0"/>
            <w:vAlign w:val="top"/>
          </w:tcPr>
          <w:p w14:paraId="601FF821">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155" w:type="dxa"/>
            <w:vMerge w:val="continue"/>
            <w:noWrap w:val="0"/>
            <w:vAlign w:val="top"/>
          </w:tcPr>
          <w:p w14:paraId="6A30063B">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755" w:type="dxa"/>
            <w:noWrap w:val="0"/>
            <w:vAlign w:val="center"/>
          </w:tcPr>
          <w:p w14:paraId="2269B74C">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质量标准</w:t>
            </w:r>
          </w:p>
        </w:tc>
        <w:tc>
          <w:tcPr>
            <w:tcW w:w="5900" w:type="dxa"/>
            <w:noWrap w:val="0"/>
            <w:vAlign w:val="center"/>
          </w:tcPr>
          <w:p w14:paraId="3E7305E2">
            <w:pPr>
              <w:autoSpaceDE w:val="0"/>
              <w:spacing w:line="440" w:lineRule="exact"/>
              <w:jc w:val="left"/>
              <w:rPr>
                <w:rFonts w:hint="eastAsia" w:ascii="宋体" w:hAnsi="宋体" w:eastAsia="宋体" w:cs="宋体"/>
                <w:color w:val="auto"/>
                <w:kern w:val="0"/>
                <w:sz w:val="24"/>
                <w:szCs w:val="24"/>
                <w:highlight w:val="none"/>
              </w:rPr>
            </w:pPr>
            <w:r>
              <w:rPr>
                <w:rFonts w:hint="eastAsia" w:ascii="宋体" w:hAnsi="宋体" w:cs="宋体"/>
                <w:color w:val="auto"/>
                <w:kern w:val="0"/>
                <w:sz w:val="24"/>
                <w:szCs w:val="24"/>
                <w:highlight w:val="none"/>
                <w:lang w:bidi="ar"/>
              </w:rPr>
              <w:t>符合国家及相关行业合格标准；</w:t>
            </w:r>
          </w:p>
        </w:tc>
      </w:tr>
      <w:tr w14:paraId="0E8A5210">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09" w:hRule="atLeast"/>
          <w:jc w:val="center"/>
        </w:trPr>
        <w:tc>
          <w:tcPr>
            <w:tcW w:w="1088" w:type="dxa"/>
            <w:vMerge w:val="continue"/>
            <w:noWrap w:val="0"/>
            <w:vAlign w:val="top"/>
          </w:tcPr>
          <w:p w14:paraId="4CEE2A58">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155" w:type="dxa"/>
            <w:vMerge w:val="continue"/>
            <w:noWrap w:val="0"/>
            <w:vAlign w:val="top"/>
          </w:tcPr>
          <w:p w14:paraId="3237E675">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755" w:type="dxa"/>
            <w:noWrap w:val="0"/>
            <w:vAlign w:val="center"/>
          </w:tcPr>
          <w:p w14:paraId="3504AD05">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投标有效期</w:t>
            </w:r>
          </w:p>
        </w:tc>
        <w:tc>
          <w:tcPr>
            <w:tcW w:w="5900" w:type="dxa"/>
            <w:noWrap w:val="0"/>
            <w:vAlign w:val="center"/>
          </w:tcPr>
          <w:p w14:paraId="63BB8FD1">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zh-CN"/>
              </w:rPr>
              <w:t>投标截止之日后90天（日历天），从开标截止之日算起。</w:t>
            </w:r>
          </w:p>
        </w:tc>
      </w:tr>
      <w:tr w14:paraId="760AEE13">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09" w:hRule="atLeast"/>
          <w:jc w:val="center"/>
        </w:trPr>
        <w:tc>
          <w:tcPr>
            <w:tcW w:w="1088" w:type="dxa"/>
            <w:vMerge w:val="continue"/>
            <w:noWrap w:val="0"/>
            <w:vAlign w:val="top"/>
          </w:tcPr>
          <w:p w14:paraId="61DF0B5B">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155" w:type="dxa"/>
            <w:vMerge w:val="continue"/>
            <w:noWrap w:val="0"/>
            <w:vAlign w:val="top"/>
          </w:tcPr>
          <w:p w14:paraId="11875C4C">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755" w:type="dxa"/>
            <w:noWrap w:val="0"/>
            <w:vAlign w:val="center"/>
          </w:tcPr>
          <w:p w14:paraId="57624DE3">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投标保证金</w:t>
            </w:r>
          </w:p>
        </w:tc>
        <w:tc>
          <w:tcPr>
            <w:tcW w:w="5900" w:type="dxa"/>
            <w:noWrap w:val="0"/>
            <w:vAlign w:val="center"/>
          </w:tcPr>
          <w:p w14:paraId="358D5373">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符合第二章“</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须知”第3.4.1项的规定，有缴纳凭证加盖公章或财务章【要求清晰可见】。</w:t>
            </w:r>
          </w:p>
        </w:tc>
      </w:tr>
      <w:tr w14:paraId="756B4C88">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909" w:hRule="atLeast"/>
          <w:jc w:val="center"/>
        </w:trPr>
        <w:tc>
          <w:tcPr>
            <w:tcW w:w="1088" w:type="dxa"/>
            <w:vMerge w:val="continue"/>
            <w:noWrap w:val="0"/>
            <w:vAlign w:val="top"/>
          </w:tcPr>
          <w:p w14:paraId="2F7B5FF9">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155" w:type="dxa"/>
            <w:vMerge w:val="continue"/>
            <w:noWrap w:val="0"/>
            <w:vAlign w:val="top"/>
          </w:tcPr>
          <w:p w14:paraId="793E92FF">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755" w:type="dxa"/>
            <w:noWrap w:val="0"/>
            <w:vAlign w:val="center"/>
          </w:tcPr>
          <w:p w14:paraId="0B3FCEBC">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投标报价</w:t>
            </w:r>
          </w:p>
        </w:tc>
        <w:tc>
          <w:tcPr>
            <w:tcW w:w="5900" w:type="dxa"/>
            <w:noWrap w:val="0"/>
            <w:vAlign w:val="center"/>
          </w:tcPr>
          <w:p w14:paraId="502B0EF2">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符合第二章“</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须知”第3.2.4项的规定，不超过最高投标限价。</w:t>
            </w:r>
          </w:p>
        </w:tc>
      </w:tr>
      <w:tr w14:paraId="347B541A">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1088" w:type="dxa"/>
            <w:vMerge w:val="continue"/>
            <w:noWrap w:val="0"/>
            <w:vAlign w:val="top"/>
          </w:tcPr>
          <w:p w14:paraId="3D83E16E">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1155" w:type="dxa"/>
            <w:vMerge w:val="continue"/>
            <w:noWrap w:val="0"/>
            <w:vAlign w:val="top"/>
          </w:tcPr>
          <w:p w14:paraId="3C0C1810">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tc>
        <w:tc>
          <w:tcPr>
            <w:tcW w:w="7655" w:type="dxa"/>
            <w:gridSpan w:val="2"/>
            <w:noWrap w:val="0"/>
            <w:vAlign w:val="center"/>
          </w:tcPr>
          <w:p w14:paraId="54207D52">
            <w:pPr>
              <w:keepNext w:val="0"/>
              <w:keepLines w:val="0"/>
              <w:pageBreakBefore w:val="0"/>
              <w:widowControl w:val="0"/>
              <w:kinsoku/>
              <w:wordWrap w:val="0"/>
              <w:overflowPunct/>
              <w:topLinePunct w:val="0"/>
              <w:autoSpaceDE/>
              <w:autoSpaceDN/>
              <w:bidi w:val="0"/>
              <w:spacing w:line="4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上述评审因素都合格为响应性评审合格，有一项不合格为</w:t>
            </w:r>
            <w:r>
              <w:rPr>
                <w:rFonts w:hint="eastAsia" w:ascii="宋体" w:hAnsi="宋体" w:eastAsia="宋体" w:cs="宋体"/>
                <w:color w:val="auto"/>
                <w:sz w:val="24"/>
                <w:szCs w:val="24"/>
                <w:highlight w:val="none"/>
                <w:lang w:val="en-US" w:eastAsia="zh-CN"/>
              </w:rPr>
              <w:t>无效投标</w:t>
            </w:r>
            <w:r>
              <w:rPr>
                <w:rFonts w:hint="eastAsia" w:ascii="宋体" w:hAnsi="宋体" w:eastAsia="宋体" w:cs="宋体"/>
                <w:color w:val="auto"/>
                <w:sz w:val="24"/>
                <w:szCs w:val="24"/>
                <w:highlight w:val="none"/>
              </w:rPr>
              <w:t>，不再进行下一步评审。</w:t>
            </w:r>
          </w:p>
        </w:tc>
      </w:tr>
      <w:tr w14:paraId="7B90B315">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9898" w:type="dxa"/>
            <w:gridSpan w:val="4"/>
            <w:noWrap w:val="0"/>
            <w:vAlign w:val="top"/>
          </w:tcPr>
          <w:p w14:paraId="0D29F21B">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注：</w:t>
            </w:r>
            <w:r>
              <w:rPr>
                <w:rFonts w:hint="eastAsia" w:ascii="宋体" w:hAnsi="宋体" w:eastAsia="宋体" w:cs="宋体"/>
                <w:color w:val="auto"/>
                <w:sz w:val="24"/>
                <w:szCs w:val="24"/>
                <w:highlight w:val="none"/>
              </w:rPr>
              <w:t>1、“通过”表示该项评审标准符合招标文件的要求，“不通过”表示该项评审标准不符合招标文件的要求；</w:t>
            </w:r>
          </w:p>
          <w:p w14:paraId="23060FC5">
            <w:pPr>
              <w:keepNext w:val="0"/>
              <w:keepLines w:val="0"/>
              <w:pageBreakBefore w:val="0"/>
              <w:widowControl w:val="0"/>
              <w:kinsoku/>
              <w:wordWrap w:val="0"/>
              <w:overflowPunct/>
              <w:topLinePunct w:val="0"/>
              <w:autoSpaceDE/>
              <w:autoSpaceDN/>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2、结论汇总意见采取少数服从多数原则，即超过半数评委的结论为“通过”，该</w:t>
            </w:r>
            <w:r>
              <w:rPr>
                <w:rFonts w:hint="eastAsia" w:ascii="宋体" w:hAnsi="宋体" w:eastAsia="宋体" w:cs="宋体"/>
                <w:color w:val="auto"/>
                <w:sz w:val="24"/>
                <w:szCs w:val="24"/>
                <w:highlight w:val="none"/>
                <w:lang w:eastAsia="zh-CN"/>
              </w:rPr>
              <w:t>供应商</w:t>
            </w:r>
            <w:r>
              <w:rPr>
                <w:rFonts w:hint="eastAsia" w:ascii="宋体" w:hAnsi="宋体" w:eastAsia="宋体" w:cs="宋体"/>
                <w:bCs/>
                <w:color w:val="auto"/>
                <w:sz w:val="24"/>
                <w:szCs w:val="24"/>
                <w:highlight w:val="none"/>
              </w:rPr>
              <w:t>初步评审合格，否则不合格</w:t>
            </w:r>
            <w:r>
              <w:rPr>
                <w:rFonts w:hint="eastAsia" w:ascii="宋体" w:hAnsi="宋体" w:eastAsia="宋体" w:cs="宋体"/>
                <w:color w:val="auto"/>
                <w:sz w:val="24"/>
                <w:szCs w:val="24"/>
                <w:highlight w:val="none"/>
              </w:rPr>
              <w:t>。</w:t>
            </w:r>
          </w:p>
        </w:tc>
      </w:tr>
      <w:tr w14:paraId="7671AC37">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2243" w:type="dxa"/>
            <w:gridSpan w:val="2"/>
            <w:noWrap w:val="0"/>
            <w:vAlign w:val="center"/>
          </w:tcPr>
          <w:p w14:paraId="25AC0E8B">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lang w:val="zh-CN"/>
              </w:rPr>
              <w:t>2.2.1</w:t>
            </w:r>
          </w:p>
        </w:tc>
        <w:tc>
          <w:tcPr>
            <w:tcW w:w="1755" w:type="dxa"/>
            <w:noWrap w:val="0"/>
            <w:vAlign w:val="center"/>
          </w:tcPr>
          <w:p w14:paraId="54DE5DEB">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分值构成</w:t>
            </w:r>
          </w:p>
          <w:p w14:paraId="17576692">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lang w:val="zh-CN"/>
              </w:rPr>
              <w:t>(总分100分)</w:t>
            </w:r>
          </w:p>
        </w:tc>
        <w:tc>
          <w:tcPr>
            <w:tcW w:w="5900" w:type="dxa"/>
            <w:noWrap w:val="0"/>
            <w:vAlign w:val="center"/>
          </w:tcPr>
          <w:p w14:paraId="61D6EBC6">
            <w:pPr>
              <w:keepNext w:val="0"/>
              <w:keepLines w:val="0"/>
              <w:pageBreakBefore w:val="0"/>
              <w:widowControl w:val="0"/>
              <w:kinsoku/>
              <w:wordWrap w:val="0"/>
              <w:overflowPunct/>
              <w:topLinePunct w:val="0"/>
              <w:autoSpaceDE/>
              <w:autoSpaceDN/>
              <w:bidi w:val="0"/>
              <w:adjustRightInd w:val="0"/>
              <w:spacing w:line="440" w:lineRule="exact"/>
              <w:textAlignment w:val="auto"/>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商务部分：</w:t>
            </w:r>
            <w:r>
              <w:rPr>
                <w:rFonts w:hint="eastAsia" w:ascii="宋体" w:hAnsi="宋体" w:eastAsia="宋体" w:cs="宋体"/>
                <w:color w:val="auto"/>
                <w:spacing w:val="-6"/>
                <w:sz w:val="24"/>
                <w:szCs w:val="24"/>
                <w:highlight w:val="none"/>
                <w:u w:val="single"/>
              </w:rPr>
              <w:t xml:space="preserve"> </w:t>
            </w:r>
            <w:r>
              <w:rPr>
                <w:rFonts w:hint="eastAsia" w:ascii="宋体" w:hAnsi="宋体" w:cs="宋体"/>
                <w:color w:val="auto"/>
                <w:spacing w:val="-6"/>
                <w:sz w:val="24"/>
                <w:szCs w:val="24"/>
                <w:highlight w:val="none"/>
                <w:u w:val="single"/>
                <w:lang w:val="en-US" w:eastAsia="zh-CN"/>
              </w:rPr>
              <w:t>47</w:t>
            </w:r>
            <w:r>
              <w:rPr>
                <w:rFonts w:hint="eastAsia" w:ascii="宋体" w:hAnsi="宋体" w:eastAsia="宋体" w:cs="宋体"/>
                <w:color w:val="auto"/>
                <w:spacing w:val="-6"/>
                <w:sz w:val="24"/>
                <w:szCs w:val="24"/>
                <w:highlight w:val="none"/>
                <w:u w:val="single"/>
              </w:rPr>
              <w:t xml:space="preserve"> </w:t>
            </w:r>
            <w:r>
              <w:rPr>
                <w:rFonts w:hint="eastAsia" w:ascii="宋体" w:hAnsi="宋体" w:eastAsia="宋体" w:cs="宋体"/>
                <w:color w:val="auto"/>
                <w:spacing w:val="-6"/>
                <w:sz w:val="24"/>
                <w:szCs w:val="24"/>
                <w:highlight w:val="none"/>
              </w:rPr>
              <w:t>分（其中投标报价</w:t>
            </w:r>
            <w:r>
              <w:rPr>
                <w:rFonts w:hint="eastAsia" w:ascii="宋体" w:hAnsi="宋体" w:eastAsia="宋体" w:cs="宋体"/>
                <w:color w:val="auto"/>
                <w:spacing w:val="-6"/>
                <w:sz w:val="24"/>
                <w:szCs w:val="24"/>
                <w:highlight w:val="none"/>
                <w:u w:val="single"/>
              </w:rPr>
              <w:t xml:space="preserve"> 30 </w:t>
            </w:r>
            <w:r>
              <w:rPr>
                <w:rFonts w:hint="eastAsia" w:ascii="宋体" w:hAnsi="宋体" w:eastAsia="宋体" w:cs="宋体"/>
                <w:color w:val="auto"/>
                <w:spacing w:val="-6"/>
                <w:sz w:val="24"/>
                <w:szCs w:val="24"/>
                <w:highlight w:val="none"/>
              </w:rPr>
              <w:t>分）</w:t>
            </w:r>
          </w:p>
          <w:p w14:paraId="4A30056A">
            <w:pPr>
              <w:keepNext w:val="0"/>
              <w:keepLines w:val="0"/>
              <w:pageBreakBefore w:val="0"/>
              <w:widowControl w:val="0"/>
              <w:kinsoku/>
              <w:wordWrap w:val="0"/>
              <w:overflowPunct/>
              <w:topLinePunct w:val="0"/>
              <w:autoSpaceDE/>
              <w:autoSpaceDN/>
              <w:bidi w:val="0"/>
              <w:adjustRightInd w:val="0"/>
              <w:spacing w:line="440" w:lineRule="exact"/>
              <w:textAlignment w:val="auto"/>
              <w:rPr>
                <w:rFonts w:hint="eastAsia" w:ascii="宋体" w:hAnsi="宋体" w:eastAsia="宋体" w:cs="宋体"/>
                <w:b/>
                <w:color w:val="auto"/>
                <w:sz w:val="24"/>
                <w:szCs w:val="24"/>
                <w:highlight w:val="none"/>
              </w:rPr>
            </w:pPr>
            <w:r>
              <w:rPr>
                <w:rFonts w:hint="eastAsia" w:ascii="宋体" w:hAnsi="宋体" w:eastAsia="宋体" w:cs="宋体"/>
                <w:color w:val="auto"/>
                <w:spacing w:val="-6"/>
                <w:sz w:val="24"/>
                <w:szCs w:val="24"/>
                <w:highlight w:val="none"/>
              </w:rPr>
              <w:t>技术部分：</w:t>
            </w:r>
            <w:r>
              <w:rPr>
                <w:rFonts w:hint="eastAsia" w:ascii="宋体" w:hAnsi="宋体" w:cs="宋体"/>
                <w:color w:val="auto"/>
                <w:spacing w:val="-6"/>
                <w:sz w:val="24"/>
                <w:szCs w:val="24"/>
                <w:highlight w:val="none"/>
                <w:u w:val="single"/>
                <w:lang w:val="en-US" w:eastAsia="zh-CN"/>
              </w:rPr>
              <w:t>53</w:t>
            </w:r>
            <w:r>
              <w:rPr>
                <w:rFonts w:hint="eastAsia" w:ascii="宋体" w:hAnsi="宋体" w:eastAsia="宋体" w:cs="宋体"/>
                <w:color w:val="auto"/>
                <w:spacing w:val="-6"/>
                <w:sz w:val="24"/>
                <w:szCs w:val="24"/>
                <w:highlight w:val="none"/>
                <w:u w:val="single"/>
              </w:rPr>
              <w:t xml:space="preserve"> </w:t>
            </w:r>
            <w:r>
              <w:rPr>
                <w:rFonts w:hint="eastAsia" w:ascii="宋体" w:hAnsi="宋体" w:eastAsia="宋体" w:cs="宋体"/>
                <w:color w:val="auto"/>
                <w:spacing w:val="-6"/>
                <w:sz w:val="24"/>
                <w:szCs w:val="24"/>
                <w:highlight w:val="none"/>
              </w:rPr>
              <w:t>分</w:t>
            </w:r>
          </w:p>
        </w:tc>
      </w:tr>
      <w:tr w14:paraId="2EAEA4BB">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243" w:type="dxa"/>
            <w:gridSpan w:val="2"/>
            <w:noWrap w:val="0"/>
            <w:vAlign w:val="center"/>
          </w:tcPr>
          <w:p w14:paraId="7F78CE4D">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lang w:val="zh-CN"/>
              </w:rPr>
              <w:t>2.2.2</w:t>
            </w:r>
          </w:p>
        </w:tc>
        <w:tc>
          <w:tcPr>
            <w:tcW w:w="1755" w:type="dxa"/>
            <w:noWrap w:val="0"/>
            <w:vAlign w:val="center"/>
          </w:tcPr>
          <w:p w14:paraId="53FFF55D">
            <w:pPr>
              <w:keepNext w:val="0"/>
              <w:keepLines w:val="0"/>
              <w:pageBreakBefore w:val="0"/>
              <w:widowControl w:val="0"/>
              <w:kinsoku/>
              <w:wordWrap w:val="0"/>
              <w:overflowPunct/>
              <w:topLinePunct w:val="0"/>
              <w:autoSpaceDE/>
              <w:autoSpaceDN/>
              <w:bidi w:val="0"/>
              <w:adjustRightInd w:val="0"/>
              <w:spacing w:line="440" w:lineRule="exact"/>
              <w:jc w:val="center"/>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lang w:val="zh-CN"/>
              </w:rPr>
              <w:t>评标基准价计算方法</w:t>
            </w:r>
          </w:p>
        </w:tc>
        <w:tc>
          <w:tcPr>
            <w:tcW w:w="5900" w:type="dxa"/>
            <w:noWrap w:val="0"/>
            <w:vAlign w:val="center"/>
          </w:tcPr>
          <w:p w14:paraId="4E54DB3A">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以满足招标文件要求且报价最低的价格为评标基准价</w:t>
            </w:r>
          </w:p>
        </w:tc>
      </w:tr>
      <w:tr w14:paraId="4BE47141">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2005" w:hRule="atLeast"/>
          <w:jc w:val="center"/>
        </w:trPr>
        <w:tc>
          <w:tcPr>
            <w:tcW w:w="1088" w:type="dxa"/>
            <w:vMerge w:val="restart"/>
            <w:noWrap w:val="0"/>
            <w:vAlign w:val="center"/>
          </w:tcPr>
          <w:p w14:paraId="4CFF8DBA">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2.2.3（1）</w:t>
            </w:r>
          </w:p>
        </w:tc>
        <w:tc>
          <w:tcPr>
            <w:tcW w:w="1155" w:type="dxa"/>
            <w:vMerge w:val="restart"/>
            <w:noWrap w:val="0"/>
            <w:vAlign w:val="center"/>
          </w:tcPr>
          <w:p w14:paraId="2C0B1A3F">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商务部分评分标准</w:t>
            </w:r>
          </w:p>
          <w:p w14:paraId="1A5BD56A">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w:t>
            </w:r>
            <w:r>
              <w:rPr>
                <w:rFonts w:hint="eastAsia" w:ascii="宋体" w:hAnsi="宋体" w:cs="宋体"/>
                <w:bCs/>
                <w:color w:val="auto"/>
                <w:sz w:val="24"/>
                <w:szCs w:val="24"/>
                <w:highlight w:val="none"/>
                <w:lang w:val="en-US" w:eastAsia="zh-CN"/>
              </w:rPr>
              <w:t>47</w:t>
            </w:r>
            <w:r>
              <w:rPr>
                <w:rFonts w:hint="eastAsia" w:ascii="宋体" w:hAnsi="宋体" w:eastAsia="宋体" w:cs="宋体"/>
                <w:bCs/>
                <w:color w:val="auto"/>
                <w:sz w:val="24"/>
                <w:szCs w:val="24"/>
                <w:highlight w:val="none"/>
              </w:rPr>
              <w:t>分）</w:t>
            </w:r>
          </w:p>
        </w:tc>
        <w:tc>
          <w:tcPr>
            <w:tcW w:w="1755" w:type="dxa"/>
            <w:noWrap w:val="0"/>
            <w:vAlign w:val="center"/>
          </w:tcPr>
          <w:p w14:paraId="36565345">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投标报价</w:t>
            </w:r>
          </w:p>
          <w:p w14:paraId="245AD726">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bCs/>
                <w:color w:val="auto"/>
                <w:sz w:val="24"/>
                <w:szCs w:val="24"/>
                <w:highlight w:val="none"/>
              </w:rPr>
            </w:pPr>
            <w:r>
              <w:rPr>
                <w:rFonts w:hint="eastAsia" w:ascii="宋体" w:hAnsi="宋体" w:eastAsia="宋体" w:cs="宋体"/>
                <w:color w:val="auto"/>
                <w:spacing w:val="-6"/>
                <w:sz w:val="24"/>
                <w:szCs w:val="24"/>
                <w:highlight w:val="none"/>
              </w:rPr>
              <w:t>（30 分）</w:t>
            </w:r>
          </w:p>
        </w:tc>
        <w:tc>
          <w:tcPr>
            <w:tcW w:w="5900" w:type="dxa"/>
            <w:noWrap w:val="0"/>
            <w:vAlign w:val="top"/>
          </w:tcPr>
          <w:p w14:paraId="770E79C7">
            <w:pPr>
              <w:keepNext w:val="0"/>
              <w:keepLines w:val="0"/>
              <w:pageBreakBefore w:val="0"/>
              <w:widowControl w:val="0"/>
              <w:kinsoku/>
              <w:wordWrap w:val="0"/>
              <w:overflowPunct/>
              <w:topLinePunct w:val="0"/>
              <w:autoSpaceDE/>
              <w:autoSpaceDN/>
              <w:bidi w:val="0"/>
              <w:spacing w:line="440" w:lineRule="exact"/>
              <w:ind w:left="11" w:leftChars="0" w:right="11" w:rightChars="0"/>
              <w:textAlignment w:val="auto"/>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rPr>
              <w:t>以满足招标文件要求且报价最低的价格为评标基准价，其价格分为满分 30分，其他供应商的价格分按照下列公式计算：报价得分=（评标基准价/投标报价）×30，结果保留两位小数。</w:t>
            </w:r>
          </w:p>
        </w:tc>
      </w:tr>
      <w:tr w14:paraId="31EC26D4">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88" w:type="dxa"/>
            <w:vMerge w:val="continue"/>
            <w:noWrap w:val="0"/>
            <w:vAlign w:val="center"/>
          </w:tcPr>
          <w:p w14:paraId="21850648">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bCs/>
                <w:color w:val="auto"/>
                <w:sz w:val="24"/>
                <w:szCs w:val="24"/>
                <w:highlight w:val="none"/>
              </w:rPr>
            </w:pPr>
          </w:p>
        </w:tc>
        <w:tc>
          <w:tcPr>
            <w:tcW w:w="1155" w:type="dxa"/>
            <w:vMerge w:val="continue"/>
            <w:noWrap w:val="0"/>
            <w:vAlign w:val="center"/>
          </w:tcPr>
          <w:p w14:paraId="143352AF">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bCs/>
                <w:color w:val="auto"/>
                <w:sz w:val="24"/>
                <w:szCs w:val="24"/>
                <w:highlight w:val="none"/>
              </w:rPr>
            </w:pPr>
          </w:p>
        </w:tc>
        <w:tc>
          <w:tcPr>
            <w:tcW w:w="1755" w:type="dxa"/>
            <w:noWrap w:val="0"/>
            <w:vAlign w:val="center"/>
          </w:tcPr>
          <w:p w14:paraId="6A9833C5">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bCs/>
                <w:color w:val="auto"/>
                <w:sz w:val="24"/>
                <w:szCs w:val="24"/>
                <w:highlight w:val="none"/>
                <w:lang w:val="zh-CN" w:eastAsia="zh-CN"/>
              </w:rPr>
            </w:pPr>
            <w:r>
              <w:rPr>
                <w:rFonts w:hint="eastAsia" w:ascii="宋体" w:hAnsi="宋体" w:eastAsia="宋体" w:cs="宋体"/>
                <w:bCs/>
                <w:color w:val="auto"/>
                <w:sz w:val="24"/>
                <w:szCs w:val="24"/>
                <w:highlight w:val="none"/>
                <w:lang w:val="zh-CN" w:eastAsia="zh-CN"/>
              </w:rPr>
              <w:t>企业业绩</w:t>
            </w:r>
          </w:p>
          <w:p w14:paraId="5B87542E">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bCs/>
                <w:color w:val="auto"/>
                <w:sz w:val="24"/>
                <w:szCs w:val="24"/>
                <w:highlight w:val="none"/>
                <w:lang w:val="zh-CN" w:eastAsia="zh-CN"/>
              </w:rPr>
            </w:pPr>
            <w:r>
              <w:rPr>
                <w:rFonts w:hint="eastAsia" w:ascii="宋体" w:hAnsi="宋体" w:eastAsia="宋体" w:cs="宋体"/>
                <w:bCs/>
                <w:color w:val="auto"/>
                <w:sz w:val="24"/>
                <w:szCs w:val="24"/>
                <w:highlight w:val="none"/>
                <w:lang w:val="zh-CN" w:eastAsia="zh-CN"/>
              </w:rPr>
              <w:t>（</w:t>
            </w:r>
            <w:r>
              <w:rPr>
                <w:rFonts w:hint="eastAsia" w:ascii="宋体" w:hAnsi="宋体" w:cs="宋体"/>
                <w:bCs/>
                <w:color w:val="auto"/>
                <w:sz w:val="24"/>
                <w:szCs w:val="24"/>
                <w:highlight w:val="none"/>
                <w:lang w:val="en-US" w:eastAsia="zh-CN"/>
              </w:rPr>
              <w:t xml:space="preserve">6 </w:t>
            </w:r>
            <w:r>
              <w:rPr>
                <w:rFonts w:hint="eastAsia" w:ascii="宋体" w:hAnsi="宋体" w:eastAsia="宋体" w:cs="宋体"/>
                <w:bCs/>
                <w:color w:val="auto"/>
                <w:sz w:val="24"/>
                <w:szCs w:val="24"/>
                <w:highlight w:val="none"/>
                <w:lang w:val="en-US" w:eastAsia="zh-CN"/>
              </w:rPr>
              <w:t>分</w:t>
            </w:r>
            <w:r>
              <w:rPr>
                <w:rFonts w:hint="eastAsia" w:ascii="宋体" w:hAnsi="宋体" w:eastAsia="宋体" w:cs="宋体"/>
                <w:bCs/>
                <w:color w:val="auto"/>
                <w:sz w:val="24"/>
                <w:szCs w:val="24"/>
                <w:highlight w:val="none"/>
                <w:lang w:val="zh-CN" w:eastAsia="zh-CN"/>
              </w:rPr>
              <w:t>）</w:t>
            </w:r>
          </w:p>
        </w:tc>
        <w:tc>
          <w:tcPr>
            <w:tcW w:w="5900" w:type="dxa"/>
            <w:noWrap w:val="0"/>
            <w:vAlign w:val="top"/>
          </w:tcPr>
          <w:p w14:paraId="45C8AF8C">
            <w:pPr>
              <w:pStyle w:val="144"/>
              <w:spacing w:before="57" w:line="279" w:lineRule="auto"/>
              <w:ind w:left="112" w:leftChars="0" w:right="96" w:rightChars="0"/>
              <w:jc w:val="both"/>
              <w:rPr>
                <w:rFonts w:hint="eastAsia" w:ascii="宋体" w:hAnsi="宋体" w:eastAsia="宋体" w:cs="宋体"/>
                <w:color w:val="auto"/>
                <w:sz w:val="24"/>
                <w:szCs w:val="24"/>
                <w:highlight w:val="none"/>
                <w:lang w:val="en-US" w:eastAsia="zh-CN" w:bidi="ar-SA"/>
              </w:rPr>
            </w:pPr>
            <w:r>
              <w:rPr>
                <w:spacing w:val="-2"/>
              </w:rPr>
              <w:t>近三年（202</w:t>
            </w:r>
            <w:r>
              <w:rPr>
                <w:rFonts w:hint="eastAsia"/>
                <w:spacing w:val="-2"/>
                <w:lang w:val="en-US" w:eastAsia="zh-CN"/>
              </w:rPr>
              <w:t>1</w:t>
            </w:r>
            <w:r>
              <w:rPr>
                <w:spacing w:val="-2"/>
              </w:rPr>
              <w:t>-至今）完成的类似业绩，每有一项得</w:t>
            </w:r>
            <w:r>
              <w:rPr>
                <w:spacing w:val="16"/>
              </w:rPr>
              <w:t xml:space="preserve"> </w:t>
            </w:r>
            <w:r>
              <w:rPr>
                <w:spacing w:val="-6"/>
              </w:rPr>
              <w:t>2</w:t>
            </w:r>
            <w:r>
              <w:rPr>
                <w:spacing w:val="-40"/>
              </w:rPr>
              <w:t xml:space="preserve"> </w:t>
            </w:r>
            <w:r>
              <w:rPr>
                <w:spacing w:val="-6"/>
              </w:rPr>
              <w:t>分，最多得</w:t>
            </w:r>
            <w:r>
              <w:rPr>
                <w:spacing w:val="-49"/>
              </w:rPr>
              <w:t xml:space="preserve"> </w:t>
            </w:r>
            <w:r>
              <w:rPr>
                <w:spacing w:val="-6"/>
              </w:rPr>
              <w:t>6</w:t>
            </w:r>
            <w:r>
              <w:rPr>
                <w:spacing w:val="-48"/>
              </w:rPr>
              <w:t xml:space="preserve"> </w:t>
            </w:r>
            <w:r>
              <w:rPr>
                <w:spacing w:val="-6"/>
              </w:rPr>
              <w:t>分。（</w:t>
            </w:r>
            <w:r>
              <w:rPr>
                <w:spacing w:val="4"/>
              </w:rPr>
              <w:t>经销商</w:t>
            </w:r>
            <w:r>
              <w:rPr>
                <w:spacing w:val="3"/>
              </w:rPr>
              <w:t>可提供</w:t>
            </w:r>
            <w:r>
              <w:rPr>
                <w:spacing w:val="-1"/>
              </w:rPr>
              <w:t>本单位的销售业绩或者设备厂家供货业绩</w:t>
            </w:r>
            <w:r>
              <w:rPr>
                <w:rFonts w:hint="eastAsia"/>
                <w:spacing w:val="-6"/>
                <w:lang w:eastAsia="zh-CN"/>
              </w:rPr>
              <w:t>，</w:t>
            </w:r>
            <w:r>
              <w:rPr>
                <w:spacing w:val="-6"/>
              </w:rPr>
              <w:t>中标</w:t>
            </w:r>
            <w:r>
              <w:rPr>
                <w:rFonts w:hint="eastAsia"/>
                <w:spacing w:val="-6"/>
                <w:lang w:val="en-US"/>
              </w:rPr>
              <w:t>/成交</w:t>
            </w:r>
            <w:r>
              <w:rPr>
                <w:spacing w:val="-6"/>
              </w:rPr>
              <w:t>通知书或合同协议书</w:t>
            </w:r>
            <w:r>
              <w:rPr>
                <w:rFonts w:hint="eastAsia"/>
                <w:spacing w:val="-6"/>
              </w:rPr>
              <w:t>复印件加盖投标单位公章</w:t>
            </w:r>
            <w:r>
              <w:rPr>
                <w:spacing w:val="-6"/>
              </w:rPr>
              <w:t>）</w:t>
            </w:r>
          </w:p>
        </w:tc>
      </w:tr>
      <w:tr w14:paraId="414E4614">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1004" w:hRule="atLeast"/>
          <w:jc w:val="center"/>
        </w:trPr>
        <w:tc>
          <w:tcPr>
            <w:tcW w:w="1088" w:type="dxa"/>
            <w:vMerge w:val="continue"/>
            <w:noWrap w:val="0"/>
            <w:vAlign w:val="center"/>
          </w:tcPr>
          <w:p w14:paraId="0AD36695">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bCs/>
                <w:color w:val="auto"/>
                <w:sz w:val="24"/>
                <w:szCs w:val="24"/>
                <w:highlight w:val="none"/>
              </w:rPr>
            </w:pPr>
          </w:p>
        </w:tc>
        <w:tc>
          <w:tcPr>
            <w:tcW w:w="1155" w:type="dxa"/>
            <w:vMerge w:val="continue"/>
            <w:noWrap w:val="0"/>
            <w:vAlign w:val="center"/>
          </w:tcPr>
          <w:p w14:paraId="5074C9CA">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bCs/>
                <w:color w:val="auto"/>
                <w:sz w:val="24"/>
                <w:szCs w:val="24"/>
                <w:highlight w:val="none"/>
              </w:rPr>
            </w:pPr>
          </w:p>
        </w:tc>
        <w:tc>
          <w:tcPr>
            <w:tcW w:w="1755" w:type="dxa"/>
            <w:noWrap w:val="0"/>
            <w:vAlign w:val="center"/>
          </w:tcPr>
          <w:p w14:paraId="329C850E">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 xml:space="preserve">服务承诺 </w:t>
            </w:r>
          </w:p>
          <w:p w14:paraId="133E978B">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bCs/>
                <w:color w:val="auto"/>
                <w:sz w:val="24"/>
                <w:szCs w:val="24"/>
                <w:highlight w:val="none"/>
                <w:lang w:val="zh-CN" w:eastAsia="zh-CN"/>
              </w:rPr>
            </w:pPr>
            <w:r>
              <w:rPr>
                <w:rFonts w:hint="eastAsia" w:ascii="宋体" w:hAnsi="宋体" w:eastAsia="宋体" w:cs="宋体"/>
                <w:bCs/>
                <w:color w:val="auto"/>
                <w:sz w:val="24"/>
                <w:szCs w:val="24"/>
                <w:highlight w:val="none"/>
                <w:lang w:val="zh-CN"/>
              </w:rPr>
              <w:t>（4 分）</w:t>
            </w:r>
          </w:p>
        </w:tc>
        <w:tc>
          <w:tcPr>
            <w:tcW w:w="5900" w:type="dxa"/>
            <w:shd w:val="clear" w:color="auto" w:fill="auto"/>
            <w:noWrap w:val="0"/>
            <w:vAlign w:val="center"/>
          </w:tcPr>
          <w:p w14:paraId="28F54A0E">
            <w:pPr>
              <w:jc w:val="left"/>
              <w:rPr>
                <w:rFonts w:hint="eastAsia" w:ascii="宋体" w:hAnsi="宋体" w:eastAsia="宋体" w:cs="宋体"/>
                <w:color w:val="auto"/>
                <w:szCs w:val="21"/>
                <w:highlight w:val="none"/>
                <w:lang w:val="en-US" w:eastAsia="zh-CN" w:bidi="ar-SA"/>
              </w:rPr>
            </w:pPr>
            <w:r>
              <w:rPr>
                <w:rFonts w:hint="eastAsia" w:ascii="宋体" w:hAnsi="宋体" w:eastAsia="宋体" w:cs="宋体"/>
                <w:spacing w:val="-2"/>
                <w:sz w:val="24"/>
                <w:szCs w:val="24"/>
                <w:lang w:val="en-US" w:eastAsia="en-US" w:bidi="ar-SA"/>
              </w:rPr>
              <w:t>投标人</w:t>
            </w:r>
            <w:r>
              <w:rPr>
                <w:rFonts w:hint="eastAsia" w:ascii="宋体" w:hAnsi="宋体" w:cs="宋体"/>
                <w:spacing w:val="-2"/>
                <w:sz w:val="24"/>
                <w:szCs w:val="24"/>
                <w:lang w:val="en-US" w:eastAsia="zh-CN" w:bidi="ar-SA"/>
              </w:rPr>
              <w:t>每</w:t>
            </w:r>
            <w:r>
              <w:rPr>
                <w:rFonts w:hint="eastAsia" w:ascii="宋体" w:hAnsi="宋体" w:eastAsia="宋体" w:cs="宋体"/>
                <w:spacing w:val="-2"/>
                <w:sz w:val="24"/>
                <w:szCs w:val="24"/>
                <w:lang w:val="en-US" w:eastAsia="en-US" w:bidi="ar-SA"/>
              </w:rPr>
              <w:t>提供</w:t>
            </w:r>
            <w:r>
              <w:rPr>
                <w:rFonts w:hint="eastAsia" w:ascii="宋体" w:hAnsi="宋体" w:cs="宋体"/>
                <w:spacing w:val="-2"/>
                <w:sz w:val="24"/>
                <w:szCs w:val="24"/>
                <w:lang w:val="en-US" w:eastAsia="zh-CN" w:bidi="ar-SA"/>
              </w:rPr>
              <w:t>一项服务承诺得1分，最高得4分，</w:t>
            </w:r>
            <w:r>
              <w:rPr>
                <w:rFonts w:hint="eastAsia" w:ascii="宋体" w:hAnsi="宋体" w:eastAsia="宋体" w:cs="宋体"/>
                <w:spacing w:val="-2"/>
                <w:sz w:val="24"/>
                <w:szCs w:val="24"/>
                <w:lang w:val="en-US" w:eastAsia="zh-CN" w:bidi="ar-SA"/>
              </w:rPr>
              <w:t>未提供不得分。</w:t>
            </w:r>
          </w:p>
        </w:tc>
      </w:tr>
      <w:tr w14:paraId="10E82626">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1365" w:hRule="atLeast"/>
          <w:jc w:val="center"/>
        </w:trPr>
        <w:tc>
          <w:tcPr>
            <w:tcW w:w="1088" w:type="dxa"/>
            <w:vMerge w:val="continue"/>
            <w:noWrap w:val="0"/>
            <w:vAlign w:val="center"/>
          </w:tcPr>
          <w:p w14:paraId="69B81E97">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bCs/>
                <w:color w:val="auto"/>
                <w:sz w:val="24"/>
                <w:szCs w:val="24"/>
                <w:highlight w:val="none"/>
              </w:rPr>
            </w:pPr>
          </w:p>
        </w:tc>
        <w:tc>
          <w:tcPr>
            <w:tcW w:w="1155" w:type="dxa"/>
            <w:vMerge w:val="continue"/>
            <w:noWrap w:val="0"/>
            <w:vAlign w:val="center"/>
          </w:tcPr>
          <w:p w14:paraId="3A63802D">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bCs/>
                <w:color w:val="auto"/>
                <w:sz w:val="24"/>
                <w:szCs w:val="24"/>
                <w:highlight w:val="none"/>
              </w:rPr>
            </w:pPr>
          </w:p>
        </w:tc>
        <w:tc>
          <w:tcPr>
            <w:tcW w:w="1755" w:type="dxa"/>
            <w:noWrap w:val="0"/>
            <w:vAlign w:val="center"/>
          </w:tcPr>
          <w:p w14:paraId="1F7B348A">
            <w:pPr>
              <w:keepNext w:val="0"/>
              <w:keepLines w:val="0"/>
              <w:pageBreakBefore w:val="0"/>
              <w:kinsoku/>
              <w:wordWrap/>
              <w:overflowPunct/>
              <w:topLinePunct w:val="0"/>
              <w:autoSpaceDE w:val="0"/>
              <w:autoSpaceDN w:val="0"/>
              <w:bidi w:val="0"/>
              <w:adjustRightInd w:val="0"/>
              <w:snapToGrid/>
              <w:spacing w:line="288"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优惠条件</w:t>
            </w:r>
          </w:p>
          <w:p w14:paraId="1A822F68">
            <w:pPr>
              <w:keepNext w:val="0"/>
              <w:keepLines w:val="0"/>
              <w:pageBreakBefore w:val="0"/>
              <w:kinsoku/>
              <w:wordWrap/>
              <w:overflowPunct/>
              <w:topLinePunct w:val="0"/>
              <w:autoSpaceDE w:val="0"/>
              <w:autoSpaceDN w:val="0"/>
              <w:bidi w:val="0"/>
              <w:adjustRightInd w:val="0"/>
              <w:snapToGrid/>
              <w:spacing w:line="288"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7</w:t>
            </w:r>
            <w:r>
              <w:rPr>
                <w:rFonts w:hint="eastAsia" w:ascii="宋体" w:hAnsi="宋体" w:eastAsia="宋体" w:cs="宋体"/>
                <w:color w:val="auto"/>
                <w:sz w:val="24"/>
                <w:szCs w:val="24"/>
                <w:highlight w:val="none"/>
              </w:rPr>
              <w:t xml:space="preserve"> 分）</w:t>
            </w:r>
          </w:p>
        </w:tc>
        <w:tc>
          <w:tcPr>
            <w:tcW w:w="5900" w:type="dxa"/>
            <w:noWrap w:val="0"/>
            <w:vAlign w:val="center"/>
          </w:tcPr>
          <w:p w14:paraId="1821672F">
            <w:pPr>
              <w:spacing w:line="400" w:lineRule="exact"/>
              <w:jc w:val="left"/>
              <w:rPr>
                <w:rFonts w:hint="default" w:ascii="宋体" w:hAnsi="宋体" w:eastAsia="宋体" w:cs="宋体"/>
                <w:color w:val="auto"/>
                <w:sz w:val="24"/>
                <w:szCs w:val="24"/>
                <w:highlight w:val="yellow"/>
                <w:lang w:val="en-US" w:eastAsia="zh-CN"/>
              </w:rPr>
            </w:pPr>
            <w:r>
              <w:rPr>
                <w:rFonts w:hint="eastAsia" w:ascii="宋体" w:hAnsi="宋体" w:eastAsia="宋体" w:cs="宋体"/>
                <w:spacing w:val="-2"/>
                <w:sz w:val="24"/>
                <w:szCs w:val="24"/>
                <w:lang w:val="en-US" w:eastAsia="zh-CN" w:bidi="ar-SA"/>
              </w:rPr>
              <w:t>投标文件中</w:t>
            </w:r>
            <w:r>
              <w:rPr>
                <w:rFonts w:hint="default" w:ascii="宋体" w:hAnsi="宋体" w:eastAsia="宋体" w:cs="宋体"/>
                <w:spacing w:val="-2"/>
                <w:sz w:val="24"/>
                <w:szCs w:val="24"/>
                <w:lang w:val="zh-CN" w:eastAsia="zh-CN" w:bidi="ar-SA"/>
              </w:rPr>
              <w:t>每提供</w:t>
            </w:r>
            <w:r>
              <w:rPr>
                <w:rFonts w:hint="eastAsia" w:ascii="宋体" w:hAnsi="宋体" w:eastAsia="宋体" w:cs="宋体"/>
                <w:spacing w:val="-2"/>
                <w:sz w:val="24"/>
                <w:szCs w:val="24"/>
                <w:lang w:val="en-US" w:eastAsia="zh-CN" w:bidi="ar-SA"/>
              </w:rPr>
              <w:t>一</w:t>
            </w:r>
            <w:r>
              <w:rPr>
                <w:rFonts w:hint="default" w:ascii="宋体" w:hAnsi="宋体" w:eastAsia="宋体" w:cs="宋体"/>
                <w:spacing w:val="-2"/>
                <w:sz w:val="24"/>
                <w:szCs w:val="24"/>
                <w:lang w:val="zh-CN" w:eastAsia="zh-CN" w:bidi="ar-SA"/>
              </w:rPr>
              <w:t>项</w:t>
            </w:r>
            <w:r>
              <w:rPr>
                <w:rFonts w:hint="eastAsia" w:ascii="宋体" w:hAnsi="宋体" w:eastAsia="宋体" w:cs="宋体"/>
                <w:spacing w:val="-2"/>
                <w:sz w:val="24"/>
                <w:szCs w:val="24"/>
                <w:lang w:val="en-US" w:eastAsia="zh-CN" w:bidi="ar-SA"/>
              </w:rPr>
              <w:t>采购人可接受的实质性优惠条件，提供一项得1分，最多得</w:t>
            </w:r>
            <w:r>
              <w:rPr>
                <w:rFonts w:hint="eastAsia" w:ascii="宋体" w:hAnsi="宋体" w:cs="宋体"/>
                <w:spacing w:val="-2"/>
                <w:sz w:val="24"/>
                <w:szCs w:val="24"/>
                <w:lang w:val="en-US" w:eastAsia="zh-CN" w:bidi="ar-SA"/>
              </w:rPr>
              <w:t>7</w:t>
            </w:r>
            <w:r>
              <w:rPr>
                <w:rFonts w:hint="eastAsia" w:ascii="宋体" w:hAnsi="宋体" w:eastAsia="宋体" w:cs="宋体"/>
                <w:spacing w:val="-2"/>
                <w:sz w:val="24"/>
                <w:szCs w:val="24"/>
                <w:lang w:val="en-US" w:eastAsia="zh-CN" w:bidi="ar-SA"/>
              </w:rPr>
              <w:t>分，没有不得分。</w:t>
            </w:r>
          </w:p>
        </w:tc>
      </w:tr>
      <w:tr w14:paraId="3FF46943">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88" w:type="dxa"/>
            <w:vMerge w:val="restart"/>
            <w:noWrap w:val="0"/>
            <w:vAlign w:val="center"/>
          </w:tcPr>
          <w:p w14:paraId="5159F4CC">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rPr>
              <w:t>2.2.3（2）</w:t>
            </w:r>
          </w:p>
        </w:tc>
        <w:tc>
          <w:tcPr>
            <w:tcW w:w="1155" w:type="dxa"/>
            <w:vMerge w:val="restart"/>
            <w:noWrap w:val="0"/>
            <w:vAlign w:val="center"/>
          </w:tcPr>
          <w:p w14:paraId="2ECF7240">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技术部分评分标准</w:t>
            </w:r>
          </w:p>
          <w:p w14:paraId="2F2A4B03">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53</w:t>
            </w:r>
            <w:r>
              <w:rPr>
                <w:rFonts w:hint="eastAsia" w:ascii="宋体" w:hAnsi="宋体" w:eastAsia="宋体" w:cs="宋体"/>
                <w:color w:val="auto"/>
                <w:sz w:val="24"/>
                <w:szCs w:val="24"/>
                <w:highlight w:val="none"/>
              </w:rPr>
              <w:t>分）</w:t>
            </w:r>
          </w:p>
        </w:tc>
        <w:tc>
          <w:tcPr>
            <w:tcW w:w="1755" w:type="dxa"/>
            <w:noWrap w:val="0"/>
            <w:vAlign w:val="center"/>
          </w:tcPr>
          <w:p w14:paraId="2EFD6466">
            <w:pPr>
              <w:spacing w:line="400" w:lineRule="exact"/>
              <w:jc w:val="center"/>
              <w:rPr>
                <w:rFonts w:hint="eastAsia" w:ascii="宋体" w:hAnsi="宋体" w:eastAsia="宋体" w:cs="宋体"/>
                <w:spacing w:val="-2"/>
                <w:sz w:val="24"/>
                <w:szCs w:val="24"/>
                <w:lang w:val="en-US" w:eastAsia="zh-CN" w:bidi="ar-SA"/>
              </w:rPr>
            </w:pPr>
            <w:r>
              <w:rPr>
                <w:rFonts w:hint="eastAsia" w:ascii="宋体" w:hAnsi="宋体" w:eastAsia="宋体" w:cs="宋体"/>
                <w:spacing w:val="-2"/>
                <w:sz w:val="24"/>
                <w:szCs w:val="24"/>
                <w:lang w:val="en-US" w:eastAsia="zh-CN" w:bidi="ar-SA"/>
              </w:rPr>
              <w:t>货物的先进性、可靠性</w:t>
            </w:r>
          </w:p>
          <w:p w14:paraId="72E35A7B">
            <w:pPr>
              <w:spacing w:line="400" w:lineRule="exact"/>
              <w:jc w:val="center"/>
              <w:rPr>
                <w:rFonts w:hint="default" w:ascii="宋体" w:hAnsi="宋体" w:eastAsia="宋体" w:cs="宋体"/>
                <w:spacing w:val="-2"/>
                <w:sz w:val="24"/>
                <w:szCs w:val="24"/>
                <w:lang w:val="en-US" w:eastAsia="zh-CN" w:bidi="ar-SA"/>
              </w:rPr>
            </w:pPr>
            <w:r>
              <w:rPr>
                <w:rFonts w:hint="eastAsia" w:ascii="宋体" w:hAnsi="宋体" w:eastAsia="宋体" w:cs="宋体"/>
                <w:color w:val="auto"/>
                <w:spacing w:val="-2"/>
                <w:sz w:val="24"/>
                <w:szCs w:val="24"/>
                <w:lang w:val="en-US" w:eastAsia="zh-CN" w:bidi="ar-SA"/>
              </w:rPr>
              <w:t>（</w:t>
            </w:r>
            <w:r>
              <w:rPr>
                <w:rFonts w:hint="eastAsia" w:ascii="宋体" w:hAnsi="宋体" w:cs="宋体"/>
                <w:color w:val="auto"/>
                <w:spacing w:val="-2"/>
                <w:sz w:val="24"/>
                <w:szCs w:val="24"/>
                <w:lang w:val="en-US" w:eastAsia="zh-CN" w:bidi="ar-SA"/>
              </w:rPr>
              <w:t xml:space="preserve">7 </w:t>
            </w:r>
            <w:r>
              <w:rPr>
                <w:rFonts w:hint="eastAsia" w:ascii="宋体" w:hAnsi="宋体" w:eastAsia="宋体" w:cs="宋体"/>
                <w:color w:val="auto"/>
                <w:spacing w:val="-2"/>
                <w:sz w:val="24"/>
                <w:szCs w:val="24"/>
                <w:lang w:val="en-US" w:eastAsia="zh-CN" w:bidi="ar-SA"/>
              </w:rPr>
              <w:t>分）</w:t>
            </w:r>
          </w:p>
        </w:tc>
        <w:tc>
          <w:tcPr>
            <w:tcW w:w="5900" w:type="dxa"/>
            <w:vMerge w:val="restart"/>
            <w:noWrap w:val="0"/>
            <w:vAlign w:val="center"/>
          </w:tcPr>
          <w:p w14:paraId="1244523F">
            <w:pPr>
              <w:spacing w:line="400" w:lineRule="exact"/>
              <w:jc w:val="left"/>
              <w:rPr>
                <w:rFonts w:hint="eastAsia" w:ascii="宋体" w:hAnsi="宋体" w:eastAsia="宋体" w:cs="宋体"/>
                <w:spacing w:val="-2"/>
                <w:sz w:val="24"/>
                <w:szCs w:val="24"/>
                <w:lang w:val="en-US" w:eastAsia="zh-CN" w:bidi="ar-SA"/>
              </w:rPr>
            </w:pPr>
            <w:r>
              <w:rPr>
                <w:rFonts w:hint="eastAsia" w:ascii="宋体" w:hAnsi="宋体" w:eastAsia="宋体" w:cs="宋体"/>
                <w:spacing w:val="-2"/>
                <w:sz w:val="24"/>
                <w:szCs w:val="24"/>
                <w:lang w:val="en-US" w:eastAsia="zh-CN" w:bidi="ar-SA"/>
              </w:rPr>
              <w:t>货物的技术水平在同类产品中领先，技术成熟性、设备可靠性强，明显优于同类产品得</w:t>
            </w:r>
            <w:r>
              <w:rPr>
                <w:rFonts w:hint="eastAsia" w:ascii="宋体" w:hAnsi="宋体" w:cs="宋体"/>
                <w:spacing w:val="-2"/>
                <w:sz w:val="24"/>
                <w:szCs w:val="24"/>
                <w:lang w:val="en-US" w:eastAsia="zh-CN" w:bidi="ar-SA"/>
              </w:rPr>
              <w:t>7</w:t>
            </w:r>
            <w:r>
              <w:rPr>
                <w:rFonts w:hint="eastAsia" w:ascii="宋体" w:hAnsi="宋体" w:eastAsia="宋体" w:cs="宋体"/>
                <w:spacing w:val="-2"/>
                <w:sz w:val="24"/>
                <w:szCs w:val="24"/>
                <w:lang w:val="en-US" w:eastAsia="zh-CN" w:bidi="ar-SA"/>
              </w:rPr>
              <w:t>分；</w:t>
            </w:r>
          </w:p>
          <w:p w14:paraId="79F15FF3">
            <w:pPr>
              <w:spacing w:line="400" w:lineRule="exact"/>
              <w:jc w:val="left"/>
              <w:rPr>
                <w:rFonts w:hint="eastAsia" w:ascii="宋体" w:hAnsi="宋体" w:eastAsia="宋体" w:cs="宋体"/>
                <w:spacing w:val="-2"/>
                <w:sz w:val="24"/>
                <w:szCs w:val="24"/>
                <w:lang w:val="en-US" w:eastAsia="zh-CN" w:bidi="ar-SA"/>
              </w:rPr>
            </w:pPr>
            <w:r>
              <w:rPr>
                <w:rFonts w:hint="eastAsia" w:ascii="宋体" w:hAnsi="宋体" w:eastAsia="宋体" w:cs="宋体"/>
                <w:spacing w:val="-2"/>
                <w:sz w:val="24"/>
                <w:szCs w:val="24"/>
                <w:lang w:val="en-US" w:eastAsia="zh-CN" w:bidi="ar-SA"/>
              </w:rPr>
              <w:t>技术水平在同类产品中属于中等，技术成熟性、设备可靠性一般得</w:t>
            </w:r>
            <w:r>
              <w:rPr>
                <w:rFonts w:hint="eastAsia" w:ascii="宋体" w:hAnsi="宋体" w:cs="宋体"/>
                <w:spacing w:val="-2"/>
                <w:sz w:val="24"/>
                <w:szCs w:val="24"/>
                <w:lang w:val="en-US" w:eastAsia="zh-CN" w:bidi="ar-SA"/>
              </w:rPr>
              <w:t>4</w:t>
            </w:r>
            <w:r>
              <w:rPr>
                <w:rFonts w:hint="eastAsia" w:ascii="宋体" w:hAnsi="宋体" w:eastAsia="宋体" w:cs="宋体"/>
                <w:spacing w:val="-2"/>
                <w:sz w:val="24"/>
                <w:szCs w:val="24"/>
                <w:lang w:val="en-US" w:eastAsia="zh-CN" w:bidi="ar-SA"/>
              </w:rPr>
              <w:t>分；</w:t>
            </w:r>
          </w:p>
          <w:p w14:paraId="2401095C">
            <w:pPr>
              <w:spacing w:line="400" w:lineRule="exact"/>
              <w:jc w:val="left"/>
              <w:rPr>
                <w:rFonts w:hint="eastAsia" w:ascii="宋体" w:hAnsi="宋体" w:eastAsia="宋体" w:cs="宋体"/>
                <w:spacing w:val="-2"/>
                <w:sz w:val="24"/>
                <w:szCs w:val="24"/>
                <w:lang w:val="en-US" w:eastAsia="zh-CN" w:bidi="ar-SA"/>
              </w:rPr>
            </w:pPr>
            <w:r>
              <w:rPr>
                <w:rFonts w:hint="eastAsia" w:ascii="宋体" w:hAnsi="宋体" w:eastAsia="宋体" w:cs="宋体"/>
                <w:spacing w:val="-2"/>
                <w:sz w:val="24"/>
                <w:szCs w:val="24"/>
                <w:lang w:val="en-US" w:eastAsia="zh-CN" w:bidi="ar-SA"/>
              </w:rPr>
              <w:t>技术水平在同类产品中较落后，技术成熟性、设备可靠性较差得1分。</w:t>
            </w:r>
          </w:p>
        </w:tc>
      </w:tr>
      <w:tr w14:paraId="7A03B09A">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1347" w:hRule="atLeast"/>
          <w:jc w:val="center"/>
        </w:trPr>
        <w:tc>
          <w:tcPr>
            <w:tcW w:w="1088" w:type="dxa"/>
            <w:vMerge w:val="continue"/>
            <w:noWrap w:val="0"/>
            <w:vAlign w:val="center"/>
          </w:tcPr>
          <w:p w14:paraId="30FE86B4">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rPr>
            </w:pPr>
          </w:p>
        </w:tc>
        <w:tc>
          <w:tcPr>
            <w:tcW w:w="1155" w:type="dxa"/>
            <w:vMerge w:val="continue"/>
            <w:noWrap w:val="0"/>
            <w:vAlign w:val="center"/>
          </w:tcPr>
          <w:p w14:paraId="09A3D53A">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rPr>
            </w:pPr>
          </w:p>
        </w:tc>
        <w:tc>
          <w:tcPr>
            <w:tcW w:w="1755" w:type="dxa"/>
            <w:noWrap w:val="0"/>
            <w:vAlign w:val="center"/>
          </w:tcPr>
          <w:p w14:paraId="4F4ED052">
            <w:pPr>
              <w:spacing w:line="400" w:lineRule="exact"/>
              <w:jc w:val="center"/>
              <w:rPr>
                <w:rFonts w:hint="default" w:ascii="宋体" w:hAnsi="宋体" w:eastAsia="宋体" w:cs="宋体"/>
                <w:spacing w:val="-2"/>
                <w:sz w:val="24"/>
                <w:szCs w:val="24"/>
                <w:lang w:val="en-US" w:eastAsia="zh-CN" w:bidi="ar-SA"/>
              </w:rPr>
            </w:pPr>
          </w:p>
        </w:tc>
        <w:tc>
          <w:tcPr>
            <w:tcW w:w="5900" w:type="dxa"/>
            <w:vMerge w:val="continue"/>
            <w:noWrap w:val="0"/>
            <w:vAlign w:val="center"/>
          </w:tcPr>
          <w:p w14:paraId="1565058A">
            <w:pPr>
              <w:pStyle w:val="144"/>
              <w:spacing w:before="46" w:line="279" w:lineRule="auto"/>
              <w:ind w:left="102" w:right="96" w:firstLine="11"/>
              <w:rPr>
                <w:rFonts w:hint="eastAsia" w:ascii="宋体" w:hAnsi="宋体" w:eastAsia="等线" w:cs="宋体"/>
                <w:spacing w:val="-2"/>
                <w:sz w:val="24"/>
                <w:szCs w:val="24"/>
                <w:lang w:val="en-US" w:eastAsia="zh-CN" w:bidi="ar-SA"/>
              </w:rPr>
            </w:pPr>
          </w:p>
        </w:tc>
      </w:tr>
      <w:tr w14:paraId="7A4F7060">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2264" w:hRule="atLeast"/>
          <w:jc w:val="center"/>
        </w:trPr>
        <w:tc>
          <w:tcPr>
            <w:tcW w:w="1088" w:type="dxa"/>
            <w:vMerge w:val="continue"/>
            <w:noWrap w:val="0"/>
            <w:vAlign w:val="center"/>
          </w:tcPr>
          <w:p w14:paraId="4B3E80B9">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rPr>
            </w:pPr>
          </w:p>
        </w:tc>
        <w:tc>
          <w:tcPr>
            <w:tcW w:w="1155" w:type="dxa"/>
            <w:vMerge w:val="continue"/>
            <w:noWrap w:val="0"/>
            <w:vAlign w:val="center"/>
          </w:tcPr>
          <w:p w14:paraId="158D3D06">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rPr>
            </w:pPr>
          </w:p>
        </w:tc>
        <w:tc>
          <w:tcPr>
            <w:tcW w:w="1755" w:type="dxa"/>
            <w:noWrap w:val="0"/>
            <w:vAlign w:val="center"/>
          </w:tcPr>
          <w:p w14:paraId="06B12F24">
            <w:pPr>
              <w:spacing w:line="400" w:lineRule="exact"/>
              <w:jc w:val="center"/>
              <w:rPr>
                <w:rFonts w:hint="eastAsia" w:ascii="宋体" w:hAnsi="宋体" w:eastAsia="宋体" w:cs="宋体"/>
                <w:spacing w:val="-2"/>
                <w:sz w:val="24"/>
                <w:szCs w:val="24"/>
                <w:lang w:val="zh-CN" w:eastAsia="zh-CN" w:bidi="ar-SA"/>
              </w:rPr>
            </w:pPr>
            <w:r>
              <w:rPr>
                <w:rFonts w:hint="eastAsia" w:ascii="宋体" w:hAnsi="宋体" w:eastAsia="宋体" w:cs="宋体"/>
                <w:spacing w:val="-2"/>
                <w:sz w:val="24"/>
                <w:szCs w:val="24"/>
                <w:lang w:val="en-US" w:eastAsia="zh-CN" w:bidi="ar-SA"/>
              </w:rPr>
              <w:t>质量保证措施</w:t>
            </w:r>
            <w:r>
              <w:rPr>
                <w:rFonts w:hint="eastAsia" w:ascii="宋体" w:hAnsi="宋体" w:cs="宋体"/>
                <w:color w:val="auto"/>
                <w:spacing w:val="-2"/>
                <w:sz w:val="24"/>
                <w:szCs w:val="24"/>
                <w:lang w:val="en-US" w:eastAsia="zh-CN" w:bidi="ar-SA"/>
              </w:rPr>
              <w:t>（12 分）</w:t>
            </w:r>
          </w:p>
        </w:tc>
        <w:tc>
          <w:tcPr>
            <w:tcW w:w="5900" w:type="dxa"/>
            <w:noWrap w:val="0"/>
            <w:vAlign w:val="center"/>
          </w:tcPr>
          <w:p w14:paraId="35C30019">
            <w:pPr>
              <w:spacing w:line="0" w:lineRule="atLeast"/>
              <w:rPr>
                <w:rFonts w:hint="eastAsia" w:ascii="宋体" w:hAnsi="宋体" w:eastAsia="宋体" w:cs="宋体"/>
                <w:spacing w:val="4"/>
                <w:sz w:val="24"/>
                <w:szCs w:val="24"/>
                <w:lang w:val="en-US" w:eastAsia="en-US" w:bidi="ar-SA"/>
              </w:rPr>
            </w:pPr>
            <w:r>
              <w:rPr>
                <w:rFonts w:hint="eastAsia" w:ascii="宋体" w:hAnsi="宋体" w:eastAsia="宋体" w:cs="宋体"/>
                <w:spacing w:val="4"/>
                <w:sz w:val="24"/>
                <w:szCs w:val="24"/>
                <w:lang w:val="en-US" w:eastAsia="zh-CN" w:bidi="ar-SA"/>
              </w:rPr>
              <w:t>供应商</w:t>
            </w:r>
            <w:r>
              <w:rPr>
                <w:rFonts w:hint="eastAsia" w:ascii="宋体" w:hAnsi="宋体" w:eastAsia="宋体" w:cs="宋体"/>
                <w:spacing w:val="4"/>
                <w:sz w:val="24"/>
                <w:szCs w:val="24"/>
                <w:lang w:val="en-US" w:eastAsia="en-US" w:bidi="ar-SA"/>
              </w:rPr>
              <w:t>针对于本项目制定相应的产品质量保证措施方案，从产品的生产、运输、交付、使用、验收等方面为制做方案依据，包含但不限于以下几个方面：</w:t>
            </w:r>
          </w:p>
          <w:p w14:paraId="1890AD74">
            <w:pPr>
              <w:spacing w:line="0" w:lineRule="atLeast"/>
              <w:rPr>
                <w:rFonts w:hint="eastAsia" w:ascii="宋体" w:hAnsi="宋体" w:eastAsia="宋体" w:cs="宋体"/>
                <w:spacing w:val="4"/>
                <w:sz w:val="24"/>
                <w:szCs w:val="24"/>
                <w:lang w:val="en-US" w:eastAsia="zh-CN" w:bidi="ar-SA"/>
              </w:rPr>
            </w:pPr>
            <w:r>
              <w:rPr>
                <w:rFonts w:hint="eastAsia" w:ascii="宋体" w:hAnsi="宋体" w:eastAsia="宋体" w:cs="宋体"/>
                <w:spacing w:val="4"/>
                <w:sz w:val="24"/>
                <w:szCs w:val="24"/>
                <w:lang w:val="en-US" w:eastAsia="zh-CN" w:bidi="ar-SA"/>
              </w:rPr>
              <w:t>产品质量保证方案</w:t>
            </w:r>
          </w:p>
          <w:p w14:paraId="6B298DDC">
            <w:pPr>
              <w:spacing w:line="0" w:lineRule="atLeast"/>
              <w:rPr>
                <w:rFonts w:hint="eastAsia" w:ascii="宋体" w:hAnsi="宋体" w:eastAsia="宋体" w:cs="宋体"/>
                <w:spacing w:val="4"/>
                <w:sz w:val="24"/>
                <w:szCs w:val="24"/>
                <w:lang w:val="en-US" w:eastAsia="zh-CN" w:bidi="ar-SA"/>
              </w:rPr>
            </w:pPr>
            <w:r>
              <w:rPr>
                <w:rFonts w:hint="eastAsia" w:ascii="宋体" w:hAnsi="宋体" w:eastAsia="宋体" w:cs="宋体"/>
                <w:spacing w:val="4"/>
                <w:sz w:val="24"/>
                <w:szCs w:val="24"/>
                <w:lang w:val="en-US" w:eastAsia="zh-CN" w:bidi="ar-SA"/>
              </w:rPr>
              <w:t>1. 质量保障措施</w:t>
            </w:r>
          </w:p>
          <w:p w14:paraId="6B392DC6">
            <w:pPr>
              <w:spacing w:line="0" w:lineRule="atLeast"/>
              <w:rPr>
                <w:rFonts w:hint="eastAsia" w:ascii="宋体" w:hAnsi="宋体" w:eastAsia="宋体" w:cs="宋体"/>
                <w:spacing w:val="4"/>
                <w:sz w:val="24"/>
                <w:szCs w:val="24"/>
                <w:lang w:val="en-US" w:eastAsia="zh-CN" w:bidi="ar-SA"/>
              </w:rPr>
            </w:pPr>
            <w:r>
              <w:rPr>
                <w:rFonts w:hint="eastAsia" w:ascii="宋体" w:hAnsi="宋体" w:eastAsia="宋体" w:cs="宋体"/>
                <w:spacing w:val="4"/>
                <w:sz w:val="24"/>
                <w:szCs w:val="24"/>
                <w:lang w:val="en-US" w:eastAsia="zh-CN" w:bidi="ar-SA"/>
              </w:rPr>
              <w:t>2. 质量方针</w:t>
            </w:r>
          </w:p>
          <w:p w14:paraId="29ACEA06">
            <w:pPr>
              <w:spacing w:line="0" w:lineRule="atLeast"/>
              <w:rPr>
                <w:rFonts w:hint="eastAsia" w:ascii="宋体" w:hAnsi="宋体" w:eastAsia="宋体" w:cs="宋体"/>
                <w:spacing w:val="4"/>
                <w:sz w:val="24"/>
                <w:szCs w:val="24"/>
                <w:lang w:val="en-US" w:eastAsia="zh-CN" w:bidi="ar-SA"/>
              </w:rPr>
            </w:pPr>
            <w:r>
              <w:rPr>
                <w:rFonts w:hint="eastAsia" w:ascii="宋体" w:hAnsi="宋体" w:eastAsia="宋体" w:cs="宋体"/>
                <w:spacing w:val="4"/>
                <w:sz w:val="24"/>
                <w:szCs w:val="24"/>
                <w:lang w:val="en-US" w:eastAsia="zh-CN" w:bidi="ar-SA"/>
              </w:rPr>
              <w:t>3. 质量目标</w:t>
            </w:r>
          </w:p>
          <w:p w14:paraId="54C5E931">
            <w:pPr>
              <w:spacing w:line="0" w:lineRule="atLeast"/>
              <w:rPr>
                <w:rFonts w:hint="eastAsia" w:ascii="宋体" w:hAnsi="宋体" w:eastAsia="宋体" w:cs="宋体"/>
                <w:spacing w:val="4"/>
                <w:sz w:val="24"/>
                <w:szCs w:val="24"/>
                <w:lang w:val="en-US" w:eastAsia="zh-CN" w:bidi="ar-SA"/>
              </w:rPr>
            </w:pPr>
            <w:r>
              <w:rPr>
                <w:rFonts w:hint="eastAsia" w:ascii="宋体" w:hAnsi="宋体" w:eastAsia="宋体" w:cs="宋体"/>
                <w:spacing w:val="4"/>
                <w:sz w:val="24"/>
                <w:szCs w:val="24"/>
                <w:lang w:val="en-US" w:eastAsia="zh-CN" w:bidi="ar-SA"/>
              </w:rPr>
              <w:t>4. 质量标准及技术响应</w:t>
            </w:r>
          </w:p>
          <w:p w14:paraId="3A5124E3">
            <w:pPr>
              <w:spacing w:line="0" w:lineRule="atLeast"/>
              <w:rPr>
                <w:rFonts w:hint="eastAsia" w:ascii="宋体" w:hAnsi="宋体" w:eastAsia="宋体" w:cs="宋体"/>
                <w:spacing w:val="4"/>
                <w:sz w:val="24"/>
                <w:szCs w:val="24"/>
                <w:lang w:val="en-US" w:eastAsia="zh-CN" w:bidi="ar-SA"/>
              </w:rPr>
            </w:pPr>
            <w:r>
              <w:rPr>
                <w:rFonts w:hint="eastAsia" w:ascii="宋体" w:hAnsi="宋体" w:eastAsia="宋体" w:cs="宋体"/>
                <w:spacing w:val="4"/>
                <w:sz w:val="24"/>
                <w:szCs w:val="24"/>
                <w:lang w:val="en-US" w:eastAsia="zh-CN" w:bidi="ar-SA"/>
              </w:rPr>
              <w:t>5. 质量保证依据</w:t>
            </w:r>
          </w:p>
          <w:p w14:paraId="1F150577">
            <w:pPr>
              <w:spacing w:line="0" w:lineRule="atLeast"/>
              <w:rPr>
                <w:rFonts w:hint="eastAsia" w:ascii="宋体" w:hAnsi="宋体" w:eastAsia="宋体" w:cs="宋体"/>
                <w:spacing w:val="4"/>
                <w:sz w:val="24"/>
                <w:szCs w:val="24"/>
                <w:lang w:val="en-US" w:eastAsia="zh-CN" w:bidi="ar-SA"/>
              </w:rPr>
            </w:pPr>
            <w:r>
              <w:rPr>
                <w:rFonts w:hint="eastAsia" w:ascii="宋体" w:hAnsi="宋体" w:eastAsia="宋体" w:cs="宋体"/>
                <w:spacing w:val="4"/>
                <w:sz w:val="24"/>
                <w:szCs w:val="24"/>
                <w:lang w:val="en-US" w:eastAsia="zh-CN" w:bidi="ar-SA"/>
              </w:rPr>
              <w:t>6. 质量保证原则</w:t>
            </w:r>
          </w:p>
          <w:p w14:paraId="0261DD32">
            <w:pPr>
              <w:spacing w:line="0" w:lineRule="atLeast"/>
              <w:rPr>
                <w:rFonts w:hint="eastAsia" w:ascii="宋体" w:hAnsi="宋体" w:eastAsia="宋体" w:cs="宋体"/>
                <w:spacing w:val="-2"/>
                <w:sz w:val="24"/>
                <w:szCs w:val="24"/>
                <w:lang w:val="en-US" w:eastAsia="zh-CN" w:bidi="ar-SA"/>
              </w:rPr>
            </w:pPr>
            <w:r>
              <w:rPr>
                <w:rFonts w:hint="eastAsia" w:ascii="宋体" w:hAnsi="宋体" w:eastAsia="宋体" w:cs="宋体"/>
                <w:spacing w:val="4"/>
                <w:sz w:val="24"/>
                <w:szCs w:val="24"/>
                <w:lang w:val="en-US" w:eastAsia="en-US" w:bidi="ar-SA"/>
              </w:rPr>
              <w:t>以上六项方案每提供一小项内容适用于项目且无缺失的方案得</w:t>
            </w:r>
            <w:r>
              <w:rPr>
                <w:rFonts w:hint="eastAsia" w:ascii="宋体" w:hAnsi="宋体" w:eastAsia="宋体" w:cs="宋体"/>
                <w:spacing w:val="4"/>
                <w:sz w:val="24"/>
                <w:szCs w:val="24"/>
                <w:lang w:val="en-US" w:eastAsia="zh-CN" w:bidi="ar-SA"/>
              </w:rPr>
              <w:t>2</w:t>
            </w:r>
            <w:r>
              <w:rPr>
                <w:rFonts w:hint="eastAsia" w:ascii="宋体" w:hAnsi="宋体" w:eastAsia="宋体" w:cs="宋体"/>
                <w:spacing w:val="4"/>
                <w:sz w:val="24"/>
                <w:szCs w:val="24"/>
                <w:lang w:val="en-US" w:eastAsia="en-US" w:bidi="ar-SA"/>
              </w:rPr>
              <w:t>分，</w:t>
            </w:r>
            <w:r>
              <w:rPr>
                <w:rFonts w:hint="eastAsia" w:ascii="宋体" w:hAnsi="宋体" w:eastAsia="宋体" w:cs="宋体"/>
                <w:spacing w:val="4"/>
                <w:sz w:val="24"/>
                <w:szCs w:val="24"/>
                <w:lang w:val="en-US" w:eastAsia="zh-CN" w:bidi="ar-SA"/>
              </w:rPr>
              <w:t>有缺失的得1分，本项</w:t>
            </w:r>
            <w:r>
              <w:rPr>
                <w:rFonts w:hint="eastAsia" w:ascii="宋体" w:hAnsi="宋体" w:eastAsia="宋体" w:cs="宋体"/>
                <w:spacing w:val="4"/>
                <w:sz w:val="24"/>
                <w:szCs w:val="24"/>
                <w:lang w:val="en-US" w:eastAsia="en-US" w:bidi="ar-SA"/>
              </w:rPr>
              <w:t>满分</w:t>
            </w:r>
            <w:r>
              <w:rPr>
                <w:rFonts w:hint="eastAsia" w:ascii="宋体" w:hAnsi="宋体" w:eastAsia="宋体" w:cs="宋体"/>
                <w:spacing w:val="4"/>
                <w:sz w:val="24"/>
                <w:szCs w:val="24"/>
                <w:lang w:val="en-US" w:eastAsia="zh-CN" w:bidi="ar-SA"/>
              </w:rPr>
              <w:t>12</w:t>
            </w:r>
            <w:r>
              <w:rPr>
                <w:rFonts w:hint="eastAsia" w:ascii="宋体" w:hAnsi="宋体" w:eastAsia="宋体" w:cs="宋体"/>
                <w:spacing w:val="4"/>
                <w:sz w:val="24"/>
                <w:szCs w:val="24"/>
                <w:lang w:val="en-US" w:eastAsia="en-US" w:bidi="ar-SA"/>
              </w:rPr>
              <w:t>分，未提供的得0分。</w:t>
            </w:r>
          </w:p>
        </w:tc>
      </w:tr>
      <w:tr w14:paraId="1016A740">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1021" w:hRule="atLeast"/>
          <w:jc w:val="center"/>
        </w:trPr>
        <w:tc>
          <w:tcPr>
            <w:tcW w:w="1088" w:type="dxa"/>
            <w:vMerge w:val="continue"/>
            <w:noWrap w:val="0"/>
            <w:vAlign w:val="center"/>
          </w:tcPr>
          <w:p w14:paraId="301FE7A2">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rPr>
            </w:pPr>
          </w:p>
        </w:tc>
        <w:tc>
          <w:tcPr>
            <w:tcW w:w="1155" w:type="dxa"/>
            <w:vMerge w:val="continue"/>
            <w:noWrap w:val="0"/>
            <w:vAlign w:val="center"/>
          </w:tcPr>
          <w:p w14:paraId="0988CBD6">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color w:val="auto"/>
                <w:sz w:val="24"/>
                <w:szCs w:val="24"/>
                <w:highlight w:val="none"/>
              </w:rPr>
            </w:pPr>
          </w:p>
        </w:tc>
        <w:tc>
          <w:tcPr>
            <w:tcW w:w="1755" w:type="dxa"/>
            <w:noWrap w:val="0"/>
            <w:vAlign w:val="center"/>
          </w:tcPr>
          <w:p w14:paraId="098932BE">
            <w:pPr>
              <w:keepNext w:val="0"/>
              <w:keepLines w:val="0"/>
              <w:pageBreakBefore w:val="0"/>
              <w:widowControl w:val="0"/>
              <w:kinsoku/>
              <w:wordWrap w:val="0"/>
              <w:overflowPunct/>
              <w:topLinePunct w:val="0"/>
              <w:autoSpaceDE/>
              <w:autoSpaceDN/>
              <w:bidi w:val="0"/>
              <w:spacing w:line="440" w:lineRule="exact"/>
              <w:ind w:left="11" w:leftChars="0" w:right="11"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项目实施方案</w:t>
            </w:r>
          </w:p>
          <w:p w14:paraId="5A81CDA1">
            <w:pPr>
              <w:keepNext w:val="0"/>
              <w:keepLines w:val="0"/>
              <w:pageBreakBefore w:val="0"/>
              <w:widowControl w:val="0"/>
              <w:kinsoku/>
              <w:wordWrap w:val="0"/>
              <w:overflowPunct/>
              <w:topLinePunct w:val="0"/>
              <w:autoSpaceDE/>
              <w:autoSpaceDN/>
              <w:bidi w:val="0"/>
              <w:spacing w:line="440" w:lineRule="exact"/>
              <w:ind w:left="11" w:leftChars="0" w:right="11"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10</w:t>
            </w:r>
            <w:r>
              <w:rPr>
                <w:rFonts w:hint="eastAsia" w:ascii="宋体" w:hAnsi="宋体" w:eastAsia="宋体" w:cs="宋体"/>
                <w:color w:val="auto"/>
                <w:sz w:val="24"/>
                <w:szCs w:val="24"/>
                <w:highlight w:val="none"/>
              </w:rPr>
              <w:t xml:space="preserve"> 分）</w:t>
            </w:r>
          </w:p>
        </w:tc>
        <w:tc>
          <w:tcPr>
            <w:tcW w:w="5900" w:type="dxa"/>
            <w:noWrap w:val="0"/>
            <w:vAlign w:val="center"/>
          </w:tcPr>
          <w:p w14:paraId="2073B090">
            <w:pPr>
              <w:pStyle w:val="144"/>
              <w:spacing w:before="52" w:line="279" w:lineRule="auto"/>
              <w:ind w:left="112" w:right="96"/>
              <w:jc w:val="both"/>
            </w:pPr>
            <w:r>
              <w:rPr>
                <w:spacing w:val="4"/>
              </w:rPr>
              <w:t>根据供应商针对本项目所提供的项目实施方</w:t>
            </w:r>
            <w:r>
              <w:rPr>
                <w:spacing w:val="3"/>
              </w:rPr>
              <w:t>案，包</w:t>
            </w:r>
            <w:r>
              <w:t xml:space="preserve"> </w:t>
            </w:r>
            <w:r>
              <w:rPr>
                <w:spacing w:val="4"/>
              </w:rPr>
              <w:t>括但不限于交货进度安排，项目验收方案，进</w:t>
            </w:r>
            <w:r>
              <w:rPr>
                <w:spacing w:val="3"/>
              </w:rPr>
              <w:t>度计</w:t>
            </w:r>
            <w:r>
              <w:t xml:space="preserve"> </w:t>
            </w:r>
            <w:r>
              <w:rPr>
                <w:spacing w:val="-1"/>
              </w:rPr>
              <w:t>划、质量保证措施进行综合评审：</w:t>
            </w:r>
          </w:p>
          <w:p w14:paraId="660A2241">
            <w:pPr>
              <w:pStyle w:val="144"/>
              <w:spacing w:before="33" w:line="264" w:lineRule="auto"/>
              <w:ind w:left="113" w:right="96" w:hanging="1"/>
            </w:pPr>
            <w:r>
              <w:rPr>
                <w:spacing w:val="4"/>
              </w:rPr>
              <w:t>①交货及进度安排非常合理，项目验收方案非</w:t>
            </w:r>
            <w:r>
              <w:rPr>
                <w:spacing w:val="3"/>
              </w:rPr>
              <w:t>常详</w:t>
            </w:r>
            <w:r>
              <w:t xml:space="preserve"> </w:t>
            </w:r>
            <w:r>
              <w:rPr>
                <w:spacing w:val="3"/>
              </w:rPr>
              <w:t>细，质量保证措施非常完善、系统全面，可行性非</w:t>
            </w:r>
            <w:r>
              <w:rPr>
                <w:spacing w:val="18"/>
              </w:rPr>
              <w:t xml:space="preserve"> </w:t>
            </w:r>
            <w:r>
              <w:rPr>
                <w:spacing w:val="-7"/>
              </w:rPr>
              <w:t>常强的得</w:t>
            </w:r>
            <w:r>
              <w:rPr>
                <w:spacing w:val="-28"/>
              </w:rPr>
              <w:t xml:space="preserve"> </w:t>
            </w:r>
            <w:r>
              <w:rPr>
                <w:rFonts w:hint="eastAsia"/>
                <w:spacing w:val="-7"/>
                <w:lang w:val="en-US" w:eastAsia="zh-CN"/>
              </w:rPr>
              <w:t>10</w:t>
            </w:r>
            <w:r>
              <w:rPr>
                <w:spacing w:val="-48"/>
              </w:rPr>
              <w:t xml:space="preserve"> </w:t>
            </w:r>
            <w:r>
              <w:rPr>
                <w:spacing w:val="-7"/>
              </w:rPr>
              <w:t>分；</w:t>
            </w:r>
          </w:p>
          <w:p w14:paraId="79F7B47D">
            <w:pPr>
              <w:pStyle w:val="144"/>
              <w:spacing w:before="33" w:line="264" w:lineRule="auto"/>
              <w:ind w:left="113" w:right="96" w:hanging="1"/>
              <w:rPr>
                <w:rFonts w:ascii="宋体" w:hAnsi="宋体" w:eastAsia="宋体" w:cs="宋体"/>
                <w:spacing w:val="3"/>
              </w:rPr>
            </w:pPr>
            <w:r>
              <w:rPr>
                <w:spacing w:val="4"/>
              </w:rPr>
              <w:t>②交货及进度安排较为合理，项目验收方案详细，</w:t>
            </w:r>
            <w:r>
              <w:t xml:space="preserve"> </w:t>
            </w:r>
            <w:r>
              <w:rPr>
                <w:spacing w:val="3"/>
              </w:rPr>
              <w:t>质量保证措施较为完善、系统全面，可行性较强的</w:t>
            </w:r>
            <w:r>
              <w:rPr>
                <w:spacing w:val="18"/>
              </w:rPr>
              <w:t xml:space="preserve"> </w:t>
            </w:r>
            <w:r>
              <w:rPr>
                <w:spacing w:val="-10"/>
              </w:rPr>
              <w:t>得</w:t>
            </w:r>
            <w:r>
              <w:rPr>
                <w:rFonts w:ascii="宋体" w:hAnsi="宋体" w:eastAsia="宋体" w:cs="宋体"/>
                <w:spacing w:val="3"/>
              </w:rPr>
              <w:t xml:space="preserve"> </w:t>
            </w:r>
            <w:r>
              <w:rPr>
                <w:rFonts w:hint="eastAsia" w:cs="宋体"/>
                <w:spacing w:val="3"/>
                <w:lang w:val="en-US" w:eastAsia="zh-CN"/>
              </w:rPr>
              <w:t>7</w:t>
            </w:r>
            <w:r>
              <w:rPr>
                <w:rFonts w:ascii="宋体" w:hAnsi="宋体" w:eastAsia="宋体" w:cs="宋体"/>
                <w:spacing w:val="3"/>
              </w:rPr>
              <w:t xml:space="preserve"> 分；</w:t>
            </w:r>
          </w:p>
          <w:p w14:paraId="36E44DA4">
            <w:pPr>
              <w:pStyle w:val="144"/>
              <w:spacing w:before="33" w:line="264" w:lineRule="auto"/>
              <w:ind w:left="113" w:right="96" w:hanging="1"/>
              <w:rPr>
                <w:rFonts w:ascii="宋体" w:hAnsi="宋体" w:eastAsia="宋体" w:cs="宋体"/>
                <w:spacing w:val="3"/>
              </w:rPr>
            </w:pPr>
            <w:r>
              <w:rPr>
                <w:rFonts w:ascii="宋体" w:hAnsi="宋体" w:eastAsia="宋体" w:cs="宋体"/>
                <w:spacing w:val="3"/>
              </w:rPr>
              <w:t xml:space="preserve">③交货及进度安排基本合理，项目验收方案不太详 细，质量保证措施基本完善，具有一定可行性的得 </w:t>
            </w:r>
            <w:r>
              <w:rPr>
                <w:rFonts w:hint="eastAsia" w:cs="宋体"/>
                <w:spacing w:val="3"/>
                <w:lang w:val="en-US" w:eastAsia="zh-CN"/>
              </w:rPr>
              <w:t>4</w:t>
            </w:r>
            <w:r>
              <w:rPr>
                <w:rFonts w:ascii="宋体" w:hAnsi="宋体" w:eastAsia="宋体" w:cs="宋体"/>
                <w:spacing w:val="3"/>
              </w:rPr>
              <w:t xml:space="preserve"> 分；</w:t>
            </w:r>
          </w:p>
          <w:p w14:paraId="2318EB0B">
            <w:pPr>
              <w:pStyle w:val="144"/>
              <w:spacing w:before="90" w:line="253" w:lineRule="auto"/>
              <w:ind w:left="123" w:right="98" w:hanging="11"/>
              <w:rPr>
                <w:rFonts w:ascii="宋体" w:hAnsi="宋体" w:eastAsia="宋体" w:cs="宋体"/>
                <w:color w:val="auto"/>
                <w:spacing w:val="3"/>
                <w:highlight w:val="yellow"/>
              </w:rPr>
            </w:pPr>
            <w:r>
              <w:rPr>
                <w:rFonts w:ascii="宋体" w:hAnsi="宋体" w:eastAsia="宋体" w:cs="宋体"/>
                <w:color w:val="auto"/>
                <w:spacing w:val="3"/>
                <w:highlight w:val="none"/>
              </w:rPr>
              <w:t>④交货及进度安排、项目验收方案、质量保证措施有</w:t>
            </w:r>
            <w:r>
              <w:rPr>
                <w:rFonts w:hint="eastAsia" w:cs="宋体"/>
                <w:color w:val="auto"/>
                <w:spacing w:val="3"/>
                <w:highlight w:val="none"/>
                <w:lang w:val="en-US" w:eastAsia="zh-CN"/>
              </w:rPr>
              <w:t xml:space="preserve"> </w:t>
            </w:r>
            <w:r>
              <w:rPr>
                <w:rFonts w:ascii="宋体" w:hAnsi="宋体" w:eastAsia="宋体" w:cs="宋体"/>
                <w:color w:val="auto"/>
                <w:spacing w:val="3"/>
                <w:highlight w:val="none"/>
              </w:rPr>
              <w:t>但质量较差的得 1 分；</w:t>
            </w:r>
          </w:p>
          <w:p w14:paraId="157E8A59">
            <w:pPr>
              <w:pStyle w:val="144"/>
              <w:spacing w:before="33" w:line="264" w:lineRule="auto"/>
              <w:ind w:left="113" w:right="96" w:hanging="1"/>
              <w:rPr>
                <w:rFonts w:hint="eastAsia"/>
                <w:spacing w:val="-4"/>
                <w:lang w:val="zh-CN"/>
              </w:rPr>
            </w:pPr>
            <w:r>
              <w:rPr>
                <w:rFonts w:hint="eastAsia" w:ascii="宋体" w:hAnsi="宋体" w:eastAsia="宋体" w:cs="宋体"/>
                <w:spacing w:val="3"/>
                <w:lang w:val="zh-CN"/>
              </w:rPr>
              <w:t>⑤未提供对应方案不得分。</w:t>
            </w:r>
          </w:p>
        </w:tc>
      </w:tr>
      <w:tr w14:paraId="3FF5509A">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1766" w:hRule="atLeast"/>
          <w:jc w:val="center"/>
        </w:trPr>
        <w:tc>
          <w:tcPr>
            <w:tcW w:w="1088" w:type="dxa"/>
            <w:vMerge w:val="continue"/>
            <w:noWrap w:val="0"/>
            <w:vAlign w:val="center"/>
          </w:tcPr>
          <w:p w14:paraId="0A32D5A0">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bCs/>
                <w:color w:val="auto"/>
                <w:sz w:val="24"/>
                <w:szCs w:val="24"/>
                <w:highlight w:val="none"/>
              </w:rPr>
            </w:pPr>
          </w:p>
        </w:tc>
        <w:tc>
          <w:tcPr>
            <w:tcW w:w="1155" w:type="dxa"/>
            <w:vMerge w:val="continue"/>
            <w:noWrap w:val="0"/>
            <w:vAlign w:val="center"/>
          </w:tcPr>
          <w:p w14:paraId="45F5FFFE">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bCs/>
                <w:color w:val="auto"/>
                <w:sz w:val="24"/>
                <w:szCs w:val="24"/>
                <w:highlight w:val="none"/>
              </w:rPr>
            </w:pPr>
          </w:p>
        </w:tc>
        <w:tc>
          <w:tcPr>
            <w:tcW w:w="1755" w:type="dxa"/>
            <w:noWrap w:val="0"/>
            <w:vAlign w:val="center"/>
          </w:tcPr>
          <w:p w14:paraId="16FE7795">
            <w:pPr>
              <w:keepNext w:val="0"/>
              <w:keepLines w:val="0"/>
              <w:pageBreakBefore w:val="0"/>
              <w:widowControl w:val="0"/>
              <w:kinsoku/>
              <w:wordWrap w:val="0"/>
              <w:overflowPunct/>
              <w:topLinePunct w:val="0"/>
              <w:autoSpaceDE/>
              <w:autoSpaceDN/>
              <w:bidi w:val="0"/>
              <w:spacing w:line="440" w:lineRule="exact"/>
              <w:ind w:left="11" w:leftChars="0" w:right="11" w:rightChars="0"/>
              <w:jc w:val="center"/>
              <w:textAlignment w:val="auto"/>
              <w:rPr>
                <w:rFonts w:hint="eastAsia" w:ascii="宋体" w:hAnsi="宋体" w:eastAsia="宋体" w:cs="宋体"/>
                <w:spacing w:val="-2"/>
                <w:sz w:val="24"/>
                <w:szCs w:val="24"/>
                <w:lang w:val="zh-CN" w:eastAsia="zh-CN" w:bidi="ar-SA"/>
              </w:rPr>
            </w:pPr>
            <w:r>
              <w:rPr>
                <w:rFonts w:hint="eastAsia" w:ascii="宋体" w:hAnsi="宋体" w:eastAsia="宋体" w:cs="宋体"/>
                <w:spacing w:val="-2"/>
                <w:sz w:val="24"/>
                <w:szCs w:val="24"/>
                <w:lang w:val="zh-CN" w:eastAsia="zh-CN" w:bidi="ar-SA"/>
              </w:rPr>
              <w:t>设备安装调试方案（</w:t>
            </w:r>
            <w:r>
              <w:rPr>
                <w:rFonts w:hint="eastAsia" w:ascii="宋体" w:hAnsi="宋体" w:cs="宋体"/>
                <w:spacing w:val="-2"/>
                <w:sz w:val="24"/>
                <w:szCs w:val="24"/>
                <w:lang w:val="en-US" w:eastAsia="zh-CN" w:bidi="ar-SA"/>
              </w:rPr>
              <w:t>7</w:t>
            </w:r>
            <w:r>
              <w:rPr>
                <w:rFonts w:hint="eastAsia" w:ascii="宋体" w:hAnsi="宋体" w:eastAsia="宋体" w:cs="宋体"/>
                <w:spacing w:val="-2"/>
                <w:sz w:val="24"/>
                <w:szCs w:val="24"/>
                <w:lang w:val="zh-CN" w:eastAsia="zh-CN" w:bidi="ar-SA"/>
              </w:rPr>
              <w:t xml:space="preserve"> 分）</w:t>
            </w:r>
          </w:p>
        </w:tc>
        <w:tc>
          <w:tcPr>
            <w:tcW w:w="5900" w:type="dxa"/>
            <w:noWrap w:val="0"/>
            <w:vAlign w:val="center"/>
          </w:tcPr>
          <w:p w14:paraId="1F36F983">
            <w:pPr>
              <w:keepNext w:val="0"/>
              <w:keepLines w:val="0"/>
              <w:pageBreakBefore w:val="0"/>
              <w:widowControl w:val="0"/>
              <w:kinsoku/>
              <w:wordWrap w:val="0"/>
              <w:overflowPunct/>
              <w:topLinePunct w:val="0"/>
              <w:autoSpaceDE/>
              <w:autoSpaceDN/>
              <w:bidi w:val="0"/>
              <w:spacing w:line="440" w:lineRule="exact"/>
              <w:ind w:left="11" w:leftChars="0" w:right="11" w:rightChars="0"/>
              <w:textAlignment w:val="auto"/>
              <w:rPr>
                <w:rFonts w:hint="eastAsia" w:ascii="宋体" w:hAnsi="宋体" w:eastAsia="宋体" w:cs="宋体"/>
                <w:spacing w:val="-2"/>
                <w:sz w:val="24"/>
                <w:szCs w:val="24"/>
                <w:lang w:val="zh-CN" w:eastAsia="zh-CN" w:bidi="ar-SA"/>
              </w:rPr>
            </w:pPr>
            <w:r>
              <w:rPr>
                <w:rFonts w:hint="eastAsia" w:ascii="宋体" w:hAnsi="宋体" w:eastAsia="宋体" w:cs="宋体"/>
                <w:spacing w:val="-2"/>
                <w:sz w:val="24"/>
                <w:szCs w:val="24"/>
                <w:lang w:val="zh-CN" w:eastAsia="zh-CN" w:bidi="ar-SA"/>
              </w:rPr>
              <w:t xml:space="preserve">根据供应商所提供设备安装调试方案进行综合评审，方案详细、完善、合理得 </w:t>
            </w:r>
            <w:r>
              <w:rPr>
                <w:rFonts w:hint="eastAsia" w:ascii="宋体" w:hAnsi="宋体" w:cs="宋体"/>
                <w:spacing w:val="-2"/>
                <w:sz w:val="24"/>
                <w:szCs w:val="24"/>
                <w:lang w:val="en-US" w:eastAsia="zh-CN" w:bidi="ar-SA"/>
              </w:rPr>
              <w:t>7</w:t>
            </w:r>
            <w:r>
              <w:rPr>
                <w:rFonts w:hint="eastAsia" w:ascii="宋体" w:hAnsi="宋体" w:eastAsia="宋体" w:cs="宋体"/>
                <w:spacing w:val="-2"/>
                <w:sz w:val="24"/>
                <w:szCs w:val="24"/>
                <w:lang w:val="zh-CN" w:eastAsia="zh-CN" w:bidi="ar-SA"/>
              </w:rPr>
              <w:t xml:space="preserve"> 分，</w:t>
            </w:r>
            <w:r>
              <w:rPr>
                <w:rFonts w:hint="eastAsia" w:ascii="宋体" w:hAnsi="宋体" w:cs="宋体"/>
                <w:spacing w:val="-2"/>
                <w:sz w:val="24"/>
                <w:szCs w:val="24"/>
                <w:lang w:val="zh-CN" w:eastAsia="zh-CN" w:bidi="ar-SA"/>
              </w:rPr>
              <w:t>方案</w:t>
            </w:r>
            <w:r>
              <w:rPr>
                <w:rFonts w:hint="eastAsia" w:ascii="宋体" w:hAnsi="宋体" w:eastAsia="宋体" w:cs="宋体"/>
                <w:spacing w:val="-2"/>
                <w:sz w:val="24"/>
                <w:szCs w:val="24"/>
                <w:lang w:val="zh-CN" w:eastAsia="zh-CN" w:bidi="ar-SA"/>
              </w:rPr>
              <w:t xml:space="preserve">完善、合理得 </w:t>
            </w:r>
            <w:r>
              <w:rPr>
                <w:rFonts w:hint="eastAsia" w:ascii="宋体" w:hAnsi="宋体" w:cs="宋体"/>
                <w:spacing w:val="-2"/>
                <w:sz w:val="24"/>
                <w:szCs w:val="24"/>
                <w:lang w:val="en-US" w:eastAsia="zh-CN" w:bidi="ar-SA"/>
              </w:rPr>
              <w:t>4</w:t>
            </w:r>
            <w:r>
              <w:rPr>
                <w:rFonts w:hint="eastAsia" w:ascii="宋体" w:hAnsi="宋体" w:eastAsia="宋体" w:cs="宋体"/>
                <w:spacing w:val="-2"/>
                <w:sz w:val="24"/>
                <w:szCs w:val="24"/>
                <w:lang w:val="zh-CN" w:eastAsia="zh-CN" w:bidi="ar-SA"/>
              </w:rPr>
              <w:t xml:space="preserve"> 分，方案简陋、不完整 得 1 分，无此项不得分。</w:t>
            </w:r>
          </w:p>
        </w:tc>
      </w:tr>
      <w:tr w14:paraId="6A4E305B">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4696" w:hRule="atLeast"/>
          <w:jc w:val="center"/>
        </w:trPr>
        <w:tc>
          <w:tcPr>
            <w:tcW w:w="1088" w:type="dxa"/>
            <w:vMerge w:val="continue"/>
            <w:noWrap w:val="0"/>
            <w:vAlign w:val="center"/>
          </w:tcPr>
          <w:p w14:paraId="13562CA8">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bCs/>
                <w:color w:val="auto"/>
                <w:sz w:val="24"/>
                <w:szCs w:val="24"/>
                <w:highlight w:val="none"/>
              </w:rPr>
            </w:pPr>
          </w:p>
        </w:tc>
        <w:tc>
          <w:tcPr>
            <w:tcW w:w="1155" w:type="dxa"/>
            <w:vMerge w:val="continue"/>
            <w:noWrap w:val="0"/>
            <w:vAlign w:val="center"/>
          </w:tcPr>
          <w:p w14:paraId="71BB4C0F">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bCs/>
                <w:color w:val="auto"/>
                <w:sz w:val="24"/>
                <w:szCs w:val="24"/>
                <w:highlight w:val="none"/>
              </w:rPr>
            </w:pPr>
          </w:p>
        </w:tc>
        <w:tc>
          <w:tcPr>
            <w:tcW w:w="1755" w:type="dxa"/>
            <w:vMerge w:val="restart"/>
            <w:noWrap w:val="0"/>
            <w:vAlign w:val="center"/>
          </w:tcPr>
          <w:p w14:paraId="3C8DB8E3">
            <w:pPr>
              <w:pStyle w:val="144"/>
              <w:spacing w:before="49" w:line="275" w:lineRule="auto"/>
              <w:ind w:left="114" w:right="96" w:hanging="1"/>
              <w:jc w:val="center"/>
              <w:rPr>
                <w:rFonts w:hint="eastAsia" w:ascii="宋体" w:hAnsi="宋体" w:eastAsia="宋体" w:cs="宋体"/>
                <w:spacing w:val="-2"/>
                <w:sz w:val="24"/>
                <w:szCs w:val="24"/>
                <w:lang w:val="en-US" w:eastAsia="zh-CN" w:bidi="ar-SA"/>
              </w:rPr>
            </w:pPr>
            <w:r>
              <w:rPr>
                <w:rFonts w:hint="eastAsia" w:ascii="宋体" w:hAnsi="宋体" w:eastAsia="宋体" w:cs="宋体"/>
                <w:spacing w:val="-2"/>
                <w:sz w:val="24"/>
                <w:szCs w:val="24"/>
                <w:lang w:val="en-US" w:eastAsia="zh-CN" w:bidi="ar-SA"/>
              </w:rPr>
              <w:t>培训计划</w:t>
            </w:r>
          </w:p>
          <w:p w14:paraId="35E7D230">
            <w:pPr>
              <w:pStyle w:val="144"/>
              <w:spacing w:before="49" w:line="275" w:lineRule="auto"/>
              <w:ind w:left="114" w:right="96" w:hanging="1"/>
              <w:jc w:val="center"/>
              <w:rPr>
                <w:rFonts w:hint="default" w:ascii="宋体" w:hAnsi="宋体" w:eastAsia="宋体" w:cs="宋体"/>
                <w:spacing w:val="-2"/>
                <w:sz w:val="24"/>
                <w:szCs w:val="24"/>
                <w:lang w:val="en-US" w:eastAsia="zh-CN" w:bidi="ar-SA"/>
              </w:rPr>
            </w:pPr>
            <w:r>
              <w:rPr>
                <w:rFonts w:hint="eastAsia" w:ascii="宋体" w:hAnsi="宋体" w:eastAsia="宋体" w:cs="宋体"/>
                <w:spacing w:val="-2"/>
                <w:sz w:val="24"/>
                <w:szCs w:val="24"/>
                <w:lang w:val="en-US" w:eastAsia="zh-CN" w:bidi="ar-SA"/>
              </w:rPr>
              <w:t>（</w:t>
            </w:r>
            <w:r>
              <w:rPr>
                <w:rFonts w:hint="eastAsia" w:cs="宋体"/>
                <w:spacing w:val="-2"/>
                <w:sz w:val="24"/>
                <w:szCs w:val="24"/>
                <w:lang w:val="en-US" w:eastAsia="zh-CN" w:bidi="ar-SA"/>
              </w:rPr>
              <w:t xml:space="preserve"> 7 </w:t>
            </w:r>
            <w:r>
              <w:rPr>
                <w:rFonts w:hint="eastAsia" w:ascii="宋体" w:hAnsi="宋体" w:eastAsia="宋体" w:cs="宋体"/>
                <w:spacing w:val="-2"/>
                <w:sz w:val="24"/>
                <w:szCs w:val="24"/>
                <w:lang w:val="en-US" w:eastAsia="zh-CN" w:bidi="ar-SA"/>
              </w:rPr>
              <w:t>分）</w:t>
            </w:r>
          </w:p>
        </w:tc>
        <w:tc>
          <w:tcPr>
            <w:tcW w:w="5900" w:type="dxa"/>
            <w:noWrap w:val="0"/>
            <w:vAlign w:val="center"/>
          </w:tcPr>
          <w:p w14:paraId="3C714D65">
            <w:pPr>
              <w:pStyle w:val="144"/>
              <w:spacing w:before="49" w:line="275" w:lineRule="auto"/>
              <w:ind w:left="114" w:right="96" w:hanging="1"/>
              <w:rPr>
                <w:rFonts w:hint="eastAsia" w:ascii="宋体" w:hAnsi="宋体" w:eastAsia="宋体" w:cs="宋体"/>
                <w:spacing w:val="-2"/>
                <w:sz w:val="24"/>
                <w:szCs w:val="24"/>
                <w:lang w:val="zh-CN" w:eastAsia="zh-CN" w:bidi="ar-SA"/>
              </w:rPr>
            </w:pPr>
            <w:r>
              <w:rPr>
                <w:rFonts w:hint="eastAsia" w:ascii="宋体" w:hAnsi="宋体" w:eastAsia="宋体" w:cs="宋体"/>
                <w:spacing w:val="-2"/>
                <w:sz w:val="24"/>
                <w:szCs w:val="24"/>
                <w:lang w:val="zh-CN" w:eastAsia="zh-CN" w:bidi="ar-SA"/>
              </w:rPr>
              <w:t>投标人针对本项目实际情况制定</w:t>
            </w:r>
            <w:r>
              <w:rPr>
                <w:rFonts w:hint="eastAsia" w:ascii="宋体" w:hAnsi="宋体" w:eastAsia="宋体" w:cs="宋体"/>
                <w:spacing w:val="-2"/>
                <w:sz w:val="24"/>
                <w:szCs w:val="24"/>
                <w:lang w:val="en-US" w:eastAsia="zh-CN" w:bidi="ar-SA"/>
              </w:rPr>
              <w:t>培训</w:t>
            </w:r>
            <w:r>
              <w:rPr>
                <w:rFonts w:hint="eastAsia" w:ascii="宋体" w:hAnsi="宋体" w:eastAsia="宋体" w:cs="宋体"/>
                <w:spacing w:val="-2"/>
                <w:sz w:val="24"/>
                <w:szCs w:val="24"/>
                <w:lang w:val="zh-CN" w:eastAsia="zh-CN" w:bidi="ar-SA"/>
              </w:rPr>
              <w:t>方案</w:t>
            </w:r>
            <w:r>
              <w:rPr>
                <w:rFonts w:hint="eastAsia" w:ascii="宋体" w:hAnsi="宋体" w:eastAsia="宋体" w:cs="宋体"/>
                <w:spacing w:val="-2"/>
                <w:sz w:val="24"/>
                <w:szCs w:val="24"/>
                <w:lang w:val="en-US" w:eastAsia="zh-CN" w:bidi="ar-SA"/>
              </w:rPr>
              <w:t>，</w:t>
            </w:r>
            <w:r>
              <w:rPr>
                <w:rFonts w:hint="eastAsia" w:ascii="宋体" w:hAnsi="宋体" w:eastAsia="宋体" w:cs="宋体"/>
                <w:spacing w:val="-2"/>
                <w:sz w:val="24"/>
                <w:szCs w:val="24"/>
                <w:lang w:val="zh-CN" w:eastAsia="zh-CN" w:bidi="ar-SA"/>
              </w:rPr>
              <w:t>技术支持资料齐全，培训方案科学、完善，培训方案需保证招标人相关技术人员培训完后，可以熟练满足相关设备进行数据的采集、处理。时间安排合理，能保证按时完工；人员安排计划合理；具有切实可行的供货进度保证措施，没有内容缺陷。按计划合理程度，横向比较，综合赋分。</w:t>
            </w:r>
          </w:p>
          <w:p w14:paraId="202105D9">
            <w:pPr>
              <w:pStyle w:val="144"/>
              <w:spacing w:before="49" w:line="275" w:lineRule="auto"/>
              <w:ind w:left="114" w:right="96" w:hanging="1"/>
              <w:rPr>
                <w:rFonts w:hint="eastAsia" w:ascii="宋体" w:hAnsi="宋体" w:eastAsia="宋体" w:cs="宋体"/>
                <w:spacing w:val="-2"/>
                <w:sz w:val="24"/>
                <w:szCs w:val="24"/>
                <w:lang w:val="zh-CN" w:eastAsia="zh-CN" w:bidi="ar-SA"/>
              </w:rPr>
            </w:pPr>
            <w:r>
              <w:rPr>
                <w:rFonts w:hint="eastAsia" w:ascii="宋体" w:hAnsi="宋体" w:eastAsia="宋体" w:cs="宋体"/>
                <w:spacing w:val="-2"/>
                <w:sz w:val="24"/>
                <w:szCs w:val="24"/>
                <w:lang w:val="zh-CN" w:eastAsia="zh-CN" w:bidi="ar-SA"/>
              </w:rPr>
              <w:t>方案详细、完善、合理得</w:t>
            </w:r>
            <w:r>
              <w:rPr>
                <w:rFonts w:hint="eastAsia" w:cs="宋体"/>
                <w:spacing w:val="-2"/>
                <w:sz w:val="24"/>
                <w:szCs w:val="24"/>
                <w:lang w:val="en-US" w:eastAsia="zh-CN" w:bidi="ar-SA"/>
              </w:rPr>
              <w:t>7</w:t>
            </w:r>
            <w:r>
              <w:rPr>
                <w:rFonts w:hint="eastAsia" w:ascii="宋体" w:hAnsi="宋体" w:eastAsia="宋体" w:cs="宋体"/>
                <w:spacing w:val="-2"/>
                <w:sz w:val="24"/>
                <w:szCs w:val="24"/>
                <w:lang w:val="zh-CN" w:eastAsia="zh-CN" w:bidi="ar-SA"/>
              </w:rPr>
              <w:t>分，较详细、完善、合理得</w:t>
            </w:r>
            <w:r>
              <w:rPr>
                <w:rFonts w:hint="eastAsia" w:cs="宋体"/>
                <w:spacing w:val="-2"/>
                <w:sz w:val="24"/>
                <w:szCs w:val="24"/>
                <w:lang w:val="en-US" w:eastAsia="zh-CN" w:bidi="ar-SA"/>
              </w:rPr>
              <w:t>7</w:t>
            </w:r>
            <w:r>
              <w:rPr>
                <w:rFonts w:hint="eastAsia" w:ascii="宋体" w:hAnsi="宋体" w:eastAsia="宋体" w:cs="宋体"/>
                <w:spacing w:val="-2"/>
                <w:sz w:val="24"/>
                <w:szCs w:val="24"/>
                <w:lang w:val="zh-CN" w:eastAsia="zh-CN" w:bidi="ar-SA"/>
              </w:rPr>
              <w:t>分，方案简陋、不完整得1分，没有不得分，</w:t>
            </w:r>
            <w:r>
              <w:rPr>
                <w:rFonts w:hint="eastAsia" w:ascii="宋体" w:hAnsi="宋体" w:eastAsia="宋体" w:cs="宋体"/>
                <w:spacing w:val="-2"/>
                <w:sz w:val="24"/>
                <w:szCs w:val="24"/>
                <w:lang w:val="en-US" w:eastAsia="zh-CN" w:bidi="ar-SA"/>
              </w:rPr>
              <w:t>未提供不得分。</w:t>
            </w:r>
          </w:p>
        </w:tc>
      </w:tr>
      <w:tr w14:paraId="2B6B8C8C">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88" w:type="dxa"/>
            <w:vMerge w:val="continue"/>
            <w:tcBorders>
              <w:bottom w:val="single" w:color="000000" w:sz="12" w:space="0"/>
            </w:tcBorders>
            <w:noWrap w:val="0"/>
            <w:vAlign w:val="center"/>
          </w:tcPr>
          <w:p w14:paraId="5C92B8FC">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bCs/>
                <w:color w:val="auto"/>
                <w:sz w:val="24"/>
                <w:szCs w:val="24"/>
                <w:highlight w:val="none"/>
              </w:rPr>
            </w:pPr>
          </w:p>
        </w:tc>
        <w:tc>
          <w:tcPr>
            <w:tcW w:w="1155" w:type="dxa"/>
            <w:vMerge w:val="continue"/>
            <w:tcBorders>
              <w:bottom w:val="single" w:color="000000" w:sz="12" w:space="0"/>
            </w:tcBorders>
            <w:noWrap w:val="0"/>
            <w:vAlign w:val="center"/>
          </w:tcPr>
          <w:p w14:paraId="7682A01D">
            <w:pPr>
              <w:keepNext w:val="0"/>
              <w:keepLines w:val="0"/>
              <w:pageBreakBefore w:val="0"/>
              <w:widowControl w:val="0"/>
              <w:kinsoku/>
              <w:wordWrap w:val="0"/>
              <w:overflowPunct/>
              <w:topLinePunct w:val="0"/>
              <w:autoSpaceDE/>
              <w:autoSpaceDN/>
              <w:bidi w:val="0"/>
              <w:spacing w:line="440" w:lineRule="exact"/>
              <w:jc w:val="center"/>
              <w:textAlignment w:val="auto"/>
              <w:rPr>
                <w:rFonts w:hint="eastAsia" w:ascii="宋体" w:hAnsi="宋体" w:eastAsia="宋体" w:cs="宋体"/>
                <w:bCs/>
                <w:color w:val="auto"/>
                <w:sz w:val="24"/>
                <w:szCs w:val="24"/>
                <w:highlight w:val="none"/>
              </w:rPr>
            </w:pPr>
          </w:p>
        </w:tc>
        <w:tc>
          <w:tcPr>
            <w:tcW w:w="1755" w:type="dxa"/>
            <w:vMerge w:val="restart"/>
            <w:noWrap w:val="0"/>
            <w:vAlign w:val="top"/>
          </w:tcPr>
          <w:p w14:paraId="39C948E0">
            <w:pPr>
              <w:spacing w:line="273" w:lineRule="auto"/>
              <w:jc w:val="center"/>
              <w:rPr>
                <w:rFonts w:ascii="Arial"/>
                <w:sz w:val="21"/>
              </w:rPr>
            </w:pPr>
          </w:p>
          <w:p w14:paraId="2C737A6A">
            <w:pPr>
              <w:spacing w:line="273" w:lineRule="auto"/>
              <w:jc w:val="center"/>
              <w:rPr>
                <w:rFonts w:ascii="Arial"/>
                <w:sz w:val="21"/>
              </w:rPr>
            </w:pPr>
          </w:p>
          <w:p w14:paraId="583F873C">
            <w:pPr>
              <w:spacing w:line="274" w:lineRule="auto"/>
              <w:jc w:val="both"/>
              <w:rPr>
                <w:rFonts w:ascii="Arial"/>
                <w:sz w:val="21"/>
              </w:rPr>
            </w:pPr>
          </w:p>
          <w:p w14:paraId="0372E427">
            <w:pPr>
              <w:pStyle w:val="144"/>
              <w:spacing w:before="78" w:line="219" w:lineRule="auto"/>
              <w:ind w:left="232"/>
              <w:jc w:val="center"/>
              <w:rPr>
                <w:rFonts w:hint="default" w:ascii="宋体" w:hAnsi="宋体" w:eastAsia="宋体" w:cs="宋体"/>
                <w:color w:val="auto"/>
                <w:sz w:val="24"/>
                <w:szCs w:val="24"/>
                <w:highlight w:val="none"/>
                <w:lang w:val="en-US" w:eastAsia="zh-CN"/>
              </w:rPr>
            </w:pPr>
            <w:r>
              <w:rPr>
                <w:spacing w:val="-2"/>
              </w:rPr>
              <w:t>售后服务方案</w:t>
            </w:r>
            <w:r>
              <w:rPr>
                <w:spacing w:val="-10"/>
              </w:rPr>
              <w:t>（</w:t>
            </w:r>
            <w:r>
              <w:rPr>
                <w:rFonts w:hint="eastAsia"/>
                <w:spacing w:val="-10"/>
                <w:lang w:val="en-US" w:eastAsia="zh-CN"/>
              </w:rPr>
              <w:t>10</w:t>
            </w:r>
            <w:r>
              <w:rPr>
                <w:spacing w:val="-10"/>
              </w:rPr>
              <w:t xml:space="preserve"> 分）</w:t>
            </w:r>
          </w:p>
        </w:tc>
        <w:tc>
          <w:tcPr>
            <w:tcW w:w="5900" w:type="dxa"/>
            <w:tcBorders>
              <w:bottom w:val="single" w:color="000000" w:sz="12" w:space="0"/>
            </w:tcBorders>
            <w:noWrap w:val="0"/>
            <w:vAlign w:val="top"/>
          </w:tcPr>
          <w:p w14:paraId="38793FCC">
            <w:pPr>
              <w:pStyle w:val="144"/>
              <w:spacing w:before="49" w:line="275" w:lineRule="auto"/>
              <w:ind w:left="114" w:right="96" w:hanging="1"/>
            </w:pPr>
            <w:r>
              <w:rPr>
                <w:spacing w:val="4"/>
              </w:rPr>
              <w:t>根据供应商针对本项目所提供的售后服务计</w:t>
            </w:r>
            <w:r>
              <w:rPr>
                <w:spacing w:val="3"/>
              </w:rPr>
              <w:t>划和方</w:t>
            </w:r>
            <w:r>
              <w:t xml:space="preserve"> </w:t>
            </w:r>
            <w:r>
              <w:rPr>
                <w:spacing w:val="-2"/>
              </w:rPr>
              <w:t>案进行综合评审：</w:t>
            </w:r>
          </w:p>
          <w:p w14:paraId="13290A21">
            <w:pPr>
              <w:pStyle w:val="144"/>
              <w:spacing w:before="31" w:line="253" w:lineRule="auto"/>
              <w:ind w:left="112" w:right="37"/>
            </w:pPr>
            <w:r>
              <w:rPr>
                <w:spacing w:val="-1"/>
              </w:rPr>
              <w:t>供应商的售后服务计划和方案非常详细完整，能</w:t>
            </w:r>
            <w:r>
              <w:rPr>
                <w:spacing w:val="-10"/>
              </w:rPr>
              <w:t>够快速响应采购人的需求，可行性非常强的得</w:t>
            </w:r>
            <w:r>
              <w:rPr>
                <w:spacing w:val="-35"/>
              </w:rPr>
              <w:t xml:space="preserve"> </w:t>
            </w:r>
            <w:r>
              <w:rPr>
                <w:rFonts w:hint="eastAsia"/>
                <w:spacing w:val="-10"/>
                <w:lang w:val="en-US" w:eastAsia="zh-CN"/>
              </w:rPr>
              <w:t>7</w:t>
            </w:r>
            <w:r>
              <w:rPr>
                <w:spacing w:val="-10"/>
              </w:rPr>
              <w:t>分；</w:t>
            </w:r>
          </w:p>
          <w:p w14:paraId="503EA817">
            <w:pPr>
              <w:pStyle w:val="144"/>
              <w:spacing w:before="91" w:line="252" w:lineRule="auto"/>
              <w:ind w:left="126" w:right="96" w:hanging="14"/>
            </w:pPr>
            <w:r>
              <w:rPr>
                <w:spacing w:val="4"/>
              </w:rPr>
              <w:t>供应商的售后服务计划和方案简单，基本能及时</w:t>
            </w:r>
            <w:r>
              <w:t xml:space="preserve"> </w:t>
            </w:r>
            <w:r>
              <w:rPr>
                <w:spacing w:val="-3"/>
              </w:rPr>
              <w:t>响应采购人的需求，可行性一般的得</w:t>
            </w:r>
            <w:r>
              <w:rPr>
                <w:rFonts w:hint="eastAsia"/>
                <w:spacing w:val="-38"/>
                <w:lang w:val="en-US" w:eastAsia="zh-CN"/>
              </w:rPr>
              <w:t>4</w:t>
            </w:r>
            <w:r>
              <w:rPr>
                <w:spacing w:val="-3"/>
              </w:rPr>
              <w:t>分；</w:t>
            </w:r>
          </w:p>
          <w:p w14:paraId="2E5780D3">
            <w:pPr>
              <w:pStyle w:val="144"/>
              <w:spacing w:before="91" w:line="252" w:lineRule="auto"/>
              <w:ind w:left="125" w:right="96" w:hanging="13"/>
              <w:rPr>
                <w:rFonts w:hint="default"/>
                <w:spacing w:val="4"/>
                <w:lang w:val="en-US"/>
              </w:rPr>
            </w:pPr>
            <w:r>
              <w:rPr>
                <w:spacing w:val="4"/>
              </w:rPr>
              <w:t>供应商的售后服务计划和方案有，但不完整、不 能够及时响应采购人需求、可行性差的得 1 分；</w:t>
            </w:r>
          </w:p>
          <w:p w14:paraId="6FC7071C">
            <w:pPr>
              <w:pStyle w:val="144"/>
              <w:spacing w:before="88" w:line="217" w:lineRule="auto"/>
              <w:ind w:left="112" w:leftChars="0"/>
              <w:rPr>
                <w:rFonts w:hint="eastAsia" w:ascii="宋体" w:hAnsi="宋体" w:eastAsia="宋体" w:cs="宋体"/>
                <w:color w:val="auto"/>
                <w:sz w:val="24"/>
                <w:szCs w:val="24"/>
                <w:highlight w:val="none"/>
                <w:lang w:val="zh-CN"/>
              </w:rPr>
            </w:pPr>
            <w:r>
              <w:rPr>
                <w:spacing w:val="-2"/>
              </w:rPr>
              <w:t>无不得分。</w:t>
            </w:r>
          </w:p>
        </w:tc>
      </w:tr>
      <w:tr w14:paraId="7AE2B4C5">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1076" w:hRule="atLeast"/>
          <w:jc w:val="center"/>
        </w:trPr>
        <w:tc>
          <w:tcPr>
            <w:tcW w:w="1088" w:type="dxa"/>
            <w:vMerge w:val="continue"/>
            <w:tcBorders>
              <w:bottom w:val="single" w:color="000000" w:sz="12" w:space="0"/>
            </w:tcBorders>
            <w:noWrap w:val="0"/>
            <w:vAlign w:val="center"/>
          </w:tcPr>
          <w:p w14:paraId="0DF787D0">
            <w:pPr>
              <w:pStyle w:val="144"/>
              <w:spacing w:before="88" w:line="217" w:lineRule="auto"/>
              <w:ind w:left="112" w:leftChars="0"/>
            </w:pPr>
          </w:p>
        </w:tc>
        <w:tc>
          <w:tcPr>
            <w:tcW w:w="1155" w:type="dxa"/>
            <w:vMerge w:val="continue"/>
            <w:tcBorders>
              <w:bottom w:val="single" w:color="000000" w:sz="12" w:space="0"/>
            </w:tcBorders>
            <w:noWrap w:val="0"/>
            <w:vAlign w:val="center"/>
          </w:tcPr>
          <w:p w14:paraId="3F5068A1">
            <w:pPr>
              <w:pStyle w:val="144"/>
              <w:spacing w:before="88" w:line="217" w:lineRule="auto"/>
              <w:ind w:left="112" w:leftChars="0"/>
            </w:pPr>
          </w:p>
        </w:tc>
        <w:tc>
          <w:tcPr>
            <w:tcW w:w="1755" w:type="dxa"/>
            <w:vMerge w:val="continue"/>
            <w:tcBorders>
              <w:bottom w:val="single" w:color="000000" w:sz="12" w:space="0"/>
            </w:tcBorders>
            <w:noWrap w:val="0"/>
            <w:vAlign w:val="top"/>
          </w:tcPr>
          <w:p w14:paraId="27A2E730">
            <w:pPr>
              <w:pStyle w:val="144"/>
              <w:spacing w:before="88" w:line="217" w:lineRule="auto"/>
              <w:ind w:left="112" w:leftChars="0"/>
            </w:pPr>
          </w:p>
        </w:tc>
        <w:tc>
          <w:tcPr>
            <w:tcW w:w="5900" w:type="dxa"/>
            <w:tcBorders>
              <w:bottom w:val="single" w:color="000000" w:sz="12" w:space="0"/>
            </w:tcBorders>
            <w:noWrap w:val="0"/>
            <w:vAlign w:val="top"/>
          </w:tcPr>
          <w:p w14:paraId="4305605B">
            <w:pPr>
              <w:pStyle w:val="144"/>
              <w:numPr>
                <w:ilvl w:val="0"/>
                <w:numId w:val="0"/>
              </w:numPr>
              <w:spacing w:before="88" w:line="217" w:lineRule="auto"/>
              <w:rPr>
                <w:rFonts w:hint="eastAsia" w:ascii="宋体" w:hAnsi="宋体" w:cs="宋体"/>
                <w:color w:val="auto"/>
                <w:szCs w:val="21"/>
              </w:rPr>
            </w:pPr>
            <w:r>
              <w:rPr>
                <w:rFonts w:hint="eastAsia"/>
                <w:color w:val="auto"/>
                <w:spacing w:val="4"/>
              </w:rPr>
              <w:t>售后服务人员承诺响应时效，在15分钟内响应，2小时到达现场，4小时内</w:t>
            </w:r>
            <w:r>
              <w:rPr>
                <w:rFonts w:hint="eastAsia" w:ascii="宋体" w:hAnsi="宋体" w:cs="宋体"/>
                <w:color w:val="auto"/>
                <w:szCs w:val="21"/>
              </w:rPr>
              <w:t>排除故障，满足得</w:t>
            </w:r>
            <w:r>
              <w:rPr>
                <w:rFonts w:hint="eastAsia" w:ascii="宋体" w:hAnsi="宋体" w:cs="宋体"/>
                <w:color w:val="auto"/>
                <w:szCs w:val="21"/>
                <w:lang w:val="en-US" w:eastAsia="zh-CN"/>
              </w:rPr>
              <w:t>3</w:t>
            </w:r>
            <w:r>
              <w:rPr>
                <w:rFonts w:hint="eastAsia" w:ascii="宋体" w:hAnsi="宋体" w:cs="宋体"/>
                <w:color w:val="auto"/>
                <w:szCs w:val="21"/>
              </w:rPr>
              <w:t>分</w:t>
            </w:r>
          </w:p>
          <w:p w14:paraId="5D15C06F">
            <w:pPr>
              <w:pStyle w:val="144"/>
              <w:numPr>
                <w:ilvl w:val="0"/>
                <w:numId w:val="0"/>
              </w:numPr>
              <w:spacing w:before="88" w:line="217" w:lineRule="auto"/>
              <w:rPr>
                <w:rFonts w:hint="default" w:ascii="宋体" w:hAnsi="宋体" w:cs="宋体"/>
                <w:color w:val="auto"/>
                <w:szCs w:val="21"/>
                <w:lang w:val="en-US" w:eastAsia="zh-CN"/>
              </w:rPr>
            </w:pPr>
            <w:r>
              <w:rPr>
                <w:rFonts w:hint="eastAsia" w:ascii="宋体" w:hAnsi="宋体" w:cs="宋体"/>
                <w:color w:val="auto"/>
                <w:szCs w:val="21"/>
                <w:lang w:val="en-US" w:eastAsia="zh-CN"/>
              </w:rPr>
              <w:t>（以上合计10分）</w:t>
            </w:r>
          </w:p>
        </w:tc>
      </w:tr>
    </w:tbl>
    <w:p w14:paraId="398EB32B">
      <w:pPr>
        <w:ind w:firstLine="482" w:firstLineChars="200"/>
        <w:rPr>
          <w:rFonts w:hint="eastAsia" w:ascii="宋体" w:hAnsi="宋体" w:eastAsia="宋体" w:cs="宋体"/>
          <w:color w:val="auto"/>
          <w:sz w:val="21"/>
          <w:szCs w:val="21"/>
          <w:highlight w:val="none"/>
        </w:rPr>
      </w:pPr>
      <w:r>
        <w:rPr>
          <w:rFonts w:hint="eastAsia" w:ascii="宋体" w:hAnsi="宋体" w:eastAsia="宋体" w:cs="宋体"/>
          <w:b/>
          <w:bCs/>
          <w:color w:val="auto"/>
          <w:sz w:val="24"/>
          <w:szCs w:val="24"/>
          <w:highlight w:val="none"/>
        </w:rPr>
        <w:t xml:space="preserve"> </w:t>
      </w:r>
    </w:p>
    <w:p w14:paraId="5F262E56">
      <w:pPr>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br w:type="page"/>
      </w:r>
    </w:p>
    <w:p w14:paraId="54D2C185">
      <w:pPr>
        <w:jc w:val="center"/>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一、评标须知</w:t>
      </w:r>
    </w:p>
    <w:p w14:paraId="6556243C">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1.关于评标方案</w:t>
      </w:r>
    </w:p>
    <w:p w14:paraId="2043114F">
      <w:pPr>
        <w:keepNext w:val="0"/>
        <w:keepLines w:val="0"/>
        <w:pageBreakBefore w:val="0"/>
        <w:widowControl w:val="0"/>
        <w:kinsoku/>
        <w:wordWrap w:val="0"/>
        <w:overflowPunct/>
        <w:topLinePunct w:val="0"/>
        <w:autoSpaceDE/>
        <w:autoSpaceDN/>
        <w:bidi w:val="0"/>
        <w:spacing w:line="440" w:lineRule="exact"/>
        <w:ind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（1）评标委员会的每位成员（简称评委）应认真地阅读并确认已经正确理解了评标方案；</w:t>
      </w:r>
    </w:p>
    <w:p w14:paraId="0D96BC6B">
      <w:pPr>
        <w:keepNext w:val="0"/>
        <w:keepLines w:val="0"/>
        <w:pageBreakBefore w:val="0"/>
        <w:widowControl w:val="0"/>
        <w:kinsoku/>
        <w:wordWrap w:val="0"/>
        <w:overflowPunct/>
        <w:topLinePunct w:val="0"/>
        <w:autoSpaceDE/>
        <w:autoSpaceDN/>
        <w:bidi w:val="0"/>
        <w:spacing w:line="440" w:lineRule="exact"/>
        <w:ind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（2）评委如对评标方案有异议，应在评标开始前提出。</w:t>
      </w:r>
    </w:p>
    <w:p w14:paraId="7D64D2E2">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2.关于评标纪律</w:t>
      </w:r>
    </w:p>
    <w:p w14:paraId="3065FBF6">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评标委员会及其成员不得有下列行为：</w:t>
      </w:r>
    </w:p>
    <w:p w14:paraId="609EEA98">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（一）确定参与评标至评标结束前私自接触</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w:t>
      </w:r>
    </w:p>
    <w:p w14:paraId="5E8C74E9">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（二）接受</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提出的与投标文件不一致的澄清或者说明；</w:t>
      </w:r>
    </w:p>
    <w:p w14:paraId="36FEC024">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（三）违反评标纪律发表倾向性意见或者征询采购人的倾向性意见；</w:t>
      </w:r>
    </w:p>
    <w:p w14:paraId="3F881222">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（四）对需要专业判断的主观评审因素协商评分；</w:t>
      </w:r>
    </w:p>
    <w:p w14:paraId="08C13D64">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（五）在评标过程中擅离职守，影响评标程序正常进行的；</w:t>
      </w:r>
    </w:p>
    <w:p w14:paraId="3CB06BB7">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（六）记录、复制或者带走任何评标资料；</w:t>
      </w:r>
    </w:p>
    <w:p w14:paraId="7BBFA2D2">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（七）其他不遵守评标纪律的行为。</w:t>
      </w:r>
    </w:p>
    <w:p w14:paraId="0470C445">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评标委员会成员有前款第一至五项行为之一的，其评审意见无效，并不得获取评审劳务报酬和报销异地评审差旅费。</w:t>
      </w:r>
    </w:p>
    <w:p w14:paraId="075D7C7C">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3.关于评标责任</w:t>
      </w:r>
    </w:p>
    <w:p w14:paraId="0A297614">
      <w:pPr>
        <w:keepNext w:val="0"/>
        <w:keepLines w:val="0"/>
        <w:pageBreakBefore w:val="0"/>
        <w:widowControl w:val="0"/>
        <w:kinsoku/>
        <w:wordWrap w:val="0"/>
        <w:overflowPunct/>
        <w:topLinePunct w:val="0"/>
        <w:autoSpaceDE/>
        <w:autoSpaceDN/>
        <w:bidi w:val="0"/>
        <w:spacing w:line="440" w:lineRule="exact"/>
        <w:ind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（1）评委应在其书面评审意见上签字确认；</w:t>
      </w:r>
    </w:p>
    <w:p w14:paraId="6EE1F011">
      <w:pPr>
        <w:keepNext w:val="0"/>
        <w:keepLines w:val="0"/>
        <w:pageBreakBefore w:val="0"/>
        <w:widowControl w:val="0"/>
        <w:kinsoku/>
        <w:wordWrap w:val="0"/>
        <w:overflowPunct/>
        <w:topLinePunct w:val="0"/>
        <w:autoSpaceDE/>
        <w:autoSpaceDN/>
        <w:bidi w:val="0"/>
        <w:spacing w:line="440" w:lineRule="exact"/>
        <w:ind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（2）评委对其所提出的评审意见承担个人责任。</w:t>
      </w:r>
    </w:p>
    <w:p w14:paraId="0246451F">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4.关于回避</w:t>
      </w:r>
    </w:p>
    <w:p w14:paraId="1A36EAF0">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有下列情形之一的，不得担任评标委员会成员，如事先不知情的，应在宣读</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名单及评标纪律后主动提出回避：</w:t>
      </w:r>
    </w:p>
    <w:p w14:paraId="2A2A0CE1">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或</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主要负责人的近亲属；</w:t>
      </w:r>
    </w:p>
    <w:p w14:paraId="29DBE91F">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（2）项目主管部门或者行政监督部门的人员；</w:t>
      </w:r>
    </w:p>
    <w:p w14:paraId="081C050C">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（3）与</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有经济利益关系，可能影响对投标公正评审的；</w:t>
      </w:r>
    </w:p>
    <w:p w14:paraId="6B38C83A">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（4）曾因在招标、评标以及其他与招标投标有关活动中从事违法行为而受过行政处罚或刑事处罚的；</w:t>
      </w:r>
    </w:p>
    <w:p w14:paraId="7CAE1409">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（5）与</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有其他利害关系。</w:t>
      </w:r>
    </w:p>
    <w:p w14:paraId="318B6C20">
      <w:pPr>
        <w:keepNext w:val="0"/>
        <w:keepLines w:val="0"/>
        <w:pageBreakBefore w:val="0"/>
        <w:widowControl w:val="0"/>
        <w:kinsoku/>
        <w:wordWrap w:val="0"/>
        <w:overflowPunct/>
        <w:topLinePunct w:val="0"/>
        <w:autoSpaceDE/>
        <w:autoSpaceDN/>
        <w:bidi w:val="0"/>
        <w:spacing w:line="44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5.关于保密</w:t>
      </w:r>
    </w:p>
    <w:p w14:paraId="1DFAC1AF">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评标委员会成员和与评标活动有关的工作人员不得透露对投标文件的评审和比较、中标候选人的推荐情况以及评标有关的其他情况。</w:t>
      </w:r>
    </w:p>
    <w:p w14:paraId="7576BEC7">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前款所称与评标活动有关的工作人员，是指评标委员会成员以外的因参与评标监督工作或者事务性工作而知悉有关评标情况的所有人员。</w:t>
      </w:r>
    </w:p>
    <w:p w14:paraId="48218E4B">
      <w:pPr>
        <w:keepNext w:val="0"/>
        <w:keepLines w:val="0"/>
        <w:pageBreakBefore w:val="0"/>
        <w:widowControl w:val="0"/>
        <w:kinsoku/>
        <w:wordWrap w:val="0"/>
        <w:overflowPunct/>
        <w:topLinePunct w:val="0"/>
        <w:autoSpaceDE/>
        <w:autoSpaceDN/>
        <w:bidi w:val="0"/>
        <w:spacing w:line="440" w:lineRule="exact"/>
        <w:jc w:val="center"/>
        <w:textAlignment w:val="auto"/>
        <w:outlineLvl w:val="1"/>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二、评标原则</w:t>
      </w:r>
    </w:p>
    <w:p w14:paraId="077F7E3F">
      <w:pPr>
        <w:keepNext w:val="0"/>
        <w:keepLines w:val="0"/>
        <w:pageBreakBefore w:val="0"/>
        <w:widowControl w:val="0"/>
        <w:kinsoku/>
        <w:wordWrap w:val="0"/>
        <w:overflowPunct/>
        <w:topLinePunct w:val="0"/>
        <w:autoSpaceDE/>
        <w:autoSpaceDN/>
        <w:bidi w:val="0"/>
        <w:spacing w:line="440" w:lineRule="exact"/>
        <w:textAlignment w:val="auto"/>
        <w:outlineLvl w:val="1"/>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1.评标方法</w:t>
      </w:r>
    </w:p>
    <w:p w14:paraId="5CB1FEC0">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本次评标采用综合评分法。评标委员会对满足招标文件全部实质性要求的投标文件，按照本章第2.2款规定的评分标准进行打分，并按得分由高到低顺序推荐中标候选人，但投标报价低于其成本的除外。综合评分相等时，以投标报价低的优先；得分且投标报价相同的并列。投标文件满足招标文件全部实质性要求，且按照评审因素的量化指标评审得分最高的</w:t>
      </w:r>
      <w:r>
        <w:rPr>
          <w:rFonts w:hint="eastAsia" w:ascii="宋体" w:hAnsi="宋体" w:eastAsia="宋体" w:cs="宋体"/>
          <w:color w:val="auto"/>
          <w:kern w:val="0"/>
          <w:sz w:val="24"/>
          <w:szCs w:val="24"/>
          <w:highlight w:val="none"/>
          <w:lang w:eastAsia="zh-CN"/>
        </w:rPr>
        <w:t>供应商</w:t>
      </w:r>
      <w:r>
        <w:rPr>
          <w:rFonts w:hint="eastAsia" w:ascii="宋体" w:hAnsi="宋体" w:eastAsia="宋体" w:cs="宋体"/>
          <w:color w:val="auto"/>
          <w:kern w:val="0"/>
          <w:sz w:val="24"/>
          <w:szCs w:val="24"/>
          <w:highlight w:val="none"/>
        </w:rPr>
        <w:t>为排名第一的中标候选人，依次排列。提供相同品牌产品且通过资格审查、符合性审查的不同</w:t>
      </w:r>
      <w:r>
        <w:rPr>
          <w:rFonts w:hint="eastAsia" w:ascii="宋体" w:hAnsi="宋体" w:eastAsia="宋体" w:cs="宋体"/>
          <w:color w:val="auto"/>
          <w:kern w:val="0"/>
          <w:sz w:val="24"/>
          <w:szCs w:val="24"/>
          <w:highlight w:val="none"/>
          <w:lang w:eastAsia="zh-CN"/>
        </w:rPr>
        <w:t>供应商</w:t>
      </w:r>
      <w:r>
        <w:rPr>
          <w:rFonts w:hint="eastAsia" w:ascii="宋体" w:hAnsi="宋体" w:eastAsia="宋体" w:cs="宋体"/>
          <w:color w:val="auto"/>
          <w:kern w:val="0"/>
          <w:sz w:val="24"/>
          <w:szCs w:val="24"/>
          <w:highlight w:val="none"/>
        </w:rPr>
        <w:t>参加同一合同项下投标的，按一家</w:t>
      </w:r>
      <w:r>
        <w:rPr>
          <w:rFonts w:hint="eastAsia" w:ascii="宋体" w:hAnsi="宋体" w:eastAsia="宋体" w:cs="宋体"/>
          <w:color w:val="auto"/>
          <w:kern w:val="0"/>
          <w:sz w:val="24"/>
          <w:szCs w:val="24"/>
          <w:highlight w:val="none"/>
          <w:lang w:eastAsia="zh-CN"/>
        </w:rPr>
        <w:t>供应商</w:t>
      </w:r>
      <w:r>
        <w:rPr>
          <w:rFonts w:hint="eastAsia" w:ascii="宋体" w:hAnsi="宋体" w:eastAsia="宋体" w:cs="宋体"/>
          <w:color w:val="auto"/>
          <w:kern w:val="0"/>
          <w:sz w:val="24"/>
          <w:szCs w:val="24"/>
          <w:highlight w:val="none"/>
        </w:rPr>
        <w:t>计算，评审后得分最高的同品牌</w:t>
      </w:r>
      <w:r>
        <w:rPr>
          <w:rFonts w:hint="eastAsia" w:ascii="宋体" w:hAnsi="宋体" w:eastAsia="宋体" w:cs="宋体"/>
          <w:color w:val="auto"/>
          <w:kern w:val="0"/>
          <w:sz w:val="24"/>
          <w:szCs w:val="24"/>
          <w:highlight w:val="none"/>
          <w:lang w:eastAsia="zh-CN"/>
        </w:rPr>
        <w:t>供应商</w:t>
      </w:r>
      <w:r>
        <w:rPr>
          <w:rFonts w:hint="eastAsia" w:ascii="宋体" w:hAnsi="宋体" w:eastAsia="宋体" w:cs="宋体"/>
          <w:color w:val="auto"/>
          <w:kern w:val="0"/>
          <w:sz w:val="24"/>
          <w:szCs w:val="24"/>
          <w:highlight w:val="none"/>
        </w:rPr>
        <w:t>获得</w:t>
      </w:r>
      <w:r>
        <w:rPr>
          <w:rFonts w:hint="eastAsia" w:ascii="宋体" w:hAnsi="宋体" w:eastAsia="宋体" w:cs="宋体"/>
          <w:color w:val="auto"/>
          <w:kern w:val="0"/>
          <w:sz w:val="24"/>
          <w:szCs w:val="24"/>
          <w:highlight w:val="none"/>
          <w:lang w:eastAsia="zh-CN"/>
        </w:rPr>
        <w:t>中标供应商</w:t>
      </w:r>
      <w:r>
        <w:rPr>
          <w:rFonts w:hint="eastAsia" w:ascii="宋体" w:hAnsi="宋体" w:eastAsia="宋体" w:cs="宋体"/>
          <w:color w:val="auto"/>
          <w:kern w:val="0"/>
          <w:sz w:val="24"/>
          <w:szCs w:val="24"/>
          <w:highlight w:val="none"/>
        </w:rPr>
        <w:t>推荐资格；得分相同的，按投标报价最低的同品牌</w:t>
      </w:r>
      <w:r>
        <w:rPr>
          <w:rFonts w:hint="eastAsia" w:ascii="宋体" w:hAnsi="宋体" w:eastAsia="宋体" w:cs="宋体"/>
          <w:color w:val="auto"/>
          <w:kern w:val="0"/>
          <w:sz w:val="24"/>
          <w:szCs w:val="24"/>
          <w:highlight w:val="none"/>
          <w:lang w:eastAsia="zh-CN"/>
        </w:rPr>
        <w:t>供应商</w:t>
      </w:r>
      <w:r>
        <w:rPr>
          <w:rFonts w:hint="eastAsia" w:ascii="宋体" w:hAnsi="宋体" w:eastAsia="宋体" w:cs="宋体"/>
          <w:color w:val="auto"/>
          <w:kern w:val="0"/>
          <w:sz w:val="24"/>
          <w:szCs w:val="24"/>
          <w:highlight w:val="none"/>
        </w:rPr>
        <w:t>确定一个</w:t>
      </w:r>
      <w:r>
        <w:rPr>
          <w:rFonts w:hint="eastAsia" w:ascii="宋体" w:hAnsi="宋体" w:eastAsia="宋体" w:cs="宋体"/>
          <w:color w:val="auto"/>
          <w:kern w:val="0"/>
          <w:sz w:val="24"/>
          <w:szCs w:val="24"/>
          <w:highlight w:val="none"/>
          <w:lang w:eastAsia="zh-CN"/>
        </w:rPr>
        <w:t>供应商</w:t>
      </w:r>
      <w:r>
        <w:rPr>
          <w:rFonts w:hint="eastAsia" w:ascii="宋体" w:hAnsi="宋体" w:eastAsia="宋体" w:cs="宋体"/>
          <w:color w:val="auto"/>
          <w:kern w:val="0"/>
          <w:sz w:val="24"/>
          <w:szCs w:val="24"/>
          <w:highlight w:val="none"/>
        </w:rPr>
        <w:t>获得</w:t>
      </w:r>
      <w:r>
        <w:rPr>
          <w:rFonts w:hint="eastAsia" w:ascii="宋体" w:hAnsi="宋体" w:eastAsia="宋体" w:cs="宋体"/>
          <w:color w:val="auto"/>
          <w:kern w:val="0"/>
          <w:sz w:val="24"/>
          <w:szCs w:val="24"/>
          <w:highlight w:val="none"/>
          <w:lang w:eastAsia="zh-CN"/>
        </w:rPr>
        <w:t>中标供应商</w:t>
      </w:r>
      <w:r>
        <w:rPr>
          <w:rFonts w:hint="eastAsia" w:ascii="宋体" w:hAnsi="宋体" w:eastAsia="宋体" w:cs="宋体"/>
          <w:color w:val="auto"/>
          <w:kern w:val="0"/>
          <w:sz w:val="24"/>
          <w:szCs w:val="24"/>
          <w:highlight w:val="none"/>
        </w:rPr>
        <w:t>推荐资格；得分且投标报价也相同的，按技术标评审得分最高的同品牌</w:t>
      </w:r>
      <w:r>
        <w:rPr>
          <w:rFonts w:hint="eastAsia" w:ascii="宋体" w:hAnsi="宋体" w:eastAsia="宋体" w:cs="宋体"/>
          <w:color w:val="auto"/>
          <w:kern w:val="0"/>
          <w:sz w:val="24"/>
          <w:szCs w:val="24"/>
          <w:highlight w:val="none"/>
          <w:lang w:eastAsia="zh-CN"/>
        </w:rPr>
        <w:t>供应商</w:t>
      </w:r>
      <w:r>
        <w:rPr>
          <w:rFonts w:hint="eastAsia" w:ascii="宋体" w:hAnsi="宋体" w:eastAsia="宋体" w:cs="宋体"/>
          <w:color w:val="auto"/>
          <w:kern w:val="0"/>
          <w:sz w:val="24"/>
          <w:szCs w:val="24"/>
          <w:highlight w:val="none"/>
        </w:rPr>
        <w:t>确定一个</w:t>
      </w:r>
      <w:r>
        <w:rPr>
          <w:rFonts w:hint="eastAsia" w:ascii="宋体" w:hAnsi="宋体" w:eastAsia="宋体" w:cs="宋体"/>
          <w:color w:val="auto"/>
          <w:kern w:val="0"/>
          <w:sz w:val="24"/>
          <w:szCs w:val="24"/>
          <w:highlight w:val="none"/>
          <w:lang w:eastAsia="zh-CN"/>
        </w:rPr>
        <w:t>供应商</w:t>
      </w:r>
      <w:r>
        <w:rPr>
          <w:rFonts w:hint="eastAsia" w:ascii="宋体" w:hAnsi="宋体" w:eastAsia="宋体" w:cs="宋体"/>
          <w:color w:val="auto"/>
          <w:kern w:val="0"/>
          <w:sz w:val="24"/>
          <w:szCs w:val="24"/>
          <w:highlight w:val="none"/>
        </w:rPr>
        <w:t>获得</w:t>
      </w:r>
      <w:r>
        <w:rPr>
          <w:rFonts w:hint="eastAsia" w:ascii="宋体" w:hAnsi="宋体" w:eastAsia="宋体" w:cs="宋体"/>
          <w:color w:val="auto"/>
          <w:kern w:val="0"/>
          <w:sz w:val="24"/>
          <w:szCs w:val="24"/>
          <w:highlight w:val="none"/>
          <w:lang w:eastAsia="zh-CN"/>
        </w:rPr>
        <w:t>中标供应商</w:t>
      </w:r>
      <w:r>
        <w:rPr>
          <w:rFonts w:hint="eastAsia" w:ascii="宋体" w:hAnsi="宋体" w:eastAsia="宋体" w:cs="宋体"/>
          <w:color w:val="auto"/>
          <w:kern w:val="0"/>
          <w:sz w:val="24"/>
          <w:szCs w:val="24"/>
          <w:highlight w:val="none"/>
        </w:rPr>
        <w:t>推荐资格。</w:t>
      </w:r>
    </w:p>
    <w:p w14:paraId="11B01D48">
      <w:pPr>
        <w:keepNext w:val="0"/>
        <w:keepLines w:val="0"/>
        <w:pageBreakBefore w:val="0"/>
        <w:widowControl w:val="0"/>
        <w:kinsoku/>
        <w:wordWrap w:val="0"/>
        <w:overflowPunct/>
        <w:topLinePunct w:val="0"/>
        <w:autoSpaceDE/>
        <w:autoSpaceDN/>
        <w:bidi w:val="0"/>
        <w:spacing w:line="440" w:lineRule="exact"/>
        <w:textAlignment w:val="auto"/>
        <w:outlineLvl w:val="1"/>
        <w:rPr>
          <w:rFonts w:hint="eastAsia" w:ascii="宋体" w:hAnsi="宋体" w:eastAsia="宋体" w:cs="宋体"/>
          <w:b/>
          <w:color w:val="auto"/>
          <w:sz w:val="24"/>
          <w:szCs w:val="24"/>
          <w:highlight w:val="none"/>
        </w:rPr>
      </w:pPr>
      <w:bookmarkStart w:id="16" w:name="_Toc22499"/>
      <w:bookmarkStart w:id="17" w:name="_Toc16369"/>
      <w:bookmarkStart w:id="18" w:name="_Toc29384712"/>
      <w:r>
        <w:rPr>
          <w:rFonts w:hint="eastAsia" w:ascii="宋体" w:hAnsi="宋体" w:eastAsia="宋体" w:cs="宋体"/>
          <w:b/>
          <w:color w:val="auto"/>
          <w:sz w:val="24"/>
          <w:szCs w:val="24"/>
          <w:highlight w:val="none"/>
        </w:rPr>
        <w:t>2.评审标准</w:t>
      </w:r>
      <w:bookmarkEnd w:id="16"/>
      <w:bookmarkEnd w:id="17"/>
      <w:bookmarkEnd w:id="18"/>
    </w:p>
    <w:p w14:paraId="65076586">
      <w:pPr>
        <w:keepNext w:val="0"/>
        <w:keepLines w:val="0"/>
        <w:pageBreakBefore w:val="0"/>
        <w:widowControl w:val="0"/>
        <w:kinsoku/>
        <w:wordWrap w:val="0"/>
        <w:overflowPunct/>
        <w:topLinePunct w:val="0"/>
        <w:autoSpaceDE/>
        <w:autoSpaceDN/>
        <w:bidi w:val="0"/>
        <w:spacing w:line="440" w:lineRule="exact"/>
        <w:textAlignment w:val="auto"/>
        <w:outlineLvl w:val="2"/>
        <w:rPr>
          <w:rFonts w:hint="eastAsia" w:ascii="宋体" w:hAnsi="宋体" w:eastAsia="宋体" w:cs="宋体"/>
          <w:b/>
          <w:bCs/>
          <w:color w:val="auto"/>
          <w:sz w:val="24"/>
          <w:szCs w:val="24"/>
          <w:highlight w:val="none"/>
        </w:rPr>
      </w:pPr>
      <w:bookmarkStart w:id="19" w:name="_Toc22191"/>
      <w:bookmarkStart w:id="20" w:name="_Toc29384713"/>
      <w:bookmarkStart w:id="21" w:name="_Toc26592"/>
      <w:r>
        <w:rPr>
          <w:rFonts w:hint="eastAsia" w:ascii="宋体" w:hAnsi="宋体" w:eastAsia="宋体" w:cs="宋体"/>
          <w:b/>
          <w:bCs/>
          <w:color w:val="auto"/>
          <w:sz w:val="24"/>
          <w:szCs w:val="24"/>
          <w:highlight w:val="none"/>
        </w:rPr>
        <w:t>2.1 初步评审标准</w:t>
      </w:r>
      <w:bookmarkEnd w:id="19"/>
      <w:bookmarkEnd w:id="20"/>
      <w:bookmarkEnd w:id="21"/>
    </w:p>
    <w:p w14:paraId="1CA2CCB4">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2.1.1 形式评审标准：见评标办法前附表。</w:t>
      </w:r>
    </w:p>
    <w:p w14:paraId="01E1353F">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2.1.2 资格评审标准：见评标办法前附表。</w:t>
      </w:r>
    </w:p>
    <w:p w14:paraId="055328E8">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2.1.3 响应性评审标准：见评标办法前附表。</w:t>
      </w:r>
    </w:p>
    <w:p w14:paraId="6799BCDA">
      <w:pPr>
        <w:keepNext w:val="0"/>
        <w:keepLines w:val="0"/>
        <w:pageBreakBefore w:val="0"/>
        <w:widowControl w:val="0"/>
        <w:kinsoku/>
        <w:wordWrap w:val="0"/>
        <w:overflowPunct/>
        <w:topLinePunct w:val="0"/>
        <w:autoSpaceDE/>
        <w:autoSpaceDN/>
        <w:bidi w:val="0"/>
        <w:spacing w:line="440" w:lineRule="exact"/>
        <w:textAlignment w:val="auto"/>
        <w:outlineLvl w:val="2"/>
        <w:rPr>
          <w:rFonts w:hint="eastAsia" w:ascii="宋体" w:hAnsi="宋体" w:eastAsia="宋体" w:cs="宋体"/>
          <w:b/>
          <w:bCs/>
          <w:color w:val="auto"/>
          <w:sz w:val="24"/>
          <w:szCs w:val="24"/>
          <w:highlight w:val="none"/>
        </w:rPr>
      </w:pPr>
      <w:bookmarkStart w:id="22" w:name="_Toc31207"/>
      <w:bookmarkStart w:id="23" w:name="_Toc16309"/>
      <w:bookmarkStart w:id="24" w:name="_Toc29384714"/>
      <w:r>
        <w:rPr>
          <w:rFonts w:hint="eastAsia" w:ascii="宋体" w:hAnsi="宋体" w:eastAsia="宋体" w:cs="宋体"/>
          <w:b/>
          <w:bCs/>
          <w:color w:val="auto"/>
          <w:sz w:val="24"/>
          <w:szCs w:val="24"/>
          <w:highlight w:val="none"/>
        </w:rPr>
        <w:t>2.2 分值构成与评分标准</w:t>
      </w:r>
      <w:bookmarkEnd w:id="22"/>
      <w:bookmarkEnd w:id="23"/>
      <w:bookmarkEnd w:id="24"/>
    </w:p>
    <w:p w14:paraId="5116711B">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2.2.1 分值构成</w:t>
      </w:r>
    </w:p>
    <w:p w14:paraId="4A63E67E">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（1）商务部分：见评标办法前附表；</w:t>
      </w:r>
    </w:p>
    <w:p w14:paraId="47C32718">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（2）技术部分：见评标办法前附表；</w:t>
      </w:r>
    </w:p>
    <w:p w14:paraId="317421C7">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2.2.2 评标基准价计算</w:t>
      </w:r>
    </w:p>
    <w:p w14:paraId="1FE4AA13">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评标基准价计算方法：见评标办法前附表。</w:t>
      </w:r>
    </w:p>
    <w:p w14:paraId="61859350">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2.2.3 评分标准</w:t>
      </w:r>
    </w:p>
    <w:p w14:paraId="4A40D074">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（1）商务部分评分标准：见评标办法前附表；</w:t>
      </w:r>
    </w:p>
    <w:p w14:paraId="175B39A8">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（2）技术部分评分标准：见评标办法前附表；</w:t>
      </w:r>
    </w:p>
    <w:p w14:paraId="61AEFB7D">
      <w:pPr>
        <w:keepNext w:val="0"/>
        <w:keepLines w:val="0"/>
        <w:pageBreakBefore w:val="0"/>
        <w:widowControl w:val="0"/>
        <w:kinsoku/>
        <w:wordWrap w:val="0"/>
        <w:overflowPunct/>
        <w:topLinePunct w:val="0"/>
        <w:autoSpaceDE/>
        <w:autoSpaceDN/>
        <w:bidi w:val="0"/>
        <w:spacing w:line="440" w:lineRule="exact"/>
        <w:textAlignment w:val="auto"/>
        <w:outlineLvl w:val="1"/>
        <w:rPr>
          <w:rFonts w:hint="eastAsia" w:ascii="宋体" w:hAnsi="宋体" w:eastAsia="宋体" w:cs="宋体"/>
          <w:b/>
          <w:color w:val="auto"/>
          <w:sz w:val="24"/>
          <w:szCs w:val="24"/>
          <w:highlight w:val="none"/>
        </w:rPr>
      </w:pPr>
      <w:bookmarkStart w:id="25" w:name="_Toc25483"/>
      <w:bookmarkStart w:id="26" w:name="_Toc17939"/>
      <w:bookmarkStart w:id="27" w:name="_Toc29384715"/>
      <w:r>
        <w:rPr>
          <w:rFonts w:hint="eastAsia" w:ascii="宋体" w:hAnsi="宋体" w:eastAsia="宋体" w:cs="宋体"/>
          <w:b/>
          <w:color w:val="auto"/>
          <w:sz w:val="24"/>
          <w:szCs w:val="24"/>
          <w:highlight w:val="none"/>
        </w:rPr>
        <w:t>3.评标程序</w:t>
      </w:r>
      <w:bookmarkEnd w:id="25"/>
      <w:bookmarkEnd w:id="26"/>
      <w:bookmarkEnd w:id="27"/>
    </w:p>
    <w:p w14:paraId="44CF65FA">
      <w:pPr>
        <w:keepNext w:val="0"/>
        <w:keepLines w:val="0"/>
        <w:pageBreakBefore w:val="0"/>
        <w:widowControl w:val="0"/>
        <w:kinsoku/>
        <w:wordWrap w:val="0"/>
        <w:overflowPunct/>
        <w:topLinePunct w:val="0"/>
        <w:autoSpaceDE/>
        <w:autoSpaceDN/>
        <w:bidi w:val="0"/>
        <w:spacing w:line="440" w:lineRule="exact"/>
        <w:textAlignment w:val="auto"/>
        <w:outlineLvl w:val="2"/>
        <w:rPr>
          <w:rFonts w:hint="eastAsia" w:ascii="宋体" w:hAnsi="宋体" w:eastAsia="宋体" w:cs="宋体"/>
          <w:b/>
          <w:bCs/>
          <w:color w:val="auto"/>
          <w:sz w:val="24"/>
          <w:szCs w:val="24"/>
          <w:highlight w:val="none"/>
        </w:rPr>
      </w:pPr>
      <w:bookmarkStart w:id="28" w:name="_Toc22121"/>
      <w:bookmarkStart w:id="29" w:name="_Toc21277"/>
      <w:bookmarkStart w:id="30" w:name="_Toc29384716"/>
      <w:r>
        <w:rPr>
          <w:rFonts w:hint="eastAsia" w:ascii="宋体" w:hAnsi="宋体" w:eastAsia="宋体" w:cs="宋体"/>
          <w:b/>
          <w:bCs/>
          <w:color w:val="auto"/>
          <w:sz w:val="24"/>
          <w:szCs w:val="24"/>
          <w:highlight w:val="none"/>
        </w:rPr>
        <w:t>3.1 初步评审</w:t>
      </w:r>
      <w:bookmarkEnd w:id="28"/>
      <w:bookmarkEnd w:id="29"/>
      <w:bookmarkEnd w:id="30"/>
    </w:p>
    <w:p w14:paraId="66CA51B8">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3.1.1 评标委员会可以要求</w:t>
      </w:r>
      <w:r>
        <w:rPr>
          <w:rFonts w:hint="eastAsia" w:ascii="宋体" w:hAnsi="宋体" w:eastAsia="宋体" w:cs="宋体"/>
          <w:color w:val="auto"/>
          <w:kern w:val="0"/>
          <w:sz w:val="24"/>
          <w:szCs w:val="24"/>
          <w:highlight w:val="none"/>
          <w:lang w:eastAsia="zh-CN"/>
        </w:rPr>
        <w:t>供应商</w:t>
      </w:r>
      <w:r>
        <w:rPr>
          <w:rFonts w:hint="eastAsia" w:ascii="宋体" w:hAnsi="宋体" w:eastAsia="宋体" w:cs="宋体"/>
          <w:color w:val="auto"/>
          <w:kern w:val="0"/>
          <w:sz w:val="24"/>
          <w:szCs w:val="24"/>
          <w:highlight w:val="none"/>
        </w:rPr>
        <w:t>提交第二章“</w:t>
      </w:r>
      <w:r>
        <w:rPr>
          <w:rFonts w:hint="eastAsia" w:ascii="宋体" w:hAnsi="宋体" w:eastAsia="宋体" w:cs="宋体"/>
          <w:color w:val="auto"/>
          <w:kern w:val="0"/>
          <w:sz w:val="24"/>
          <w:szCs w:val="24"/>
          <w:highlight w:val="none"/>
          <w:lang w:eastAsia="zh-CN"/>
        </w:rPr>
        <w:t>供应商</w:t>
      </w:r>
      <w:r>
        <w:rPr>
          <w:rFonts w:hint="eastAsia" w:ascii="宋体" w:hAnsi="宋体" w:eastAsia="宋体" w:cs="宋体"/>
          <w:color w:val="auto"/>
          <w:kern w:val="0"/>
          <w:sz w:val="24"/>
          <w:szCs w:val="24"/>
          <w:highlight w:val="none"/>
        </w:rPr>
        <w:t>须知”规定的有关证明和证件的原件，以便核验。评标委员会依据本章第 2.1 款规定的标准对投标文件进行初步评审。有一项不符合评审标准的，评标委员会应当否决其投标。</w:t>
      </w:r>
    </w:p>
    <w:p w14:paraId="569B42A8">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3.1.2 </w:t>
      </w:r>
      <w:r>
        <w:rPr>
          <w:rFonts w:hint="eastAsia" w:ascii="宋体" w:hAnsi="宋体" w:eastAsia="宋体" w:cs="宋体"/>
          <w:color w:val="auto"/>
          <w:kern w:val="0"/>
          <w:sz w:val="24"/>
          <w:szCs w:val="24"/>
          <w:highlight w:val="none"/>
          <w:lang w:eastAsia="zh-CN"/>
        </w:rPr>
        <w:t>供应商</w:t>
      </w:r>
      <w:r>
        <w:rPr>
          <w:rFonts w:hint="eastAsia" w:ascii="宋体" w:hAnsi="宋体" w:eastAsia="宋体" w:cs="宋体"/>
          <w:color w:val="auto"/>
          <w:kern w:val="0"/>
          <w:sz w:val="24"/>
          <w:szCs w:val="24"/>
          <w:highlight w:val="none"/>
        </w:rPr>
        <w:t>有以下情形之一的，评标委员会应当否决其投标：</w:t>
      </w:r>
    </w:p>
    <w:p w14:paraId="1EE64FF2">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(1)第二章“</w:t>
      </w:r>
      <w:r>
        <w:rPr>
          <w:rFonts w:hint="eastAsia" w:ascii="宋体" w:hAnsi="宋体" w:eastAsia="宋体" w:cs="宋体"/>
          <w:color w:val="auto"/>
          <w:kern w:val="0"/>
          <w:sz w:val="24"/>
          <w:szCs w:val="24"/>
          <w:highlight w:val="none"/>
          <w:lang w:eastAsia="zh-CN"/>
        </w:rPr>
        <w:t>供应商</w:t>
      </w:r>
      <w:r>
        <w:rPr>
          <w:rFonts w:hint="eastAsia" w:ascii="宋体" w:hAnsi="宋体" w:eastAsia="宋体" w:cs="宋体"/>
          <w:color w:val="auto"/>
          <w:kern w:val="0"/>
          <w:sz w:val="24"/>
          <w:szCs w:val="24"/>
          <w:highlight w:val="none"/>
        </w:rPr>
        <w:t>须知”前附表及正文规定的任何一种投标无效、废标、否决投标的情况；</w:t>
      </w:r>
    </w:p>
    <w:p w14:paraId="7DBCE174">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(2)串通投标或弄虚作假或有其他违法行为的：</w:t>
      </w:r>
    </w:p>
    <w:p w14:paraId="71658BEC">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(3)不按评标委员会要求澄清、说明或补正的。</w:t>
      </w:r>
    </w:p>
    <w:p w14:paraId="2EEA0739">
      <w:pPr>
        <w:keepNext w:val="0"/>
        <w:keepLines w:val="0"/>
        <w:pageBreakBefore w:val="0"/>
        <w:widowControl w:val="0"/>
        <w:kinsoku/>
        <w:wordWrap w:val="0"/>
        <w:overflowPunct/>
        <w:topLinePunct w:val="0"/>
        <w:autoSpaceDE/>
        <w:autoSpaceDN/>
        <w:bidi w:val="0"/>
        <w:spacing w:line="440" w:lineRule="exact"/>
        <w:textAlignment w:val="auto"/>
        <w:outlineLvl w:val="2"/>
        <w:rPr>
          <w:rFonts w:hint="eastAsia" w:ascii="宋体" w:hAnsi="宋体" w:eastAsia="宋体" w:cs="宋体"/>
          <w:color w:val="auto"/>
          <w:sz w:val="24"/>
          <w:szCs w:val="24"/>
          <w:highlight w:val="none"/>
        </w:rPr>
      </w:pPr>
      <w:bookmarkStart w:id="31" w:name="_Toc24126"/>
      <w:bookmarkStart w:id="32" w:name="_Toc29384717"/>
      <w:bookmarkStart w:id="33" w:name="_Toc415"/>
      <w:r>
        <w:rPr>
          <w:rFonts w:hint="eastAsia" w:ascii="宋体" w:hAnsi="宋体" w:eastAsia="宋体" w:cs="宋体"/>
          <w:b/>
          <w:bCs/>
          <w:color w:val="auto"/>
          <w:sz w:val="24"/>
          <w:szCs w:val="24"/>
          <w:highlight w:val="none"/>
        </w:rPr>
        <w:t>3.2 详细评审</w:t>
      </w:r>
      <w:bookmarkEnd w:id="31"/>
      <w:bookmarkEnd w:id="32"/>
      <w:bookmarkEnd w:id="33"/>
    </w:p>
    <w:p w14:paraId="7B2623C0">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3.2.1 评标委员会按本章第 2.2 款规定的量化因素和分值进行打分，并计算出综合评估得分。</w:t>
      </w:r>
    </w:p>
    <w:p w14:paraId="59A49A6E">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（1）按本章第 2.2.3（1）目规定的评审因素和分值对商务部分计算出得分 A；</w:t>
      </w:r>
    </w:p>
    <w:p w14:paraId="22C394A3">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（2）按本章第 2.2.4（2）目规定的评审因素和分值对技术部分计算出得分 B；</w:t>
      </w:r>
    </w:p>
    <w:p w14:paraId="1EAC42DA">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3.2.2 评分分值计算保留小数点后两位，小数点后第三位“四舍五入”。</w:t>
      </w:r>
    </w:p>
    <w:p w14:paraId="45DCC894">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3.2.3 </w:t>
      </w:r>
      <w:r>
        <w:rPr>
          <w:rFonts w:hint="eastAsia" w:ascii="宋体" w:hAnsi="宋体" w:eastAsia="宋体" w:cs="宋体"/>
          <w:color w:val="auto"/>
          <w:kern w:val="0"/>
          <w:sz w:val="24"/>
          <w:szCs w:val="24"/>
          <w:highlight w:val="none"/>
          <w:lang w:eastAsia="zh-CN"/>
        </w:rPr>
        <w:t>供应商</w:t>
      </w:r>
      <w:r>
        <w:rPr>
          <w:rFonts w:hint="eastAsia" w:ascii="宋体" w:hAnsi="宋体" w:eastAsia="宋体" w:cs="宋体"/>
          <w:color w:val="auto"/>
          <w:kern w:val="0"/>
          <w:sz w:val="24"/>
          <w:szCs w:val="24"/>
          <w:highlight w:val="none"/>
        </w:rPr>
        <w:t>得分=A+B。</w:t>
      </w:r>
    </w:p>
    <w:p w14:paraId="7275796F">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3.2.4 评标委员会发现</w:t>
      </w:r>
      <w:r>
        <w:rPr>
          <w:rFonts w:hint="eastAsia" w:ascii="宋体" w:hAnsi="宋体" w:eastAsia="宋体" w:cs="宋体"/>
          <w:color w:val="auto"/>
          <w:kern w:val="0"/>
          <w:sz w:val="24"/>
          <w:szCs w:val="24"/>
          <w:highlight w:val="none"/>
          <w:lang w:eastAsia="zh-CN"/>
        </w:rPr>
        <w:t>供应商</w:t>
      </w:r>
      <w:r>
        <w:rPr>
          <w:rFonts w:hint="eastAsia" w:ascii="宋体" w:hAnsi="宋体" w:eastAsia="宋体" w:cs="宋体"/>
          <w:color w:val="auto"/>
          <w:kern w:val="0"/>
          <w:sz w:val="24"/>
          <w:szCs w:val="24"/>
          <w:highlight w:val="none"/>
        </w:rPr>
        <w:t>的报价明显低于其他通过符合性审查</w:t>
      </w:r>
      <w:r>
        <w:rPr>
          <w:rFonts w:hint="eastAsia" w:ascii="宋体" w:hAnsi="宋体" w:eastAsia="宋体" w:cs="宋体"/>
          <w:color w:val="auto"/>
          <w:kern w:val="0"/>
          <w:sz w:val="24"/>
          <w:szCs w:val="24"/>
          <w:highlight w:val="none"/>
          <w:lang w:eastAsia="zh-CN"/>
        </w:rPr>
        <w:t>供应商</w:t>
      </w:r>
      <w:r>
        <w:rPr>
          <w:rFonts w:hint="eastAsia" w:ascii="宋体" w:hAnsi="宋体" w:eastAsia="宋体" w:cs="宋体"/>
          <w:color w:val="auto"/>
          <w:kern w:val="0"/>
          <w:sz w:val="24"/>
          <w:szCs w:val="24"/>
          <w:highlight w:val="none"/>
        </w:rPr>
        <w:t>的报价，或者在设有标底时明显低于标底，使得其投标报价可能低于其个别成本的，可能影响产品质量或者不能诚信履约的，应当要求其在评标现场合理的时间内提供书面说明，必要时提交相关证明材料；</w:t>
      </w:r>
      <w:r>
        <w:rPr>
          <w:rFonts w:hint="eastAsia" w:ascii="宋体" w:hAnsi="宋体" w:eastAsia="宋体" w:cs="宋体"/>
          <w:color w:val="auto"/>
          <w:kern w:val="0"/>
          <w:sz w:val="24"/>
          <w:szCs w:val="24"/>
          <w:highlight w:val="none"/>
          <w:lang w:eastAsia="zh-CN"/>
        </w:rPr>
        <w:t>供应商</w:t>
      </w:r>
      <w:r>
        <w:rPr>
          <w:rFonts w:hint="eastAsia" w:ascii="宋体" w:hAnsi="宋体" w:eastAsia="宋体" w:cs="宋体"/>
          <w:color w:val="auto"/>
          <w:kern w:val="0"/>
          <w:sz w:val="24"/>
          <w:szCs w:val="24"/>
          <w:highlight w:val="none"/>
        </w:rPr>
        <w:t>不能证明其报价合理性的，评标委员会应当将其作为无效投标处理。以低于成本报价竞标，其投标将被否决。</w:t>
      </w:r>
    </w:p>
    <w:p w14:paraId="55F7993F">
      <w:pPr>
        <w:keepNext w:val="0"/>
        <w:keepLines w:val="0"/>
        <w:pageBreakBefore w:val="0"/>
        <w:widowControl w:val="0"/>
        <w:kinsoku/>
        <w:wordWrap w:val="0"/>
        <w:overflowPunct/>
        <w:topLinePunct w:val="0"/>
        <w:autoSpaceDE/>
        <w:autoSpaceDN/>
        <w:bidi w:val="0"/>
        <w:spacing w:line="440" w:lineRule="exact"/>
        <w:textAlignment w:val="auto"/>
        <w:outlineLvl w:val="2"/>
        <w:rPr>
          <w:rFonts w:hint="eastAsia" w:ascii="宋体" w:hAnsi="宋体" w:eastAsia="宋体" w:cs="宋体"/>
          <w:b/>
          <w:bCs/>
          <w:color w:val="auto"/>
          <w:sz w:val="24"/>
          <w:szCs w:val="24"/>
          <w:highlight w:val="none"/>
        </w:rPr>
      </w:pPr>
      <w:bookmarkStart w:id="34" w:name="_Toc31488"/>
      <w:bookmarkStart w:id="35" w:name="_Toc11784"/>
      <w:bookmarkStart w:id="36" w:name="_Toc29384718"/>
      <w:r>
        <w:rPr>
          <w:rFonts w:hint="eastAsia" w:ascii="宋体" w:hAnsi="宋体" w:eastAsia="宋体" w:cs="宋体"/>
          <w:b/>
          <w:bCs/>
          <w:color w:val="auto"/>
          <w:sz w:val="24"/>
          <w:szCs w:val="24"/>
          <w:highlight w:val="none"/>
        </w:rPr>
        <w:t>3.3 投标文件的澄清</w:t>
      </w:r>
      <w:bookmarkEnd w:id="34"/>
      <w:bookmarkEnd w:id="35"/>
      <w:bookmarkEnd w:id="36"/>
      <w:r>
        <w:rPr>
          <w:rFonts w:hint="eastAsia" w:ascii="宋体" w:hAnsi="宋体" w:eastAsia="宋体" w:cs="宋体"/>
          <w:b/>
          <w:bCs/>
          <w:color w:val="auto"/>
          <w:sz w:val="24"/>
          <w:szCs w:val="24"/>
          <w:highlight w:val="none"/>
        </w:rPr>
        <w:t>和补正</w:t>
      </w:r>
    </w:p>
    <w:p w14:paraId="407464CA">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3.3.1 在评标过程中，评标委员会可以书面形式要求</w:t>
      </w:r>
      <w:r>
        <w:rPr>
          <w:rFonts w:hint="eastAsia" w:ascii="宋体" w:hAnsi="宋体" w:eastAsia="宋体" w:cs="宋体"/>
          <w:color w:val="auto"/>
          <w:kern w:val="0"/>
          <w:sz w:val="24"/>
          <w:szCs w:val="24"/>
          <w:highlight w:val="none"/>
          <w:lang w:eastAsia="zh-CN"/>
        </w:rPr>
        <w:t>供应商</w:t>
      </w:r>
      <w:r>
        <w:rPr>
          <w:rFonts w:hint="eastAsia" w:ascii="宋体" w:hAnsi="宋体" w:eastAsia="宋体" w:cs="宋体"/>
          <w:color w:val="auto"/>
          <w:kern w:val="0"/>
          <w:sz w:val="24"/>
          <w:szCs w:val="24"/>
          <w:highlight w:val="none"/>
        </w:rPr>
        <w:t>对所提交投标文件中不明确的内容进行书面澄清或说明，或者对细微偏差进行补正。评标委员会不接受</w:t>
      </w:r>
      <w:r>
        <w:rPr>
          <w:rFonts w:hint="eastAsia" w:ascii="宋体" w:hAnsi="宋体" w:eastAsia="宋体" w:cs="宋体"/>
          <w:color w:val="auto"/>
          <w:kern w:val="0"/>
          <w:sz w:val="24"/>
          <w:szCs w:val="24"/>
          <w:highlight w:val="none"/>
          <w:lang w:eastAsia="zh-CN"/>
        </w:rPr>
        <w:t>供应商</w:t>
      </w:r>
      <w:r>
        <w:rPr>
          <w:rFonts w:hint="eastAsia" w:ascii="宋体" w:hAnsi="宋体" w:eastAsia="宋体" w:cs="宋体"/>
          <w:color w:val="auto"/>
          <w:kern w:val="0"/>
          <w:sz w:val="24"/>
          <w:szCs w:val="24"/>
          <w:highlight w:val="none"/>
        </w:rPr>
        <w:t>主动提出的澄清、说明或补正。</w:t>
      </w:r>
    </w:p>
    <w:p w14:paraId="577386DE">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3.3.2 澄清、说明和补正不得改变投标文件的实质性内容(算术性错误修正的除外)。</w:t>
      </w:r>
      <w:r>
        <w:rPr>
          <w:rFonts w:hint="eastAsia" w:ascii="宋体" w:hAnsi="宋体" w:eastAsia="宋体" w:cs="宋体"/>
          <w:color w:val="auto"/>
          <w:kern w:val="0"/>
          <w:sz w:val="24"/>
          <w:szCs w:val="24"/>
          <w:highlight w:val="none"/>
          <w:lang w:eastAsia="zh-CN"/>
        </w:rPr>
        <w:t>供应商</w:t>
      </w:r>
      <w:r>
        <w:rPr>
          <w:rFonts w:hint="eastAsia" w:ascii="宋体" w:hAnsi="宋体" w:eastAsia="宋体" w:cs="宋体"/>
          <w:color w:val="auto"/>
          <w:kern w:val="0"/>
          <w:sz w:val="24"/>
          <w:szCs w:val="24"/>
          <w:highlight w:val="none"/>
        </w:rPr>
        <w:t>的书面澄清、说明和补正属于投标文件的组成部分。</w:t>
      </w:r>
    </w:p>
    <w:p w14:paraId="45B05F95">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3.3.3 评标委员会对</w:t>
      </w:r>
      <w:r>
        <w:rPr>
          <w:rFonts w:hint="eastAsia" w:ascii="宋体" w:hAnsi="宋体" w:eastAsia="宋体" w:cs="宋体"/>
          <w:color w:val="auto"/>
          <w:kern w:val="0"/>
          <w:sz w:val="24"/>
          <w:szCs w:val="24"/>
          <w:highlight w:val="none"/>
          <w:lang w:eastAsia="zh-CN"/>
        </w:rPr>
        <w:t>供应商</w:t>
      </w:r>
      <w:r>
        <w:rPr>
          <w:rFonts w:hint="eastAsia" w:ascii="宋体" w:hAnsi="宋体" w:eastAsia="宋体" w:cs="宋体"/>
          <w:color w:val="auto"/>
          <w:kern w:val="0"/>
          <w:sz w:val="24"/>
          <w:szCs w:val="24"/>
          <w:highlight w:val="none"/>
        </w:rPr>
        <w:t>提交的澄清、说明或补正有疑问的，可以要求</w:t>
      </w:r>
      <w:r>
        <w:rPr>
          <w:rFonts w:hint="eastAsia" w:ascii="宋体" w:hAnsi="宋体" w:eastAsia="宋体" w:cs="宋体"/>
          <w:color w:val="auto"/>
          <w:kern w:val="0"/>
          <w:sz w:val="24"/>
          <w:szCs w:val="24"/>
          <w:highlight w:val="none"/>
          <w:lang w:eastAsia="zh-CN"/>
        </w:rPr>
        <w:t>供应商</w:t>
      </w:r>
      <w:r>
        <w:rPr>
          <w:rFonts w:hint="eastAsia" w:ascii="宋体" w:hAnsi="宋体" w:eastAsia="宋体" w:cs="宋体"/>
          <w:color w:val="auto"/>
          <w:kern w:val="0"/>
          <w:sz w:val="24"/>
          <w:szCs w:val="24"/>
          <w:highlight w:val="none"/>
        </w:rPr>
        <w:t>进一步澄清、说明或补正，直至满足评标委员会的要求。</w:t>
      </w:r>
    </w:p>
    <w:p w14:paraId="7883A08C">
      <w:pPr>
        <w:keepNext w:val="0"/>
        <w:keepLines w:val="0"/>
        <w:pageBreakBefore w:val="0"/>
        <w:widowControl w:val="0"/>
        <w:kinsoku/>
        <w:wordWrap w:val="0"/>
        <w:overflowPunct/>
        <w:topLinePunct w:val="0"/>
        <w:autoSpaceDE/>
        <w:autoSpaceDN/>
        <w:bidi w:val="0"/>
        <w:spacing w:line="440" w:lineRule="exact"/>
        <w:textAlignment w:val="auto"/>
        <w:outlineLvl w:val="2"/>
        <w:rPr>
          <w:rFonts w:hint="eastAsia" w:ascii="宋体" w:hAnsi="宋体" w:eastAsia="宋体" w:cs="宋体"/>
          <w:b/>
          <w:bCs/>
          <w:color w:val="auto"/>
          <w:sz w:val="24"/>
          <w:szCs w:val="24"/>
          <w:highlight w:val="none"/>
        </w:rPr>
      </w:pPr>
      <w:bookmarkStart w:id="37" w:name="_Toc19075"/>
      <w:bookmarkStart w:id="38" w:name="_Toc29384719"/>
      <w:bookmarkStart w:id="39" w:name="_Toc4950"/>
      <w:r>
        <w:rPr>
          <w:rFonts w:hint="eastAsia" w:ascii="宋体" w:hAnsi="宋体" w:eastAsia="宋体" w:cs="宋体"/>
          <w:b/>
          <w:bCs/>
          <w:color w:val="auto"/>
          <w:sz w:val="24"/>
          <w:szCs w:val="24"/>
          <w:highlight w:val="none"/>
        </w:rPr>
        <w:t>3.4 评标结果</w:t>
      </w:r>
      <w:bookmarkEnd w:id="37"/>
      <w:bookmarkEnd w:id="38"/>
      <w:bookmarkEnd w:id="39"/>
    </w:p>
    <w:p w14:paraId="1E904D56">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3.4.1 除第二章“</w:t>
      </w:r>
      <w:r>
        <w:rPr>
          <w:rFonts w:hint="eastAsia" w:ascii="宋体" w:hAnsi="宋体" w:eastAsia="宋体" w:cs="宋体"/>
          <w:color w:val="auto"/>
          <w:kern w:val="0"/>
          <w:sz w:val="24"/>
          <w:szCs w:val="24"/>
          <w:highlight w:val="none"/>
          <w:lang w:eastAsia="zh-CN"/>
        </w:rPr>
        <w:t>供应商</w:t>
      </w:r>
      <w:r>
        <w:rPr>
          <w:rFonts w:hint="eastAsia" w:ascii="宋体" w:hAnsi="宋体" w:eastAsia="宋体" w:cs="宋体"/>
          <w:color w:val="auto"/>
          <w:kern w:val="0"/>
          <w:sz w:val="24"/>
          <w:szCs w:val="24"/>
          <w:highlight w:val="none"/>
        </w:rPr>
        <w:t>须知”前附表授权直接确定</w:t>
      </w:r>
      <w:r>
        <w:rPr>
          <w:rFonts w:hint="eastAsia" w:ascii="宋体" w:hAnsi="宋体" w:eastAsia="宋体" w:cs="宋体"/>
          <w:color w:val="auto"/>
          <w:kern w:val="0"/>
          <w:sz w:val="24"/>
          <w:szCs w:val="24"/>
          <w:highlight w:val="none"/>
          <w:lang w:eastAsia="zh-CN"/>
        </w:rPr>
        <w:t>中标供应商</w:t>
      </w:r>
      <w:r>
        <w:rPr>
          <w:rFonts w:hint="eastAsia" w:ascii="宋体" w:hAnsi="宋体" w:eastAsia="宋体" w:cs="宋体"/>
          <w:color w:val="auto"/>
          <w:kern w:val="0"/>
          <w:sz w:val="24"/>
          <w:szCs w:val="24"/>
          <w:highlight w:val="none"/>
        </w:rPr>
        <w:t>外，评标委员会按照得分由高到低的顺序推荐中标候选人，排名第一的中标候选人放弃中标、因不可抗力不能履行合同、不按照招标文件要求提交履约保证金，或者被查实存在影响中标结果的违法行为等情形，不符合中标条件的，采购人可以选择重新招标，或按照评标委员会提出的中标候选人名单排序依次确定其他中标候选人为</w:t>
      </w:r>
      <w:r>
        <w:rPr>
          <w:rFonts w:hint="eastAsia" w:ascii="宋体" w:hAnsi="宋体" w:eastAsia="宋体" w:cs="宋体"/>
          <w:color w:val="auto"/>
          <w:kern w:val="0"/>
          <w:sz w:val="24"/>
          <w:szCs w:val="24"/>
          <w:highlight w:val="none"/>
          <w:lang w:eastAsia="zh-CN"/>
        </w:rPr>
        <w:t>中标供应商</w:t>
      </w:r>
      <w:r>
        <w:rPr>
          <w:rFonts w:hint="eastAsia" w:ascii="宋体" w:hAnsi="宋体" w:eastAsia="宋体" w:cs="宋体"/>
          <w:color w:val="auto"/>
          <w:kern w:val="0"/>
          <w:sz w:val="24"/>
          <w:szCs w:val="24"/>
          <w:highlight w:val="none"/>
        </w:rPr>
        <w:t>。</w:t>
      </w:r>
    </w:p>
    <w:p w14:paraId="3261B8F0">
      <w:pPr>
        <w:keepNext w:val="0"/>
        <w:keepLines w:val="0"/>
        <w:pageBreakBefore w:val="0"/>
        <w:widowControl w:val="0"/>
        <w:kinsoku/>
        <w:wordWrap w:val="0"/>
        <w:overflowPunct/>
        <w:topLinePunct w:val="0"/>
        <w:autoSpaceDE/>
        <w:autoSpaceDN/>
        <w:bidi w:val="0"/>
        <w:spacing w:line="44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3.4.2 评标委员会完成评标后，应当向招标人提交书面评标报告和中标候选人名单。</w:t>
      </w:r>
    </w:p>
    <w:p w14:paraId="6F57B246">
      <w:pPr>
        <w:shd w:val="clear"/>
        <w:autoSpaceDE w:val="0"/>
        <w:autoSpaceDN w:val="0"/>
        <w:adjustRightInd w:val="0"/>
        <w:spacing w:line="400" w:lineRule="exact"/>
        <w:ind w:firstLine="420" w:firstLineChars="200"/>
        <w:rPr>
          <w:rFonts w:hint="eastAsia" w:ascii="宋体" w:hAnsi="宋体" w:cs="宋体"/>
          <w:color w:val="auto"/>
          <w:sz w:val="21"/>
          <w:szCs w:val="18"/>
          <w:highlight w:val="none"/>
          <w:lang w:val="en-US" w:eastAsia="zh-CN"/>
        </w:rPr>
      </w:pPr>
    </w:p>
    <w:p w14:paraId="3F5C57FC">
      <w:pPr>
        <w:keepNext w:val="0"/>
        <w:keepLines w:val="0"/>
        <w:pageBreakBefore w:val="0"/>
        <w:widowControl/>
        <w:kinsoku/>
        <w:wordWrap/>
        <w:overflowPunct/>
        <w:topLinePunct w:val="0"/>
        <w:autoSpaceDE w:val="0"/>
        <w:autoSpaceDN w:val="0"/>
        <w:bidi w:val="0"/>
        <w:adjustRightInd w:val="0"/>
        <w:snapToGrid/>
        <w:spacing w:line="288" w:lineRule="auto"/>
        <w:ind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br w:type="page"/>
      </w:r>
    </w:p>
    <w:p w14:paraId="20EB8738">
      <w:pPr>
        <w:rPr>
          <w:rFonts w:hint="eastAsia" w:ascii="宋体" w:hAnsi="宋体" w:eastAsia="宋体" w:cs="宋体"/>
          <w:color w:val="auto"/>
          <w:highlight w:val="yellow"/>
        </w:rPr>
      </w:pPr>
    </w:p>
    <w:p w14:paraId="25AE050E">
      <w:pPr>
        <w:pStyle w:val="3"/>
        <w:keepNext/>
        <w:keepLines/>
        <w:pageBreakBefore w:val="0"/>
        <w:widowControl/>
        <w:numPr>
          <w:ilvl w:val="0"/>
          <w:numId w:val="4"/>
        </w:numPr>
        <w:kinsoku/>
        <w:wordWrap/>
        <w:overflowPunct/>
        <w:topLinePunct w:val="0"/>
        <w:autoSpaceDE/>
        <w:autoSpaceDN/>
        <w:bidi w:val="0"/>
        <w:adjustRightInd/>
        <w:snapToGrid/>
        <w:spacing w:before="0" w:after="0" w:line="360" w:lineRule="auto"/>
        <w:jc w:val="center"/>
        <w:textAlignment w:val="auto"/>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 xml:space="preserve"> </w:t>
      </w:r>
      <w:bookmarkStart w:id="40" w:name="_Toc13415"/>
      <w:r>
        <w:rPr>
          <w:rFonts w:hint="eastAsia" w:ascii="宋体" w:hAnsi="宋体" w:eastAsia="宋体" w:cs="宋体"/>
          <w:color w:val="auto"/>
          <w:sz w:val="36"/>
          <w:szCs w:val="36"/>
          <w:highlight w:val="none"/>
        </w:rPr>
        <w:t>采购需求</w:t>
      </w:r>
      <w:bookmarkEnd w:id="40"/>
      <w:bookmarkStart w:id="41" w:name="_第五部分__"/>
      <w:bookmarkEnd w:id="41"/>
    </w:p>
    <w:p w14:paraId="071E892B">
      <w:pPr>
        <w:spacing w:line="360" w:lineRule="auto"/>
        <w:jc w:val="center"/>
        <w:rPr>
          <w:rFonts w:hint="eastAsia" w:ascii="宋体" w:hAnsi="宋体" w:eastAsia="宋体" w:cs="宋体"/>
          <w:b/>
          <w:bCs/>
          <w:color w:val="FF0000"/>
          <w:sz w:val="32"/>
          <w:szCs w:val="32"/>
          <w:highlight w:val="yellow"/>
        </w:rPr>
      </w:pPr>
      <w:bookmarkStart w:id="42" w:name="_Toc18914"/>
      <w:r>
        <w:rPr>
          <w:rFonts w:hint="eastAsia" w:ascii="宋体" w:hAnsi="宋体" w:eastAsia="宋体" w:cs="宋体"/>
          <w:b/>
          <w:bCs/>
          <w:color w:val="auto"/>
          <w:sz w:val="32"/>
          <w:szCs w:val="32"/>
          <w:highlight w:val="none"/>
        </w:rPr>
        <w:t>液相色谱串联质谱参数</w:t>
      </w:r>
    </w:p>
    <w:p w14:paraId="57529BAB">
      <w:pPr>
        <w:spacing w:line="360" w:lineRule="auto"/>
        <w:rPr>
          <w:rFonts w:hint="eastAsia" w:ascii="宋体" w:hAnsi="宋体" w:eastAsia="宋体" w:cs="宋体"/>
          <w:b/>
          <w:bCs/>
          <w:sz w:val="24"/>
          <w:szCs w:val="24"/>
        </w:rPr>
      </w:pPr>
      <w:r>
        <w:rPr>
          <w:rFonts w:hint="eastAsia" w:ascii="宋体" w:hAnsi="宋体" w:eastAsia="宋体" w:cs="宋体"/>
          <w:b/>
          <w:bCs/>
          <w:sz w:val="24"/>
          <w:szCs w:val="24"/>
        </w:rPr>
        <w:t>1.仪器用途</w:t>
      </w:r>
    </w:p>
    <w:p w14:paraId="015C582B">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用于人体内药物及药物相关代谢物的定量测定、有机残留物的定量测定、其他内源性小分子有机化合物的医学研究及日常分析工作。</w:t>
      </w:r>
    </w:p>
    <w:p w14:paraId="4E933E7A">
      <w:pPr>
        <w:spacing w:line="360" w:lineRule="auto"/>
        <w:rPr>
          <w:rFonts w:hint="eastAsia" w:ascii="宋体" w:hAnsi="宋体" w:eastAsia="宋体" w:cs="宋体"/>
          <w:b/>
          <w:bCs/>
          <w:sz w:val="24"/>
          <w:szCs w:val="24"/>
        </w:rPr>
      </w:pPr>
      <w:r>
        <w:rPr>
          <w:rFonts w:hint="eastAsia" w:ascii="宋体" w:hAnsi="宋体" w:eastAsia="宋体" w:cs="宋体"/>
          <w:b/>
          <w:bCs/>
          <w:sz w:val="24"/>
          <w:szCs w:val="24"/>
        </w:rPr>
        <w:t>2.血药浓度测定技术要求</w:t>
      </w:r>
    </w:p>
    <w:p w14:paraId="6A1135BC">
      <w:pPr>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2.1血药浓度测定种类</w:t>
      </w:r>
    </w:p>
    <w:p w14:paraId="21162ABF">
      <w:pPr>
        <w:spacing w:line="360" w:lineRule="auto"/>
        <w:rPr>
          <w:rFonts w:hint="eastAsia" w:ascii="宋体" w:hAnsi="宋体" w:eastAsia="宋体" w:cs="宋体"/>
          <w:sz w:val="24"/>
          <w:szCs w:val="24"/>
        </w:rPr>
      </w:pPr>
      <w:r>
        <w:rPr>
          <w:rFonts w:hint="eastAsia" w:ascii="宋体" w:hAnsi="宋体" w:eastAsia="宋体" w:cs="宋体"/>
          <w:color w:val="auto"/>
          <w:sz w:val="24"/>
          <w:szCs w:val="24"/>
          <w:highlight w:val="none"/>
        </w:rPr>
        <w:t>▲</w:t>
      </w:r>
      <w:r>
        <w:rPr>
          <w:rFonts w:hint="eastAsia" w:ascii="宋体" w:hAnsi="宋体" w:eastAsia="宋体" w:cs="宋体"/>
          <w:sz w:val="24"/>
          <w:szCs w:val="24"/>
        </w:rPr>
        <w:t>2.1.1 可</w:t>
      </w:r>
      <w:r>
        <w:rPr>
          <w:rFonts w:hint="eastAsia" w:ascii="宋体" w:hAnsi="宋体" w:eastAsia="宋体" w:cs="宋体"/>
          <w:color w:val="auto"/>
          <w:sz w:val="24"/>
          <w:szCs w:val="24"/>
        </w:rPr>
        <w:t>测定</w:t>
      </w:r>
      <w:r>
        <w:rPr>
          <w:rFonts w:hint="eastAsia" w:ascii="宋体" w:hAnsi="宋体" w:eastAsia="宋体" w:cs="宋体"/>
          <w:b/>
          <w:bCs/>
          <w:color w:val="auto"/>
          <w:sz w:val="24"/>
          <w:szCs w:val="24"/>
        </w:rPr>
        <w:t>精神类</w:t>
      </w:r>
      <w:r>
        <w:rPr>
          <w:rFonts w:hint="eastAsia" w:ascii="宋体" w:hAnsi="宋体" w:eastAsia="宋体" w:cs="宋体"/>
          <w:color w:val="auto"/>
          <w:sz w:val="24"/>
          <w:szCs w:val="24"/>
        </w:rPr>
        <w:t>药物——</w:t>
      </w:r>
      <w:r>
        <w:rPr>
          <w:rFonts w:hint="eastAsia" w:ascii="宋体" w:hAnsi="宋体" w:eastAsia="宋体" w:cs="宋体"/>
          <w:sz w:val="24"/>
          <w:szCs w:val="24"/>
        </w:rPr>
        <w:t>丙戊酸、卡马西平、苯妥英钠、奥卡西平，奥氮平、氯氮平/去甲氯氮平、喹硫平/去乙基喹硫平、利培酮/帕利哌酮、氯丙嗪、米氮平、西酞普兰/去甲西酞普兰、帕罗西汀、度洛西汀、舍曲林、齐拉西酮、氟伏沙明、多虑平/去甲多虑平、氯丙咪嗪、鲁拉西酮、布南色林、阿戈美他汀等。</w:t>
      </w:r>
    </w:p>
    <w:p w14:paraId="116D7A06">
      <w:pPr>
        <w:spacing w:line="360" w:lineRule="auto"/>
        <w:rPr>
          <w:rFonts w:hint="eastAsia" w:ascii="宋体" w:hAnsi="宋体" w:eastAsia="宋体" w:cs="宋体"/>
          <w:sz w:val="24"/>
          <w:szCs w:val="24"/>
        </w:rPr>
      </w:pPr>
      <w:r>
        <w:rPr>
          <w:rFonts w:hint="eastAsia" w:ascii="宋体" w:hAnsi="宋体" w:eastAsia="宋体" w:cs="宋体"/>
          <w:sz w:val="24"/>
          <w:szCs w:val="24"/>
        </w:rPr>
        <w:t>2.1.2可测</w:t>
      </w:r>
      <w:r>
        <w:rPr>
          <w:rFonts w:hint="eastAsia" w:ascii="宋体" w:hAnsi="宋体" w:eastAsia="宋体" w:cs="宋体"/>
          <w:color w:val="auto"/>
          <w:sz w:val="24"/>
          <w:szCs w:val="24"/>
        </w:rPr>
        <w:t>定</w:t>
      </w:r>
      <w:r>
        <w:rPr>
          <w:rFonts w:hint="eastAsia" w:ascii="宋体" w:hAnsi="宋体" w:eastAsia="宋体" w:cs="宋体"/>
          <w:b/>
          <w:bCs/>
          <w:color w:val="auto"/>
          <w:sz w:val="24"/>
          <w:szCs w:val="24"/>
        </w:rPr>
        <w:t>抗生素类</w:t>
      </w:r>
      <w:r>
        <w:rPr>
          <w:rFonts w:hint="eastAsia" w:ascii="宋体" w:hAnsi="宋体" w:eastAsia="宋体" w:cs="宋体"/>
          <w:color w:val="auto"/>
          <w:sz w:val="24"/>
          <w:szCs w:val="24"/>
        </w:rPr>
        <w:t>药</w:t>
      </w:r>
      <w:r>
        <w:rPr>
          <w:rFonts w:hint="eastAsia" w:ascii="宋体" w:hAnsi="宋体" w:eastAsia="宋体" w:cs="宋体"/>
          <w:sz w:val="24"/>
          <w:szCs w:val="24"/>
        </w:rPr>
        <w:t>物——美罗培南、替加环素、万古霉素、伏立康唑、氧氟沙星、利奈唑胺、达托霉素、氟康唑等。</w:t>
      </w:r>
    </w:p>
    <w:p w14:paraId="225A6212">
      <w:pPr>
        <w:spacing w:line="360" w:lineRule="auto"/>
        <w:rPr>
          <w:rFonts w:hint="eastAsia" w:ascii="宋体" w:hAnsi="宋体" w:eastAsia="宋体" w:cs="宋体"/>
          <w:sz w:val="24"/>
          <w:szCs w:val="24"/>
        </w:rPr>
      </w:pPr>
      <w:r>
        <w:rPr>
          <w:rFonts w:hint="eastAsia" w:ascii="宋体" w:hAnsi="宋体" w:eastAsia="宋体" w:cs="宋体"/>
          <w:color w:val="auto"/>
          <w:sz w:val="24"/>
          <w:szCs w:val="24"/>
          <w:highlight w:val="none"/>
        </w:rPr>
        <w:t>▲2</w:t>
      </w:r>
      <w:r>
        <w:rPr>
          <w:rFonts w:hint="eastAsia" w:ascii="宋体" w:hAnsi="宋体" w:eastAsia="宋体" w:cs="宋体"/>
          <w:sz w:val="24"/>
          <w:szCs w:val="24"/>
        </w:rPr>
        <w:t>.1.3可测定</w:t>
      </w:r>
      <w:r>
        <w:rPr>
          <w:rFonts w:hint="eastAsia" w:ascii="宋体" w:hAnsi="宋体" w:eastAsia="宋体" w:cs="宋体"/>
          <w:b/>
          <w:bCs/>
          <w:color w:val="auto"/>
          <w:sz w:val="24"/>
          <w:szCs w:val="24"/>
        </w:rPr>
        <w:t>其它药物浓度</w:t>
      </w:r>
      <w:r>
        <w:rPr>
          <w:rFonts w:hint="eastAsia" w:ascii="宋体" w:hAnsi="宋体" w:eastAsia="宋体" w:cs="宋体"/>
          <w:color w:val="auto"/>
          <w:sz w:val="24"/>
          <w:szCs w:val="24"/>
        </w:rPr>
        <w:t xml:space="preserve">： </w:t>
      </w:r>
      <w:r>
        <w:rPr>
          <w:rFonts w:hint="eastAsia" w:ascii="宋体" w:hAnsi="宋体" w:eastAsia="宋体" w:cs="宋体"/>
          <w:sz w:val="24"/>
          <w:szCs w:val="24"/>
        </w:rPr>
        <w:t>免疫抑制剂如环孢霉素与霉酚酸、抗肿瘤药物如伊马替尼与甲氨蝶呤、抗结核药物如异烟肼与利福平等。</w:t>
      </w:r>
    </w:p>
    <w:p w14:paraId="11FB353F">
      <w:pPr>
        <w:spacing w:line="360" w:lineRule="auto"/>
        <w:rPr>
          <w:rFonts w:hint="eastAsia" w:ascii="宋体" w:hAnsi="宋体" w:eastAsia="宋体" w:cs="宋体"/>
          <w:sz w:val="24"/>
          <w:szCs w:val="24"/>
        </w:rPr>
      </w:pPr>
      <w:r>
        <w:rPr>
          <w:rFonts w:hint="eastAsia" w:ascii="宋体" w:hAnsi="宋体" w:eastAsia="宋体" w:cs="宋体"/>
          <w:color w:val="auto"/>
          <w:sz w:val="24"/>
          <w:szCs w:val="24"/>
          <w:highlight w:val="none"/>
        </w:rPr>
        <w:t>▲</w:t>
      </w:r>
      <w:r>
        <w:rPr>
          <w:rFonts w:hint="eastAsia" w:ascii="宋体" w:hAnsi="宋体" w:eastAsia="宋体" w:cs="宋体"/>
          <w:sz w:val="24"/>
          <w:szCs w:val="24"/>
        </w:rPr>
        <w:t>2.1.4提供前述精神类、抗生素类至</w:t>
      </w:r>
      <w:r>
        <w:rPr>
          <w:rFonts w:hint="eastAsia" w:ascii="宋体" w:hAnsi="宋体" w:eastAsia="宋体" w:cs="宋体"/>
          <w:color w:val="auto"/>
          <w:sz w:val="24"/>
          <w:szCs w:val="24"/>
        </w:rPr>
        <w:t>少</w:t>
      </w:r>
      <w:r>
        <w:rPr>
          <w:rFonts w:hint="eastAsia" w:ascii="宋体" w:hAnsi="宋体" w:eastAsia="宋体" w:cs="宋体"/>
          <w:b/>
          <w:bCs/>
          <w:color w:val="auto"/>
          <w:sz w:val="24"/>
          <w:szCs w:val="24"/>
        </w:rPr>
        <w:t>各3种</w:t>
      </w:r>
      <w:r>
        <w:rPr>
          <w:rFonts w:hint="eastAsia" w:ascii="宋体" w:hAnsi="宋体" w:eastAsia="宋体" w:cs="宋体"/>
          <w:color w:val="auto"/>
          <w:sz w:val="24"/>
          <w:szCs w:val="24"/>
        </w:rPr>
        <w:t>药物的方</w:t>
      </w:r>
      <w:r>
        <w:rPr>
          <w:rFonts w:hint="eastAsia" w:ascii="宋体" w:hAnsi="宋体" w:eastAsia="宋体" w:cs="宋体"/>
          <w:sz w:val="24"/>
          <w:szCs w:val="24"/>
        </w:rPr>
        <w:t>法验证文件。验证文件指标至少应包括：日内日间精密度、最低检测限、空白血样(人血样)、线性、色谱条件、血样质谱图。要求提取回收率≥80%、工作曲线≥5个点、相关系数≥0.998，并作为装机验收标准(提供加盖技术研究方公章材料)；</w:t>
      </w:r>
    </w:p>
    <w:p w14:paraId="085EF513">
      <w:pPr>
        <w:spacing w:line="360" w:lineRule="auto"/>
        <w:rPr>
          <w:rFonts w:hint="eastAsia" w:ascii="宋体" w:hAnsi="宋体" w:eastAsia="宋体" w:cs="宋体"/>
          <w:b/>
          <w:bCs/>
          <w:sz w:val="24"/>
          <w:szCs w:val="24"/>
        </w:rPr>
      </w:pPr>
      <w:r>
        <w:rPr>
          <w:rFonts w:hint="eastAsia" w:ascii="宋体" w:hAnsi="宋体" w:eastAsia="宋体" w:cs="宋体"/>
          <w:b/>
          <w:bCs/>
          <w:sz w:val="24"/>
          <w:szCs w:val="24"/>
        </w:rPr>
        <w:t>2.2测定速度</w:t>
      </w:r>
    </w:p>
    <w:p w14:paraId="6C0AFD7F">
      <w:pPr>
        <w:spacing w:line="360" w:lineRule="auto"/>
        <w:rPr>
          <w:rFonts w:hint="eastAsia" w:ascii="宋体" w:hAnsi="宋体" w:eastAsia="宋体" w:cs="宋体"/>
          <w:sz w:val="24"/>
          <w:szCs w:val="24"/>
        </w:rPr>
      </w:pPr>
      <w:r>
        <w:rPr>
          <w:rFonts w:hint="eastAsia" w:ascii="宋体" w:hAnsi="宋体" w:eastAsia="宋体" w:cs="宋体"/>
          <w:sz w:val="24"/>
          <w:szCs w:val="24"/>
        </w:rPr>
        <w:t>2.2.1 代表性药物：奥氮平、氯氮平、利培酮、美罗培南、伏立康唑等药物测定速度≤3min，8h连续测定通量≥160例次；</w:t>
      </w:r>
    </w:p>
    <w:p w14:paraId="2B618AAD">
      <w:pPr>
        <w:spacing w:line="360" w:lineRule="auto"/>
        <w:rPr>
          <w:rFonts w:hint="eastAsia" w:ascii="宋体" w:hAnsi="宋体" w:eastAsia="宋体" w:cs="宋体"/>
          <w:sz w:val="24"/>
          <w:szCs w:val="24"/>
        </w:rPr>
      </w:pPr>
      <w:r>
        <w:rPr>
          <w:rFonts w:hint="eastAsia" w:ascii="宋体" w:hAnsi="宋体" w:eastAsia="宋体" w:cs="宋体"/>
          <w:sz w:val="24"/>
          <w:szCs w:val="24"/>
        </w:rPr>
        <w:t>2.2.2代表性药物：奥氮平、氯氮平、利培酮、美罗培南、伏立康唑等药物品种间方法切换时间≤10min；</w:t>
      </w:r>
    </w:p>
    <w:p w14:paraId="6F03D80E">
      <w:pPr>
        <w:spacing w:line="360" w:lineRule="auto"/>
        <w:rPr>
          <w:rFonts w:hint="eastAsia" w:ascii="宋体" w:hAnsi="宋体" w:eastAsia="宋体" w:cs="宋体"/>
          <w:sz w:val="24"/>
          <w:szCs w:val="24"/>
        </w:rPr>
      </w:pPr>
      <w:r>
        <w:rPr>
          <w:rFonts w:hint="eastAsia" w:ascii="宋体" w:hAnsi="宋体" w:eastAsia="宋体" w:cs="宋体"/>
          <w:sz w:val="24"/>
          <w:szCs w:val="24"/>
        </w:rPr>
        <w:t>2.2.3代表性药物：奥氮平、氯氮平、利培酮、美罗培南、伏立康唑等药物品种间方法切换后，首次测定偏差≤20%；</w:t>
      </w:r>
    </w:p>
    <w:p w14:paraId="13E83828">
      <w:pPr>
        <w:spacing w:line="360" w:lineRule="auto"/>
        <w:rPr>
          <w:rFonts w:hint="eastAsia" w:ascii="宋体" w:hAnsi="宋体" w:eastAsia="宋体" w:cs="宋体"/>
          <w:b/>
          <w:bCs/>
          <w:sz w:val="24"/>
          <w:szCs w:val="24"/>
        </w:rPr>
      </w:pPr>
      <w:r>
        <w:rPr>
          <w:rFonts w:hint="eastAsia" w:ascii="宋体" w:hAnsi="宋体" w:eastAsia="宋体" w:cs="宋体"/>
          <w:b/>
          <w:bCs/>
          <w:sz w:val="24"/>
          <w:szCs w:val="24"/>
        </w:rPr>
        <w:t>2.3测定稳定性</w:t>
      </w:r>
    </w:p>
    <w:p w14:paraId="7F2A8ED9">
      <w:pPr>
        <w:spacing w:line="360" w:lineRule="auto"/>
        <w:rPr>
          <w:rFonts w:hint="eastAsia" w:ascii="宋体" w:hAnsi="宋体" w:eastAsia="宋体" w:cs="宋体"/>
          <w:sz w:val="24"/>
          <w:szCs w:val="24"/>
        </w:rPr>
      </w:pPr>
      <w:r>
        <w:rPr>
          <w:rFonts w:hint="eastAsia" w:ascii="宋体" w:hAnsi="宋体" w:eastAsia="宋体" w:cs="宋体"/>
          <w:sz w:val="24"/>
          <w:szCs w:val="24"/>
        </w:rPr>
        <w:t>▲2.3.1以精神类药物奥氮平为例，一次工作曲线定标后，采用同一样品测定，连续15天，不得取舍测定数据，每天测定2次，测定偏差均＜15%；</w:t>
      </w:r>
    </w:p>
    <w:p w14:paraId="2265C33C">
      <w:pPr>
        <w:spacing w:line="360" w:lineRule="auto"/>
        <w:rPr>
          <w:rFonts w:hint="eastAsia" w:ascii="宋体" w:hAnsi="宋体" w:eastAsia="宋体" w:cs="宋体"/>
          <w:sz w:val="24"/>
          <w:szCs w:val="24"/>
        </w:rPr>
      </w:pPr>
      <w:r>
        <w:rPr>
          <w:rFonts w:hint="eastAsia" w:ascii="宋体" w:hAnsi="宋体" w:eastAsia="宋体" w:cs="宋体"/>
          <w:sz w:val="24"/>
          <w:szCs w:val="24"/>
        </w:rPr>
        <w:t>▲2.3.2系统关机，30min以后重启，首次测定靶值偏差≤15%；</w:t>
      </w:r>
    </w:p>
    <w:p w14:paraId="1FFC8906">
      <w:pPr>
        <w:spacing w:line="360" w:lineRule="auto"/>
        <w:rPr>
          <w:rFonts w:hint="eastAsia" w:ascii="宋体" w:hAnsi="宋体" w:eastAsia="宋体" w:cs="宋体"/>
          <w:b/>
          <w:bCs/>
          <w:sz w:val="24"/>
          <w:szCs w:val="24"/>
        </w:rPr>
      </w:pPr>
      <w:r>
        <w:rPr>
          <w:rFonts w:hint="eastAsia" w:ascii="宋体" w:hAnsi="宋体" w:eastAsia="宋体" w:cs="宋体"/>
          <w:b/>
          <w:bCs/>
          <w:sz w:val="24"/>
          <w:szCs w:val="24"/>
        </w:rPr>
        <w:t>2.4测定简易性</w:t>
      </w:r>
    </w:p>
    <w:p w14:paraId="36E8808B">
      <w:pPr>
        <w:spacing w:line="360" w:lineRule="auto"/>
        <w:rPr>
          <w:rFonts w:hint="eastAsia" w:ascii="宋体" w:hAnsi="宋体" w:eastAsia="宋体" w:cs="宋体"/>
          <w:sz w:val="24"/>
          <w:szCs w:val="24"/>
        </w:rPr>
      </w:pPr>
      <w:r>
        <w:rPr>
          <w:rFonts w:hint="eastAsia" w:ascii="宋体" w:hAnsi="宋体" w:eastAsia="宋体" w:cs="宋体"/>
          <w:sz w:val="24"/>
          <w:szCs w:val="24"/>
        </w:rPr>
        <w:t>2.4.1 以上前述所有药物前处理均不需采用液液萃取或者固相萃取方式；</w:t>
      </w:r>
    </w:p>
    <w:p w14:paraId="22F9CF57">
      <w:pPr>
        <w:spacing w:line="360" w:lineRule="auto"/>
        <w:rPr>
          <w:rFonts w:hint="eastAsia" w:ascii="宋体" w:hAnsi="宋体" w:eastAsia="宋体" w:cs="宋体"/>
          <w:sz w:val="24"/>
          <w:szCs w:val="24"/>
        </w:rPr>
      </w:pPr>
      <w:r>
        <w:rPr>
          <w:rFonts w:hint="eastAsia" w:ascii="宋体" w:hAnsi="宋体" w:eastAsia="宋体" w:cs="宋体"/>
          <w:sz w:val="24"/>
          <w:szCs w:val="24"/>
        </w:rPr>
        <w:t>▲2.4.2 药物浓度测定方法要求可以免同位素内标测定，测定日内不精密度＜20%、日间不精密度＜20%。</w:t>
      </w:r>
    </w:p>
    <w:p w14:paraId="40662712">
      <w:pPr>
        <w:spacing w:line="360" w:lineRule="auto"/>
        <w:rPr>
          <w:rFonts w:hint="eastAsia" w:ascii="宋体" w:hAnsi="宋体" w:eastAsia="宋体" w:cs="宋体"/>
          <w:b/>
          <w:bCs/>
          <w:sz w:val="24"/>
          <w:szCs w:val="24"/>
        </w:rPr>
      </w:pPr>
      <w:r>
        <w:rPr>
          <w:rFonts w:hint="eastAsia" w:ascii="宋体" w:hAnsi="宋体" w:eastAsia="宋体" w:cs="宋体"/>
          <w:b/>
          <w:bCs/>
          <w:sz w:val="24"/>
          <w:szCs w:val="24"/>
        </w:rPr>
        <w:t>2.5 测定规范性</w:t>
      </w:r>
    </w:p>
    <w:p w14:paraId="014D2D41">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▲2.5.1要求提供具备II类医疗器械注册资质的医械级色谱柱，并提供相关证明材料；</w:t>
      </w:r>
    </w:p>
    <w:p w14:paraId="41F16426">
      <w:pPr>
        <w:spacing w:line="360" w:lineRule="auto"/>
        <w:rPr>
          <w:rFonts w:hint="eastAsia" w:ascii="宋体" w:hAnsi="宋体" w:eastAsia="宋体" w:cs="宋体"/>
          <w:sz w:val="24"/>
          <w:szCs w:val="24"/>
        </w:rPr>
      </w:pPr>
      <w:r>
        <w:rPr>
          <w:rFonts w:hint="eastAsia" w:ascii="宋体" w:hAnsi="宋体" w:eastAsia="宋体" w:cs="宋体"/>
          <w:sz w:val="24"/>
          <w:szCs w:val="24"/>
        </w:rPr>
        <w:t>2.5.2要求所提供的配套试剂包装容器为高分子软塑包装，易于日常存取管理；</w:t>
      </w:r>
    </w:p>
    <w:p w14:paraId="1F5A5C5E">
      <w:pPr>
        <w:spacing w:line="360" w:lineRule="auto"/>
        <w:rPr>
          <w:rFonts w:hint="eastAsia" w:ascii="宋体" w:hAnsi="宋体" w:eastAsia="宋体" w:cs="宋体"/>
          <w:sz w:val="24"/>
          <w:szCs w:val="24"/>
        </w:rPr>
      </w:pPr>
      <w:r>
        <w:rPr>
          <w:rFonts w:hint="eastAsia" w:ascii="宋体" w:hAnsi="宋体" w:eastAsia="宋体" w:cs="宋体"/>
          <w:sz w:val="24"/>
          <w:szCs w:val="24"/>
        </w:rPr>
        <w:t>2.5.3要求提供商品化配套试剂，即开即用，在使用时无需另行手工稀释、配置；</w:t>
      </w:r>
    </w:p>
    <w:p w14:paraId="76FFE24E">
      <w:pPr>
        <w:spacing w:line="360" w:lineRule="auto"/>
        <w:rPr>
          <w:rFonts w:hint="eastAsia" w:ascii="宋体" w:hAnsi="宋体" w:eastAsia="宋体" w:cs="宋体"/>
          <w:b/>
          <w:bCs/>
          <w:sz w:val="24"/>
          <w:szCs w:val="24"/>
        </w:rPr>
      </w:pPr>
      <w:r>
        <w:rPr>
          <w:rFonts w:hint="eastAsia" w:ascii="宋体" w:hAnsi="宋体" w:eastAsia="宋体" w:cs="宋体"/>
          <w:b/>
          <w:bCs/>
          <w:sz w:val="24"/>
          <w:szCs w:val="24"/>
        </w:rPr>
        <w:t>3.硬件性能参数要求</w:t>
      </w:r>
    </w:p>
    <w:p w14:paraId="6D7EC639">
      <w:pPr>
        <w:spacing w:line="360" w:lineRule="auto"/>
        <w:rPr>
          <w:rFonts w:hint="eastAsia" w:ascii="宋体" w:hAnsi="宋体" w:eastAsia="宋体" w:cs="宋体"/>
          <w:b/>
          <w:bCs/>
          <w:sz w:val="24"/>
          <w:szCs w:val="24"/>
        </w:rPr>
      </w:pPr>
      <w:r>
        <w:rPr>
          <w:rFonts w:hint="eastAsia" w:ascii="宋体" w:hAnsi="宋体" w:eastAsia="宋体" w:cs="宋体"/>
          <w:b/>
          <w:bCs/>
          <w:sz w:val="24"/>
          <w:szCs w:val="24"/>
        </w:rPr>
        <w:t>3.1泵系统</w:t>
      </w:r>
    </w:p>
    <w:p w14:paraId="4466636F">
      <w:pPr>
        <w:spacing w:line="360" w:lineRule="auto"/>
        <w:rPr>
          <w:rFonts w:hint="eastAsia" w:ascii="宋体" w:hAnsi="宋体" w:eastAsia="宋体" w:cs="宋体"/>
          <w:sz w:val="24"/>
          <w:szCs w:val="24"/>
        </w:rPr>
      </w:pPr>
      <w:r>
        <w:rPr>
          <w:rFonts w:hint="eastAsia" w:ascii="宋体" w:hAnsi="宋体" w:eastAsia="宋体" w:cs="宋体"/>
          <w:sz w:val="24"/>
          <w:szCs w:val="24"/>
        </w:rPr>
        <w:t>3.1.1溶剂流路数目：四元梯度；</w:t>
      </w:r>
    </w:p>
    <w:p w14:paraId="1B7371E1">
      <w:pPr>
        <w:spacing w:line="360" w:lineRule="auto"/>
        <w:rPr>
          <w:rFonts w:hint="eastAsia" w:ascii="宋体" w:hAnsi="宋体" w:eastAsia="宋体" w:cs="宋体"/>
          <w:sz w:val="24"/>
          <w:szCs w:val="24"/>
        </w:rPr>
      </w:pPr>
      <w:r>
        <w:rPr>
          <w:rFonts w:hint="eastAsia" w:ascii="宋体" w:hAnsi="宋体" w:eastAsia="宋体" w:cs="宋体"/>
          <w:sz w:val="24"/>
          <w:szCs w:val="24"/>
        </w:rPr>
        <w:t>3.1.2流速范围：最大流速≥5ml/min；步进调节流速精密度≤0.06%；</w:t>
      </w:r>
    </w:p>
    <w:p w14:paraId="25348985">
      <w:pPr>
        <w:spacing w:line="360" w:lineRule="auto"/>
        <w:rPr>
          <w:rFonts w:hint="eastAsia" w:ascii="宋体" w:hAnsi="宋体" w:eastAsia="宋体" w:cs="宋体"/>
          <w:sz w:val="24"/>
          <w:szCs w:val="24"/>
        </w:rPr>
      </w:pPr>
      <w:r>
        <w:rPr>
          <w:rFonts w:hint="eastAsia" w:ascii="宋体" w:hAnsi="宋体" w:eastAsia="宋体" w:cs="宋体"/>
          <w:sz w:val="24"/>
          <w:szCs w:val="24"/>
        </w:rPr>
        <w:t>3.1.3独立控制面板：可脱离工作站独立操作；</w:t>
      </w:r>
    </w:p>
    <w:p w14:paraId="6D046ECB">
      <w:pPr>
        <w:spacing w:line="360" w:lineRule="auto"/>
        <w:rPr>
          <w:rFonts w:hint="eastAsia" w:ascii="宋体" w:hAnsi="宋体" w:eastAsia="宋体" w:cs="宋体"/>
          <w:sz w:val="24"/>
          <w:szCs w:val="24"/>
        </w:rPr>
      </w:pPr>
      <w:r>
        <w:rPr>
          <w:rFonts w:hint="eastAsia" w:ascii="宋体" w:hAnsi="宋体" w:eastAsia="宋体" w:cs="宋体"/>
          <w:sz w:val="24"/>
          <w:szCs w:val="24"/>
        </w:rPr>
        <w:t>3.1.4梯度组成范围：0.0-100.0%；0.1%步进；</w:t>
      </w:r>
    </w:p>
    <w:p w14:paraId="5CB89FCE">
      <w:pPr>
        <w:spacing w:line="360" w:lineRule="auto"/>
        <w:rPr>
          <w:rFonts w:hint="eastAsia" w:ascii="宋体" w:hAnsi="宋体" w:eastAsia="宋体" w:cs="宋体"/>
          <w:b/>
          <w:bCs/>
          <w:sz w:val="24"/>
          <w:szCs w:val="24"/>
        </w:rPr>
      </w:pPr>
      <w:r>
        <w:rPr>
          <w:rFonts w:hint="eastAsia" w:ascii="宋体" w:hAnsi="宋体" w:eastAsia="宋体" w:cs="宋体"/>
          <w:b/>
          <w:bCs/>
          <w:sz w:val="24"/>
          <w:szCs w:val="24"/>
        </w:rPr>
        <w:t>3.2溶剂管理系统</w:t>
      </w:r>
    </w:p>
    <w:p w14:paraId="10B757B9">
      <w:pPr>
        <w:spacing w:line="360" w:lineRule="auto"/>
        <w:rPr>
          <w:rFonts w:hint="eastAsia" w:ascii="宋体" w:hAnsi="宋体" w:eastAsia="宋体" w:cs="宋体"/>
          <w:sz w:val="24"/>
          <w:szCs w:val="24"/>
        </w:rPr>
      </w:pPr>
      <w:r>
        <w:rPr>
          <w:rFonts w:hint="eastAsia" w:ascii="宋体" w:hAnsi="宋体" w:eastAsia="宋体" w:cs="宋体"/>
          <w:color w:val="auto"/>
          <w:sz w:val="24"/>
          <w:szCs w:val="24"/>
          <w:highlight w:val="none"/>
        </w:rPr>
        <w:t>▲</w:t>
      </w:r>
      <w:r>
        <w:rPr>
          <w:rFonts w:hint="eastAsia" w:ascii="宋体" w:hAnsi="宋体" w:eastAsia="宋体" w:cs="宋体"/>
          <w:sz w:val="24"/>
          <w:szCs w:val="24"/>
        </w:rPr>
        <w:t>3.2.1具备实时抗菌抑菌功能或模块，能有效隔绝溶剂与外界空气，稳定启封溶剂性能；</w:t>
      </w:r>
    </w:p>
    <w:p w14:paraId="7CD935D2">
      <w:pPr>
        <w:rPr>
          <w:rFonts w:hint="eastAsia" w:ascii="宋体" w:hAnsi="宋体" w:eastAsia="宋体" w:cs="宋体"/>
          <w:sz w:val="24"/>
          <w:szCs w:val="24"/>
        </w:rPr>
      </w:pPr>
      <w:r>
        <w:rPr>
          <w:rFonts w:hint="eastAsia" w:ascii="宋体" w:hAnsi="宋体" w:eastAsia="宋体" w:cs="宋体"/>
          <w:sz w:val="24"/>
          <w:szCs w:val="24"/>
        </w:rPr>
        <w:t>3.2.2具备单向气体防挥发功能或模块，能有效避免溶剂挥发至空气中产生化学污染；</w:t>
      </w:r>
    </w:p>
    <w:p w14:paraId="10E27242">
      <w:pPr>
        <w:spacing w:line="360" w:lineRule="auto"/>
        <w:rPr>
          <w:rFonts w:hint="eastAsia" w:ascii="宋体" w:hAnsi="宋体" w:eastAsia="宋体" w:cs="宋体"/>
          <w:b/>
          <w:bCs/>
          <w:sz w:val="24"/>
          <w:szCs w:val="24"/>
        </w:rPr>
      </w:pPr>
      <w:r>
        <w:rPr>
          <w:rFonts w:hint="eastAsia" w:ascii="宋体" w:hAnsi="宋体" w:eastAsia="宋体" w:cs="宋体"/>
          <w:b/>
          <w:bCs/>
          <w:sz w:val="24"/>
          <w:szCs w:val="24"/>
        </w:rPr>
        <w:t>3.3液相自动进样器</w:t>
      </w:r>
    </w:p>
    <w:p w14:paraId="0F9E5559">
      <w:pPr>
        <w:spacing w:line="360" w:lineRule="auto"/>
        <w:rPr>
          <w:rFonts w:hint="eastAsia" w:ascii="宋体" w:hAnsi="宋体" w:eastAsia="宋体" w:cs="宋体"/>
          <w:sz w:val="24"/>
          <w:szCs w:val="24"/>
        </w:rPr>
      </w:pPr>
      <w:r>
        <w:rPr>
          <w:rFonts w:hint="eastAsia" w:ascii="宋体" w:hAnsi="宋体" w:eastAsia="宋体" w:cs="宋体"/>
          <w:sz w:val="24"/>
          <w:szCs w:val="24"/>
        </w:rPr>
        <w:t>3.3.1进样精度: &lt;0.25%RSD；</w:t>
      </w:r>
    </w:p>
    <w:p w14:paraId="161DF1C6">
      <w:pPr>
        <w:rPr>
          <w:rFonts w:hint="eastAsia" w:ascii="宋体" w:hAnsi="宋体" w:eastAsia="宋体" w:cs="宋体"/>
          <w:sz w:val="24"/>
          <w:szCs w:val="24"/>
        </w:rPr>
      </w:pPr>
      <w:r>
        <w:rPr>
          <w:rFonts w:hint="eastAsia" w:ascii="宋体" w:hAnsi="宋体" w:eastAsia="宋体" w:cs="宋体"/>
          <w:sz w:val="24"/>
          <w:szCs w:val="24"/>
        </w:rPr>
        <w:t>▲3.3.2交叉污染: ≤0.005% (典型值)；</w:t>
      </w:r>
    </w:p>
    <w:p w14:paraId="51831F5C">
      <w:pPr>
        <w:spacing w:line="360" w:lineRule="auto"/>
        <w:rPr>
          <w:rFonts w:hint="eastAsia" w:ascii="宋体" w:hAnsi="宋体" w:eastAsia="宋体" w:cs="宋体"/>
          <w:sz w:val="24"/>
          <w:szCs w:val="24"/>
        </w:rPr>
      </w:pPr>
      <w:r>
        <w:rPr>
          <w:rFonts w:hint="eastAsia" w:ascii="宋体" w:hAnsi="宋体" w:eastAsia="宋体" w:cs="宋体"/>
          <w:sz w:val="24"/>
          <w:szCs w:val="24"/>
        </w:rPr>
        <w:t>3.3.3进样速度：10 uL进样速度＜15秒；</w:t>
      </w:r>
    </w:p>
    <w:p w14:paraId="089078FF">
      <w:pPr>
        <w:spacing w:line="360" w:lineRule="auto"/>
        <w:rPr>
          <w:rFonts w:hint="eastAsia" w:ascii="宋体" w:hAnsi="宋体" w:eastAsia="宋体" w:cs="宋体"/>
          <w:sz w:val="24"/>
          <w:szCs w:val="24"/>
        </w:rPr>
      </w:pPr>
      <w:r>
        <w:rPr>
          <w:rFonts w:hint="eastAsia" w:ascii="宋体" w:hAnsi="宋体" w:eastAsia="宋体" w:cs="宋体"/>
          <w:sz w:val="24"/>
          <w:szCs w:val="24"/>
        </w:rPr>
        <w:t>3.3.4进样线性：&gt;0.999；</w:t>
      </w:r>
    </w:p>
    <w:p w14:paraId="4A1EA0B6">
      <w:pPr>
        <w:spacing w:line="360" w:lineRule="auto"/>
        <w:rPr>
          <w:rFonts w:hint="eastAsia" w:ascii="宋体" w:hAnsi="宋体" w:eastAsia="宋体" w:cs="宋体"/>
          <w:b/>
          <w:bCs/>
          <w:sz w:val="24"/>
          <w:szCs w:val="24"/>
        </w:rPr>
      </w:pPr>
      <w:r>
        <w:rPr>
          <w:rFonts w:hint="eastAsia" w:ascii="宋体" w:hAnsi="宋体" w:eastAsia="宋体" w:cs="宋体"/>
          <w:b/>
          <w:bCs/>
          <w:sz w:val="24"/>
          <w:szCs w:val="24"/>
        </w:rPr>
        <w:t>3.4质谱检测器</w:t>
      </w:r>
    </w:p>
    <w:p w14:paraId="03FF896E">
      <w:pPr>
        <w:spacing w:line="360" w:lineRule="auto"/>
        <w:rPr>
          <w:rFonts w:hint="eastAsia" w:ascii="宋体" w:hAnsi="宋体" w:eastAsia="宋体" w:cs="宋体"/>
          <w:sz w:val="24"/>
          <w:szCs w:val="24"/>
        </w:rPr>
      </w:pPr>
      <w:r>
        <w:rPr>
          <w:rFonts w:hint="eastAsia" w:ascii="宋体" w:hAnsi="宋体" w:eastAsia="宋体" w:cs="宋体"/>
          <w:sz w:val="24"/>
          <w:szCs w:val="24"/>
        </w:rPr>
        <w:t xml:space="preserve">▲3.4.1质量范围不窄于： </w:t>
      </w:r>
      <w:r>
        <w:rPr>
          <w:rFonts w:hint="eastAsia" w:ascii="宋体" w:hAnsi="宋体" w:eastAsia="宋体" w:cs="宋体"/>
          <w:b/>
          <w:bCs/>
          <w:sz w:val="24"/>
          <w:szCs w:val="24"/>
        </w:rPr>
        <w:t>40-1200（m/z）</w:t>
      </w:r>
      <w:r>
        <w:rPr>
          <w:rFonts w:hint="eastAsia" w:ascii="宋体" w:hAnsi="宋体" w:eastAsia="宋体" w:cs="宋体"/>
          <w:sz w:val="24"/>
          <w:szCs w:val="24"/>
        </w:rPr>
        <w:t>；</w:t>
      </w:r>
    </w:p>
    <w:p w14:paraId="48881E72">
      <w:pPr>
        <w:spacing w:line="360" w:lineRule="auto"/>
        <w:rPr>
          <w:rFonts w:hint="eastAsia" w:ascii="宋体" w:hAnsi="宋体" w:eastAsia="宋体" w:cs="宋体"/>
          <w:sz w:val="24"/>
          <w:szCs w:val="24"/>
        </w:rPr>
      </w:pPr>
      <w:r>
        <w:rPr>
          <w:rFonts w:hint="eastAsia" w:ascii="宋体" w:hAnsi="宋体" w:eastAsia="宋体" w:cs="宋体"/>
          <w:sz w:val="24"/>
          <w:szCs w:val="24"/>
        </w:rPr>
        <w:t>3.4.2分辨率不低于：R=2M；</w:t>
      </w:r>
    </w:p>
    <w:p w14:paraId="09A039FA">
      <w:pPr>
        <w:spacing w:line="360" w:lineRule="auto"/>
        <w:rPr>
          <w:rFonts w:hint="eastAsia" w:ascii="宋体" w:hAnsi="宋体" w:eastAsia="宋体" w:cs="宋体"/>
          <w:sz w:val="24"/>
          <w:szCs w:val="24"/>
        </w:rPr>
      </w:pPr>
      <w:r>
        <w:rPr>
          <w:rFonts w:hint="eastAsia" w:ascii="宋体" w:hAnsi="宋体" w:eastAsia="宋体" w:cs="宋体"/>
          <w:sz w:val="24"/>
          <w:szCs w:val="24"/>
        </w:rPr>
        <w:t>3.4.3 SIM模式灵敏度ESI+: 10pg S/N&gt;3500(RMS)；</w:t>
      </w:r>
    </w:p>
    <w:p w14:paraId="62C6D774">
      <w:pPr>
        <w:spacing w:line="360" w:lineRule="auto"/>
        <w:rPr>
          <w:rFonts w:hint="eastAsia" w:ascii="宋体" w:hAnsi="宋体" w:eastAsia="宋体" w:cs="宋体"/>
          <w:sz w:val="24"/>
          <w:szCs w:val="24"/>
        </w:rPr>
      </w:pPr>
      <w:r>
        <w:rPr>
          <w:rFonts w:hint="eastAsia" w:ascii="宋体" w:hAnsi="宋体" w:eastAsia="宋体" w:cs="宋体"/>
          <w:sz w:val="24"/>
          <w:szCs w:val="24"/>
        </w:rPr>
        <w:t>3.4.4 ESI流量范围不小于： 0.001-2.000 ml/min；</w:t>
      </w:r>
    </w:p>
    <w:p w14:paraId="4D06DFB1">
      <w:pPr>
        <w:spacing w:line="360" w:lineRule="auto"/>
        <w:rPr>
          <w:rFonts w:hint="eastAsia" w:ascii="宋体" w:hAnsi="宋体" w:eastAsia="宋体" w:cs="宋体"/>
          <w:b/>
          <w:bCs/>
          <w:sz w:val="24"/>
          <w:szCs w:val="24"/>
        </w:rPr>
      </w:pPr>
      <w:r>
        <w:rPr>
          <w:rFonts w:hint="eastAsia" w:ascii="宋体" w:hAnsi="宋体" w:eastAsia="宋体" w:cs="宋体"/>
          <w:b/>
          <w:bCs/>
          <w:sz w:val="24"/>
          <w:szCs w:val="24"/>
        </w:rPr>
        <w:t>4.在线抗基质效应模块</w:t>
      </w:r>
    </w:p>
    <w:p w14:paraId="02DCDC79">
      <w:pPr>
        <w:spacing w:line="360" w:lineRule="auto"/>
        <w:rPr>
          <w:rFonts w:hint="eastAsia" w:ascii="宋体" w:hAnsi="宋体" w:eastAsia="宋体" w:cs="宋体"/>
          <w:sz w:val="24"/>
          <w:szCs w:val="24"/>
        </w:rPr>
      </w:pPr>
      <w:r>
        <w:rPr>
          <w:rFonts w:hint="eastAsia" w:ascii="宋体" w:hAnsi="宋体" w:eastAsia="宋体" w:cs="宋体"/>
          <w:sz w:val="24"/>
          <w:szCs w:val="24"/>
        </w:rPr>
        <w:t>▲4.1要求色谱分离功能或模块：在常规一维液相色谱、正向上样正向洗脱、反向上样正向洗脱色谱模式中可以自动切换。支持在线萃取和在线除盐，可有效保证不受血液中内源性物质干扰并具有良好的分离度；</w:t>
      </w:r>
    </w:p>
    <w:p w14:paraId="7E86C568">
      <w:pPr>
        <w:spacing w:line="360" w:lineRule="auto"/>
        <w:rPr>
          <w:rFonts w:hint="eastAsia" w:ascii="宋体" w:hAnsi="宋体" w:eastAsia="宋体" w:cs="宋体"/>
          <w:sz w:val="24"/>
          <w:szCs w:val="24"/>
        </w:rPr>
      </w:pPr>
      <w:r>
        <w:rPr>
          <w:rFonts w:hint="eastAsia" w:ascii="宋体" w:hAnsi="宋体" w:eastAsia="宋体" w:cs="宋体"/>
          <w:sz w:val="24"/>
          <w:szCs w:val="24"/>
        </w:rPr>
        <w:t>▲4.2要求具备在线抗基质效应功能或模块：提供至少一个检测品种的人血样至少连续100次进样的真实数据报告，连续100次测定结果精密度均＜20%；</w:t>
      </w:r>
    </w:p>
    <w:p w14:paraId="62C50513">
      <w:pPr>
        <w:spacing w:line="360" w:lineRule="auto"/>
        <w:rPr>
          <w:rFonts w:hint="eastAsia" w:ascii="宋体" w:hAnsi="宋体" w:eastAsia="宋体" w:cs="宋体"/>
          <w:sz w:val="24"/>
          <w:szCs w:val="24"/>
        </w:rPr>
      </w:pPr>
      <w:r>
        <w:rPr>
          <w:rFonts w:hint="eastAsia" w:ascii="宋体" w:hAnsi="宋体" w:eastAsia="宋体" w:cs="宋体"/>
          <w:sz w:val="24"/>
          <w:szCs w:val="24"/>
        </w:rPr>
        <w:t>▲4.3要求具有色谱柱同步在线清洗功能或模块：当一支色谱柱在进行分析工作时，另一支色谱柱同步自动清洗。为保障测定连续性，提供少一个检测品种的色谱柱单次使用与切换使用的验证报告，连续20次测定结果的精密度均＜20%；</w:t>
      </w:r>
    </w:p>
    <w:p w14:paraId="40A0734D">
      <w:pPr>
        <w:spacing w:line="360" w:lineRule="auto"/>
        <w:rPr>
          <w:rFonts w:hint="eastAsia" w:ascii="宋体" w:hAnsi="宋体" w:eastAsia="宋体" w:cs="宋体"/>
          <w:b/>
          <w:bCs/>
          <w:sz w:val="24"/>
          <w:szCs w:val="24"/>
        </w:rPr>
      </w:pPr>
      <w:r>
        <w:rPr>
          <w:rFonts w:hint="eastAsia" w:ascii="宋体" w:hAnsi="宋体" w:eastAsia="宋体" w:cs="宋体"/>
          <w:b/>
          <w:bCs/>
          <w:sz w:val="24"/>
          <w:szCs w:val="24"/>
        </w:rPr>
        <w:t>5工作站</w:t>
      </w:r>
    </w:p>
    <w:p w14:paraId="46AB31BD">
      <w:pPr>
        <w:spacing w:line="360" w:lineRule="auto"/>
        <w:rPr>
          <w:rFonts w:hint="eastAsia" w:ascii="宋体" w:hAnsi="宋体" w:eastAsia="宋体" w:cs="宋体"/>
          <w:sz w:val="24"/>
          <w:szCs w:val="24"/>
        </w:rPr>
      </w:pPr>
      <w:r>
        <w:rPr>
          <w:rFonts w:hint="eastAsia" w:ascii="宋体" w:hAnsi="宋体" w:eastAsia="宋体" w:cs="宋体"/>
          <w:sz w:val="24"/>
          <w:szCs w:val="24"/>
        </w:rPr>
        <w:t>5.1液质联用分析软件：要求为全中文界面，可自由添加、修改、提取化合物的信息以及分析和处理方法；</w:t>
      </w:r>
    </w:p>
    <w:p w14:paraId="055E47F6">
      <w:pPr>
        <w:spacing w:line="360" w:lineRule="auto"/>
        <w:rPr>
          <w:rFonts w:hint="eastAsia" w:ascii="宋体" w:hAnsi="宋体" w:eastAsia="宋体" w:cs="宋体"/>
          <w:sz w:val="24"/>
          <w:szCs w:val="24"/>
        </w:rPr>
      </w:pPr>
      <w:r>
        <w:rPr>
          <w:rFonts w:hint="eastAsia" w:ascii="宋体" w:hAnsi="宋体" w:eastAsia="宋体" w:cs="宋体"/>
          <w:sz w:val="24"/>
          <w:szCs w:val="24"/>
        </w:rPr>
        <w:t>▲5.2要求可实现与HIS/LIS系统连接；可实现报告通过互联网发送；</w:t>
      </w:r>
    </w:p>
    <w:p w14:paraId="57E15A96">
      <w:pPr>
        <w:spacing w:line="360" w:lineRule="auto"/>
        <w:rPr>
          <w:rFonts w:hint="eastAsia" w:ascii="宋体" w:hAnsi="宋体" w:eastAsia="宋体" w:cs="宋体"/>
          <w:b/>
          <w:bCs/>
          <w:sz w:val="24"/>
          <w:szCs w:val="24"/>
        </w:rPr>
      </w:pPr>
      <w:r>
        <w:rPr>
          <w:rFonts w:hint="eastAsia" w:ascii="宋体" w:hAnsi="宋体" w:eastAsia="宋体" w:cs="宋体"/>
          <w:b/>
          <w:bCs/>
          <w:sz w:val="24"/>
          <w:szCs w:val="24"/>
        </w:rPr>
        <w:t>6配置清单</w:t>
      </w:r>
    </w:p>
    <w:tbl>
      <w:tblPr>
        <w:tblStyle w:val="4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98"/>
        <w:gridCol w:w="3975"/>
        <w:gridCol w:w="1188"/>
        <w:gridCol w:w="1020"/>
        <w:gridCol w:w="1773"/>
      </w:tblGrid>
      <w:tr w14:paraId="1F65C4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98" w:type="dxa"/>
            <w:noWrap w:val="0"/>
            <w:vAlign w:val="center"/>
          </w:tcPr>
          <w:p w14:paraId="7986E032">
            <w:pPr>
              <w:spacing w:line="360" w:lineRule="auto"/>
              <w:jc w:val="center"/>
              <w:rPr>
                <w:rFonts w:hint="eastAsia" w:ascii="宋体" w:hAnsi="宋体" w:eastAsia="宋体" w:cs="宋体"/>
                <w:b/>
                <w:bCs/>
                <w:sz w:val="24"/>
                <w:szCs w:val="24"/>
              </w:rPr>
            </w:pPr>
            <w:r>
              <w:rPr>
                <w:rFonts w:hint="eastAsia" w:ascii="宋体" w:hAnsi="宋体" w:eastAsia="宋体" w:cs="宋体"/>
                <w:b/>
                <w:bCs/>
                <w:sz w:val="24"/>
                <w:szCs w:val="24"/>
              </w:rPr>
              <w:t>序号</w:t>
            </w:r>
          </w:p>
        </w:tc>
        <w:tc>
          <w:tcPr>
            <w:tcW w:w="3975" w:type="dxa"/>
            <w:noWrap w:val="0"/>
            <w:vAlign w:val="center"/>
          </w:tcPr>
          <w:p w14:paraId="5B9275B2">
            <w:pPr>
              <w:spacing w:line="360" w:lineRule="auto"/>
              <w:jc w:val="center"/>
              <w:rPr>
                <w:rFonts w:hint="eastAsia" w:ascii="宋体" w:hAnsi="宋体" w:eastAsia="宋体" w:cs="宋体"/>
                <w:b/>
                <w:bCs/>
                <w:sz w:val="24"/>
                <w:szCs w:val="24"/>
              </w:rPr>
            </w:pPr>
            <w:r>
              <w:rPr>
                <w:rFonts w:hint="eastAsia" w:ascii="宋体" w:hAnsi="宋体" w:eastAsia="宋体" w:cs="宋体"/>
                <w:b/>
                <w:bCs/>
                <w:sz w:val="24"/>
                <w:szCs w:val="24"/>
              </w:rPr>
              <w:t>货物名称</w:t>
            </w:r>
          </w:p>
        </w:tc>
        <w:tc>
          <w:tcPr>
            <w:tcW w:w="1188" w:type="dxa"/>
            <w:noWrap w:val="0"/>
            <w:vAlign w:val="center"/>
          </w:tcPr>
          <w:p w14:paraId="2D734E35">
            <w:pPr>
              <w:spacing w:line="360" w:lineRule="auto"/>
              <w:jc w:val="center"/>
              <w:rPr>
                <w:rFonts w:hint="eastAsia" w:ascii="宋体" w:hAnsi="宋体" w:eastAsia="宋体" w:cs="宋体"/>
                <w:b/>
                <w:bCs/>
                <w:sz w:val="24"/>
                <w:szCs w:val="24"/>
              </w:rPr>
            </w:pPr>
            <w:r>
              <w:rPr>
                <w:rFonts w:hint="eastAsia" w:ascii="宋体" w:hAnsi="宋体" w:eastAsia="宋体" w:cs="宋体"/>
                <w:b/>
                <w:bCs/>
                <w:sz w:val="24"/>
                <w:szCs w:val="24"/>
              </w:rPr>
              <w:t>数量</w:t>
            </w:r>
          </w:p>
        </w:tc>
        <w:tc>
          <w:tcPr>
            <w:tcW w:w="1020" w:type="dxa"/>
            <w:noWrap w:val="0"/>
            <w:vAlign w:val="center"/>
          </w:tcPr>
          <w:p w14:paraId="31282770">
            <w:pPr>
              <w:spacing w:line="360" w:lineRule="auto"/>
              <w:jc w:val="center"/>
              <w:rPr>
                <w:rFonts w:hint="eastAsia" w:ascii="宋体" w:hAnsi="宋体" w:eastAsia="宋体" w:cs="宋体"/>
                <w:b/>
                <w:bCs/>
                <w:sz w:val="24"/>
                <w:szCs w:val="24"/>
              </w:rPr>
            </w:pPr>
            <w:r>
              <w:rPr>
                <w:rFonts w:hint="eastAsia" w:ascii="宋体" w:hAnsi="宋体" w:eastAsia="宋体" w:cs="宋体"/>
                <w:b/>
                <w:bCs/>
                <w:sz w:val="24"/>
                <w:szCs w:val="24"/>
              </w:rPr>
              <w:t>单位</w:t>
            </w:r>
          </w:p>
        </w:tc>
        <w:tc>
          <w:tcPr>
            <w:tcW w:w="1773" w:type="dxa"/>
            <w:noWrap w:val="0"/>
            <w:vAlign w:val="center"/>
          </w:tcPr>
          <w:p w14:paraId="0E21A91C">
            <w:pPr>
              <w:spacing w:line="360" w:lineRule="auto"/>
              <w:jc w:val="center"/>
              <w:rPr>
                <w:rFonts w:hint="eastAsia" w:ascii="宋体" w:hAnsi="宋体" w:eastAsia="宋体" w:cs="宋体"/>
                <w:b/>
                <w:bCs/>
                <w:sz w:val="24"/>
                <w:szCs w:val="24"/>
              </w:rPr>
            </w:pPr>
            <w:r>
              <w:rPr>
                <w:rFonts w:hint="eastAsia" w:ascii="宋体" w:hAnsi="宋体" w:eastAsia="宋体" w:cs="宋体"/>
                <w:b/>
                <w:bCs/>
                <w:sz w:val="24"/>
                <w:szCs w:val="24"/>
              </w:rPr>
              <w:t>备注</w:t>
            </w:r>
          </w:p>
        </w:tc>
      </w:tr>
      <w:tr w14:paraId="45F016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98" w:type="dxa"/>
            <w:shd w:val="clear" w:color="auto" w:fill="auto"/>
            <w:noWrap w:val="0"/>
            <w:vAlign w:val="center"/>
          </w:tcPr>
          <w:p w14:paraId="48543E14">
            <w:pPr>
              <w:spacing w:line="360" w:lineRule="auto"/>
              <w:jc w:val="center"/>
              <w:rPr>
                <w:rFonts w:hint="eastAsia" w:ascii="宋体" w:hAnsi="宋体" w:eastAsia="宋体" w:cs="宋体"/>
                <w:sz w:val="24"/>
                <w:szCs w:val="24"/>
              </w:rPr>
            </w:pPr>
            <w:r>
              <w:rPr>
                <w:rFonts w:hint="eastAsia" w:ascii="宋体" w:hAnsi="宋体" w:eastAsia="宋体" w:cs="宋体"/>
                <w:sz w:val="24"/>
                <w:szCs w:val="24"/>
              </w:rPr>
              <w:t>1</w:t>
            </w:r>
          </w:p>
        </w:tc>
        <w:tc>
          <w:tcPr>
            <w:tcW w:w="3975" w:type="dxa"/>
            <w:shd w:val="clear" w:color="auto" w:fill="auto"/>
            <w:noWrap w:val="0"/>
            <w:vAlign w:val="center"/>
          </w:tcPr>
          <w:p w14:paraId="3F7207AB">
            <w:pPr>
              <w:spacing w:line="360" w:lineRule="auto"/>
              <w:jc w:val="center"/>
              <w:rPr>
                <w:rFonts w:hint="eastAsia" w:ascii="宋体" w:hAnsi="宋体" w:eastAsia="宋体" w:cs="宋体"/>
                <w:sz w:val="24"/>
                <w:szCs w:val="24"/>
              </w:rPr>
            </w:pPr>
            <w:r>
              <w:rPr>
                <w:rFonts w:hint="eastAsia" w:ascii="宋体" w:hAnsi="宋体" w:eastAsia="宋体" w:cs="宋体"/>
                <w:sz w:val="24"/>
                <w:szCs w:val="24"/>
              </w:rPr>
              <w:t>液相色谱串联质谱</w:t>
            </w:r>
          </w:p>
        </w:tc>
        <w:tc>
          <w:tcPr>
            <w:tcW w:w="1188" w:type="dxa"/>
            <w:noWrap w:val="0"/>
            <w:vAlign w:val="center"/>
          </w:tcPr>
          <w:p w14:paraId="2D107147">
            <w:pPr>
              <w:spacing w:line="360" w:lineRule="auto"/>
              <w:jc w:val="center"/>
              <w:rPr>
                <w:rFonts w:hint="eastAsia" w:ascii="宋体" w:hAnsi="宋体" w:eastAsia="宋体" w:cs="宋体"/>
                <w:sz w:val="24"/>
                <w:szCs w:val="24"/>
              </w:rPr>
            </w:pPr>
            <w:r>
              <w:rPr>
                <w:rFonts w:hint="eastAsia" w:ascii="宋体" w:hAnsi="宋体" w:eastAsia="宋体" w:cs="宋体"/>
                <w:sz w:val="24"/>
                <w:szCs w:val="24"/>
              </w:rPr>
              <w:t>1</w:t>
            </w:r>
          </w:p>
        </w:tc>
        <w:tc>
          <w:tcPr>
            <w:tcW w:w="1020" w:type="dxa"/>
            <w:noWrap w:val="0"/>
            <w:vAlign w:val="center"/>
          </w:tcPr>
          <w:p w14:paraId="119B9AED">
            <w:pPr>
              <w:spacing w:line="360" w:lineRule="auto"/>
              <w:jc w:val="center"/>
              <w:rPr>
                <w:rFonts w:hint="eastAsia" w:ascii="宋体" w:hAnsi="宋体" w:eastAsia="宋体" w:cs="宋体"/>
                <w:sz w:val="24"/>
                <w:szCs w:val="24"/>
              </w:rPr>
            </w:pPr>
            <w:r>
              <w:rPr>
                <w:rFonts w:hint="eastAsia" w:ascii="宋体" w:hAnsi="宋体" w:eastAsia="宋体" w:cs="宋体"/>
                <w:sz w:val="24"/>
                <w:szCs w:val="24"/>
              </w:rPr>
              <w:t>套</w:t>
            </w:r>
          </w:p>
        </w:tc>
        <w:tc>
          <w:tcPr>
            <w:tcW w:w="1773" w:type="dxa"/>
            <w:noWrap w:val="0"/>
            <w:vAlign w:val="center"/>
          </w:tcPr>
          <w:p w14:paraId="303E737C">
            <w:pPr>
              <w:spacing w:line="360" w:lineRule="auto"/>
              <w:jc w:val="center"/>
              <w:rPr>
                <w:rFonts w:hint="eastAsia" w:ascii="宋体" w:hAnsi="宋体" w:eastAsia="宋体" w:cs="宋体"/>
                <w:sz w:val="24"/>
                <w:szCs w:val="24"/>
              </w:rPr>
            </w:pPr>
            <w:r>
              <w:rPr>
                <w:rFonts w:hint="eastAsia" w:ascii="宋体" w:hAnsi="宋体" w:eastAsia="宋体" w:cs="宋体"/>
                <w:sz w:val="24"/>
                <w:szCs w:val="24"/>
              </w:rPr>
              <w:t>标配</w:t>
            </w:r>
          </w:p>
        </w:tc>
      </w:tr>
      <w:tr w14:paraId="78B1D7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98" w:type="dxa"/>
            <w:shd w:val="clear" w:color="auto" w:fill="auto"/>
            <w:noWrap w:val="0"/>
            <w:vAlign w:val="center"/>
          </w:tcPr>
          <w:p w14:paraId="57BAA63F">
            <w:pPr>
              <w:spacing w:line="360" w:lineRule="auto"/>
              <w:jc w:val="center"/>
              <w:rPr>
                <w:rFonts w:hint="eastAsia" w:ascii="宋体" w:hAnsi="宋体" w:eastAsia="宋体" w:cs="宋体"/>
                <w:sz w:val="24"/>
                <w:szCs w:val="24"/>
              </w:rPr>
            </w:pPr>
            <w:r>
              <w:rPr>
                <w:rFonts w:hint="eastAsia" w:ascii="宋体" w:hAnsi="宋体" w:eastAsia="宋体" w:cs="宋体"/>
                <w:sz w:val="24"/>
                <w:szCs w:val="24"/>
              </w:rPr>
              <w:t>2</w:t>
            </w:r>
          </w:p>
        </w:tc>
        <w:tc>
          <w:tcPr>
            <w:tcW w:w="3975" w:type="dxa"/>
            <w:shd w:val="clear" w:color="auto" w:fill="auto"/>
            <w:noWrap w:val="0"/>
            <w:vAlign w:val="center"/>
          </w:tcPr>
          <w:p w14:paraId="7E308E31">
            <w:pPr>
              <w:spacing w:line="360" w:lineRule="auto"/>
              <w:jc w:val="center"/>
              <w:rPr>
                <w:rFonts w:hint="eastAsia" w:ascii="宋体" w:hAnsi="宋体" w:eastAsia="宋体" w:cs="宋体"/>
                <w:sz w:val="24"/>
                <w:szCs w:val="24"/>
              </w:rPr>
            </w:pPr>
            <w:r>
              <w:rPr>
                <w:rFonts w:hint="eastAsia" w:ascii="宋体" w:hAnsi="宋体" w:eastAsia="宋体" w:cs="宋体"/>
                <w:sz w:val="24"/>
                <w:szCs w:val="24"/>
              </w:rPr>
              <w:t>台式电脑</w:t>
            </w:r>
          </w:p>
        </w:tc>
        <w:tc>
          <w:tcPr>
            <w:tcW w:w="1188" w:type="dxa"/>
            <w:noWrap w:val="0"/>
            <w:vAlign w:val="center"/>
          </w:tcPr>
          <w:p w14:paraId="2B10E2C6">
            <w:pPr>
              <w:spacing w:line="360" w:lineRule="auto"/>
              <w:jc w:val="center"/>
              <w:rPr>
                <w:rFonts w:hint="eastAsia" w:ascii="宋体" w:hAnsi="宋体" w:eastAsia="宋体" w:cs="宋体"/>
                <w:sz w:val="24"/>
                <w:szCs w:val="24"/>
              </w:rPr>
            </w:pPr>
            <w:r>
              <w:rPr>
                <w:rFonts w:hint="eastAsia" w:ascii="宋体" w:hAnsi="宋体" w:eastAsia="宋体" w:cs="宋体"/>
                <w:sz w:val="24"/>
                <w:szCs w:val="24"/>
              </w:rPr>
              <w:t>1</w:t>
            </w:r>
          </w:p>
        </w:tc>
        <w:tc>
          <w:tcPr>
            <w:tcW w:w="1020" w:type="dxa"/>
            <w:noWrap w:val="0"/>
            <w:vAlign w:val="center"/>
          </w:tcPr>
          <w:p w14:paraId="5B5B95F1">
            <w:pPr>
              <w:spacing w:line="360" w:lineRule="auto"/>
              <w:jc w:val="center"/>
              <w:rPr>
                <w:rFonts w:hint="eastAsia" w:ascii="宋体" w:hAnsi="宋体" w:eastAsia="宋体" w:cs="宋体"/>
                <w:sz w:val="24"/>
                <w:szCs w:val="24"/>
              </w:rPr>
            </w:pPr>
            <w:r>
              <w:rPr>
                <w:rFonts w:hint="eastAsia" w:ascii="宋体" w:hAnsi="宋体" w:eastAsia="宋体" w:cs="宋体"/>
                <w:sz w:val="24"/>
                <w:szCs w:val="24"/>
              </w:rPr>
              <w:t>台</w:t>
            </w:r>
          </w:p>
        </w:tc>
        <w:tc>
          <w:tcPr>
            <w:tcW w:w="1773" w:type="dxa"/>
            <w:noWrap w:val="0"/>
            <w:vAlign w:val="center"/>
          </w:tcPr>
          <w:p w14:paraId="0C8DA00B">
            <w:pPr>
              <w:spacing w:line="360" w:lineRule="auto"/>
              <w:jc w:val="center"/>
              <w:rPr>
                <w:rFonts w:hint="eastAsia" w:ascii="宋体" w:hAnsi="宋体" w:eastAsia="宋体" w:cs="宋体"/>
                <w:sz w:val="24"/>
                <w:szCs w:val="24"/>
              </w:rPr>
            </w:pPr>
            <w:r>
              <w:rPr>
                <w:rFonts w:hint="eastAsia" w:ascii="宋体" w:hAnsi="宋体" w:eastAsia="宋体" w:cs="宋体"/>
                <w:sz w:val="24"/>
                <w:szCs w:val="24"/>
              </w:rPr>
              <w:t>标配</w:t>
            </w:r>
          </w:p>
        </w:tc>
      </w:tr>
      <w:tr w14:paraId="7BDF3D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98" w:type="dxa"/>
            <w:shd w:val="clear" w:color="auto" w:fill="auto"/>
            <w:noWrap w:val="0"/>
            <w:vAlign w:val="center"/>
          </w:tcPr>
          <w:p w14:paraId="2B54C71C">
            <w:pPr>
              <w:spacing w:line="360" w:lineRule="auto"/>
              <w:jc w:val="center"/>
              <w:rPr>
                <w:rFonts w:hint="eastAsia" w:ascii="宋体" w:hAnsi="宋体" w:eastAsia="宋体" w:cs="宋体"/>
                <w:sz w:val="24"/>
                <w:szCs w:val="24"/>
              </w:rPr>
            </w:pPr>
            <w:r>
              <w:rPr>
                <w:rFonts w:hint="eastAsia" w:ascii="宋体" w:hAnsi="宋体" w:eastAsia="宋体" w:cs="宋体"/>
                <w:sz w:val="24"/>
                <w:szCs w:val="24"/>
              </w:rPr>
              <w:t>3</w:t>
            </w:r>
          </w:p>
        </w:tc>
        <w:tc>
          <w:tcPr>
            <w:tcW w:w="3975" w:type="dxa"/>
            <w:shd w:val="clear" w:color="auto" w:fill="auto"/>
            <w:noWrap w:val="0"/>
            <w:vAlign w:val="center"/>
          </w:tcPr>
          <w:p w14:paraId="7E7B20B5">
            <w:pPr>
              <w:spacing w:line="360" w:lineRule="auto"/>
              <w:jc w:val="center"/>
              <w:rPr>
                <w:rFonts w:hint="eastAsia" w:ascii="宋体" w:hAnsi="宋体" w:eastAsia="宋体" w:cs="宋体"/>
                <w:sz w:val="24"/>
                <w:szCs w:val="24"/>
              </w:rPr>
            </w:pPr>
            <w:r>
              <w:rPr>
                <w:rFonts w:hint="eastAsia" w:ascii="宋体" w:hAnsi="宋体" w:eastAsia="宋体" w:cs="宋体"/>
                <w:sz w:val="24"/>
                <w:szCs w:val="24"/>
              </w:rPr>
              <w:t>氮气发生器</w:t>
            </w:r>
          </w:p>
        </w:tc>
        <w:tc>
          <w:tcPr>
            <w:tcW w:w="1188" w:type="dxa"/>
            <w:noWrap w:val="0"/>
            <w:vAlign w:val="center"/>
          </w:tcPr>
          <w:p w14:paraId="05E387A9">
            <w:pPr>
              <w:spacing w:line="360" w:lineRule="auto"/>
              <w:jc w:val="center"/>
              <w:rPr>
                <w:rFonts w:hint="eastAsia" w:ascii="宋体" w:hAnsi="宋体" w:eastAsia="宋体" w:cs="宋体"/>
                <w:sz w:val="24"/>
                <w:szCs w:val="24"/>
              </w:rPr>
            </w:pPr>
            <w:r>
              <w:rPr>
                <w:rFonts w:hint="eastAsia" w:ascii="宋体" w:hAnsi="宋体" w:eastAsia="宋体" w:cs="宋体"/>
                <w:sz w:val="24"/>
                <w:szCs w:val="24"/>
              </w:rPr>
              <w:t>1</w:t>
            </w:r>
          </w:p>
        </w:tc>
        <w:tc>
          <w:tcPr>
            <w:tcW w:w="1020" w:type="dxa"/>
            <w:noWrap w:val="0"/>
            <w:vAlign w:val="center"/>
          </w:tcPr>
          <w:p w14:paraId="1DC6E7B2">
            <w:pPr>
              <w:spacing w:line="360" w:lineRule="auto"/>
              <w:jc w:val="center"/>
              <w:rPr>
                <w:rFonts w:hint="eastAsia" w:ascii="宋体" w:hAnsi="宋体" w:eastAsia="宋体" w:cs="宋体"/>
                <w:sz w:val="24"/>
                <w:szCs w:val="24"/>
              </w:rPr>
            </w:pPr>
            <w:r>
              <w:rPr>
                <w:rFonts w:hint="eastAsia" w:ascii="宋体" w:hAnsi="宋体" w:eastAsia="宋体" w:cs="宋体"/>
                <w:sz w:val="24"/>
                <w:szCs w:val="24"/>
              </w:rPr>
              <w:t>台</w:t>
            </w:r>
          </w:p>
        </w:tc>
        <w:tc>
          <w:tcPr>
            <w:tcW w:w="1773" w:type="dxa"/>
            <w:noWrap w:val="0"/>
            <w:vAlign w:val="center"/>
          </w:tcPr>
          <w:p w14:paraId="386585A0">
            <w:pPr>
              <w:spacing w:line="360" w:lineRule="auto"/>
              <w:jc w:val="center"/>
              <w:rPr>
                <w:rFonts w:hint="eastAsia" w:ascii="宋体" w:hAnsi="宋体" w:eastAsia="宋体" w:cs="宋体"/>
                <w:sz w:val="24"/>
                <w:szCs w:val="24"/>
              </w:rPr>
            </w:pPr>
            <w:r>
              <w:rPr>
                <w:rFonts w:hint="eastAsia" w:ascii="宋体" w:hAnsi="宋体" w:eastAsia="宋体" w:cs="宋体"/>
                <w:sz w:val="24"/>
                <w:szCs w:val="24"/>
              </w:rPr>
              <w:t>标配</w:t>
            </w:r>
          </w:p>
        </w:tc>
      </w:tr>
      <w:tr w14:paraId="6FE22A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98" w:type="dxa"/>
            <w:shd w:val="clear" w:color="auto" w:fill="auto"/>
            <w:noWrap w:val="0"/>
            <w:vAlign w:val="center"/>
          </w:tcPr>
          <w:p w14:paraId="1DDB1275">
            <w:pPr>
              <w:spacing w:line="360" w:lineRule="auto"/>
              <w:jc w:val="center"/>
              <w:rPr>
                <w:rFonts w:hint="eastAsia" w:ascii="宋体" w:hAnsi="宋体" w:eastAsia="宋体" w:cs="宋体"/>
                <w:sz w:val="24"/>
                <w:szCs w:val="24"/>
              </w:rPr>
            </w:pPr>
            <w:r>
              <w:rPr>
                <w:rFonts w:hint="eastAsia" w:ascii="宋体" w:hAnsi="宋体" w:eastAsia="宋体" w:cs="宋体"/>
                <w:sz w:val="24"/>
                <w:szCs w:val="24"/>
              </w:rPr>
              <w:t>4</w:t>
            </w:r>
          </w:p>
        </w:tc>
        <w:tc>
          <w:tcPr>
            <w:tcW w:w="3975" w:type="dxa"/>
            <w:shd w:val="clear" w:color="auto" w:fill="auto"/>
            <w:noWrap w:val="0"/>
            <w:vAlign w:val="center"/>
          </w:tcPr>
          <w:p w14:paraId="087E1C6B">
            <w:pPr>
              <w:spacing w:line="360" w:lineRule="auto"/>
              <w:jc w:val="center"/>
              <w:rPr>
                <w:rFonts w:hint="eastAsia" w:ascii="宋体" w:hAnsi="宋体" w:eastAsia="宋体" w:cs="宋体"/>
                <w:sz w:val="24"/>
                <w:szCs w:val="24"/>
              </w:rPr>
            </w:pPr>
            <w:r>
              <w:rPr>
                <w:rFonts w:hint="eastAsia" w:ascii="宋体" w:hAnsi="宋体" w:eastAsia="宋体" w:cs="宋体"/>
                <w:sz w:val="24"/>
                <w:szCs w:val="24"/>
              </w:rPr>
              <w:t>UPS电源</w:t>
            </w:r>
          </w:p>
        </w:tc>
        <w:tc>
          <w:tcPr>
            <w:tcW w:w="1188" w:type="dxa"/>
            <w:noWrap w:val="0"/>
            <w:vAlign w:val="center"/>
          </w:tcPr>
          <w:p w14:paraId="27F3F5B9">
            <w:pPr>
              <w:spacing w:line="360" w:lineRule="auto"/>
              <w:jc w:val="center"/>
              <w:rPr>
                <w:rFonts w:hint="eastAsia" w:ascii="宋体" w:hAnsi="宋体" w:eastAsia="宋体" w:cs="宋体"/>
                <w:sz w:val="24"/>
                <w:szCs w:val="24"/>
              </w:rPr>
            </w:pPr>
            <w:r>
              <w:rPr>
                <w:rFonts w:hint="eastAsia" w:ascii="宋体" w:hAnsi="宋体" w:eastAsia="宋体" w:cs="宋体"/>
                <w:sz w:val="24"/>
                <w:szCs w:val="24"/>
              </w:rPr>
              <w:t>1</w:t>
            </w:r>
          </w:p>
        </w:tc>
        <w:tc>
          <w:tcPr>
            <w:tcW w:w="1020" w:type="dxa"/>
            <w:noWrap w:val="0"/>
            <w:vAlign w:val="center"/>
          </w:tcPr>
          <w:p w14:paraId="511D2163">
            <w:pPr>
              <w:spacing w:line="360" w:lineRule="auto"/>
              <w:jc w:val="center"/>
              <w:rPr>
                <w:rFonts w:hint="eastAsia" w:ascii="宋体" w:hAnsi="宋体" w:eastAsia="宋体" w:cs="宋体"/>
                <w:sz w:val="24"/>
                <w:szCs w:val="24"/>
              </w:rPr>
            </w:pPr>
            <w:r>
              <w:rPr>
                <w:rFonts w:hint="eastAsia" w:ascii="宋体" w:hAnsi="宋体" w:eastAsia="宋体" w:cs="宋体"/>
                <w:sz w:val="24"/>
                <w:szCs w:val="24"/>
              </w:rPr>
              <w:t>台</w:t>
            </w:r>
          </w:p>
        </w:tc>
        <w:tc>
          <w:tcPr>
            <w:tcW w:w="1773" w:type="dxa"/>
            <w:noWrap w:val="0"/>
            <w:vAlign w:val="center"/>
          </w:tcPr>
          <w:p w14:paraId="20EFA021">
            <w:pPr>
              <w:spacing w:line="360" w:lineRule="auto"/>
              <w:jc w:val="center"/>
              <w:rPr>
                <w:rFonts w:hint="eastAsia" w:ascii="宋体" w:hAnsi="宋体" w:eastAsia="宋体" w:cs="宋体"/>
                <w:sz w:val="24"/>
                <w:szCs w:val="24"/>
              </w:rPr>
            </w:pPr>
            <w:r>
              <w:rPr>
                <w:rFonts w:hint="eastAsia" w:ascii="宋体" w:hAnsi="宋体" w:eastAsia="宋体" w:cs="宋体"/>
                <w:sz w:val="24"/>
                <w:szCs w:val="24"/>
              </w:rPr>
              <w:t>标配</w:t>
            </w:r>
          </w:p>
        </w:tc>
      </w:tr>
      <w:tr w14:paraId="7BBA29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98" w:type="dxa"/>
            <w:shd w:val="clear" w:color="auto" w:fill="auto"/>
            <w:noWrap w:val="0"/>
            <w:vAlign w:val="center"/>
          </w:tcPr>
          <w:p w14:paraId="2666E22C">
            <w:pPr>
              <w:spacing w:line="360" w:lineRule="auto"/>
              <w:jc w:val="center"/>
              <w:rPr>
                <w:rFonts w:hint="eastAsia" w:ascii="宋体" w:hAnsi="宋体" w:eastAsia="宋体" w:cs="宋体"/>
                <w:sz w:val="24"/>
                <w:szCs w:val="24"/>
              </w:rPr>
            </w:pPr>
            <w:r>
              <w:rPr>
                <w:rFonts w:hint="eastAsia" w:ascii="宋体" w:hAnsi="宋体" w:eastAsia="宋体" w:cs="宋体"/>
                <w:sz w:val="24"/>
                <w:szCs w:val="24"/>
              </w:rPr>
              <w:t>5</w:t>
            </w:r>
          </w:p>
        </w:tc>
        <w:tc>
          <w:tcPr>
            <w:tcW w:w="3975" w:type="dxa"/>
            <w:shd w:val="clear" w:color="auto" w:fill="auto"/>
            <w:noWrap w:val="0"/>
            <w:vAlign w:val="center"/>
          </w:tcPr>
          <w:p w14:paraId="60F57871">
            <w:pPr>
              <w:spacing w:line="360" w:lineRule="auto"/>
              <w:jc w:val="center"/>
              <w:rPr>
                <w:rFonts w:hint="eastAsia" w:ascii="宋体" w:hAnsi="宋体" w:eastAsia="宋体" w:cs="宋体"/>
                <w:sz w:val="24"/>
                <w:szCs w:val="24"/>
              </w:rPr>
            </w:pPr>
            <w:r>
              <w:rPr>
                <w:rFonts w:hint="eastAsia" w:ascii="宋体" w:hAnsi="宋体" w:eastAsia="宋体" w:cs="宋体"/>
                <w:sz w:val="24"/>
                <w:szCs w:val="24"/>
              </w:rPr>
              <w:t>启动耗材包</w:t>
            </w:r>
          </w:p>
        </w:tc>
        <w:tc>
          <w:tcPr>
            <w:tcW w:w="1188" w:type="dxa"/>
            <w:noWrap w:val="0"/>
            <w:vAlign w:val="center"/>
          </w:tcPr>
          <w:p w14:paraId="616A80A5">
            <w:pPr>
              <w:spacing w:line="360" w:lineRule="auto"/>
              <w:jc w:val="center"/>
              <w:rPr>
                <w:rFonts w:hint="eastAsia" w:ascii="宋体" w:hAnsi="宋体" w:eastAsia="宋体" w:cs="宋体"/>
                <w:sz w:val="24"/>
                <w:szCs w:val="24"/>
              </w:rPr>
            </w:pPr>
            <w:r>
              <w:rPr>
                <w:rFonts w:hint="eastAsia" w:ascii="宋体" w:hAnsi="宋体" w:eastAsia="宋体" w:cs="宋体"/>
                <w:sz w:val="24"/>
                <w:szCs w:val="24"/>
              </w:rPr>
              <w:t>1</w:t>
            </w:r>
          </w:p>
        </w:tc>
        <w:tc>
          <w:tcPr>
            <w:tcW w:w="1020" w:type="dxa"/>
            <w:noWrap w:val="0"/>
            <w:vAlign w:val="center"/>
          </w:tcPr>
          <w:p w14:paraId="3F47388E">
            <w:pPr>
              <w:spacing w:line="360" w:lineRule="auto"/>
              <w:jc w:val="center"/>
              <w:rPr>
                <w:rFonts w:hint="eastAsia" w:ascii="宋体" w:hAnsi="宋体" w:eastAsia="宋体" w:cs="宋体"/>
                <w:sz w:val="24"/>
                <w:szCs w:val="24"/>
              </w:rPr>
            </w:pPr>
            <w:r>
              <w:rPr>
                <w:rFonts w:hint="eastAsia" w:ascii="宋体" w:hAnsi="宋体" w:eastAsia="宋体" w:cs="宋体"/>
                <w:sz w:val="24"/>
                <w:szCs w:val="24"/>
              </w:rPr>
              <w:t>套</w:t>
            </w:r>
          </w:p>
        </w:tc>
        <w:tc>
          <w:tcPr>
            <w:tcW w:w="1773" w:type="dxa"/>
            <w:noWrap w:val="0"/>
            <w:vAlign w:val="center"/>
          </w:tcPr>
          <w:p w14:paraId="5F1BEE83">
            <w:pPr>
              <w:spacing w:line="360" w:lineRule="auto"/>
              <w:jc w:val="center"/>
              <w:rPr>
                <w:rFonts w:hint="eastAsia" w:ascii="宋体" w:hAnsi="宋体" w:eastAsia="宋体" w:cs="宋体"/>
                <w:sz w:val="24"/>
                <w:szCs w:val="24"/>
              </w:rPr>
            </w:pPr>
            <w:r>
              <w:rPr>
                <w:rFonts w:hint="eastAsia" w:ascii="宋体" w:hAnsi="宋体" w:eastAsia="宋体" w:cs="宋体"/>
                <w:sz w:val="24"/>
                <w:szCs w:val="24"/>
              </w:rPr>
              <w:t>标配</w:t>
            </w:r>
          </w:p>
        </w:tc>
      </w:tr>
      <w:tr w14:paraId="70814F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98" w:type="dxa"/>
            <w:shd w:val="clear" w:color="auto" w:fill="auto"/>
            <w:noWrap w:val="0"/>
            <w:vAlign w:val="center"/>
          </w:tcPr>
          <w:p w14:paraId="374523CE">
            <w:pPr>
              <w:spacing w:line="360" w:lineRule="auto"/>
              <w:jc w:val="center"/>
              <w:rPr>
                <w:rFonts w:hint="eastAsia" w:ascii="宋体" w:hAnsi="宋体" w:eastAsia="宋体" w:cs="宋体"/>
                <w:sz w:val="24"/>
                <w:szCs w:val="24"/>
              </w:rPr>
            </w:pPr>
            <w:r>
              <w:rPr>
                <w:rFonts w:hint="eastAsia" w:ascii="宋体" w:hAnsi="宋体" w:eastAsia="宋体" w:cs="宋体"/>
                <w:sz w:val="24"/>
                <w:szCs w:val="24"/>
              </w:rPr>
              <w:t>6</w:t>
            </w:r>
          </w:p>
        </w:tc>
        <w:tc>
          <w:tcPr>
            <w:tcW w:w="3975" w:type="dxa"/>
            <w:shd w:val="clear" w:color="auto" w:fill="auto"/>
            <w:noWrap w:val="0"/>
            <w:vAlign w:val="center"/>
          </w:tcPr>
          <w:p w14:paraId="6EA99427">
            <w:pPr>
              <w:spacing w:line="360" w:lineRule="auto"/>
              <w:jc w:val="center"/>
              <w:rPr>
                <w:rFonts w:hint="eastAsia" w:ascii="宋体" w:hAnsi="宋体" w:eastAsia="宋体" w:cs="宋体"/>
                <w:sz w:val="24"/>
                <w:szCs w:val="24"/>
              </w:rPr>
            </w:pPr>
            <w:r>
              <w:rPr>
                <w:rFonts w:hint="eastAsia" w:ascii="宋体" w:hAnsi="宋体" w:eastAsia="宋体" w:cs="宋体"/>
                <w:sz w:val="24"/>
                <w:szCs w:val="24"/>
              </w:rPr>
              <w:t>色谱柱</w:t>
            </w:r>
          </w:p>
        </w:tc>
        <w:tc>
          <w:tcPr>
            <w:tcW w:w="1188" w:type="dxa"/>
            <w:noWrap w:val="0"/>
            <w:vAlign w:val="center"/>
          </w:tcPr>
          <w:p w14:paraId="6A521246">
            <w:pPr>
              <w:spacing w:line="360" w:lineRule="auto"/>
              <w:jc w:val="center"/>
              <w:rPr>
                <w:rFonts w:hint="eastAsia" w:ascii="宋体" w:hAnsi="宋体" w:eastAsia="宋体" w:cs="宋体"/>
                <w:sz w:val="24"/>
                <w:szCs w:val="24"/>
              </w:rPr>
            </w:pPr>
            <w:r>
              <w:rPr>
                <w:rFonts w:hint="eastAsia" w:ascii="宋体" w:hAnsi="宋体" w:eastAsia="宋体" w:cs="宋体"/>
                <w:sz w:val="24"/>
                <w:szCs w:val="24"/>
              </w:rPr>
              <w:t>2</w:t>
            </w:r>
          </w:p>
        </w:tc>
        <w:tc>
          <w:tcPr>
            <w:tcW w:w="1020" w:type="dxa"/>
            <w:noWrap w:val="0"/>
            <w:vAlign w:val="center"/>
          </w:tcPr>
          <w:p w14:paraId="5505ED11">
            <w:pPr>
              <w:spacing w:line="360" w:lineRule="auto"/>
              <w:jc w:val="center"/>
              <w:rPr>
                <w:rFonts w:hint="eastAsia" w:ascii="宋体" w:hAnsi="宋体" w:eastAsia="宋体" w:cs="宋体"/>
                <w:sz w:val="24"/>
                <w:szCs w:val="24"/>
              </w:rPr>
            </w:pPr>
            <w:r>
              <w:rPr>
                <w:rFonts w:hint="eastAsia" w:ascii="宋体" w:hAnsi="宋体" w:eastAsia="宋体" w:cs="宋体"/>
                <w:sz w:val="24"/>
                <w:szCs w:val="24"/>
              </w:rPr>
              <w:t>套</w:t>
            </w:r>
          </w:p>
        </w:tc>
        <w:tc>
          <w:tcPr>
            <w:tcW w:w="1773" w:type="dxa"/>
            <w:noWrap w:val="0"/>
            <w:vAlign w:val="center"/>
          </w:tcPr>
          <w:p w14:paraId="733D1FC8">
            <w:pPr>
              <w:spacing w:line="360" w:lineRule="auto"/>
              <w:jc w:val="center"/>
              <w:rPr>
                <w:rFonts w:hint="eastAsia" w:ascii="宋体" w:hAnsi="宋体" w:eastAsia="宋体" w:cs="宋体"/>
                <w:sz w:val="24"/>
                <w:szCs w:val="24"/>
              </w:rPr>
            </w:pPr>
            <w:r>
              <w:rPr>
                <w:rFonts w:hint="eastAsia" w:ascii="宋体" w:hAnsi="宋体" w:eastAsia="宋体" w:cs="宋体"/>
                <w:sz w:val="24"/>
                <w:szCs w:val="24"/>
              </w:rPr>
              <w:t>标配</w:t>
            </w:r>
          </w:p>
        </w:tc>
      </w:tr>
      <w:tr w14:paraId="1A248D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98" w:type="dxa"/>
            <w:shd w:val="clear" w:color="auto" w:fill="auto"/>
            <w:noWrap w:val="0"/>
            <w:vAlign w:val="center"/>
          </w:tcPr>
          <w:p w14:paraId="2DB79402">
            <w:pPr>
              <w:spacing w:line="360" w:lineRule="auto"/>
              <w:jc w:val="center"/>
              <w:rPr>
                <w:rFonts w:hint="eastAsia" w:ascii="宋体" w:hAnsi="宋体" w:eastAsia="宋体" w:cs="宋体"/>
                <w:sz w:val="24"/>
                <w:szCs w:val="24"/>
              </w:rPr>
            </w:pPr>
            <w:r>
              <w:rPr>
                <w:rFonts w:hint="eastAsia" w:ascii="宋体" w:hAnsi="宋体" w:eastAsia="宋体" w:cs="宋体"/>
                <w:sz w:val="24"/>
                <w:szCs w:val="24"/>
              </w:rPr>
              <w:t>7</w:t>
            </w:r>
          </w:p>
        </w:tc>
        <w:tc>
          <w:tcPr>
            <w:tcW w:w="3975" w:type="dxa"/>
            <w:shd w:val="clear" w:color="auto" w:fill="auto"/>
            <w:noWrap w:val="0"/>
            <w:vAlign w:val="center"/>
          </w:tcPr>
          <w:p w14:paraId="5DAED122">
            <w:pPr>
              <w:spacing w:line="360" w:lineRule="auto"/>
              <w:jc w:val="center"/>
              <w:rPr>
                <w:rFonts w:hint="eastAsia" w:ascii="宋体" w:hAnsi="宋体" w:eastAsia="宋体" w:cs="宋体"/>
                <w:sz w:val="24"/>
                <w:szCs w:val="24"/>
              </w:rPr>
            </w:pPr>
            <w:r>
              <w:rPr>
                <w:rFonts w:hint="eastAsia" w:ascii="宋体" w:hAnsi="宋体" w:eastAsia="宋体" w:cs="宋体"/>
                <w:sz w:val="24"/>
                <w:szCs w:val="24"/>
              </w:rPr>
              <w:t>维修工具包</w:t>
            </w:r>
          </w:p>
        </w:tc>
        <w:tc>
          <w:tcPr>
            <w:tcW w:w="1188" w:type="dxa"/>
            <w:noWrap w:val="0"/>
            <w:vAlign w:val="center"/>
          </w:tcPr>
          <w:p w14:paraId="4F89E382">
            <w:pPr>
              <w:spacing w:line="360" w:lineRule="auto"/>
              <w:jc w:val="center"/>
              <w:rPr>
                <w:rFonts w:hint="eastAsia" w:ascii="宋体" w:hAnsi="宋体" w:eastAsia="宋体" w:cs="宋体"/>
                <w:sz w:val="24"/>
                <w:szCs w:val="24"/>
              </w:rPr>
            </w:pPr>
            <w:r>
              <w:rPr>
                <w:rFonts w:hint="eastAsia" w:ascii="宋体" w:hAnsi="宋体" w:eastAsia="宋体" w:cs="宋体"/>
                <w:sz w:val="24"/>
                <w:szCs w:val="24"/>
              </w:rPr>
              <w:t>1</w:t>
            </w:r>
          </w:p>
        </w:tc>
        <w:tc>
          <w:tcPr>
            <w:tcW w:w="1020" w:type="dxa"/>
            <w:noWrap w:val="0"/>
            <w:vAlign w:val="center"/>
          </w:tcPr>
          <w:p w14:paraId="58C1F45C">
            <w:pPr>
              <w:spacing w:line="360" w:lineRule="auto"/>
              <w:jc w:val="center"/>
              <w:rPr>
                <w:rFonts w:hint="eastAsia" w:ascii="宋体" w:hAnsi="宋体" w:eastAsia="宋体" w:cs="宋体"/>
                <w:sz w:val="24"/>
                <w:szCs w:val="24"/>
              </w:rPr>
            </w:pPr>
            <w:r>
              <w:rPr>
                <w:rFonts w:hint="eastAsia" w:ascii="宋体" w:hAnsi="宋体" w:eastAsia="宋体" w:cs="宋体"/>
                <w:sz w:val="24"/>
                <w:szCs w:val="24"/>
              </w:rPr>
              <w:t>套</w:t>
            </w:r>
          </w:p>
        </w:tc>
        <w:tc>
          <w:tcPr>
            <w:tcW w:w="1773" w:type="dxa"/>
            <w:noWrap w:val="0"/>
            <w:vAlign w:val="center"/>
          </w:tcPr>
          <w:p w14:paraId="45F40356">
            <w:pPr>
              <w:spacing w:line="360" w:lineRule="auto"/>
              <w:jc w:val="center"/>
              <w:rPr>
                <w:rFonts w:hint="eastAsia" w:ascii="宋体" w:hAnsi="宋体" w:eastAsia="宋体" w:cs="宋体"/>
                <w:sz w:val="24"/>
                <w:szCs w:val="24"/>
              </w:rPr>
            </w:pPr>
            <w:r>
              <w:rPr>
                <w:rFonts w:hint="eastAsia" w:ascii="宋体" w:hAnsi="宋体" w:eastAsia="宋体" w:cs="宋体"/>
                <w:sz w:val="24"/>
                <w:szCs w:val="24"/>
              </w:rPr>
              <w:t>标配</w:t>
            </w:r>
          </w:p>
        </w:tc>
      </w:tr>
      <w:tr w14:paraId="42A88C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98" w:type="dxa"/>
            <w:shd w:val="clear" w:color="auto" w:fill="auto"/>
            <w:noWrap w:val="0"/>
            <w:vAlign w:val="center"/>
          </w:tcPr>
          <w:p w14:paraId="5B360259">
            <w:pPr>
              <w:spacing w:line="360" w:lineRule="auto"/>
              <w:jc w:val="center"/>
              <w:rPr>
                <w:rFonts w:hint="eastAsia" w:ascii="宋体" w:hAnsi="宋体" w:eastAsia="宋体" w:cs="宋体"/>
                <w:sz w:val="24"/>
                <w:szCs w:val="24"/>
              </w:rPr>
            </w:pPr>
            <w:r>
              <w:rPr>
                <w:rFonts w:hint="eastAsia" w:ascii="宋体" w:hAnsi="宋体" w:eastAsia="宋体" w:cs="宋体"/>
                <w:sz w:val="24"/>
                <w:szCs w:val="24"/>
              </w:rPr>
              <w:t>8</w:t>
            </w:r>
          </w:p>
        </w:tc>
        <w:tc>
          <w:tcPr>
            <w:tcW w:w="3975" w:type="dxa"/>
            <w:shd w:val="clear" w:color="auto" w:fill="auto"/>
            <w:noWrap w:val="0"/>
            <w:vAlign w:val="center"/>
          </w:tcPr>
          <w:p w14:paraId="7221D9ED">
            <w:pPr>
              <w:spacing w:line="360" w:lineRule="auto"/>
              <w:jc w:val="center"/>
              <w:rPr>
                <w:rFonts w:hint="eastAsia" w:ascii="宋体" w:hAnsi="宋体" w:eastAsia="宋体" w:cs="宋体"/>
                <w:sz w:val="24"/>
                <w:szCs w:val="24"/>
              </w:rPr>
            </w:pPr>
            <w:r>
              <w:rPr>
                <w:rFonts w:hint="eastAsia" w:ascii="宋体" w:hAnsi="宋体" w:eastAsia="宋体" w:cs="宋体"/>
                <w:sz w:val="24"/>
                <w:szCs w:val="24"/>
              </w:rPr>
              <w:t>高速离心机</w:t>
            </w:r>
          </w:p>
        </w:tc>
        <w:tc>
          <w:tcPr>
            <w:tcW w:w="1188" w:type="dxa"/>
            <w:noWrap w:val="0"/>
            <w:vAlign w:val="center"/>
          </w:tcPr>
          <w:p w14:paraId="257CF803">
            <w:pPr>
              <w:spacing w:line="360" w:lineRule="auto"/>
              <w:jc w:val="center"/>
              <w:rPr>
                <w:rFonts w:hint="eastAsia" w:ascii="宋体" w:hAnsi="宋体" w:eastAsia="宋体" w:cs="宋体"/>
                <w:sz w:val="24"/>
                <w:szCs w:val="24"/>
              </w:rPr>
            </w:pPr>
            <w:r>
              <w:rPr>
                <w:rFonts w:hint="eastAsia" w:ascii="宋体" w:hAnsi="宋体" w:eastAsia="宋体" w:cs="宋体"/>
                <w:color w:val="000000"/>
                <w:sz w:val="24"/>
                <w:szCs w:val="24"/>
              </w:rPr>
              <w:t>1</w:t>
            </w:r>
          </w:p>
        </w:tc>
        <w:tc>
          <w:tcPr>
            <w:tcW w:w="1020" w:type="dxa"/>
            <w:noWrap w:val="0"/>
            <w:vAlign w:val="center"/>
          </w:tcPr>
          <w:p w14:paraId="31C8DBEC">
            <w:pPr>
              <w:spacing w:line="360" w:lineRule="auto"/>
              <w:jc w:val="center"/>
              <w:rPr>
                <w:rFonts w:hint="eastAsia" w:ascii="宋体" w:hAnsi="宋体" w:eastAsia="宋体" w:cs="宋体"/>
                <w:sz w:val="24"/>
                <w:szCs w:val="24"/>
              </w:rPr>
            </w:pPr>
            <w:r>
              <w:rPr>
                <w:rFonts w:hint="eastAsia" w:ascii="宋体" w:hAnsi="宋体" w:eastAsia="宋体" w:cs="宋体"/>
                <w:color w:val="000000"/>
                <w:sz w:val="24"/>
                <w:szCs w:val="24"/>
              </w:rPr>
              <w:t>套</w:t>
            </w:r>
          </w:p>
        </w:tc>
        <w:tc>
          <w:tcPr>
            <w:tcW w:w="1773" w:type="dxa"/>
            <w:noWrap w:val="0"/>
            <w:vAlign w:val="center"/>
          </w:tcPr>
          <w:p w14:paraId="1F0C5444">
            <w:pPr>
              <w:spacing w:line="360" w:lineRule="auto"/>
              <w:jc w:val="center"/>
              <w:rPr>
                <w:rFonts w:hint="eastAsia" w:ascii="宋体" w:hAnsi="宋体" w:eastAsia="宋体" w:cs="宋体"/>
                <w:sz w:val="24"/>
                <w:szCs w:val="24"/>
              </w:rPr>
            </w:pPr>
            <w:r>
              <w:rPr>
                <w:rFonts w:hint="eastAsia" w:ascii="宋体" w:hAnsi="宋体" w:eastAsia="宋体" w:cs="宋体"/>
                <w:color w:val="000000"/>
                <w:sz w:val="24"/>
                <w:szCs w:val="24"/>
              </w:rPr>
              <w:t>标配</w:t>
            </w:r>
          </w:p>
        </w:tc>
      </w:tr>
      <w:tr w14:paraId="0ADBF1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98" w:type="dxa"/>
            <w:shd w:val="clear" w:color="auto" w:fill="auto"/>
            <w:noWrap w:val="0"/>
            <w:vAlign w:val="center"/>
          </w:tcPr>
          <w:p w14:paraId="1B7980FA">
            <w:pPr>
              <w:spacing w:line="360" w:lineRule="auto"/>
              <w:jc w:val="center"/>
              <w:rPr>
                <w:rFonts w:hint="eastAsia" w:ascii="宋体" w:hAnsi="宋体" w:eastAsia="宋体" w:cs="宋体"/>
                <w:sz w:val="24"/>
                <w:szCs w:val="24"/>
              </w:rPr>
            </w:pPr>
            <w:r>
              <w:rPr>
                <w:rFonts w:hint="eastAsia" w:ascii="宋体" w:hAnsi="宋体" w:eastAsia="宋体" w:cs="宋体"/>
                <w:sz w:val="24"/>
                <w:szCs w:val="24"/>
              </w:rPr>
              <w:t>9</w:t>
            </w:r>
          </w:p>
        </w:tc>
        <w:tc>
          <w:tcPr>
            <w:tcW w:w="3975" w:type="dxa"/>
            <w:shd w:val="clear" w:color="auto" w:fill="auto"/>
            <w:noWrap w:val="0"/>
            <w:vAlign w:val="center"/>
          </w:tcPr>
          <w:p w14:paraId="56654B37">
            <w:pPr>
              <w:spacing w:line="360" w:lineRule="auto"/>
              <w:jc w:val="center"/>
              <w:rPr>
                <w:rFonts w:hint="eastAsia" w:ascii="宋体" w:hAnsi="宋体" w:eastAsia="宋体" w:cs="宋体"/>
                <w:sz w:val="24"/>
                <w:szCs w:val="24"/>
              </w:rPr>
            </w:pPr>
            <w:r>
              <w:rPr>
                <w:rFonts w:hint="eastAsia" w:ascii="宋体" w:hAnsi="宋体" w:eastAsia="宋体" w:cs="宋体"/>
                <w:sz w:val="24"/>
                <w:szCs w:val="24"/>
              </w:rPr>
              <w:t>涡旋震荡仪</w:t>
            </w:r>
          </w:p>
        </w:tc>
        <w:tc>
          <w:tcPr>
            <w:tcW w:w="1188" w:type="dxa"/>
            <w:noWrap w:val="0"/>
            <w:vAlign w:val="center"/>
          </w:tcPr>
          <w:p w14:paraId="11D43ADC">
            <w:pPr>
              <w:spacing w:line="360" w:lineRule="auto"/>
              <w:jc w:val="center"/>
              <w:rPr>
                <w:rFonts w:hint="eastAsia" w:ascii="宋体" w:hAnsi="宋体" w:eastAsia="宋体" w:cs="宋体"/>
                <w:sz w:val="24"/>
                <w:szCs w:val="24"/>
              </w:rPr>
            </w:pPr>
            <w:r>
              <w:rPr>
                <w:rFonts w:hint="eastAsia" w:ascii="宋体" w:hAnsi="宋体" w:eastAsia="宋体" w:cs="宋体"/>
                <w:color w:val="000000"/>
                <w:sz w:val="24"/>
                <w:szCs w:val="24"/>
              </w:rPr>
              <w:t>1</w:t>
            </w:r>
          </w:p>
        </w:tc>
        <w:tc>
          <w:tcPr>
            <w:tcW w:w="1020" w:type="dxa"/>
            <w:noWrap w:val="0"/>
            <w:vAlign w:val="center"/>
          </w:tcPr>
          <w:p w14:paraId="122B508C">
            <w:pPr>
              <w:spacing w:line="360" w:lineRule="auto"/>
              <w:jc w:val="center"/>
              <w:rPr>
                <w:rFonts w:hint="eastAsia" w:ascii="宋体" w:hAnsi="宋体" w:eastAsia="宋体" w:cs="宋体"/>
                <w:sz w:val="24"/>
                <w:szCs w:val="24"/>
              </w:rPr>
            </w:pPr>
            <w:r>
              <w:rPr>
                <w:rFonts w:hint="eastAsia" w:ascii="宋体" w:hAnsi="宋体" w:eastAsia="宋体" w:cs="宋体"/>
                <w:color w:val="000000"/>
                <w:sz w:val="24"/>
                <w:szCs w:val="24"/>
              </w:rPr>
              <w:t>台</w:t>
            </w:r>
          </w:p>
        </w:tc>
        <w:tc>
          <w:tcPr>
            <w:tcW w:w="1773" w:type="dxa"/>
            <w:noWrap w:val="0"/>
            <w:vAlign w:val="center"/>
          </w:tcPr>
          <w:p w14:paraId="1CB1D268">
            <w:pPr>
              <w:spacing w:line="360" w:lineRule="auto"/>
              <w:jc w:val="center"/>
              <w:rPr>
                <w:rFonts w:hint="eastAsia" w:ascii="宋体" w:hAnsi="宋体" w:eastAsia="宋体" w:cs="宋体"/>
                <w:sz w:val="24"/>
                <w:szCs w:val="24"/>
              </w:rPr>
            </w:pPr>
            <w:r>
              <w:rPr>
                <w:rFonts w:hint="eastAsia" w:ascii="宋体" w:hAnsi="宋体" w:eastAsia="宋体" w:cs="宋体"/>
                <w:color w:val="000000"/>
                <w:sz w:val="24"/>
                <w:szCs w:val="24"/>
              </w:rPr>
              <w:t>标配</w:t>
            </w:r>
          </w:p>
        </w:tc>
      </w:tr>
      <w:tr w14:paraId="195277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98" w:type="dxa"/>
            <w:noWrap w:val="0"/>
            <w:vAlign w:val="center"/>
          </w:tcPr>
          <w:p w14:paraId="42F8BCDE">
            <w:pPr>
              <w:spacing w:line="360" w:lineRule="auto"/>
              <w:jc w:val="center"/>
              <w:rPr>
                <w:rFonts w:hint="eastAsia" w:ascii="宋体" w:hAnsi="宋体" w:eastAsia="宋体" w:cs="宋体"/>
                <w:sz w:val="24"/>
                <w:szCs w:val="24"/>
              </w:rPr>
            </w:pPr>
            <w:r>
              <w:rPr>
                <w:rFonts w:hint="eastAsia" w:ascii="宋体" w:hAnsi="宋体" w:eastAsia="宋体" w:cs="宋体"/>
                <w:sz w:val="24"/>
                <w:szCs w:val="24"/>
              </w:rPr>
              <w:t>10</w:t>
            </w:r>
          </w:p>
        </w:tc>
        <w:tc>
          <w:tcPr>
            <w:tcW w:w="3975" w:type="dxa"/>
            <w:noWrap w:val="0"/>
            <w:vAlign w:val="center"/>
          </w:tcPr>
          <w:p w14:paraId="20877E39">
            <w:pPr>
              <w:spacing w:line="360" w:lineRule="auto"/>
              <w:jc w:val="center"/>
              <w:rPr>
                <w:rFonts w:hint="eastAsia" w:ascii="宋体" w:hAnsi="宋体" w:eastAsia="宋体" w:cs="宋体"/>
                <w:sz w:val="24"/>
                <w:szCs w:val="24"/>
              </w:rPr>
            </w:pPr>
            <w:r>
              <w:rPr>
                <w:rFonts w:hint="eastAsia" w:ascii="宋体" w:hAnsi="宋体" w:eastAsia="宋体" w:cs="宋体"/>
                <w:color w:val="000000"/>
                <w:sz w:val="24"/>
                <w:szCs w:val="24"/>
              </w:rPr>
              <w:t>采血管低速离心机</w:t>
            </w:r>
          </w:p>
        </w:tc>
        <w:tc>
          <w:tcPr>
            <w:tcW w:w="1188" w:type="dxa"/>
            <w:noWrap w:val="0"/>
            <w:vAlign w:val="center"/>
          </w:tcPr>
          <w:p w14:paraId="6A753E11">
            <w:pPr>
              <w:spacing w:line="360" w:lineRule="auto"/>
              <w:jc w:val="center"/>
              <w:rPr>
                <w:rFonts w:hint="eastAsia" w:ascii="宋体" w:hAnsi="宋体" w:eastAsia="宋体" w:cs="宋体"/>
                <w:sz w:val="24"/>
                <w:szCs w:val="24"/>
              </w:rPr>
            </w:pPr>
            <w:r>
              <w:rPr>
                <w:rFonts w:hint="eastAsia" w:ascii="宋体" w:hAnsi="宋体" w:eastAsia="宋体" w:cs="宋体"/>
                <w:sz w:val="24"/>
                <w:szCs w:val="24"/>
              </w:rPr>
              <w:t>1</w:t>
            </w:r>
          </w:p>
        </w:tc>
        <w:tc>
          <w:tcPr>
            <w:tcW w:w="1020" w:type="dxa"/>
            <w:noWrap w:val="0"/>
            <w:vAlign w:val="center"/>
          </w:tcPr>
          <w:p w14:paraId="760F8CAD">
            <w:pPr>
              <w:spacing w:line="360" w:lineRule="auto"/>
              <w:jc w:val="center"/>
              <w:rPr>
                <w:rFonts w:hint="eastAsia" w:ascii="宋体" w:hAnsi="宋体" w:eastAsia="宋体" w:cs="宋体"/>
                <w:sz w:val="24"/>
                <w:szCs w:val="24"/>
              </w:rPr>
            </w:pPr>
            <w:r>
              <w:rPr>
                <w:rFonts w:hint="eastAsia" w:ascii="宋体" w:hAnsi="宋体" w:eastAsia="宋体" w:cs="宋体"/>
                <w:sz w:val="24"/>
                <w:szCs w:val="24"/>
              </w:rPr>
              <w:t>台</w:t>
            </w:r>
          </w:p>
        </w:tc>
        <w:tc>
          <w:tcPr>
            <w:tcW w:w="1773" w:type="dxa"/>
            <w:noWrap w:val="0"/>
            <w:vAlign w:val="center"/>
          </w:tcPr>
          <w:p w14:paraId="231A2010">
            <w:pPr>
              <w:spacing w:line="360" w:lineRule="auto"/>
              <w:jc w:val="center"/>
              <w:rPr>
                <w:rFonts w:hint="eastAsia" w:ascii="宋体" w:hAnsi="宋体" w:eastAsia="宋体" w:cs="宋体"/>
                <w:sz w:val="24"/>
                <w:szCs w:val="24"/>
              </w:rPr>
            </w:pPr>
            <w:r>
              <w:rPr>
                <w:rFonts w:hint="eastAsia" w:ascii="宋体" w:hAnsi="宋体" w:eastAsia="宋体" w:cs="宋体"/>
                <w:color w:val="000000"/>
                <w:sz w:val="24"/>
                <w:szCs w:val="24"/>
              </w:rPr>
              <w:t>标配</w:t>
            </w:r>
          </w:p>
        </w:tc>
      </w:tr>
    </w:tbl>
    <w:p w14:paraId="0657C32A">
      <w:pPr>
        <w:rPr>
          <w:rFonts w:hint="eastAsia" w:ascii="宋体" w:hAnsi="宋体" w:eastAsia="宋体" w:cs="宋体"/>
          <w:sz w:val="24"/>
          <w:szCs w:val="24"/>
        </w:rPr>
      </w:pPr>
    </w:p>
    <w:p w14:paraId="759F5CEC">
      <w:pPr>
        <w:rPr>
          <w:rFonts w:hint="eastAsia" w:ascii="黑体" w:hAnsi="黑体" w:eastAsia="黑体" w:cs="黑体"/>
          <w:b/>
          <w:bCs/>
          <w:color w:val="auto"/>
          <w:spacing w:val="-1"/>
          <w:sz w:val="28"/>
          <w:szCs w:val="28"/>
          <w:lang w:val="en-US" w:eastAsia="zh-CN"/>
        </w:rPr>
      </w:pPr>
    </w:p>
    <w:p w14:paraId="008683F9">
      <w:pPr>
        <w:rPr>
          <w:rFonts w:hint="eastAsia" w:ascii="黑体" w:hAnsi="黑体" w:eastAsia="黑体" w:cs="黑体"/>
          <w:b/>
          <w:bCs/>
          <w:color w:val="auto"/>
          <w:spacing w:val="-1"/>
          <w:sz w:val="28"/>
          <w:szCs w:val="28"/>
          <w:lang w:val="en-US" w:eastAsia="zh-CN"/>
        </w:rPr>
      </w:pPr>
    </w:p>
    <w:p w14:paraId="79988EA4">
      <w:pPr>
        <w:rPr>
          <w:rFonts w:hint="eastAsia" w:ascii="宋体" w:hAnsi="宋体" w:eastAsia="宋体" w:cs="宋体"/>
          <w:color w:val="auto"/>
          <w:sz w:val="24"/>
          <w:szCs w:val="24"/>
          <w:highlight w:val="none"/>
        </w:rPr>
      </w:pPr>
      <w:r>
        <w:rPr>
          <w:rFonts w:hint="eastAsia" w:ascii="黑体" w:hAnsi="黑体" w:eastAsia="黑体" w:cs="黑体"/>
          <w:b/>
          <w:bCs/>
          <w:color w:val="auto"/>
          <w:spacing w:val="-1"/>
          <w:sz w:val="36"/>
          <w:szCs w:val="36"/>
          <w:lang w:val="en-US" w:eastAsia="zh-CN"/>
        </w:rPr>
        <w:t>注：▲号参数为必须满足参数</w:t>
      </w:r>
      <w:r>
        <w:rPr>
          <w:rFonts w:hint="eastAsia" w:ascii="宋体" w:hAnsi="宋体" w:eastAsia="宋体" w:cs="宋体"/>
          <w:color w:val="auto"/>
          <w:sz w:val="24"/>
          <w:szCs w:val="24"/>
          <w:highlight w:val="none"/>
        </w:rPr>
        <w:br w:type="page"/>
      </w:r>
    </w:p>
    <w:p w14:paraId="304ECD85">
      <w:pPr>
        <w:pStyle w:val="3"/>
        <w:keepNext/>
        <w:keepLines/>
        <w:pageBreakBefore w:val="0"/>
        <w:widowControl/>
        <w:kinsoku/>
        <w:wordWrap/>
        <w:overflowPunct/>
        <w:topLinePunct w:val="0"/>
        <w:autoSpaceDE/>
        <w:autoSpaceDN/>
        <w:bidi w:val="0"/>
        <w:adjustRightInd/>
        <w:snapToGrid/>
        <w:spacing w:before="0" w:after="0" w:line="360" w:lineRule="auto"/>
        <w:jc w:val="center"/>
        <w:textAlignment w:val="auto"/>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第五部分  合同格式</w:t>
      </w:r>
      <w:bookmarkEnd w:id="42"/>
    </w:p>
    <w:p w14:paraId="1EE165FD">
      <w:pPr>
        <w:ind w:right="560"/>
        <w:rPr>
          <w:rFonts w:hint="eastAsia"/>
          <w:color w:val="000000"/>
          <w:sz w:val="28"/>
          <w:szCs w:val="28"/>
        </w:rPr>
      </w:pPr>
    </w:p>
    <w:p w14:paraId="15738033">
      <w:pPr>
        <w:ind w:right="560"/>
        <w:rPr>
          <w:rFonts w:hint="eastAsia"/>
          <w:color w:val="000000"/>
          <w:sz w:val="28"/>
          <w:szCs w:val="28"/>
        </w:rPr>
      </w:pPr>
    </w:p>
    <w:p w14:paraId="38F21B35">
      <w:pPr>
        <w:ind w:right="560"/>
        <w:rPr>
          <w:rFonts w:hint="eastAsia"/>
          <w:color w:val="000000"/>
          <w:sz w:val="28"/>
          <w:szCs w:val="28"/>
        </w:rPr>
      </w:pPr>
    </w:p>
    <w:p w14:paraId="1DBA4C9A">
      <w:pPr>
        <w:ind w:right="560"/>
        <w:rPr>
          <w:rFonts w:hint="eastAsia"/>
          <w:color w:val="000000"/>
          <w:sz w:val="28"/>
          <w:szCs w:val="28"/>
        </w:rPr>
      </w:pPr>
    </w:p>
    <w:p w14:paraId="08E1D1DB">
      <w:pPr>
        <w:ind w:right="560"/>
        <w:rPr>
          <w:color w:val="000000"/>
          <w:sz w:val="28"/>
          <w:szCs w:val="28"/>
        </w:rPr>
      </w:pPr>
      <w:r>
        <w:rPr>
          <w:rFonts w:hint="eastAsia"/>
          <w:color w:val="000000"/>
          <w:sz w:val="28"/>
          <w:szCs w:val="28"/>
        </w:rPr>
        <w:t>项目编号：</w:t>
      </w:r>
    </w:p>
    <w:p w14:paraId="1B3A5CD0">
      <w:pPr>
        <w:ind w:right="560"/>
        <w:rPr>
          <w:color w:val="000000"/>
          <w:sz w:val="28"/>
          <w:szCs w:val="28"/>
        </w:rPr>
      </w:pPr>
    </w:p>
    <w:p w14:paraId="7C45E05E">
      <w:pPr>
        <w:ind w:right="560"/>
        <w:rPr>
          <w:color w:val="000000"/>
          <w:sz w:val="28"/>
          <w:szCs w:val="28"/>
        </w:rPr>
      </w:pPr>
    </w:p>
    <w:p w14:paraId="0790B855">
      <w:pPr>
        <w:jc w:val="right"/>
        <w:rPr>
          <w:color w:val="000000"/>
        </w:rPr>
      </w:pPr>
    </w:p>
    <w:p w14:paraId="3CC3A8E0">
      <w:pPr>
        <w:autoSpaceDE w:val="0"/>
        <w:autoSpaceDN w:val="0"/>
        <w:adjustRightInd w:val="0"/>
        <w:spacing w:line="360" w:lineRule="auto"/>
        <w:jc w:val="center"/>
        <w:rPr>
          <w:rFonts w:ascii="宋体" w:hAnsi="宋体"/>
          <w:b/>
          <w:color w:val="000000"/>
          <w:sz w:val="44"/>
          <w:szCs w:val="44"/>
          <w:lang w:val="zh-CN"/>
        </w:rPr>
      </w:pPr>
      <w:r>
        <w:rPr>
          <w:rFonts w:hint="eastAsia" w:ascii="宋体" w:hAnsi="宋体"/>
          <w:b/>
          <w:color w:val="000000"/>
          <w:sz w:val="44"/>
          <w:szCs w:val="44"/>
          <w:lang w:val="zh-CN"/>
        </w:rPr>
        <w:t>（项目名称）</w:t>
      </w:r>
    </w:p>
    <w:p w14:paraId="1A6FF55F">
      <w:pPr>
        <w:rPr>
          <w:color w:val="000000"/>
        </w:rPr>
      </w:pPr>
    </w:p>
    <w:p w14:paraId="2595B55A">
      <w:pPr>
        <w:rPr>
          <w:color w:val="000000"/>
        </w:rPr>
      </w:pPr>
    </w:p>
    <w:p w14:paraId="6C0007ED">
      <w:pPr>
        <w:rPr>
          <w:color w:val="000000"/>
        </w:rPr>
      </w:pPr>
    </w:p>
    <w:p w14:paraId="18672A6B">
      <w:pPr>
        <w:rPr>
          <w:color w:val="000000"/>
        </w:rPr>
      </w:pPr>
    </w:p>
    <w:p w14:paraId="54E66B1F">
      <w:pPr>
        <w:rPr>
          <w:color w:val="000000"/>
        </w:rPr>
      </w:pPr>
    </w:p>
    <w:p w14:paraId="58EB068C">
      <w:pPr>
        <w:rPr>
          <w:color w:val="000000"/>
        </w:rPr>
      </w:pPr>
    </w:p>
    <w:p w14:paraId="1866EE3F">
      <w:pPr>
        <w:rPr>
          <w:color w:val="000000"/>
        </w:rPr>
      </w:pPr>
    </w:p>
    <w:p w14:paraId="1C293897">
      <w:pPr>
        <w:rPr>
          <w:color w:val="000000"/>
        </w:rPr>
      </w:pPr>
    </w:p>
    <w:p w14:paraId="743D5679">
      <w:pPr>
        <w:autoSpaceDE w:val="0"/>
        <w:autoSpaceDN w:val="0"/>
        <w:adjustRightInd w:val="0"/>
        <w:spacing w:line="360" w:lineRule="auto"/>
        <w:jc w:val="center"/>
        <w:rPr>
          <w:rFonts w:ascii="宋体" w:hAnsi="宋体"/>
          <w:b/>
          <w:color w:val="000000"/>
          <w:sz w:val="52"/>
          <w:szCs w:val="52"/>
          <w:lang w:val="zh-CN"/>
        </w:rPr>
      </w:pPr>
      <w:r>
        <w:rPr>
          <w:rFonts w:hint="eastAsia" w:ascii="宋体" w:hAnsi="宋体"/>
          <w:b/>
          <w:color w:val="000000"/>
          <w:sz w:val="52"/>
          <w:szCs w:val="52"/>
          <w:lang w:val="zh-CN"/>
        </w:rPr>
        <w:t>政府采购货物合同</w:t>
      </w:r>
    </w:p>
    <w:p w14:paraId="2AD8C500">
      <w:pPr>
        <w:rPr>
          <w:color w:val="000000"/>
        </w:rPr>
      </w:pPr>
    </w:p>
    <w:p w14:paraId="35C8FBB1">
      <w:pPr>
        <w:rPr>
          <w:color w:val="000000"/>
        </w:rPr>
      </w:pPr>
    </w:p>
    <w:p w14:paraId="783DEEE5">
      <w:pPr>
        <w:rPr>
          <w:color w:val="000000"/>
        </w:rPr>
      </w:pPr>
    </w:p>
    <w:p w14:paraId="0D78B12E">
      <w:pPr>
        <w:rPr>
          <w:color w:val="000000"/>
        </w:rPr>
      </w:pPr>
    </w:p>
    <w:p w14:paraId="5CE779C8">
      <w:pPr>
        <w:rPr>
          <w:rFonts w:hint="eastAsia"/>
          <w:color w:val="000000"/>
        </w:rPr>
      </w:pPr>
    </w:p>
    <w:p w14:paraId="3980AB0C">
      <w:pPr>
        <w:rPr>
          <w:rFonts w:hint="eastAsia"/>
          <w:color w:val="000000"/>
        </w:rPr>
      </w:pPr>
    </w:p>
    <w:p w14:paraId="796A79FE">
      <w:pPr>
        <w:rPr>
          <w:rFonts w:hint="eastAsia"/>
          <w:color w:val="000000"/>
        </w:rPr>
      </w:pPr>
    </w:p>
    <w:p w14:paraId="00CE85A9">
      <w:pPr>
        <w:rPr>
          <w:color w:val="000000"/>
        </w:rPr>
      </w:pPr>
    </w:p>
    <w:p w14:paraId="7906DBF0">
      <w:pPr>
        <w:rPr>
          <w:color w:val="000000"/>
        </w:rPr>
      </w:pPr>
    </w:p>
    <w:p w14:paraId="19689978">
      <w:pPr>
        <w:rPr>
          <w:color w:val="000000"/>
        </w:rPr>
      </w:pPr>
    </w:p>
    <w:p w14:paraId="1474BACB">
      <w:pPr>
        <w:rPr>
          <w:color w:val="000000"/>
        </w:rPr>
      </w:pPr>
    </w:p>
    <w:p w14:paraId="0EAF2E42">
      <w:pPr>
        <w:rPr>
          <w:color w:val="000000"/>
        </w:rPr>
      </w:pPr>
    </w:p>
    <w:p w14:paraId="3D02BFAF">
      <w:pPr>
        <w:rPr>
          <w:color w:val="000000"/>
        </w:rPr>
      </w:pPr>
    </w:p>
    <w:p w14:paraId="44C20063">
      <w:pPr>
        <w:autoSpaceDE w:val="0"/>
        <w:autoSpaceDN w:val="0"/>
        <w:adjustRightInd w:val="0"/>
        <w:spacing w:line="360" w:lineRule="auto"/>
        <w:rPr>
          <w:rFonts w:ascii="宋体" w:hAnsi="宋体"/>
          <w:b/>
          <w:color w:val="000000"/>
          <w:sz w:val="28"/>
          <w:szCs w:val="28"/>
          <w:u w:val="single"/>
          <w:lang w:val="zh-CN"/>
        </w:rPr>
      </w:pPr>
      <w:r>
        <w:rPr>
          <w:rFonts w:hint="eastAsia" w:ascii="宋体" w:hAnsi="宋体"/>
          <w:b/>
          <w:color w:val="000000"/>
          <w:sz w:val="28"/>
          <w:szCs w:val="28"/>
          <w:lang w:val="zh-CN"/>
        </w:rPr>
        <w:t>需方：</w:t>
      </w:r>
      <w:r>
        <w:rPr>
          <w:rFonts w:hint="eastAsia" w:ascii="宋体" w:hAnsi="宋体"/>
          <w:b/>
          <w:color w:val="000000"/>
          <w:sz w:val="28"/>
          <w:szCs w:val="28"/>
          <w:u w:val="single"/>
          <w:lang w:val="zh-CN"/>
        </w:rPr>
        <w:t xml:space="preserve">                    </w:t>
      </w:r>
    </w:p>
    <w:p w14:paraId="09F4C86C">
      <w:pPr>
        <w:autoSpaceDE w:val="0"/>
        <w:autoSpaceDN w:val="0"/>
        <w:adjustRightInd w:val="0"/>
        <w:spacing w:line="360" w:lineRule="auto"/>
        <w:rPr>
          <w:rFonts w:ascii="宋体" w:hAnsi="宋体"/>
          <w:b/>
          <w:color w:val="000000"/>
          <w:sz w:val="28"/>
          <w:szCs w:val="28"/>
          <w:u w:val="single"/>
          <w:lang w:val="zh-CN"/>
        </w:rPr>
      </w:pPr>
      <w:r>
        <w:rPr>
          <w:rFonts w:hint="eastAsia" w:ascii="宋体" w:hAnsi="宋体"/>
          <w:b/>
          <w:color w:val="000000"/>
          <w:sz w:val="28"/>
          <w:szCs w:val="28"/>
          <w:lang w:val="zh-CN"/>
        </w:rPr>
        <w:t>供方：</w:t>
      </w:r>
      <w:r>
        <w:rPr>
          <w:rFonts w:hint="eastAsia" w:ascii="宋体" w:hAnsi="宋体"/>
          <w:b/>
          <w:color w:val="000000"/>
          <w:sz w:val="28"/>
          <w:szCs w:val="28"/>
          <w:u w:val="single"/>
          <w:lang w:val="zh-CN"/>
        </w:rPr>
        <w:t xml:space="preserve">                    </w:t>
      </w:r>
    </w:p>
    <w:p w14:paraId="23EA71EF">
      <w:pPr>
        <w:autoSpaceDE w:val="0"/>
        <w:autoSpaceDN w:val="0"/>
        <w:adjustRightInd w:val="0"/>
        <w:spacing w:line="360" w:lineRule="auto"/>
        <w:rPr>
          <w:rFonts w:ascii="宋体" w:hAnsi="宋体"/>
          <w:b/>
          <w:color w:val="000000"/>
          <w:sz w:val="28"/>
          <w:szCs w:val="28"/>
          <w:lang w:val="zh-CN"/>
        </w:rPr>
      </w:pPr>
      <w:r>
        <w:rPr>
          <w:rFonts w:hint="eastAsia" w:ascii="宋体" w:hAnsi="宋体"/>
          <w:b/>
          <w:color w:val="000000"/>
          <w:sz w:val="28"/>
          <w:szCs w:val="28"/>
          <w:lang w:val="zh-CN"/>
        </w:rPr>
        <w:t>签订日期：    年  月  日</w:t>
      </w:r>
    </w:p>
    <w:p w14:paraId="710BDA46">
      <w:pPr>
        <w:jc w:val="center"/>
        <w:rPr>
          <w:rFonts w:ascii="宋体" w:hAnsi="宋体"/>
          <w:color w:val="000000"/>
          <w:sz w:val="32"/>
          <w:szCs w:val="32"/>
        </w:rPr>
      </w:pPr>
      <w:r>
        <w:rPr>
          <w:color w:val="000000"/>
          <w:kern w:val="0"/>
        </w:rPr>
        <w:br w:type="page"/>
      </w:r>
      <w:r>
        <w:rPr>
          <w:rFonts w:hint="eastAsia" w:ascii="宋体" w:hAnsi="宋体"/>
          <w:b/>
          <w:color w:val="000000"/>
          <w:sz w:val="44"/>
          <w:szCs w:val="44"/>
        </w:rPr>
        <w:t>政府采购合同通用条款</w:t>
      </w:r>
    </w:p>
    <w:p w14:paraId="0494E20D">
      <w:pPr>
        <w:autoSpaceDE w:val="0"/>
        <w:autoSpaceDN w:val="0"/>
        <w:adjustRightInd w:val="0"/>
        <w:spacing w:line="360" w:lineRule="auto"/>
        <w:ind w:firstLine="482"/>
        <w:rPr>
          <w:rFonts w:ascii="宋体" w:hAnsi="宋体"/>
          <w:b/>
          <w:color w:val="000000"/>
          <w:sz w:val="28"/>
          <w:szCs w:val="28"/>
          <w:lang w:val="zh-CN"/>
        </w:rPr>
      </w:pPr>
      <w:r>
        <w:rPr>
          <w:rFonts w:ascii="宋体" w:hAnsi="宋体"/>
          <w:b/>
          <w:color w:val="000000"/>
          <w:sz w:val="28"/>
          <w:szCs w:val="28"/>
          <w:lang w:val="zh-CN"/>
        </w:rPr>
        <w:t>1</w:t>
      </w:r>
      <w:r>
        <w:rPr>
          <w:rFonts w:hint="eastAsia" w:ascii="宋体" w:hAnsi="宋体"/>
          <w:b/>
          <w:color w:val="000000"/>
          <w:sz w:val="28"/>
          <w:szCs w:val="28"/>
          <w:lang w:val="zh-CN"/>
        </w:rPr>
        <w:t>．定义：</w:t>
      </w:r>
      <w:r>
        <w:rPr>
          <w:rFonts w:hint="eastAsia" w:ascii="宋体" w:hAnsi="宋体"/>
          <w:color w:val="000000"/>
          <w:sz w:val="28"/>
          <w:szCs w:val="28"/>
          <w:lang w:val="zh-CN"/>
        </w:rPr>
        <w:t>除非另有约定，在本合同下列术语按如下定义进行解释：</w:t>
      </w:r>
    </w:p>
    <w:p w14:paraId="0E96F9C1">
      <w:pPr>
        <w:autoSpaceDE w:val="0"/>
        <w:autoSpaceDN w:val="0"/>
        <w:adjustRightInd w:val="0"/>
        <w:spacing w:line="360" w:lineRule="auto"/>
        <w:ind w:firstLine="480"/>
        <w:rPr>
          <w:rFonts w:ascii="宋体" w:hAnsi="宋体"/>
          <w:color w:val="000000"/>
          <w:sz w:val="28"/>
          <w:szCs w:val="28"/>
          <w:lang w:val="zh-CN"/>
        </w:rPr>
      </w:pPr>
      <w:r>
        <w:rPr>
          <w:rFonts w:hint="eastAsia" w:ascii="宋体" w:hAnsi="宋体"/>
          <w:color w:val="000000"/>
          <w:sz w:val="28"/>
          <w:szCs w:val="28"/>
          <w:lang w:val="zh-CN"/>
        </w:rPr>
        <w:t>（</w:t>
      </w:r>
      <w:r>
        <w:rPr>
          <w:rFonts w:ascii="宋体" w:hAnsi="宋体"/>
          <w:color w:val="000000"/>
          <w:sz w:val="28"/>
          <w:szCs w:val="28"/>
          <w:lang w:val="zh-CN"/>
        </w:rPr>
        <w:t>1</w:t>
      </w:r>
      <w:r>
        <w:rPr>
          <w:rFonts w:hint="eastAsia" w:ascii="宋体" w:hAnsi="宋体"/>
          <w:color w:val="000000"/>
          <w:sz w:val="28"/>
          <w:szCs w:val="28"/>
          <w:lang w:val="zh-CN"/>
        </w:rPr>
        <w:t>）</w:t>
      </w:r>
      <w:r>
        <w:rPr>
          <w:rFonts w:ascii="宋体" w:hAnsi="宋体"/>
          <w:color w:val="000000"/>
          <w:sz w:val="28"/>
          <w:szCs w:val="28"/>
        </w:rPr>
        <w:t>“</w:t>
      </w:r>
      <w:r>
        <w:rPr>
          <w:rFonts w:hint="eastAsia" w:ascii="宋体" w:hAnsi="宋体"/>
          <w:color w:val="000000"/>
          <w:sz w:val="28"/>
          <w:szCs w:val="28"/>
          <w:lang w:val="zh-CN"/>
        </w:rPr>
        <w:t>合同</w:t>
      </w:r>
      <w:r>
        <w:rPr>
          <w:rFonts w:ascii="宋体" w:hAnsi="宋体"/>
          <w:color w:val="000000"/>
          <w:sz w:val="28"/>
          <w:szCs w:val="28"/>
        </w:rPr>
        <w:t>”</w:t>
      </w:r>
      <w:r>
        <w:rPr>
          <w:rFonts w:hint="eastAsia" w:ascii="宋体" w:hAnsi="宋体"/>
          <w:color w:val="000000"/>
          <w:sz w:val="28"/>
          <w:szCs w:val="28"/>
          <w:lang w:val="zh-CN"/>
        </w:rPr>
        <w:t>指供需双方签署的、在合同中载明的合同各方所达成的协议，包括构成合同的所有附件、附录和其他文件。</w:t>
      </w:r>
    </w:p>
    <w:p w14:paraId="69BFD838">
      <w:pPr>
        <w:autoSpaceDE w:val="0"/>
        <w:autoSpaceDN w:val="0"/>
        <w:adjustRightInd w:val="0"/>
        <w:spacing w:line="360" w:lineRule="auto"/>
        <w:ind w:firstLine="480"/>
        <w:rPr>
          <w:rFonts w:ascii="宋体" w:hAnsi="宋体"/>
          <w:color w:val="000000"/>
          <w:sz w:val="28"/>
          <w:szCs w:val="28"/>
          <w:lang w:val="zh-CN"/>
        </w:rPr>
      </w:pPr>
      <w:r>
        <w:rPr>
          <w:rFonts w:hint="eastAsia" w:ascii="宋体" w:hAnsi="宋体"/>
          <w:color w:val="000000"/>
          <w:sz w:val="28"/>
          <w:szCs w:val="28"/>
          <w:lang w:val="zh-CN"/>
        </w:rPr>
        <w:t>（</w:t>
      </w:r>
      <w:r>
        <w:rPr>
          <w:rFonts w:ascii="宋体" w:hAnsi="宋体"/>
          <w:color w:val="000000"/>
          <w:sz w:val="28"/>
          <w:szCs w:val="28"/>
          <w:lang w:val="zh-CN"/>
        </w:rPr>
        <w:t>2</w:t>
      </w:r>
      <w:r>
        <w:rPr>
          <w:rFonts w:hint="eastAsia" w:ascii="宋体" w:hAnsi="宋体"/>
          <w:color w:val="000000"/>
          <w:sz w:val="28"/>
          <w:szCs w:val="28"/>
          <w:lang w:val="zh-CN"/>
        </w:rPr>
        <w:t>）</w:t>
      </w:r>
      <w:r>
        <w:rPr>
          <w:rFonts w:ascii="宋体" w:hAnsi="宋体"/>
          <w:color w:val="000000"/>
          <w:sz w:val="28"/>
          <w:szCs w:val="28"/>
        </w:rPr>
        <w:t>“</w:t>
      </w:r>
      <w:r>
        <w:rPr>
          <w:rFonts w:hint="eastAsia" w:ascii="宋体" w:hAnsi="宋体"/>
          <w:color w:val="000000"/>
          <w:sz w:val="28"/>
          <w:szCs w:val="28"/>
          <w:lang w:val="zh-CN"/>
        </w:rPr>
        <w:t>附件、附录</w:t>
      </w:r>
      <w:r>
        <w:rPr>
          <w:rFonts w:ascii="宋体" w:hAnsi="宋体"/>
          <w:color w:val="000000"/>
          <w:sz w:val="28"/>
          <w:szCs w:val="28"/>
        </w:rPr>
        <w:t>”</w:t>
      </w:r>
      <w:r>
        <w:rPr>
          <w:rFonts w:hint="eastAsia" w:ascii="宋体" w:hAnsi="宋体"/>
          <w:color w:val="000000"/>
          <w:sz w:val="28"/>
          <w:szCs w:val="28"/>
          <w:lang w:val="zh-CN"/>
        </w:rPr>
        <w:t>指与本合同的订立、履行有关的，经供需双方认可的，对本合同约定内容进行细化、补充、修改、变更等的文件资料。</w:t>
      </w:r>
    </w:p>
    <w:p w14:paraId="38CA952F">
      <w:pPr>
        <w:autoSpaceDE w:val="0"/>
        <w:autoSpaceDN w:val="0"/>
        <w:adjustRightInd w:val="0"/>
        <w:spacing w:line="360" w:lineRule="auto"/>
        <w:ind w:firstLine="480"/>
        <w:rPr>
          <w:rFonts w:ascii="宋体" w:hAnsi="宋体"/>
          <w:color w:val="000000"/>
          <w:sz w:val="28"/>
          <w:szCs w:val="28"/>
          <w:lang w:val="zh-CN"/>
        </w:rPr>
      </w:pPr>
      <w:r>
        <w:rPr>
          <w:rFonts w:hint="eastAsia" w:ascii="宋体" w:hAnsi="宋体"/>
          <w:color w:val="000000"/>
          <w:sz w:val="28"/>
          <w:szCs w:val="28"/>
          <w:lang w:val="zh-CN"/>
        </w:rPr>
        <w:t>（</w:t>
      </w:r>
      <w:r>
        <w:rPr>
          <w:rFonts w:ascii="宋体" w:hAnsi="宋体"/>
          <w:color w:val="000000"/>
          <w:sz w:val="28"/>
          <w:szCs w:val="28"/>
          <w:lang w:val="zh-CN"/>
        </w:rPr>
        <w:t>3</w:t>
      </w:r>
      <w:r>
        <w:rPr>
          <w:rFonts w:hint="eastAsia" w:ascii="宋体" w:hAnsi="宋体"/>
          <w:color w:val="000000"/>
          <w:sz w:val="28"/>
          <w:szCs w:val="28"/>
          <w:lang w:val="zh-CN"/>
        </w:rPr>
        <w:t>）</w:t>
      </w:r>
      <w:r>
        <w:rPr>
          <w:rFonts w:ascii="宋体" w:hAnsi="宋体"/>
          <w:color w:val="000000"/>
          <w:sz w:val="28"/>
          <w:szCs w:val="28"/>
        </w:rPr>
        <w:t>“</w:t>
      </w:r>
      <w:r>
        <w:rPr>
          <w:rFonts w:hint="eastAsia" w:ascii="宋体" w:hAnsi="宋体"/>
          <w:color w:val="000000"/>
          <w:sz w:val="28"/>
          <w:szCs w:val="28"/>
          <w:lang w:val="zh-CN"/>
        </w:rPr>
        <w:t>合同价格</w:t>
      </w:r>
      <w:r>
        <w:rPr>
          <w:rFonts w:ascii="宋体" w:hAnsi="宋体"/>
          <w:color w:val="000000"/>
          <w:sz w:val="28"/>
          <w:szCs w:val="28"/>
        </w:rPr>
        <w:t>”</w:t>
      </w:r>
      <w:r>
        <w:rPr>
          <w:rFonts w:hint="eastAsia" w:ascii="宋体" w:hAnsi="宋体"/>
          <w:color w:val="000000"/>
          <w:sz w:val="28"/>
          <w:szCs w:val="28"/>
          <w:lang w:val="zh-CN"/>
        </w:rPr>
        <w:t>指根据合同规定供方正确地完全履行合同义务后需方应支付给供方的价格。</w:t>
      </w:r>
    </w:p>
    <w:p w14:paraId="52439A80">
      <w:pPr>
        <w:autoSpaceDE w:val="0"/>
        <w:autoSpaceDN w:val="0"/>
        <w:adjustRightInd w:val="0"/>
        <w:spacing w:line="360" w:lineRule="auto"/>
        <w:ind w:firstLine="480"/>
        <w:rPr>
          <w:rFonts w:ascii="宋体" w:hAnsi="宋体"/>
          <w:color w:val="000000"/>
          <w:sz w:val="28"/>
          <w:szCs w:val="28"/>
          <w:lang w:val="zh-CN"/>
        </w:rPr>
      </w:pPr>
      <w:r>
        <w:rPr>
          <w:rFonts w:hint="eastAsia" w:ascii="宋体" w:hAnsi="宋体"/>
          <w:color w:val="000000"/>
          <w:sz w:val="28"/>
          <w:szCs w:val="28"/>
          <w:lang w:val="zh-CN"/>
        </w:rPr>
        <w:t>（</w:t>
      </w:r>
      <w:r>
        <w:rPr>
          <w:rFonts w:ascii="宋体" w:hAnsi="宋体"/>
          <w:color w:val="000000"/>
          <w:sz w:val="28"/>
          <w:szCs w:val="28"/>
          <w:lang w:val="zh-CN"/>
        </w:rPr>
        <w:t>4</w:t>
      </w:r>
      <w:r>
        <w:rPr>
          <w:rFonts w:hint="eastAsia" w:ascii="宋体" w:hAnsi="宋体"/>
          <w:color w:val="000000"/>
          <w:sz w:val="28"/>
          <w:szCs w:val="28"/>
          <w:lang w:val="zh-CN"/>
        </w:rPr>
        <w:t>）</w:t>
      </w:r>
      <w:r>
        <w:rPr>
          <w:rFonts w:ascii="宋体" w:hAnsi="宋体"/>
          <w:color w:val="000000"/>
          <w:sz w:val="28"/>
          <w:szCs w:val="28"/>
        </w:rPr>
        <w:t>“</w:t>
      </w:r>
      <w:r>
        <w:rPr>
          <w:rFonts w:hint="eastAsia" w:ascii="宋体" w:hAnsi="宋体"/>
          <w:color w:val="000000"/>
          <w:sz w:val="28"/>
          <w:szCs w:val="28"/>
          <w:lang w:val="zh-CN"/>
        </w:rPr>
        <w:t>货物</w:t>
      </w:r>
      <w:r>
        <w:rPr>
          <w:rFonts w:ascii="宋体" w:hAnsi="宋体"/>
          <w:color w:val="000000"/>
          <w:sz w:val="28"/>
          <w:szCs w:val="28"/>
        </w:rPr>
        <w:t>”</w:t>
      </w:r>
      <w:r>
        <w:rPr>
          <w:rFonts w:hint="eastAsia" w:ascii="宋体" w:hAnsi="宋体"/>
          <w:color w:val="000000"/>
          <w:sz w:val="28"/>
          <w:szCs w:val="28"/>
          <w:lang w:val="zh-CN"/>
        </w:rPr>
        <w:t>指根据合同规定供方须向需方提供的一切材料、设备、机械、仪表、备件、工具和</w:t>
      </w:r>
      <w:r>
        <w:rPr>
          <w:rFonts w:ascii="宋体" w:hAnsi="宋体"/>
          <w:color w:val="000000"/>
          <w:sz w:val="28"/>
          <w:szCs w:val="28"/>
          <w:lang w:val="zh-CN"/>
        </w:rPr>
        <w:t>/</w:t>
      </w:r>
      <w:r>
        <w:rPr>
          <w:rFonts w:hint="eastAsia" w:ascii="宋体" w:hAnsi="宋体"/>
          <w:color w:val="000000"/>
          <w:sz w:val="28"/>
          <w:szCs w:val="28"/>
          <w:lang w:val="zh-CN"/>
        </w:rPr>
        <w:t>或其它材料。</w:t>
      </w:r>
    </w:p>
    <w:p w14:paraId="012BB416">
      <w:pPr>
        <w:autoSpaceDE w:val="0"/>
        <w:autoSpaceDN w:val="0"/>
        <w:adjustRightInd w:val="0"/>
        <w:spacing w:line="360" w:lineRule="auto"/>
        <w:ind w:firstLine="480"/>
        <w:rPr>
          <w:rFonts w:ascii="宋体" w:hAnsi="宋体"/>
          <w:color w:val="000000"/>
          <w:sz w:val="28"/>
          <w:szCs w:val="28"/>
          <w:lang w:val="zh-CN"/>
        </w:rPr>
      </w:pPr>
      <w:r>
        <w:rPr>
          <w:rFonts w:hint="eastAsia" w:ascii="宋体" w:hAnsi="宋体"/>
          <w:color w:val="000000"/>
          <w:sz w:val="28"/>
          <w:szCs w:val="28"/>
          <w:lang w:val="zh-CN"/>
        </w:rPr>
        <w:t>（</w:t>
      </w:r>
      <w:r>
        <w:rPr>
          <w:rFonts w:ascii="宋体" w:hAnsi="宋体"/>
          <w:color w:val="000000"/>
          <w:sz w:val="28"/>
          <w:szCs w:val="28"/>
          <w:lang w:val="zh-CN"/>
        </w:rPr>
        <w:t>5</w:t>
      </w:r>
      <w:r>
        <w:rPr>
          <w:rFonts w:hint="eastAsia" w:ascii="宋体" w:hAnsi="宋体"/>
          <w:color w:val="000000"/>
          <w:sz w:val="28"/>
          <w:szCs w:val="28"/>
          <w:lang w:val="zh-CN"/>
        </w:rPr>
        <w:t>）</w:t>
      </w:r>
      <w:r>
        <w:rPr>
          <w:rFonts w:ascii="宋体" w:hAnsi="宋体"/>
          <w:color w:val="000000"/>
          <w:sz w:val="28"/>
          <w:szCs w:val="28"/>
        </w:rPr>
        <w:t>“</w:t>
      </w:r>
      <w:r>
        <w:rPr>
          <w:rFonts w:hint="eastAsia" w:ascii="宋体" w:hAnsi="宋体"/>
          <w:color w:val="000000"/>
          <w:sz w:val="28"/>
          <w:szCs w:val="28"/>
          <w:lang w:val="zh-CN"/>
        </w:rPr>
        <w:t>服务</w:t>
      </w:r>
      <w:r>
        <w:rPr>
          <w:rFonts w:ascii="宋体" w:hAnsi="宋体"/>
          <w:color w:val="000000"/>
          <w:sz w:val="28"/>
          <w:szCs w:val="28"/>
        </w:rPr>
        <w:t>”</w:t>
      </w:r>
      <w:r>
        <w:rPr>
          <w:rFonts w:hint="eastAsia" w:ascii="宋体" w:hAnsi="宋体"/>
          <w:color w:val="000000"/>
          <w:sz w:val="28"/>
          <w:szCs w:val="28"/>
          <w:lang w:val="zh-CN"/>
        </w:rPr>
        <w:t>指根据合同规定供方承担的与供货和履行合同有关的辅助服务。</w:t>
      </w:r>
    </w:p>
    <w:p w14:paraId="5F83F949">
      <w:pPr>
        <w:autoSpaceDE w:val="0"/>
        <w:autoSpaceDN w:val="0"/>
        <w:adjustRightInd w:val="0"/>
        <w:spacing w:line="360" w:lineRule="auto"/>
        <w:ind w:firstLine="480"/>
        <w:rPr>
          <w:rFonts w:ascii="宋体" w:hAnsi="宋体"/>
          <w:color w:val="000000"/>
          <w:sz w:val="28"/>
          <w:szCs w:val="28"/>
          <w:lang w:val="zh-CN"/>
        </w:rPr>
      </w:pPr>
      <w:r>
        <w:rPr>
          <w:rFonts w:hint="eastAsia" w:ascii="宋体" w:hAnsi="宋体"/>
          <w:color w:val="000000"/>
          <w:sz w:val="28"/>
          <w:szCs w:val="28"/>
          <w:lang w:val="zh-CN"/>
        </w:rPr>
        <w:t>（</w:t>
      </w:r>
      <w:r>
        <w:rPr>
          <w:rFonts w:ascii="宋体" w:hAnsi="宋体"/>
          <w:color w:val="000000"/>
          <w:sz w:val="28"/>
          <w:szCs w:val="28"/>
          <w:lang w:val="zh-CN"/>
        </w:rPr>
        <w:t>6</w:t>
      </w:r>
      <w:r>
        <w:rPr>
          <w:rFonts w:hint="eastAsia" w:ascii="宋体" w:hAnsi="宋体"/>
          <w:color w:val="000000"/>
          <w:sz w:val="28"/>
          <w:szCs w:val="28"/>
          <w:lang w:val="zh-CN"/>
        </w:rPr>
        <w:t>）</w:t>
      </w:r>
      <w:r>
        <w:rPr>
          <w:rFonts w:ascii="宋体" w:hAnsi="宋体"/>
          <w:color w:val="000000"/>
          <w:sz w:val="28"/>
          <w:szCs w:val="28"/>
        </w:rPr>
        <w:t>“</w:t>
      </w:r>
      <w:r>
        <w:rPr>
          <w:rFonts w:hint="eastAsia" w:ascii="宋体" w:hAnsi="宋体"/>
          <w:color w:val="000000"/>
          <w:sz w:val="28"/>
          <w:szCs w:val="28"/>
          <w:lang w:val="zh-CN"/>
        </w:rPr>
        <w:t>需方</w:t>
      </w:r>
      <w:r>
        <w:rPr>
          <w:rFonts w:ascii="宋体" w:hAnsi="宋体"/>
          <w:color w:val="000000"/>
          <w:sz w:val="28"/>
          <w:szCs w:val="28"/>
        </w:rPr>
        <w:t>”</w:t>
      </w:r>
      <w:r>
        <w:rPr>
          <w:rFonts w:hint="eastAsia" w:ascii="宋体" w:hAnsi="宋体"/>
          <w:color w:val="000000"/>
          <w:sz w:val="28"/>
          <w:szCs w:val="28"/>
          <w:lang w:val="zh-CN"/>
        </w:rPr>
        <w:t>指政府采购货物和服务的使用单位。</w:t>
      </w:r>
    </w:p>
    <w:p w14:paraId="38A4DDBA">
      <w:pPr>
        <w:autoSpaceDE w:val="0"/>
        <w:autoSpaceDN w:val="0"/>
        <w:adjustRightInd w:val="0"/>
        <w:spacing w:line="360" w:lineRule="auto"/>
        <w:ind w:firstLine="480"/>
        <w:rPr>
          <w:rFonts w:ascii="宋体" w:hAnsi="宋体"/>
          <w:color w:val="000000"/>
          <w:sz w:val="28"/>
          <w:szCs w:val="28"/>
          <w:lang w:val="zh-CN"/>
        </w:rPr>
      </w:pPr>
      <w:r>
        <w:rPr>
          <w:rFonts w:hint="eastAsia" w:ascii="宋体" w:hAnsi="宋体"/>
          <w:color w:val="000000"/>
          <w:sz w:val="28"/>
          <w:szCs w:val="28"/>
          <w:lang w:val="zh-CN"/>
        </w:rPr>
        <w:t>（</w:t>
      </w:r>
      <w:r>
        <w:rPr>
          <w:rFonts w:ascii="宋体" w:hAnsi="宋体"/>
          <w:color w:val="000000"/>
          <w:sz w:val="28"/>
          <w:szCs w:val="28"/>
          <w:lang w:val="zh-CN"/>
        </w:rPr>
        <w:t>7</w:t>
      </w:r>
      <w:r>
        <w:rPr>
          <w:rFonts w:hint="eastAsia" w:ascii="宋体" w:hAnsi="宋体"/>
          <w:color w:val="000000"/>
          <w:sz w:val="28"/>
          <w:szCs w:val="28"/>
          <w:lang w:val="zh-CN"/>
        </w:rPr>
        <w:t>）</w:t>
      </w:r>
      <w:r>
        <w:rPr>
          <w:rFonts w:ascii="宋体" w:hAnsi="宋体"/>
          <w:color w:val="000000"/>
          <w:sz w:val="28"/>
          <w:szCs w:val="28"/>
        </w:rPr>
        <w:t>“</w:t>
      </w:r>
      <w:r>
        <w:rPr>
          <w:rFonts w:hint="eastAsia" w:ascii="宋体" w:hAnsi="宋体"/>
          <w:color w:val="000000"/>
          <w:sz w:val="28"/>
          <w:szCs w:val="28"/>
          <w:lang w:val="zh-CN"/>
        </w:rPr>
        <w:t>供方</w:t>
      </w:r>
      <w:r>
        <w:rPr>
          <w:rFonts w:ascii="宋体" w:hAnsi="宋体"/>
          <w:color w:val="000000"/>
          <w:sz w:val="28"/>
          <w:szCs w:val="28"/>
        </w:rPr>
        <w:t>”</w:t>
      </w:r>
      <w:r>
        <w:rPr>
          <w:rFonts w:hint="eastAsia" w:ascii="宋体" w:hAnsi="宋体"/>
          <w:color w:val="000000"/>
          <w:sz w:val="28"/>
          <w:szCs w:val="28"/>
          <w:lang w:val="zh-CN"/>
        </w:rPr>
        <w:t>指按照合同规定向需方提供货物和服务的公司或实体。</w:t>
      </w:r>
    </w:p>
    <w:p w14:paraId="030834ED">
      <w:pPr>
        <w:autoSpaceDE w:val="0"/>
        <w:autoSpaceDN w:val="0"/>
        <w:adjustRightInd w:val="0"/>
        <w:spacing w:line="360" w:lineRule="auto"/>
        <w:ind w:firstLine="480"/>
        <w:rPr>
          <w:rFonts w:ascii="宋体" w:hAnsi="宋体"/>
          <w:color w:val="000000"/>
          <w:sz w:val="28"/>
          <w:szCs w:val="28"/>
          <w:lang w:val="zh-CN"/>
        </w:rPr>
      </w:pPr>
      <w:r>
        <w:rPr>
          <w:rFonts w:hint="eastAsia" w:ascii="宋体" w:hAnsi="宋体"/>
          <w:color w:val="000000"/>
          <w:sz w:val="28"/>
          <w:szCs w:val="28"/>
          <w:lang w:val="zh-CN"/>
        </w:rPr>
        <w:t>（</w:t>
      </w:r>
      <w:r>
        <w:rPr>
          <w:rFonts w:ascii="宋体" w:hAnsi="宋体"/>
          <w:color w:val="000000"/>
          <w:sz w:val="28"/>
          <w:szCs w:val="28"/>
          <w:lang w:val="zh-CN"/>
        </w:rPr>
        <w:t>8</w:t>
      </w:r>
      <w:r>
        <w:rPr>
          <w:rFonts w:hint="eastAsia" w:ascii="宋体" w:hAnsi="宋体"/>
          <w:color w:val="000000"/>
          <w:sz w:val="28"/>
          <w:szCs w:val="28"/>
          <w:lang w:val="zh-CN"/>
        </w:rPr>
        <w:t>）</w:t>
      </w:r>
      <w:r>
        <w:rPr>
          <w:rFonts w:ascii="宋体" w:hAnsi="宋体"/>
          <w:color w:val="000000"/>
          <w:sz w:val="28"/>
          <w:szCs w:val="28"/>
        </w:rPr>
        <w:t>“</w:t>
      </w:r>
      <w:r>
        <w:rPr>
          <w:rFonts w:hint="eastAsia" w:ascii="宋体" w:hAnsi="宋体"/>
          <w:color w:val="000000"/>
          <w:sz w:val="28"/>
          <w:szCs w:val="28"/>
          <w:lang w:val="zh-CN"/>
        </w:rPr>
        <w:t>第三方</w:t>
      </w:r>
      <w:r>
        <w:rPr>
          <w:rFonts w:ascii="宋体" w:hAnsi="宋体"/>
          <w:color w:val="000000"/>
          <w:sz w:val="28"/>
          <w:szCs w:val="28"/>
        </w:rPr>
        <w:t>”</w:t>
      </w:r>
      <w:r>
        <w:rPr>
          <w:rFonts w:hint="eastAsia" w:ascii="宋体" w:hAnsi="宋体"/>
          <w:color w:val="000000"/>
          <w:sz w:val="28"/>
          <w:szCs w:val="28"/>
          <w:lang w:val="zh-CN"/>
        </w:rPr>
        <w:t>指本合同以外的任何中国境内、境外的法人、自然人或其他组织。</w:t>
      </w:r>
    </w:p>
    <w:p w14:paraId="6AD895DD">
      <w:pPr>
        <w:autoSpaceDE w:val="0"/>
        <w:autoSpaceDN w:val="0"/>
        <w:adjustRightInd w:val="0"/>
        <w:spacing w:line="360" w:lineRule="auto"/>
        <w:ind w:firstLine="480"/>
        <w:rPr>
          <w:rFonts w:ascii="宋体" w:hAnsi="宋体"/>
          <w:color w:val="000000"/>
          <w:sz w:val="28"/>
          <w:szCs w:val="28"/>
          <w:lang w:val="zh-CN"/>
        </w:rPr>
      </w:pPr>
      <w:r>
        <w:rPr>
          <w:rFonts w:hint="eastAsia" w:ascii="宋体" w:hAnsi="宋体"/>
          <w:color w:val="000000"/>
          <w:sz w:val="28"/>
          <w:szCs w:val="28"/>
          <w:lang w:val="zh-CN"/>
        </w:rPr>
        <w:t>（</w:t>
      </w:r>
      <w:r>
        <w:rPr>
          <w:rFonts w:ascii="宋体" w:hAnsi="宋体"/>
          <w:color w:val="000000"/>
          <w:sz w:val="28"/>
          <w:szCs w:val="28"/>
          <w:lang w:val="zh-CN"/>
        </w:rPr>
        <w:t>9</w:t>
      </w:r>
      <w:r>
        <w:rPr>
          <w:rFonts w:hint="eastAsia" w:ascii="宋体" w:hAnsi="宋体"/>
          <w:color w:val="000000"/>
          <w:sz w:val="28"/>
          <w:szCs w:val="28"/>
          <w:lang w:val="zh-CN"/>
        </w:rPr>
        <w:t>）</w:t>
      </w:r>
      <w:r>
        <w:rPr>
          <w:rFonts w:ascii="宋体" w:hAnsi="宋体"/>
          <w:color w:val="000000"/>
          <w:sz w:val="28"/>
          <w:szCs w:val="28"/>
        </w:rPr>
        <w:t>“</w:t>
      </w:r>
      <w:r>
        <w:rPr>
          <w:rFonts w:hint="eastAsia" w:ascii="宋体" w:hAnsi="宋体"/>
          <w:color w:val="000000"/>
          <w:sz w:val="28"/>
          <w:szCs w:val="28"/>
          <w:lang w:val="zh-CN"/>
        </w:rPr>
        <w:t>日、天</w:t>
      </w:r>
      <w:r>
        <w:rPr>
          <w:rFonts w:ascii="宋体" w:hAnsi="宋体"/>
          <w:color w:val="000000"/>
          <w:sz w:val="28"/>
          <w:szCs w:val="28"/>
        </w:rPr>
        <w:t>”</w:t>
      </w:r>
      <w:r>
        <w:rPr>
          <w:rFonts w:hint="eastAsia" w:ascii="宋体" w:hAnsi="宋体"/>
          <w:color w:val="000000"/>
          <w:sz w:val="28"/>
          <w:szCs w:val="28"/>
          <w:lang w:val="zh-CN"/>
        </w:rPr>
        <w:t>均指日历天数。</w:t>
      </w:r>
    </w:p>
    <w:p w14:paraId="205C24C7">
      <w:pPr>
        <w:autoSpaceDE w:val="0"/>
        <w:autoSpaceDN w:val="0"/>
        <w:adjustRightInd w:val="0"/>
        <w:spacing w:line="360" w:lineRule="auto"/>
        <w:ind w:firstLine="480"/>
        <w:rPr>
          <w:rFonts w:ascii="宋体" w:hAnsi="宋体"/>
          <w:color w:val="000000"/>
          <w:sz w:val="28"/>
          <w:szCs w:val="28"/>
          <w:lang w:val="zh-CN"/>
        </w:rPr>
      </w:pPr>
      <w:r>
        <w:rPr>
          <w:rFonts w:hint="eastAsia" w:ascii="宋体" w:hAnsi="宋体"/>
          <w:color w:val="000000"/>
          <w:sz w:val="28"/>
          <w:szCs w:val="28"/>
          <w:lang w:val="zh-CN"/>
        </w:rPr>
        <w:t>（</w:t>
      </w:r>
      <w:r>
        <w:rPr>
          <w:rFonts w:ascii="宋体" w:hAnsi="宋体"/>
          <w:color w:val="000000"/>
          <w:sz w:val="28"/>
          <w:szCs w:val="28"/>
          <w:lang w:val="zh-CN"/>
        </w:rPr>
        <w:t>10</w:t>
      </w:r>
      <w:r>
        <w:rPr>
          <w:rFonts w:hint="eastAsia" w:ascii="宋体" w:hAnsi="宋体"/>
          <w:color w:val="000000"/>
          <w:sz w:val="28"/>
          <w:szCs w:val="28"/>
          <w:lang w:val="zh-CN"/>
        </w:rPr>
        <w:t>）</w:t>
      </w:r>
      <w:r>
        <w:rPr>
          <w:rFonts w:ascii="宋体" w:hAnsi="宋体"/>
          <w:color w:val="000000"/>
          <w:sz w:val="28"/>
          <w:szCs w:val="28"/>
        </w:rPr>
        <w:t>“</w:t>
      </w:r>
      <w:r>
        <w:rPr>
          <w:rFonts w:hint="eastAsia" w:ascii="宋体" w:hAnsi="宋体"/>
          <w:color w:val="000000"/>
          <w:sz w:val="28"/>
          <w:szCs w:val="28"/>
          <w:lang w:val="zh-CN"/>
        </w:rPr>
        <w:t>工作日</w:t>
      </w:r>
      <w:r>
        <w:rPr>
          <w:rFonts w:ascii="宋体" w:hAnsi="宋体"/>
          <w:color w:val="000000"/>
          <w:sz w:val="28"/>
          <w:szCs w:val="28"/>
        </w:rPr>
        <w:t>”</w:t>
      </w:r>
      <w:r>
        <w:rPr>
          <w:rFonts w:hint="eastAsia" w:ascii="宋体" w:hAnsi="宋体"/>
          <w:color w:val="000000"/>
          <w:sz w:val="28"/>
          <w:szCs w:val="28"/>
          <w:lang w:val="zh-CN"/>
        </w:rPr>
        <w:t>指扣除公休日和国家法定节假日以外的日历日。</w:t>
      </w:r>
    </w:p>
    <w:p w14:paraId="2D5FB7E7">
      <w:pPr>
        <w:autoSpaceDE w:val="0"/>
        <w:autoSpaceDN w:val="0"/>
        <w:adjustRightInd w:val="0"/>
        <w:spacing w:line="360" w:lineRule="auto"/>
        <w:ind w:firstLine="482"/>
        <w:rPr>
          <w:color w:val="000000"/>
          <w:sz w:val="28"/>
          <w:szCs w:val="28"/>
          <w:u w:val="single"/>
        </w:rPr>
      </w:pPr>
      <w:r>
        <w:rPr>
          <w:rFonts w:ascii="宋体" w:hAnsi="宋体"/>
          <w:b/>
          <w:color w:val="000000"/>
          <w:sz w:val="28"/>
          <w:szCs w:val="28"/>
          <w:lang w:val="zh-CN"/>
        </w:rPr>
        <w:t>2</w:t>
      </w:r>
      <w:r>
        <w:rPr>
          <w:rFonts w:hint="eastAsia" w:ascii="宋体" w:hAnsi="宋体"/>
          <w:b/>
          <w:color w:val="000000"/>
          <w:sz w:val="28"/>
          <w:szCs w:val="28"/>
          <w:lang w:val="zh-CN"/>
        </w:rPr>
        <w:t>．适用范围：</w:t>
      </w:r>
      <w:r>
        <w:rPr>
          <w:rFonts w:hint="eastAsia" w:ascii="宋体" w:hAnsi="宋体"/>
          <w:color w:val="000000"/>
          <w:sz w:val="28"/>
          <w:szCs w:val="28"/>
          <w:lang w:val="zh-CN"/>
        </w:rPr>
        <w:t>本合同条款仅适用</w:t>
      </w:r>
      <w:r>
        <w:rPr>
          <w:rFonts w:hint="eastAsia" w:ascii="宋体" w:hAnsi="宋体"/>
          <w:color w:val="000000"/>
          <w:sz w:val="28"/>
          <w:szCs w:val="28"/>
          <w:u w:val="single"/>
        </w:rPr>
        <w:t>（项目名称）</w:t>
      </w:r>
      <w:r>
        <w:rPr>
          <w:rFonts w:hint="eastAsia"/>
          <w:color w:val="000000"/>
          <w:sz w:val="28"/>
          <w:szCs w:val="28"/>
          <w:u w:val="single"/>
        </w:rPr>
        <w:t>。</w:t>
      </w:r>
    </w:p>
    <w:p w14:paraId="0F67AD9F">
      <w:pPr>
        <w:autoSpaceDE w:val="0"/>
        <w:autoSpaceDN w:val="0"/>
        <w:adjustRightInd w:val="0"/>
        <w:spacing w:line="360" w:lineRule="auto"/>
        <w:ind w:firstLine="482"/>
        <w:rPr>
          <w:rFonts w:ascii="宋体" w:hAnsi="宋体"/>
          <w:b/>
          <w:color w:val="000000"/>
          <w:sz w:val="28"/>
          <w:szCs w:val="28"/>
          <w:lang w:val="zh-CN"/>
        </w:rPr>
      </w:pPr>
      <w:r>
        <w:rPr>
          <w:rFonts w:ascii="宋体" w:hAnsi="宋体"/>
          <w:b/>
          <w:color w:val="000000"/>
          <w:sz w:val="28"/>
          <w:szCs w:val="28"/>
          <w:lang w:val="zh-CN"/>
        </w:rPr>
        <w:t>3</w:t>
      </w:r>
      <w:r>
        <w:rPr>
          <w:rFonts w:hint="eastAsia" w:ascii="宋体" w:hAnsi="宋体"/>
          <w:b/>
          <w:color w:val="000000"/>
          <w:sz w:val="28"/>
          <w:szCs w:val="28"/>
          <w:lang w:val="zh-CN"/>
        </w:rPr>
        <w:t>．合同内容：</w:t>
      </w:r>
      <w:r>
        <w:rPr>
          <w:rFonts w:hint="eastAsia" w:ascii="宋体" w:hAnsi="宋体"/>
          <w:color w:val="000000"/>
          <w:sz w:val="28"/>
          <w:szCs w:val="28"/>
          <w:lang w:val="zh-CN"/>
        </w:rPr>
        <w:t>详见招标文件</w:t>
      </w:r>
      <w:r>
        <w:rPr>
          <w:rFonts w:ascii="宋体" w:hAnsi="宋体"/>
          <w:color w:val="000000"/>
          <w:sz w:val="28"/>
          <w:szCs w:val="28"/>
        </w:rPr>
        <w:t>“</w:t>
      </w:r>
      <w:r>
        <w:rPr>
          <w:rFonts w:hint="eastAsia" w:ascii="宋体" w:hAnsi="宋体"/>
          <w:color w:val="000000"/>
          <w:sz w:val="28"/>
          <w:szCs w:val="28"/>
          <w:lang w:val="zh-CN"/>
        </w:rPr>
        <w:t>技术规格与要求</w:t>
      </w:r>
      <w:r>
        <w:rPr>
          <w:rFonts w:ascii="宋体" w:hAnsi="宋体"/>
          <w:color w:val="000000"/>
          <w:sz w:val="28"/>
          <w:szCs w:val="28"/>
        </w:rPr>
        <w:t>”</w:t>
      </w:r>
      <w:r>
        <w:rPr>
          <w:rFonts w:hint="eastAsia" w:ascii="宋体" w:hAnsi="宋体"/>
          <w:color w:val="000000"/>
          <w:sz w:val="28"/>
          <w:szCs w:val="28"/>
          <w:lang w:val="zh-CN"/>
        </w:rPr>
        <w:t>及供方的投标文件。未尽事宜在</w:t>
      </w:r>
      <w:r>
        <w:rPr>
          <w:rFonts w:ascii="宋体" w:hAnsi="宋体"/>
          <w:color w:val="000000"/>
          <w:sz w:val="28"/>
          <w:szCs w:val="28"/>
        </w:rPr>
        <w:t>“</w:t>
      </w:r>
      <w:r>
        <w:rPr>
          <w:rFonts w:hint="eastAsia" w:ascii="宋体" w:hAnsi="宋体"/>
          <w:color w:val="000000"/>
          <w:sz w:val="28"/>
          <w:szCs w:val="28"/>
          <w:lang w:val="zh-CN"/>
        </w:rPr>
        <w:t>政府采购合同书中</w:t>
      </w:r>
      <w:r>
        <w:rPr>
          <w:rFonts w:ascii="宋体" w:hAnsi="宋体"/>
          <w:color w:val="000000"/>
          <w:sz w:val="28"/>
          <w:szCs w:val="28"/>
        </w:rPr>
        <w:t>”</w:t>
      </w:r>
      <w:r>
        <w:rPr>
          <w:rFonts w:hint="eastAsia" w:ascii="宋体" w:hAnsi="宋体"/>
          <w:color w:val="000000"/>
          <w:sz w:val="28"/>
          <w:szCs w:val="28"/>
          <w:lang w:val="zh-CN"/>
        </w:rPr>
        <w:t>约定。</w:t>
      </w:r>
    </w:p>
    <w:p w14:paraId="2810B586">
      <w:pPr>
        <w:autoSpaceDE w:val="0"/>
        <w:autoSpaceDN w:val="0"/>
        <w:adjustRightInd w:val="0"/>
        <w:spacing w:line="360" w:lineRule="auto"/>
        <w:ind w:firstLine="482"/>
        <w:rPr>
          <w:rFonts w:ascii="宋体" w:hAnsi="宋体"/>
          <w:b/>
          <w:color w:val="000000"/>
          <w:sz w:val="28"/>
          <w:szCs w:val="28"/>
          <w:lang w:val="zh-CN"/>
        </w:rPr>
      </w:pPr>
      <w:r>
        <w:rPr>
          <w:rFonts w:ascii="宋体" w:hAnsi="宋体"/>
          <w:b/>
          <w:color w:val="000000"/>
          <w:sz w:val="28"/>
          <w:szCs w:val="28"/>
          <w:lang w:val="zh-CN"/>
        </w:rPr>
        <w:t>4</w:t>
      </w:r>
      <w:r>
        <w:rPr>
          <w:rFonts w:hint="eastAsia" w:ascii="宋体" w:hAnsi="宋体"/>
          <w:b/>
          <w:color w:val="000000"/>
          <w:sz w:val="28"/>
          <w:szCs w:val="28"/>
          <w:lang w:val="zh-CN"/>
        </w:rPr>
        <w:t>．合同价格、交货时间及地点、交货方式、付款方式及条件：</w:t>
      </w:r>
      <w:r>
        <w:rPr>
          <w:rFonts w:hint="eastAsia" w:ascii="宋体" w:hAnsi="宋体"/>
          <w:color w:val="000000"/>
          <w:sz w:val="28"/>
          <w:szCs w:val="28"/>
          <w:lang w:val="zh-CN"/>
        </w:rPr>
        <w:t>在</w:t>
      </w:r>
      <w:r>
        <w:rPr>
          <w:rFonts w:ascii="宋体" w:hAnsi="宋体"/>
          <w:color w:val="000000"/>
          <w:sz w:val="28"/>
          <w:szCs w:val="28"/>
        </w:rPr>
        <w:t>“</w:t>
      </w:r>
      <w:r>
        <w:rPr>
          <w:rFonts w:hint="eastAsia" w:ascii="宋体" w:hAnsi="宋体"/>
          <w:color w:val="000000"/>
          <w:sz w:val="28"/>
          <w:szCs w:val="28"/>
          <w:lang w:val="zh-CN"/>
        </w:rPr>
        <w:t>政府采购合同书</w:t>
      </w:r>
      <w:r>
        <w:rPr>
          <w:rFonts w:ascii="宋体" w:hAnsi="宋体"/>
          <w:color w:val="000000"/>
          <w:sz w:val="28"/>
          <w:szCs w:val="28"/>
        </w:rPr>
        <w:t>”</w:t>
      </w:r>
      <w:r>
        <w:rPr>
          <w:rFonts w:hint="eastAsia" w:ascii="宋体" w:hAnsi="宋体"/>
          <w:color w:val="000000"/>
          <w:sz w:val="28"/>
          <w:szCs w:val="28"/>
          <w:lang w:val="zh-CN"/>
        </w:rPr>
        <w:t>中约定。</w:t>
      </w:r>
    </w:p>
    <w:p w14:paraId="56600621">
      <w:pPr>
        <w:autoSpaceDE w:val="0"/>
        <w:autoSpaceDN w:val="0"/>
        <w:adjustRightInd w:val="0"/>
        <w:spacing w:line="360" w:lineRule="auto"/>
        <w:ind w:firstLine="482"/>
        <w:rPr>
          <w:rFonts w:ascii="宋体" w:hAnsi="宋体"/>
          <w:color w:val="000000"/>
          <w:sz w:val="28"/>
          <w:szCs w:val="28"/>
          <w:lang w:val="zh-CN"/>
        </w:rPr>
      </w:pPr>
      <w:r>
        <w:rPr>
          <w:rFonts w:ascii="宋体" w:hAnsi="宋体"/>
          <w:b/>
          <w:color w:val="000000"/>
          <w:sz w:val="28"/>
          <w:szCs w:val="28"/>
          <w:lang w:val="zh-CN"/>
        </w:rPr>
        <w:t>5</w:t>
      </w:r>
      <w:r>
        <w:rPr>
          <w:rFonts w:hint="eastAsia" w:ascii="宋体" w:hAnsi="宋体"/>
          <w:b/>
          <w:color w:val="000000"/>
          <w:sz w:val="28"/>
          <w:szCs w:val="28"/>
          <w:lang w:val="zh-CN"/>
        </w:rPr>
        <w:t>．知识产权及有关规定：</w:t>
      </w:r>
      <w:r>
        <w:rPr>
          <w:rFonts w:hint="eastAsia" w:ascii="宋体" w:hAnsi="宋体"/>
          <w:color w:val="000000"/>
          <w:sz w:val="28"/>
          <w:szCs w:val="28"/>
          <w:lang w:val="zh-CN"/>
        </w:rPr>
        <w:t>供方应保证需方在使用本合同项下的货物或其任何一部分时免受第三方提出侵犯其知识产权、商标权或工业设计权的起诉。如果发生此类问题，供方应负责交涉并承担一切费用和责任。</w:t>
      </w:r>
    </w:p>
    <w:p w14:paraId="6ADD828C">
      <w:pPr>
        <w:autoSpaceDE w:val="0"/>
        <w:autoSpaceDN w:val="0"/>
        <w:adjustRightInd w:val="0"/>
        <w:spacing w:line="360" w:lineRule="auto"/>
        <w:ind w:firstLine="482"/>
        <w:rPr>
          <w:rFonts w:ascii="宋体" w:hAnsi="宋体"/>
          <w:b/>
          <w:color w:val="000000"/>
          <w:sz w:val="28"/>
          <w:szCs w:val="28"/>
          <w:lang w:val="zh-CN"/>
        </w:rPr>
      </w:pPr>
      <w:r>
        <w:rPr>
          <w:rFonts w:ascii="宋体" w:hAnsi="宋体"/>
          <w:b/>
          <w:color w:val="000000"/>
          <w:sz w:val="28"/>
          <w:szCs w:val="28"/>
          <w:lang w:val="zh-CN"/>
        </w:rPr>
        <w:t>6</w:t>
      </w:r>
      <w:r>
        <w:rPr>
          <w:rFonts w:hint="eastAsia" w:ascii="宋体" w:hAnsi="宋体"/>
          <w:b/>
          <w:color w:val="000000"/>
          <w:sz w:val="28"/>
          <w:szCs w:val="28"/>
          <w:lang w:val="zh-CN"/>
        </w:rPr>
        <w:t>．保密条款</w:t>
      </w:r>
    </w:p>
    <w:p w14:paraId="78A9F52B">
      <w:pPr>
        <w:autoSpaceDE w:val="0"/>
        <w:autoSpaceDN w:val="0"/>
        <w:adjustRightInd w:val="0"/>
        <w:spacing w:line="360" w:lineRule="auto"/>
        <w:ind w:firstLine="480"/>
        <w:rPr>
          <w:rFonts w:ascii="宋体" w:hAnsi="宋体"/>
          <w:color w:val="000000"/>
          <w:sz w:val="28"/>
          <w:szCs w:val="28"/>
          <w:lang w:val="zh-CN"/>
        </w:rPr>
      </w:pPr>
      <w:r>
        <w:rPr>
          <w:rFonts w:ascii="宋体" w:hAnsi="宋体"/>
          <w:color w:val="000000"/>
          <w:sz w:val="28"/>
          <w:szCs w:val="28"/>
          <w:lang w:val="zh-CN"/>
        </w:rPr>
        <w:t>6.1</w:t>
      </w:r>
      <w:r>
        <w:rPr>
          <w:rFonts w:hint="eastAsia" w:ascii="宋体" w:hAnsi="宋体"/>
          <w:color w:val="000000"/>
          <w:sz w:val="28"/>
          <w:szCs w:val="28"/>
          <w:lang w:val="zh-CN"/>
        </w:rPr>
        <w:t>任何一方对其获知的本合同涉及的所有有形、无形的信息及资料（包括但不限于供需双方的往来书面文字文件、电子邮件等）中另一方的商业秘密或国家秘密负有保密义务。</w:t>
      </w:r>
    </w:p>
    <w:p w14:paraId="61C583A8">
      <w:pPr>
        <w:autoSpaceDE w:val="0"/>
        <w:autoSpaceDN w:val="0"/>
        <w:adjustRightInd w:val="0"/>
        <w:spacing w:line="360" w:lineRule="auto"/>
        <w:ind w:firstLine="480"/>
        <w:rPr>
          <w:rFonts w:ascii="宋体" w:hAnsi="宋体"/>
          <w:color w:val="000000"/>
          <w:sz w:val="28"/>
          <w:szCs w:val="28"/>
          <w:lang w:val="zh-CN"/>
        </w:rPr>
      </w:pPr>
      <w:r>
        <w:rPr>
          <w:rFonts w:ascii="宋体" w:hAnsi="宋体"/>
          <w:color w:val="000000"/>
          <w:sz w:val="28"/>
          <w:szCs w:val="28"/>
          <w:lang w:val="zh-CN"/>
        </w:rPr>
        <w:t>6.2</w:t>
      </w:r>
      <w:r>
        <w:rPr>
          <w:rFonts w:hint="eastAsia" w:ascii="宋体" w:hAnsi="宋体"/>
          <w:color w:val="000000"/>
          <w:sz w:val="28"/>
          <w:szCs w:val="28"/>
          <w:lang w:val="zh-CN"/>
        </w:rPr>
        <w:t>除非法律、法规另有规定或得到本合同之另一方的书面许可，任何一方不得向第三方泄露前款规定的商业秘密或国家秘密。保密期限自任何一方获知该商业秘密或国家秘密之日起至本条规定的秘密成为公众信息之日止。</w:t>
      </w:r>
    </w:p>
    <w:p w14:paraId="04BF51C9">
      <w:pPr>
        <w:autoSpaceDE w:val="0"/>
        <w:autoSpaceDN w:val="0"/>
        <w:adjustRightInd w:val="0"/>
        <w:spacing w:line="360" w:lineRule="auto"/>
        <w:ind w:firstLine="482"/>
        <w:rPr>
          <w:rFonts w:ascii="宋体" w:hAnsi="宋体"/>
          <w:b/>
          <w:color w:val="000000"/>
          <w:sz w:val="28"/>
          <w:szCs w:val="28"/>
          <w:lang w:val="zh-CN"/>
        </w:rPr>
      </w:pPr>
      <w:r>
        <w:rPr>
          <w:rFonts w:ascii="宋体" w:hAnsi="宋体"/>
          <w:b/>
          <w:color w:val="000000"/>
          <w:sz w:val="28"/>
          <w:szCs w:val="28"/>
          <w:lang w:val="zh-CN"/>
        </w:rPr>
        <w:t>7.</w:t>
      </w:r>
      <w:r>
        <w:rPr>
          <w:rFonts w:hint="eastAsia" w:ascii="宋体" w:hAnsi="宋体"/>
          <w:b/>
          <w:color w:val="000000"/>
          <w:sz w:val="28"/>
          <w:szCs w:val="28"/>
          <w:lang w:val="zh-CN"/>
        </w:rPr>
        <w:t>合同的解释</w:t>
      </w:r>
    </w:p>
    <w:p w14:paraId="53D61D63">
      <w:pPr>
        <w:autoSpaceDE w:val="0"/>
        <w:autoSpaceDN w:val="0"/>
        <w:adjustRightInd w:val="0"/>
        <w:spacing w:line="360" w:lineRule="auto"/>
        <w:ind w:firstLine="480"/>
        <w:rPr>
          <w:rFonts w:ascii="宋体" w:hAnsi="宋体"/>
          <w:color w:val="000000"/>
          <w:sz w:val="28"/>
          <w:szCs w:val="28"/>
          <w:lang w:val="zh-CN"/>
        </w:rPr>
      </w:pPr>
      <w:r>
        <w:rPr>
          <w:rFonts w:ascii="宋体" w:hAnsi="宋体"/>
          <w:color w:val="000000"/>
          <w:sz w:val="28"/>
          <w:szCs w:val="28"/>
          <w:lang w:val="zh-CN"/>
        </w:rPr>
        <w:t>7.1</w:t>
      </w:r>
      <w:r>
        <w:rPr>
          <w:rFonts w:hint="eastAsia" w:ascii="宋体" w:hAnsi="宋体"/>
          <w:color w:val="000000"/>
          <w:sz w:val="28"/>
          <w:szCs w:val="28"/>
          <w:lang w:val="zh-CN"/>
        </w:rPr>
        <w:t>任何一方对本合同及其附件的解释均应遵循诚实信用原则，依照本合同签订时有效的中华人民共和国的法律、法规以及人们通常的理解进行。</w:t>
      </w:r>
    </w:p>
    <w:p w14:paraId="1FE39B3C">
      <w:pPr>
        <w:autoSpaceDE w:val="0"/>
        <w:autoSpaceDN w:val="0"/>
        <w:adjustRightInd w:val="0"/>
        <w:spacing w:line="360" w:lineRule="auto"/>
        <w:ind w:firstLine="480"/>
        <w:rPr>
          <w:rFonts w:ascii="宋体" w:hAnsi="宋体"/>
          <w:color w:val="000000"/>
          <w:sz w:val="28"/>
          <w:szCs w:val="28"/>
          <w:lang w:val="zh-CN"/>
        </w:rPr>
      </w:pPr>
      <w:r>
        <w:rPr>
          <w:rFonts w:ascii="宋体" w:hAnsi="宋体"/>
          <w:color w:val="000000"/>
          <w:sz w:val="28"/>
          <w:szCs w:val="28"/>
          <w:lang w:val="zh-CN"/>
        </w:rPr>
        <w:t>7.2</w:t>
      </w:r>
      <w:r>
        <w:rPr>
          <w:rFonts w:hint="eastAsia" w:ascii="宋体" w:hAnsi="宋体"/>
          <w:color w:val="000000"/>
          <w:sz w:val="28"/>
          <w:szCs w:val="28"/>
          <w:lang w:val="zh-CN"/>
        </w:rPr>
        <w:t>本合同中以日（天）表述的时间期限均指公历日。</w:t>
      </w:r>
    </w:p>
    <w:p w14:paraId="392AA608">
      <w:pPr>
        <w:autoSpaceDE w:val="0"/>
        <w:autoSpaceDN w:val="0"/>
        <w:adjustRightInd w:val="0"/>
        <w:spacing w:line="360" w:lineRule="auto"/>
        <w:ind w:firstLine="480"/>
        <w:rPr>
          <w:rFonts w:ascii="宋体" w:hAnsi="宋体"/>
          <w:color w:val="000000"/>
          <w:sz w:val="28"/>
          <w:szCs w:val="28"/>
          <w:lang w:val="zh-CN"/>
        </w:rPr>
      </w:pPr>
      <w:r>
        <w:rPr>
          <w:rFonts w:ascii="宋体" w:hAnsi="宋体"/>
          <w:color w:val="000000"/>
          <w:sz w:val="28"/>
          <w:szCs w:val="28"/>
          <w:lang w:val="zh-CN"/>
        </w:rPr>
        <w:t>7.3</w:t>
      </w:r>
      <w:r>
        <w:rPr>
          <w:rFonts w:hint="eastAsia" w:ascii="宋体" w:hAnsi="宋体"/>
          <w:color w:val="000000"/>
          <w:sz w:val="28"/>
          <w:szCs w:val="28"/>
          <w:lang w:val="zh-CN"/>
        </w:rPr>
        <w:t>对本合同的任何解释均应以书面做出。</w:t>
      </w:r>
    </w:p>
    <w:p w14:paraId="3F5FF18A">
      <w:pPr>
        <w:autoSpaceDE w:val="0"/>
        <w:autoSpaceDN w:val="0"/>
        <w:adjustRightInd w:val="0"/>
        <w:spacing w:line="360" w:lineRule="auto"/>
        <w:ind w:firstLine="482"/>
        <w:rPr>
          <w:rFonts w:ascii="宋体" w:hAnsi="宋体"/>
          <w:color w:val="000000"/>
          <w:sz w:val="28"/>
          <w:szCs w:val="28"/>
          <w:lang w:val="zh-CN"/>
        </w:rPr>
      </w:pPr>
      <w:r>
        <w:rPr>
          <w:rFonts w:ascii="宋体" w:hAnsi="宋体"/>
          <w:b/>
          <w:color w:val="000000"/>
          <w:sz w:val="28"/>
          <w:szCs w:val="28"/>
          <w:lang w:val="zh-CN"/>
        </w:rPr>
        <w:t>8</w:t>
      </w:r>
      <w:r>
        <w:rPr>
          <w:rFonts w:hint="eastAsia" w:ascii="宋体" w:hAnsi="宋体"/>
          <w:b/>
          <w:color w:val="000000"/>
          <w:sz w:val="28"/>
          <w:szCs w:val="28"/>
          <w:lang w:val="zh-CN"/>
        </w:rPr>
        <w:t>．包装要求：</w:t>
      </w:r>
      <w:r>
        <w:rPr>
          <w:rFonts w:hint="eastAsia" w:ascii="宋体" w:hAnsi="宋体"/>
          <w:color w:val="000000"/>
          <w:sz w:val="28"/>
          <w:szCs w:val="28"/>
          <w:lang w:val="zh-CN"/>
        </w:rPr>
        <w:t>除合同另有规定外，供方提供的全部货物均应按国家或行业标准进行包装。因包装出现问题导致货物毁损的</w:t>
      </w:r>
      <w:r>
        <w:rPr>
          <w:rFonts w:ascii="宋体" w:hAnsi="宋体"/>
          <w:color w:val="000000"/>
          <w:sz w:val="28"/>
          <w:szCs w:val="28"/>
          <w:lang w:val="zh-CN"/>
        </w:rPr>
        <w:t>,</w:t>
      </w:r>
      <w:r>
        <w:rPr>
          <w:rFonts w:hint="eastAsia" w:ascii="宋体" w:hAnsi="宋体"/>
          <w:color w:val="000000"/>
          <w:sz w:val="28"/>
          <w:szCs w:val="28"/>
          <w:lang w:val="zh-CN"/>
        </w:rPr>
        <w:t>由供方向需方直接承担责任。每一个包装箱内应附一份详细的装箱单和质量合格证书。</w:t>
      </w:r>
    </w:p>
    <w:p w14:paraId="75A0A0F8">
      <w:pPr>
        <w:autoSpaceDE w:val="0"/>
        <w:autoSpaceDN w:val="0"/>
        <w:adjustRightInd w:val="0"/>
        <w:spacing w:line="360" w:lineRule="auto"/>
        <w:ind w:firstLine="482"/>
        <w:rPr>
          <w:rFonts w:ascii="宋体" w:hAnsi="宋体"/>
          <w:color w:val="000000"/>
          <w:sz w:val="28"/>
          <w:szCs w:val="28"/>
          <w:lang w:val="zh-CN"/>
        </w:rPr>
      </w:pPr>
      <w:r>
        <w:rPr>
          <w:rFonts w:ascii="宋体" w:hAnsi="宋体"/>
          <w:b/>
          <w:color w:val="000000"/>
          <w:sz w:val="28"/>
          <w:szCs w:val="28"/>
          <w:lang w:val="zh-CN"/>
        </w:rPr>
        <w:t>9</w:t>
      </w:r>
      <w:r>
        <w:rPr>
          <w:rFonts w:hint="eastAsia" w:ascii="宋体" w:hAnsi="宋体"/>
          <w:b/>
          <w:color w:val="000000"/>
          <w:sz w:val="28"/>
          <w:szCs w:val="28"/>
          <w:lang w:val="zh-CN"/>
        </w:rPr>
        <w:t>．包装标志：</w:t>
      </w:r>
      <w:r>
        <w:rPr>
          <w:rFonts w:hint="eastAsia" w:ascii="宋体" w:hAnsi="宋体"/>
          <w:color w:val="000000"/>
          <w:sz w:val="28"/>
          <w:szCs w:val="28"/>
          <w:lang w:val="zh-CN"/>
        </w:rPr>
        <w:t>每一包装箱应用不褪色的油漆以醒目的中文字样做出相关标记。</w:t>
      </w:r>
    </w:p>
    <w:p w14:paraId="579EA1E1">
      <w:pPr>
        <w:autoSpaceDE w:val="0"/>
        <w:autoSpaceDN w:val="0"/>
        <w:adjustRightInd w:val="0"/>
        <w:spacing w:line="360" w:lineRule="auto"/>
        <w:ind w:firstLine="482"/>
        <w:rPr>
          <w:rFonts w:ascii="宋体" w:hAnsi="宋体"/>
          <w:b/>
          <w:color w:val="000000"/>
          <w:sz w:val="28"/>
          <w:szCs w:val="28"/>
          <w:lang w:val="zh-CN"/>
        </w:rPr>
      </w:pPr>
      <w:r>
        <w:rPr>
          <w:rFonts w:ascii="宋体" w:hAnsi="宋体"/>
          <w:b/>
          <w:color w:val="000000"/>
          <w:sz w:val="28"/>
          <w:szCs w:val="28"/>
          <w:lang w:val="zh-CN"/>
        </w:rPr>
        <w:t>10</w:t>
      </w:r>
      <w:r>
        <w:rPr>
          <w:rFonts w:hint="eastAsia" w:ascii="宋体" w:hAnsi="宋体"/>
          <w:b/>
          <w:color w:val="000000"/>
          <w:sz w:val="28"/>
          <w:szCs w:val="28"/>
          <w:lang w:val="zh-CN"/>
        </w:rPr>
        <w:t>．伴随服务</w:t>
      </w:r>
    </w:p>
    <w:p w14:paraId="681437B6">
      <w:pPr>
        <w:autoSpaceDE w:val="0"/>
        <w:autoSpaceDN w:val="0"/>
        <w:adjustRightInd w:val="0"/>
        <w:spacing w:line="360" w:lineRule="auto"/>
        <w:ind w:firstLine="480"/>
        <w:rPr>
          <w:rFonts w:ascii="宋体" w:hAnsi="宋体"/>
          <w:color w:val="000000"/>
          <w:sz w:val="28"/>
          <w:szCs w:val="28"/>
          <w:lang w:val="zh-CN"/>
        </w:rPr>
      </w:pPr>
      <w:r>
        <w:rPr>
          <w:rFonts w:ascii="宋体" w:hAnsi="宋体"/>
          <w:color w:val="000000"/>
          <w:sz w:val="28"/>
          <w:szCs w:val="28"/>
          <w:lang w:val="zh-CN"/>
        </w:rPr>
        <w:t>10.1</w:t>
      </w:r>
      <w:r>
        <w:rPr>
          <w:rFonts w:hint="eastAsia" w:ascii="宋体" w:hAnsi="宋体"/>
          <w:color w:val="000000"/>
          <w:sz w:val="28"/>
          <w:szCs w:val="28"/>
          <w:lang w:val="zh-CN"/>
        </w:rPr>
        <w:t>供方应提供所交付货物的全套技术文件资料，包括产品目录、图纸、操作手册、使用说明、维护手册和服务指南等。</w:t>
      </w:r>
    </w:p>
    <w:p w14:paraId="6B9054E2">
      <w:pPr>
        <w:autoSpaceDE w:val="0"/>
        <w:autoSpaceDN w:val="0"/>
        <w:adjustRightInd w:val="0"/>
        <w:spacing w:line="360" w:lineRule="auto"/>
        <w:ind w:firstLine="480"/>
        <w:rPr>
          <w:rFonts w:ascii="宋体" w:hAnsi="宋体"/>
          <w:color w:val="000000"/>
          <w:sz w:val="28"/>
          <w:szCs w:val="28"/>
          <w:lang w:val="zh-CN"/>
        </w:rPr>
      </w:pPr>
      <w:r>
        <w:rPr>
          <w:rFonts w:ascii="宋体" w:hAnsi="宋体"/>
          <w:color w:val="000000"/>
          <w:sz w:val="28"/>
          <w:szCs w:val="28"/>
          <w:lang w:val="zh-CN"/>
        </w:rPr>
        <w:t>10.2</w:t>
      </w:r>
      <w:r>
        <w:rPr>
          <w:rFonts w:hint="eastAsia" w:ascii="宋体" w:hAnsi="宋体"/>
          <w:color w:val="000000"/>
          <w:sz w:val="28"/>
          <w:szCs w:val="28"/>
          <w:lang w:val="zh-CN"/>
        </w:rPr>
        <w:t>供方还应提供下列服务：货物的现场安装、启动和试运行；提供货物组装和维修所需的工具；在质量保证期内对所交付货物提供运行监督、维修、保养等；在制造厂家和</w:t>
      </w:r>
      <w:r>
        <w:rPr>
          <w:rFonts w:ascii="宋体" w:hAnsi="宋体"/>
          <w:color w:val="000000"/>
          <w:sz w:val="28"/>
          <w:szCs w:val="28"/>
          <w:lang w:val="zh-CN"/>
        </w:rPr>
        <w:t>/</w:t>
      </w:r>
      <w:r>
        <w:rPr>
          <w:rFonts w:hint="eastAsia" w:ascii="宋体" w:hAnsi="宋体"/>
          <w:color w:val="000000"/>
          <w:sz w:val="28"/>
          <w:szCs w:val="28"/>
          <w:lang w:val="zh-CN"/>
        </w:rPr>
        <w:t>或在项目现场就货物的安装、启动、运行、维护等对需方人员进行培训。</w:t>
      </w:r>
    </w:p>
    <w:p w14:paraId="2CDFF25E">
      <w:pPr>
        <w:autoSpaceDE w:val="0"/>
        <w:autoSpaceDN w:val="0"/>
        <w:adjustRightInd w:val="0"/>
        <w:spacing w:line="360" w:lineRule="auto"/>
        <w:ind w:firstLine="480"/>
        <w:rPr>
          <w:rFonts w:ascii="宋体" w:hAnsi="宋体"/>
          <w:color w:val="000000"/>
          <w:sz w:val="28"/>
          <w:szCs w:val="28"/>
          <w:lang w:val="zh-CN"/>
        </w:rPr>
      </w:pPr>
      <w:r>
        <w:rPr>
          <w:rFonts w:ascii="宋体" w:hAnsi="宋体"/>
          <w:color w:val="000000"/>
          <w:sz w:val="28"/>
          <w:szCs w:val="28"/>
          <w:lang w:val="zh-CN"/>
        </w:rPr>
        <w:t>10.3</w:t>
      </w:r>
      <w:r>
        <w:rPr>
          <w:rFonts w:hint="eastAsia" w:ascii="宋体" w:hAnsi="宋体"/>
          <w:color w:val="000000"/>
          <w:sz w:val="28"/>
          <w:szCs w:val="28"/>
          <w:lang w:val="zh-CN"/>
        </w:rPr>
        <w:t>上述伴随服务的费用应包含在合同总价中，不单独进行支付。</w:t>
      </w:r>
    </w:p>
    <w:p w14:paraId="3866D409">
      <w:pPr>
        <w:autoSpaceDE w:val="0"/>
        <w:autoSpaceDN w:val="0"/>
        <w:adjustRightInd w:val="0"/>
        <w:spacing w:line="360" w:lineRule="auto"/>
        <w:ind w:firstLine="482"/>
        <w:rPr>
          <w:rFonts w:ascii="宋体" w:hAnsi="宋体"/>
          <w:b/>
          <w:color w:val="000000"/>
          <w:sz w:val="28"/>
          <w:szCs w:val="28"/>
          <w:lang w:val="zh-CN"/>
        </w:rPr>
      </w:pPr>
      <w:r>
        <w:rPr>
          <w:rFonts w:ascii="宋体" w:hAnsi="宋体"/>
          <w:b/>
          <w:color w:val="000000"/>
          <w:sz w:val="28"/>
          <w:szCs w:val="28"/>
          <w:lang w:val="zh-CN"/>
        </w:rPr>
        <w:t>11</w:t>
      </w:r>
      <w:r>
        <w:rPr>
          <w:rFonts w:hint="eastAsia" w:ascii="宋体" w:hAnsi="宋体"/>
          <w:b/>
          <w:color w:val="000000"/>
          <w:sz w:val="28"/>
          <w:szCs w:val="28"/>
          <w:lang w:val="zh-CN"/>
        </w:rPr>
        <w:t>．质量保证期及售后服务</w:t>
      </w:r>
    </w:p>
    <w:p w14:paraId="0980850C">
      <w:pPr>
        <w:autoSpaceDE w:val="0"/>
        <w:autoSpaceDN w:val="0"/>
        <w:adjustRightInd w:val="0"/>
        <w:spacing w:line="360" w:lineRule="auto"/>
        <w:ind w:firstLine="480"/>
        <w:jc w:val="left"/>
        <w:rPr>
          <w:rFonts w:ascii="宋体" w:hAnsi="宋体"/>
          <w:color w:val="000000"/>
          <w:sz w:val="28"/>
          <w:szCs w:val="28"/>
          <w:lang w:val="zh-CN"/>
        </w:rPr>
      </w:pPr>
      <w:r>
        <w:rPr>
          <w:rFonts w:ascii="宋体" w:hAnsi="宋体"/>
          <w:color w:val="000000"/>
          <w:sz w:val="28"/>
          <w:szCs w:val="28"/>
          <w:lang w:val="zh-CN"/>
        </w:rPr>
        <w:t>11.1</w:t>
      </w:r>
      <w:r>
        <w:rPr>
          <w:rFonts w:hint="eastAsia" w:ascii="宋体" w:hAnsi="宋体"/>
          <w:color w:val="000000"/>
          <w:sz w:val="28"/>
          <w:szCs w:val="28"/>
          <w:lang w:val="zh-CN"/>
        </w:rPr>
        <w:t>质量保证期及售后服务：详见招标文件的要求，供方提交的售后服务承诺书和制造厂商的有关文件，如果上述文件有不一致之处，以对需方有利的为准。</w:t>
      </w:r>
    </w:p>
    <w:p w14:paraId="50318124">
      <w:pPr>
        <w:autoSpaceDE w:val="0"/>
        <w:autoSpaceDN w:val="0"/>
        <w:adjustRightInd w:val="0"/>
        <w:spacing w:line="360" w:lineRule="auto"/>
        <w:ind w:firstLine="480"/>
        <w:jc w:val="left"/>
        <w:rPr>
          <w:rFonts w:ascii="宋体" w:hAnsi="宋体"/>
          <w:color w:val="000000"/>
          <w:sz w:val="28"/>
          <w:szCs w:val="28"/>
          <w:lang w:val="zh-CN"/>
        </w:rPr>
      </w:pPr>
      <w:r>
        <w:rPr>
          <w:rFonts w:ascii="宋体" w:hAnsi="宋体"/>
          <w:color w:val="000000"/>
          <w:sz w:val="28"/>
          <w:szCs w:val="28"/>
          <w:lang w:val="zh-CN"/>
        </w:rPr>
        <w:t>11.2</w:t>
      </w:r>
      <w:r>
        <w:rPr>
          <w:rFonts w:hint="eastAsia" w:ascii="宋体" w:hAnsi="宋体"/>
          <w:color w:val="000000"/>
          <w:sz w:val="28"/>
          <w:szCs w:val="28"/>
          <w:lang w:val="zh-CN"/>
        </w:rPr>
        <w:t>如果上述第</w:t>
      </w:r>
      <w:r>
        <w:rPr>
          <w:rFonts w:ascii="宋体" w:hAnsi="宋体"/>
          <w:color w:val="000000"/>
          <w:sz w:val="28"/>
          <w:szCs w:val="28"/>
          <w:lang w:val="zh-CN"/>
        </w:rPr>
        <w:t>11.1</w:t>
      </w:r>
      <w:r>
        <w:rPr>
          <w:rFonts w:hint="eastAsia" w:ascii="宋体" w:hAnsi="宋体"/>
          <w:color w:val="000000"/>
          <w:sz w:val="28"/>
          <w:szCs w:val="28"/>
          <w:lang w:val="zh-CN"/>
        </w:rPr>
        <w:t>款无特别约定，本合同项下货物的质量保证期为从需方验收合格并交付给需方之日起两年。</w:t>
      </w:r>
    </w:p>
    <w:p w14:paraId="2B9D9794">
      <w:pPr>
        <w:autoSpaceDE w:val="0"/>
        <w:autoSpaceDN w:val="0"/>
        <w:adjustRightInd w:val="0"/>
        <w:spacing w:line="360" w:lineRule="auto"/>
        <w:ind w:firstLine="482"/>
        <w:rPr>
          <w:rFonts w:ascii="宋体" w:hAnsi="宋体"/>
          <w:b/>
          <w:color w:val="000000"/>
          <w:sz w:val="28"/>
          <w:szCs w:val="28"/>
          <w:lang w:val="zh-CN"/>
        </w:rPr>
      </w:pPr>
      <w:r>
        <w:rPr>
          <w:rFonts w:ascii="宋体" w:hAnsi="宋体"/>
          <w:b/>
          <w:color w:val="000000"/>
          <w:sz w:val="28"/>
          <w:szCs w:val="28"/>
          <w:lang w:val="zh-CN"/>
        </w:rPr>
        <w:t>12</w:t>
      </w:r>
      <w:r>
        <w:rPr>
          <w:rFonts w:hint="eastAsia" w:ascii="宋体" w:hAnsi="宋体"/>
          <w:b/>
          <w:color w:val="000000"/>
          <w:sz w:val="28"/>
          <w:szCs w:val="28"/>
          <w:lang w:val="zh-CN"/>
        </w:rPr>
        <w:t>．质量保证</w:t>
      </w:r>
    </w:p>
    <w:p w14:paraId="782BE3F0">
      <w:pPr>
        <w:autoSpaceDE w:val="0"/>
        <w:autoSpaceDN w:val="0"/>
        <w:adjustRightInd w:val="0"/>
        <w:spacing w:line="360" w:lineRule="auto"/>
        <w:ind w:firstLine="480"/>
        <w:rPr>
          <w:rFonts w:ascii="宋体" w:hAnsi="宋体"/>
          <w:color w:val="000000"/>
          <w:sz w:val="28"/>
          <w:szCs w:val="28"/>
          <w:lang w:val="zh-CN"/>
        </w:rPr>
      </w:pPr>
      <w:r>
        <w:rPr>
          <w:rFonts w:ascii="宋体" w:hAnsi="宋体"/>
          <w:color w:val="000000"/>
          <w:sz w:val="28"/>
          <w:szCs w:val="28"/>
          <w:lang w:val="zh-CN"/>
        </w:rPr>
        <w:t xml:space="preserve">12.1 </w:t>
      </w:r>
      <w:r>
        <w:rPr>
          <w:rFonts w:hint="eastAsia" w:ascii="宋体" w:hAnsi="宋体"/>
          <w:color w:val="000000"/>
          <w:sz w:val="28"/>
          <w:szCs w:val="28"/>
          <w:lang w:val="zh-CN"/>
        </w:rPr>
        <w:t>供方应保证所提供的货物是原制造厂商制造的、经过合法销售渠道取得的、全新的、未使用过的，并完全符合合同规定的品牌、规格型号、技术性能、配置、质量、数量等要求。供方应保证其所提供的货物在正确安装、正常使用和保养条件下，在其使用寿命期内具有满意的性能。在货物最终验收合格交付后不少于本合同条款第</w:t>
      </w:r>
      <w:r>
        <w:rPr>
          <w:rFonts w:ascii="宋体" w:hAnsi="宋体"/>
          <w:color w:val="000000"/>
          <w:sz w:val="28"/>
          <w:szCs w:val="28"/>
          <w:lang w:val="zh-CN"/>
        </w:rPr>
        <w:t>11</w:t>
      </w:r>
      <w:r>
        <w:rPr>
          <w:rFonts w:hint="eastAsia" w:ascii="宋体" w:hAnsi="宋体"/>
          <w:color w:val="000000"/>
          <w:sz w:val="28"/>
          <w:szCs w:val="28"/>
          <w:lang w:val="zh-CN"/>
        </w:rPr>
        <w:t>条规定的质量保证期内，供方应对其交付的货物由于设计、工艺或材料的缺陷而产生的故障负责。</w:t>
      </w:r>
    </w:p>
    <w:p w14:paraId="0FCCCAB1">
      <w:pPr>
        <w:autoSpaceDE w:val="0"/>
        <w:autoSpaceDN w:val="0"/>
        <w:adjustRightInd w:val="0"/>
        <w:spacing w:line="360" w:lineRule="auto"/>
        <w:ind w:firstLine="480"/>
        <w:rPr>
          <w:rFonts w:ascii="宋体" w:hAnsi="宋体"/>
          <w:color w:val="000000"/>
          <w:sz w:val="28"/>
          <w:szCs w:val="28"/>
          <w:lang w:val="zh-CN"/>
        </w:rPr>
      </w:pPr>
      <w:r>
        <w:rPr>
          <w:rFonts w:ascii="宋体" w:hAnsi="宋体"/>
          <w:color w:val="000000"/>
          <w:sz w:val="28"/>
          <w:szCs w:val="28"/>
          <w:lang w:val="zh-CN"/>
        </w:rPr>
        <w:t xml:space="preserve">12.2 </w:t>
      </w:r>
      <w:r>
        <w:rPr>
          <w:rFonts w:hint="eastAsia" w:ascii="宋体" w:hAnsi="宋体"/>
          <w:color w:val="000000"/>
          <w:sz w:val="28"/>
          <w:szCs w:val="28"/>
          <w:lang w:val="zh-CN"/>
        </w:rPr>
        <w:t>在质量保证期内，如果货物的规格型号、配置、技术性能、原产地及制造厂商以及其他技术质量指标与合同约定不符，或证实货物是有缺陷的，包括潜在的缺陷或使用不符合要求的材料等，需方应尽快以书面形式向供方提出索赔。</w:t>
      </w:r>
    </w:p>
    <w:p w14:paraId="7231539D">
      <w:pPr>
        <w:autoSpaceDE w:val="0"/>
        <w:autoSpaceDN w:val="0"/>
        <w:adjustRightInd w:val="0"/>
        <w:spacing w:line="360" w:lineRule="auto"/>
        <w:ind w:firstLine="480"/>
        <w:rPr>
          <w:rFonts w:ascii="宋体" w:hAnsi="宋体"/>
          <w:color w:val="000000"/>
          <w:sz w:val="28"/>
          <w:szCs w:val="28"/>
          <w:lang w:val="zh-CN"/>
        </w:rPr>
      </w:pPr>
      <w:r>
        <w:rPr>
          <w:rFonts w:ascii="宋体" w:hAnsi="宋体"/>
          <w:color w:val="000000"/>
          <w:sz w:val="28"/>
          <w:szCs w:val="28"/>
          <w:lang w:val="zh-CN"/>
        </w:rPr>
        <w:t>12.3</w:t>
      </w:r>
      <w:r>
        <w:rPr>
          <w:rFonts w:hint="eastAsia" w:ascii="宋体" w:hAnsi="宋体"/>
          <w:color w:val="000000"/>
          <w:sz w:val="28"/>
          <w:szCs w:val="28"/>
          <w:lang w:val="zh-CN"/>
        </w:rPr>
        <w:t>在质量保证期内，供方在接到需方的通知后，应在本合同条款第</w:t>
      </w:r>
      <w:r>
        <w:rPr>
          <w:rFonts w:ascii="宋体" w:hAnsi="宋体"/>
          <w:color w:val="000000"/>
          <w:sz w:val="28"/>
          <w:szCs w:val="28"/>
          <w:lang w:val="zh-CN"/>
        </w:rPr>
        <w:t>11</w:t>
      </w:r>
      <w:r>
        <w:rPr>
          <w:rFonts w:hint="eastAsia" w:ascii="宋体" w:hAnsi="宋体"/>
          <w:color w:val="000000"/>
          <w:sz w:val="28"/>
          <w:szCs w:val="28"/>
          <w:lang w:val="zh-CN"/>
        </w:rPr>
        <w:t>条约定的响应时间内</w:t>
      </w:r>
      <w:r>
        <w:rPr>
          <w:rFonts w:ascii="宋体" w:hAnsi="宋体"/>
          <w:color w:val="000000"/>
          <w:sz w:val="28"/>
          <w:szCs w:val="28"/>
          <w:lang w:val="zh-CN"/>
        </w:rPr>
        <w:t>,</w:t>
      </w:r>
      <w:r>
        <w:rPr>
          <w:rFonts w:hint="eastAsia" w:ascii="宋体" w:hAnsi="宋体"/>
          <w:color w:val="000000"/>
          <w:sz w:val="28"/>
          <w:szCs w:val="28"/>
          <w:lang w:val="zh-CN"/>
        </w:rPr>
        <w:t>免费维修和</w:t>
      </w:r>
      <w:r>
        <w:rPr>
          <w:rFonts w:ascii="宋体" w:hAnsi="宋体"/>
          <w:color w:val="000000"/>
          <w:sz w:val="28"/>
          <w:szCs w:val="28"/>
          <w:lang w:val="zh-CN"/>
        </w:rPr>
        <w:t>/</w:t>
      </w:r>
      <w:r>
        <w:rPr>
          <w:rFonts w:hint="eastAsia" w:ascii="宋体" w:hAnsi="宋体"/>
          <w:color w:val="000000"/>
          <w:sz w:val="28"/>
          <w:szCs w:val="28"/>
          <w:lang w:val="zh-CN"/>
        </w:rPr>
        <w:t>或更换有缺陷的货物或部件。</w:t>
      </w:r>
    </w:p>
    <w:p w14:paraId="2650655E">
      <w:pPr>
        <w:autoSpaceDE w:val="0"/>
        <w:autoSpaceDN w:val="0"/>
        <w:adjustRightInd w:val="0"/>
        <w:spacing w:line="360" w:lineRule="auto"/>
        <w:ind w:firstLine="480"/>
        <w:rPr>
          <w:rFonts w:ascii="宋体" w:hAnsi="宋体"/>
          <w:color w:val="000000"/>
          <w:sz w:val="28"/>
          <w:szCs w:val="28"/>
          <w:lang w:val="zh-CN"/>
        </w:rPr>
      </w:pPr>
      <w:r>
        <w:rPr>
          <w:rFonts w:ascii="宋体" w:hAnsi="宋体"/>
          <w:color w:val="000000"/>
          <w:sz w:val="28"/>
          <w:szCs w:val="28"/>
          <w:lang w:val="zh-CN"/>
        </w:rPr>
        <w:t xml:space="preserve">12.4 </w:t>
      </w:r>
      <w:r>
        <w:rPr>
          <w:rFonts w:hint="eastAsia" w:ascii="宋体" w:hAnsi="宋体"/>
          <w:color w:val="000000"/>
          <w:sz w:val="28"/>
          <w:szCs w:val="28"/>
          <w:lang w:val="zh-CN"/>
        </w:rPr>
        <w:t>如果供方在接到需方通知后，在本合同条款第</w:t>
      </w:r>
      <w:r>
        <w:rPr>
          <w:rFonts w:ascii="宋体" w:hAnsi="宋体"/>
          <w:color w:val="000000"/>
          <w:sz w:val="28"/>
          <w:szCs w:val="28"/>
          <w:lang w:val="zh-CN"/>
        </w:rPr>
        <w:t>11</w:t>
      </w:r>
      <w:r>
        <w:rPr>
          <w:rFonts w:hint="eastAsia" w:ascii="宋体" w:hAnsi="宋体"/>
          <w:color w:val="000000"/>
          <w:sz w:val="28"/>
          <w:szCs w:val="28"/>
          <w:lang w:val="zh-CN"/>
        </w:rPr>
        <w:t>条约定的响应时间内没有弥补缺陷，需方可采取必要的补救措施，但其风险和费用将由供方负担，并且需方根据合同规定对供方行使的其他权利不受影响。</w:t>
      </w:r>
    </w:p>
    <w:p w14:paraId="2E0CC6D8">
      <w:pPr>
        <w:autoSpaceDE w:val="0"/>
        <w:autoSpaceDN w:val="0"/>
        <w:adjustRightInd w:val="0"/>
        <w:spacing w:line="360" w:lineRule="auto"/>
        <w:ind w:firstLine="482"/>
        <w:rPr>
          <w:rFonts w:ascii="宋体" w:hAnsi="宋体"/>
          <w:b/>
          <w:color w:val="000000"/>
          <w:sz w:val="28"/>
          <w:szCs w:val="28"/>
          <w:lang w:val="zh-CN"/>
        </w:rPr>
      </w:pPr>
      <w:r>
        <w:rPr>
          <w:rFonts w:ascii="宋体" w:hAnsi="宋体"/>
          <w:b/>
          <w:color w:val="000000"/>
          <w:sz w:val="28"/>
          <w:szCs w:val="28"/>
          <w:lang w:val="zh-CN"/>
        </w:rPr>
        <w:t>13</w:t>
      </w:r>
      <w:r>
        <w:rPr>
          <w:rFonts w:hint="eastAsia" w:ascii="宋体" w:hAnsi="宋体"/>
          <w:b/>
          <w:color w:val="000000"/>
          <w:sz w:val="28"/>
          <w:szCs w:val="28"/>
          <w:lang w:val="zh-CN"/>
        </w:rPr>
        <w:t>．验收</w:t>
      </w:r>
    </w:p>
    <w:p w14:paraId="0BAAC9B6">
      <w:pPr>
        <w:autoSpaceDE w:val="0"/>
        <w:autoSpaceDN w:val="0"/>
        <w:adjustRightInd w:val="0"/>
        <w:spacing w:line="360" w:lineRule="auto"/>
        <w:ind w:firstLine="482"/>
        <w:rPr>
          <w:rFonts w:ascii="宋体" w:hAnsi="宋体"/>
          <w:color w:val="000000"/>
          <w:sz w:val="28"/>
          <w:szCs w:val="28"/>
          <w:lang w:val="zh-CN"/>
        </w:rPr>
      </w:pPr>
      <w:r>
        <w:rPr>
          <w:rFonts w:ascii="宋体" w:hAnsi="宋体"/>
          <w:b/>
          <w:color w:val="000000"/>
          <w:sz w:val="28"/>
          <w:szCs w:val="28"/>
          <w:lang w:val="zh-CN"/>
        </w:rPr>
        <w:t>13.1</w:t>
      </w:r>
      <w:r>
        <w:rPr>
          <w:rFonts w:hint="eastAsia" w:ascii="宋体" w:hAnsi="宋体"/>
          <w:color w:val="000000"/>
          <w:sz w:val="28"/>
          <w:szCs w:val="28"/>
          <w:lang w:val="zh-CN"/>
        </w:rPr>
        <w:t>供方提交的货物由需方负责检验验收，或由需方聘请当地质检（商检）部门或有关部门对货物的品种、规格、性能、质量、数量、外观以及配件等进行检验，并出具检验证书。检验费用由供需双方协商确定。</w:t>
      </w:r>
    </w:p>
    <w:p w14:paraId="787E7A8F">
      <w:pPr>
        <w:autoSpaceDE w:val="0"/>
        <w:autoSpaceDN w:val="0"/>
        <w:adjustRightInd w:val="0"/>
        <w:spacing w:line="360" w:lineRule="auto"/>
        <w:ind w:firstLine="482"/>
        <w:rPr>
          <w:rFonts w:ascii="宋体" w:hAnsi="宋体"/>
          <w:color w:val="000000"/>
          <w:sz w:val="28"/>
          <w:szCs w:val="28"/>
          <w:lang w:val="zh-CN"/>
        </w:rPr>
      </w:pPr>
      <w:r>
        <w:rPr>
          <w:rFonts w:ascii="宋体" w:hAnsi="宋体"/>
          <w:color w:val="000000"/>
          <w:sz w:val="28"/>
          <w:szCs w:val="28"/>
          <w:lang w:val="zh-CN"/>
        </w:rPr>
        <w:t>13.2</w:t>
      </w:r>
      <w:r>
        <w:rPr>
          <w:rFonts w:hint="eastAsia" w:ascii="宋体" w:hAnsi="宋体"/>
          <w:color w:val="000000"/>
          <w:sz w:val="28"/>
          <w:szCs w:val="28"/>
          <w:lang w:val="zh-CN"/>
        </w:rPr>
        <w:t>验收过程中，如果供需双方对合同标的质量发生争议，应当聘请当地质检（商检）部门或有关部门对有争议的货物质量进行鉴定，检验费用由责任方承担。</w:t>
      </w:r>
    </w:p>
    <w:p w14:paraId="21E3387A">
      <w:pPr>
        <w:autoSpaceDE w:val="0"/>
        <w:autoSpaceDN w:val="0"/>
        <w:adjustRightInd w:val="0"/>
        <w:spacing w:line="360" w:lineRule="auto"/>
        <w:ind w:firstLine="482"/>
        <w:rPr>
          <w:rFonts w:ascii="宋体" w:hAnsi="宋体"/>
          <w:color w:val="000000"/>
          <w:sz w:val="28"/>
          <w:szCs w:val="28"/>
        </w:rPr>
      </w:pPr>
      <w:r>
        <w:rPr>
          <w:rFonts w:ascii="宋体" w:hAnsi="宋体"/>
          <w:color w:val="000000"/>
          <w:sz w:val="28"/>
          <w:szCs w:val="28"/>
          <w:lang w:val="zh-CN"/>
        </w:rPr>
        <w:t>13.3</w:t>
      </w:r>
      <w:r>
        <w:rPr>
          <w:rFonts w:hint="eastAsia" w:ascii="宋体" w:hAnsi="宋体"/>
          <w:color w:val="000000"/>
          <w:sz w:val="28"/>
          <w:szCs w:val="28"/>
          <w:lang w:val="zh-CN"/>
        </w:rPr>
        <w:t>按照规定必须由国家有关部门或者机构检验合格才允许使用的货物，由供方负责（需方配合）向有关部门或者机构申请检验并取得检验合格的报告（证书）或者使用许可证，费用包含在供方的投标总价中。</w:t>
      </w:r>
    </w:p>
    <w:p w14:paraId="44775C80">
      <w:pPr>
        <w:autoSpaceDE w:val="0"/>
        <w:autoSpaceDN w:val="0"/>
        <w:adjustRightInd w:val="0"/>
        <w:spacing w:line="360" w:lineRule="auto"/>
        <w:ind w:firstLine="482"/>
        <w:rPr>
          <w:rFonts w:ascii="宋体" w:hAnsi="宋体"/>
          <w:b/>
          <w:color w:val="000000"/>
          <w:sz w:val="28"/>
          <w:szCs w:val="28"/>
          <w:lang w:val="zh-CN"/>
        </w:rPr>
      </w:pPr>
      <w:r>
        <w:rPr>
          <w:rFonts w:ascii="宋体" w:hAnsi="宋体"/>
          <w:b/>
          <w:color w:val="000000"/>
          <w:sz w:val="28"/>
          <w:szCs w:val="28"/>
          <w:lang w:val="zh-CN"/>
        </w:rPr>
        <w:t>14</w:t>
      </w:r>
      <w:r>
        <w:rPr>
          <w:rFonts w:hint="eastAsia" w:ascii="宋体" w:hAnsi="宋体"/>
          <w:b/>
          <w:color w:val="000000"/>
          <w:sz w:val="28"/>
          <w:szCs w:val="28"/>
          <w:lang w:val="zh-CN"/>
        </w:rPr>
        <w:t>．索赔</w:t>
      </w:r>
    </w:p>
    <w:p w14:paraId="06881991">
      <w:pPr>
        <w:autoSpaceDE w:val="0"/>
        <w:autoSpaceDN w:val="0"/>
        <w:adjustRightInd w:val="0"/>
        <w:spacing w:line="360" w:lineRule="auto"/>
        <w:ind w:firstLine="480"/>
        <w:rPr>
          <w:rFonts w:ascii="宋体" w:hAnsi="宋体"/>
          <w:color w:val="000000"/>
          <w:sz w:val="28"/>
          <w:szCs w:val="28"/>
          <w:lang w:val="zh-CN"/>
        </w:rPr>
      </w:pPr>
      <w:r>
        <w:rPr>
          <w:rFonts w:ascii="宋体" w:hAnsi="宋体"/>
          <w:color w:val="000000"/>
          <w:sz w:val="28"/>
          <w:szCs w:val="28"/>
          <w:lang w:val="zh-CN"/>
        </w:rPr>
        <w:t>14.1</w:t>
      </w:r>
      <w:r>
        <w:rPr>
          <w:rFonts w:hint="eastAsia" w:ascii="宋体" w:hAnsi="宋体"/>
          <w:color w:val="000000"/>
          <w:sz w:val="28"/>
          <w:szCs w:val="28"/>
          <w:lang w:val="zh-CN"/>
        </w:rPr>
        <w:t>需方有权根据国家技术监督局、进出口商品检验局或其他具有法定资格的质检机构出具的检验证书向供方提出索赔。</w:t>
      </w:r>
    </w:p>
    <w:p w14:paraId="0EEC0E44">
      <w:pPr>
        <w:autoSpaceDE w:val="0"/>
        <w:autoSpaceDN w:val="0"/>
        <w:adjustRightInd w:val="0"/>
        <w:spacing w:line="360" w:lineRule="auto"/>
        <w:ind w:firstLine="480"/>
        <w:rPr>
          <w:rFonts w:ascii="宋体" w:hAnsi="宋体"/>
          <w:color w:val="000000"/>
          <w:sz w:val="28"/>
          <w:szCs w:val="28"/>
          <w:lang w:val="zh-CN"/>
        </w:rPr>
      </w:pPr>
      <w:r>
        <w:rPr>
          <w:rFonts w:ascii="宋体" w:hAnsi="宋体"/>
          <w:color w:val="000000"/>
          <w:sz w:val="28"/>
          <w:szCs w:val="28"/>
          <w:lang w:val="zh-CN"/>
        </w:rPr>
        <w:t>14.2</w:t>
      </w:r>
      <w:r>
        <w:rPr>
          <w:rFonts w:hint="eastAsia" w:ascii="宋体" w:hAnsi="宋体"/>
          <w:color w:val="000000"/>
          <w:sz w:val="28"/>
          <w:szCs w:val="28"/>
          <w:lang w:val="zh-CN"/>
        </w:rPr>
        <w:t>如果供方对缺陷负有责任而需方提出索赔，供方应按照需方同意的下列一种或多种方式解决索赔事宜：</w:t>
      </w:r>
    </w:p>
    <w:p w14:paraId="7750F311">
      <w:pPr>
        <w:autoSpaceDE w:val="0"/>
        <w:autoSpaceDN w:val="0"/>
        <w:adjustRightInd w:val="0"/>
        <w:spacing w:line="360" w:lineRule="auto"/>
        <w:ind w:firstLine="480"/>
        <w:rPr>
          <w:rFonts w:ascii="宋体" w:hAnsi="宋体"/>
          <w:color w:val="000000"/>
          <w:sz w:val="28"/>
          <w:szCs w:val="28"/>
          <w:lang w:val="zh-CN"/>
        </w:rPr>
      </w:pPr>
      <w:r>
        <w:rPr>
          <w:rFonts w:hint="eastAsia" w:ascii="宋体" w:hAnsi="宋体"/>
          <w:color w:val="000000"/>
          <w:sz w:val="28"/>
          <w:szCs w:val="28"/>
          <w:lang w:val="zh-CN"/>
        </w:rPr>
        <w:t>（</w:t>
      </w:r>
      <w:r>
        <w:rPr>
          <w:rFonts w:ascii="宋体" w:hAnsi="宋体"/>
          <w:color w:val="000000"/>
          <w:sz w:val="28"/>
          <w:szCs w:val="28"/>
          <w:lang w:val="zh-CN"/>
        </w:rPr>
        <w:t>1</w:t>
      </w:r>
      <w:r>
        <w:rPr>
          <w:rFonts w:hint="eastAsia" w:ascii="宋体" w:hAnsi="宋体"/>
          <w:color w:val="000000"/>
          <w:sz w:val="28"/>
          <w:szCs w:val="28"/>
          <w:lang w:val="zh-CN"/>
        </w:rPr>
        <w:t>）供方同意退货并用合同规定的货币将货款退还给需方，并承担由此发生的一切损失和费用，包括利息、银行手续费、运费、保险费、检验费、仓储费、装卸费以及为保护退回货物所需的其他必要费用。</w:t>
      </w:r>
    </w:p>
    <w:p w14:paraId="2A5313FF">
      <w:pPr>
        <w:autoSpaceDE w:val="0"/>
        <w:autoSpaceDN w:val="0"/>
        <w:adjustRightInd w:val="0"/>
        <w:spacing w:line="360" w:lineRule="auto"/>
        <w:ind w:firstLine="480"/>
        <w:rPr>
          <w:rFonts w:ascii="宋体" w:hAnsi="宋体"/>
          <w:color w:val="000000"/>
          <w:sz w:val="28"/>
          <w:szCs w:val="28"/>
          <w:lang w:val="zh-CN"/>
        </w:rPr>
      </w:pPr>
      <w:r>
        <w:rPr>
          <w:rFonts w:hint="eastAsia" w:ascii="宋体" w:hAnsi="宋体"/>
          <w:color w:val="000000"/>
          <w:sz w:val="28"/>
          <w:szCs w:val="28"/>
          <w:lang w:val="zh-CN"/>
        </w:rPr>
        <w:t>（</w:t>
      </w:r>
      <w:r>
        <w:rPr>
          <w:rFonts w:ascii="宋体" w:hAnsi="宋体"/>
          <w:color w:val="000000"/>
          <w:sz w:val="28"/>
          <w:szCs w:val="28"/>
          <w:lang w:val="zh-CN"/>
        </w:rPr>
        <w:t>2</w:t>
      </w:r>
      <w:r>
        <w:rPr>
          <w:rFonts w:hint="eastAsia" w:ascii="宋体" w:hAnsi="宋体"/>
          <w:color w:val="000000"/>
          <w:sz w:val="28"/>
          <w:szCs w:val="28"/>
          <w:lang w:val="zh-CN"/>
        </w:rPr>
        <w:t>）根据货物低劣、损坏程度以及需方所遭受损失的金额，经双方商定降低货物的价格。</w:t>
      </w:r>
    </w:p>
    <w:p w14:paraId="01CB8578">
      <w:pPr>
        <w:autoSpaceDE w:val="0"/>
        <w:autoSpaceDN w:val="0"/>
        <w:adjustRightInd w:val="0"/>
        <w:spacing w:line="360" w:lineRule="auto"/>
        <w:ind w:firstLine="480"/>
        <w:rPr>
          <w:rFonts w:ascii="宋体" w:hAnsi="宋体"/>
          <w:color w:val="000000"/>
          <w:sz w:val="28"/>
          <w:szCs w:val="28"/>
          <w:lang w:val="zh-CN"/>
        </w:rPr>
      </w:pPr>
      <w:r>
        <w:rPr>
          <w:rFonts w:hint="eastAsia" w:ascii="宋体" w:hAnsi="宋体"/>
          <w:color w:val="000000"/>
          <w:sz w:val="28"/>
          <w:szCs w:val="28"/>
          <w:lang w:val="zh-CN"/>
        </w:rPr>
        <w:t>（</w:t>
      </w:r>
      <w:r>
        <w:rPr>
          <w:rFonts w:ascii="宋体" w:hAnsi="宋体"/>
          <w:color w:val="000000"/>
          <w:sz w:val="28"/>
          <w:szCs w:val="28"/>
          <w:lang w:val="zh-CN"/>
        </w:rPr>
        <w:t>3</w:t>
      </w:r>
      <w:r>
        <w:rPr>
          <w:rFonts w:hint="eastAsia" w:ascii="宋体" w:hAnsi="宋体"/>
          <w:color w:val="000000"/>
          <w:sz w:val="28"/>
          <w:szCs w:val="28"/>
          <w:lang w:val="zh-CN"/>
        </w:rPr>
        <w:t>）用符合合同规定的规格、质量和性能要求的新零件、部件和／或设备来更换有缺陷的部分和／或修补缺陷部分，供方应承担一切费用和风险，并负担需方蒙受的全部直接损失。供方应相应延长修补和／或更换件的质量保证期。</w:t>
      </w:r>
    </w:p>
    <w:p w14:paraId="63717D95">
      <w:pPr>
        <w:autoSpaceDE w:val="0"/>
        <w:autoSpaceDN w:val="0"/>
        <w:adjustRightInd w:val="0"/>
        <w:spacing w:line="360" w:lineRule="auto"/>
        <w:ind w:firstLine="480"/>
        <w:rPr>
          <w:rFonts w:ascii="宋体" w:hAnsi="宋体"/>
          <w:color w:val="000000"/>
          <w:sz w:val="28"/>
          <w:szCs w:val="28"/>
          <w:lang w:val="zh-CN"/>
        </w:rPr>
      </w:pPr>
      <w:r>
        <w:rPr>
          <w:rFonts w:ascii="宋体" w:hAnsi="宋体"/>
          <w:color w:val="000000"/>
          <w:sz w:val="28"/>
          <w:szCs w:val="28"/>
          <w:lang w:val="zh-CN"/>
        </w:rPr>
        <w:t>14.3</w:t>
      </w:r>
      <w:r>
        <w:rPr>
          <w:rFonts w:hint="eastAsia" w:ascii="宋体" w:hAnsi="宋体"/>
          <w:color w:val="000000"/>
          <w:sz w:val="28"/>
          <w:szCs w:val="28"/>
          <w:lang w:val="zh-CN"/>
        </w:rPr>
        <w:t>如果在需方发出索赔通知后十天内供方未作答复，上述索赔应视为已被供方接受。如供方未能在接到需方索赔通知后十天内或需方同意的延长期限内，按照上述第</w:t>
      </w:r>
      <w:r>
        <w:rPr>
          <w:rFonts w:ascii="宋体" w:hAnsi="宋体"/>
          <w:color w:val="000000"/>
          <w:sz w:val="28"/>
          <w:szCs w:val="28"/>
          <w:lang w:val="zh-CN"/>
        </w:rPr>
        <w:t>14.2</w:t>
      </w:r>
      <w:r>
        <w:rPr>
          <w:rFonts w:hint="eastAsia" w:ascii="宋体" w:hAnsi="宋体"/>
          <w:color w:val="000000"/>
          <w:sz w:val="28"/>
          <w:szCs w:val="28"/>
          <w:lang w:val="zh-CN"/>
        </w:rPr>
        <w:t>款规定的任何一种或多种方式解决索赔事宜并征得需方同意，需方有权从应付货款或从供方提交的履约保证金中扣回索赔金额，并拥有对赔偿不足部分进一步索赔的权利。</w:t>
      </w:r>
    </w:p>
    <w:p w14:paraId="22F5E537">
      <w:pPr>
        <w:autoSpaceDE w:val="0"/>
        <w:autoSpaceDN w:val="0"/>
        <w:adjustRightInd w:val="0"/>
        <w:spacing w:line="360" w:lineRule="auto"/>
        <w:ind w:firstLine="482"/>
        <w:rPr>
          <w:rFonts w:ascii="宋体" w:hAnsi="宋体"/>
          <w:b/>
          <w:color w:val="000000"/>
          <w:sz w:val="28"/>
          <w:szCs w:val="28"/>
          <w:lang w:val="zh-CN"/>
        </w:rPr>
      </w:pPr>
      <w:r>
        <w:rPr>
          <w:rFonts w:ascii="宋体" w:hAnsi="宋体"/>
          <w:b/>
          <w:color w:val="000000"/>
          <w:sz w:val="28"/>
          <w:szCs w:val="28"/>
          <w:lang w:val="zh-CN"/>
        </w:rPr>
        <w:t>15</w:t>
      </w:r>
      <w:r>
        <w:rPr>
          <w:rFonts w:hint="eastAsia" w:ascii="宋体" w:hAnsi="宋体"/>
          <w:b/>
          <w:color w:val="000000"/>
          <w:sz w:val="28"/>
          <w:szCs w:val="28"/>
          <w:lang w:val="zh-CN"/>
        </w:rPr>
        <w:t>．履约延误</w:t>
      </w:r>
    </w:p>
    <w:p w14:paraId="43B3BCE6">
      <w:pPr>
        <w:autoSpaceDE w:val="0"/>
        <w:autoSpaceDN w:val="0"/>
        <w:adjustRightInd w:val="0"/>
        <w:spacing w:line="360" w:lineRule="auto"/>
        <w:ind w:firstLine="480"/>
        <w:rPr>
          <w:rFonts w:ascii="宋体" w:hAnsi="宋体"/>
          <w:color w:val="000000"/>
          <w:sz w:val="28"/>
          <w:szCs w:val="28"/>
          <w:lang w:val="zh-CN"/>
        </w:rPr>
      </w:pPr>
      <w:r>
        <w:rPr>
          <w:rFonts w:ascii="宋体" w:hAnsi="宋体"/>
          <w:color w:val="000000"/>
          <w:sz w:val="28"/>
          <w:szCs w:val="28"/>
          <w:lang w:val="zh-CN"/>
        </w:rPr>
        <w:t xml:space="preserve">15.1 </w:t>
      </w:r>
      <w:r>
        <w:rPr>
          <w:rFonts w:hint="eastAsia" w:ascii="宋体" w:hAnsi="宋体"/>
          <w:color w:val="000000"/>
          <w:sz w:val="28"/>
          <w:szCs w:val="28"/>
          <w:lang w:val="zh-CN"/>
        </w:rPr>
        <w:t>供方应按照合同规定的时间、地点交货和提供服务；需方应按照合同规定的时间、地点接收货物和接受服务。</w:t>
      </w:r>
    </w:p>
    <w:p w14:paraId="1A8702CE">
      <w:pPr>
        <w:autoSpaceDE w:val="0"/>
        <w:autoSpaceDN w:val="0"/>
        <w:adjustRightInd w:val="0"/>
        <w:spacing w:line="360" w:lineRule="auto"/>
        <w:ind w:firstLine="480"/>
        <w:rPr>
          <w:rFonts w:ascii="宋体" w:hAnsi="宋体"/>
          <w:color w:val="000000"/>
          <w:sz w:val="28"/>
          <w:szCs w:val="28"/>
          <w:lang w:val="zh-CN"/>
        </w:rPr>
      </w:pPr>
      <w:r>
        <w:rPr>
          <w:rFonts w:ascii="宋体" w:hAnsi="宋体"/>
          <w:color w:val="000000"/>
          <w:sz w:val="28"/>
          <w:szCs w:val="28"/>
          <w:lang w:val="zh-CN"/>
        </w:rPr>
        <w:t xml:space="preserve">15.2 </w:t>
      </w:r>
      <w:r>
        <w:rPr>
          <w:rFonts w:hint="eastAsia" w:ascii="宋体" w:hAnsi="宋体"/>
          <w:color w:val="000000"/>
          <w:sz w:val="28"/>
          <w:szCs w:val="28"/>
          <w:lang w:val="zh-CN"/>
        </w:rPr>
        <w:t>如果供方无正当理由拖延交货，将受到以下制裁：没收履约保证金、加收误期赔偿和／或违约终止合同；如果需方无正当理由拖延接收货物和接受服务，应承担相应的违约责任。</w:t>
      </w:r>
    </w:p>
    <w:p w14:paraId="0E76E3B4">
      <w:pPr>
        <w:autoSpaceDE w:val="0"/>
        <w:autoSpaceDN w:val="0"/>
        <w:adjustRightInd w:val="0"/>
        <w:spacing w:line="360" w:lineRule="auto"/>
        <w:ind w:firstLine="480"/>
        <w:rPr>
          <w:rFonts w:ascii="宋体" w:hAnsi="宋体"/>
          <w:color w:val="000000"/>
          <w:sz w:val="28"/>
          <w:szCs w:val="28"/>
          <w:lang w:val="zh-CN"/>
        </w:rPr>
      </w:pPr>
      <w:r>
        <w:rPr>
          <w:rFonts w:ascii="宋体" w:hAnsi="宋体"/>
          <w:color w:val="000000"/>
          <w:sz w:val="28"/>
          <w:szCs w:val="28"/>
          <w:lang w:val="zh-CN"/>
        </w:rPr>
        <w:t xml:space="preserve">15.3 </w:t>
      </w:r>
      <w:r>
        <w:rPr>
          <w:rFonts w:hint="eastAsia" w:ascii="宋体" w:hAnsi="宋体"/>
          <w:color w:val="000000"/>
          <w:sz w:val="28"/>
          <w:szCs w:val="28"/>
          <w:lang w:val="zh-CN"/>
        </w:rPr>
        <w:t>在履行合同过程中，如果供方遇到可能妨碍其按时交货和提供服务的情况，或者需方遇到可能妨碍其按时接收货物和接受服务的情况，</w:t>
      </w:r>
      <w:r>
        <w:rPr>
          <w:rFonts w:ascii="宋体" w:hAnsi="宋体"/>
          <w:color w:val="000000"/>
          <w:sz w:val="28"/>
          <w:szCs w:val="28"/>
          <w:lang w:val="zh-CN"/>
        </w:rPr>
        <w:t xml:space="preserve"> </w:t>
      </w:r>
      <w:r>
        <w:rPr>
          <w:rFonts w:hint="eastAsia" w:ascii="宋体" w:hAnsi="宋体"/>
          <w:color w:val="000000"/>
          <w:sz w:val="28"/>
          <w:szCs w:val="28"/>
          <w:lang w:val="zh-CN"/>
        </w:rPr>
        <w:t>应及时以书面形式将拖延的事实，可能拖延的期限和理由通知对方。需方（或供方）在收到供方（或需方）通知后，应尽快对情况进行评估，并确定是否通过修改合同，酌情延长交货时间和</w:t>
      </w:r>
      <w:r>
        <w:rPr>
          <w:rFonts w:ascii="宋体" w:hAnsi="宋体"/>
          <w:color w:val="000000"/>
          <w:sz w:val="28"/>
          <w:szCs w:val="28"/>
          <w:lang w:val="zh-CN"/>
        </w:rPr>
        <w:t>/</w:t>
      </w:r>
      <w:r>
        <w:rPr>
          <w:rFonts w:hint="eastAsia" w:ascii="宋体" w:hAnsi="宋体"/>
          <w:color w:val="000000"/>
          <w:sz w:val="28"/>
          <w:szCs w:val="28"/>
          <w:lang w:val="zh-CN"/>
        </w:rPr>
        <w:t>或延期提供服务，或者终止合同。</w:t>
      </w:r>
    </w:p>
    <w:p w14:paraId="0703B189">
      <w:pPr>
        <w:autoSpaceDE w:val="0"/>
        <w:autoSpaceDN w:val="0"/>
        <w:adjustRightInd w:val="0"/>
        <w:spacing w:line="360" w:lineRule="auto"/>
        <w:ind w:firstLine="482"/>
        <w:rPr>
          <w:rFonts w:ascii="宋体" w:hAnsi="宋体"/>
          <w:b/>
          <w:color w:val="000000"/>
          <w:sz w:val="28"/>
          <w:szCs w:val="28"/>
          <w:lang w:val="zh-CN"/>
        </w:rPr>
      </w:pPr>
      <w:r>
        <w:rPr>
          <w:rFonts w:ascii="宋体" w:hAnsi="宋体"/>
          <w:b/>
          <w:color w:val="000000"/>
          <w:sz w:val="28"/>
          <w:szCs w:val="28"/>
          <w:lang w:val="zh-CN"/>
        </w:rPr>
        <w:t>16</w:t>
      </w:r>
      <w:r>
        <w:rPr>
          <w:rFonts w:hint="eastAsia" w:ascii="宋体" w:hAnsi="宋体"/>
          <w:b/>
          <w:color w:val="000000"/>
          <w:sz w:val="28"/>
          <w:szCs w:val="28"/>
          <w:lang w:val="zh-CN"/>
        </w:rPr>
        <w:t>．误期赔偿</w:t>
      </w:r>
    </w:p>
    <w:p w14:paraId="1A8AEBC1">
      <w:pPr>
        <w:autoSpaceDE w:val="0"/>
        <w:autoSpaceDN w:val="0"/>
        <w:adjustRightInd w:val="0"/>
        <w:spacing w:line="360" w:lineRule="auto"/>
        <w:ind w:firstLine="480"/>
        <w:jc w:val="left"/>
        <w:rPr>
          <w:rFonts w:ascii="宋体" w:hAnsi="宋体"/>
          <w:color w:val="000000"/>
          <w:sz w:val="28"/>
          <w:szCs w:val="28"/>
          <w:lang w:val="zh-CN"/>
        </w:rPr>
      </w:pPr>
      <w:r>
        <w:rPr>
          <w:rFonts w:ascii="宋体" w:hAnsi="宋体"/>
          <w:color w:val="000000"/>
          <w:sz w:val="28"/>
          <w:szCs w:val="28"/>
          <w:lang w:val="zh-CN"/>
        </w:rPr>
        <w:t>16.1</w:t>
      </w:r>
      <w:r>
        <w:rPr>
          <w:rFonts w:hint="eastAsia" w:ascii="宋体" w:hAnsi="宋体"/>
          <w:color w:val="000000"/>
          <w:sz w:val="28"/>
          <w:szCs w:val="28"/>
          <w:lang w:val="zh-CN"/>
        </w:rPr>
        <w:t>除本合同条款</w:t>
      </w:r>
      <w:r>
        <w:rPr>
          <w:rFonts w:hint="eastAsia" w:ascii="宋体" w:hAnsi="宋体"/>
          <w:b/>
          <w:color w:val="000000"/>
          <w:sz w:val="28"/>
          <w:szCs w:val="28"/>
          <w:lang w:val="zh-CN"/>
        </w:rPr>
        <w:t>第</w:t>
      </w:r>
      <w:r>
        <w:rPr>
          <w:rFonts w:ascii="宋体" w:hAnsi="宋体"/>
          <w:b/>
          <w:color w:val="000000"/>
          <w:sz w:val="28"/>
          <w:szCs w:val="28"/>
          <w:lang w:val="zh-CN"/>
        </w:rPr>
        <w:t>18</w:t>
      </w:r>
      <w:r>
        <w:rPr>
          <w:rFonts w:hint="eastAsia" w:ascii="宋体" w:hAnsi="宋体"/>
          <w:b/>
          <w:color w:val="000000"/>
          <w:sz w:val="28"/>
          <w:szCs w:val="28"/>
          <w:lang w:val="zh-CN"/>
        </w:rPr>
        <w:t>条</w:t>
      </w:r>
      <w:r>
        <w:rPr>
          <w:rFonts w:hint="eastAsia" w:ascii="宋体" w:hAnsi="宋体"/>
          <w:color w:val="000000"/>
          <w:sz w:val="28"/>
          <w:szCs w:val="28"/>
          <w:lang w:val="zh-CN"/>
        </w:rPr>
        <w:t>规定的情形外，如果供方没有按照合同规定的时间交货和提供服务，供方应向需方支付误期赔偿费。误期赔偿费每周按迟交货物的交货价或延期服务的服务费用的百分之一（</w:t>
      </w:r>
      <w:r>
        <w:rPr>
          <w:rFonts w:ascii="宋体" w:hAnsi="宋体"/>
          <w:color w:val="000000"/>
          <w:sz w:val="28"/>
          <w:szCs w:val="28"/>
          <w:lang w:val="zh-CN"/>
        </w:rPr>
        <w:t>1%</w:t>
      </w:r>
      <w:r>
        <w:rPr>
          <w:rFonts w:hint="eastAsia" w:ascii="宋体" w:hAnsi="宋体"/>
          <w:color w:val="000000"/>
          <w:sz w:val="28"/>
          <w:szCs w:val="28"/>
          <w:lang w:val="zh-CN"/>
        </w:rPr>
        <w:t>）计收，直至交货或提供服务为止。一周按七天计算，不足七天按一周计算。但误期赔偿费的最高限额不超过合同价的百分之五（</w:t>
      </w:r>
      <w:r>
        <w:rPr>
          <w:rFonts w:ascii="宋体" w:hAnsi="宋体"/>
          <w:color w:val="000000"/>
          <w:sz w:val="28"/>
          <w:szCs w:val="28"/>
          <w:lang w:val="zh-CN"/>
        </w:rPr>
        <w:t>5%</w:t>
      </w:r>
      <w:r>
        <w:rPr>
          <w:rFonts w:hint="eastAsia" w:ascii="宋体" w:hAnsi="宋体"/>
          <w:color w:val="000000"/>
          <w:sz w:val="28"/>
          <w:szCs w:val="28"/>
          <w:lang w:val="zh-CN"/>
        </w:rPr>
        <w:t>）。</w:t>
      </w:r>
    </w:p>
    <w:p w14:paraId="3E597B0C">
      <w:pPr>
        <w:autoSpaceDE w:val="0"/>
        <w:autoSpaceDN w:val="0"/>
        <w:adjustRightInd w:val="0"/>
        <w:spacing w:line="360" w:lineRule="auto"/>
        <w:ind w:firstLine="480"/>
        <w:jc w:val="left"/>
        <w:rPr>
          <w:rFonts w:ascii="宋体" w:hAnsi="宋体"/>
          <w:color w:val="000000"/>
          <w:sz w:val="28"/>
          <w:szCs w:val="28"/>
          <w:lang w:val="zh-CN"/>
        </w:rPr>
      </w:pPr>
      <w:r>
        <w:rPr>
          <w:rFonts w:ascii="宋体" w:hAnsi="宋体"/>
          <w:color w:val="000000"/>
          <w:sz w:val="28"/>
          <w:szCs w:val="28"/>
          <w:lang w:val="zh-CN"/>
        </w:rPr>
        <w:t>16.2</w:t>
      </w:r>
      <w:r>
        <w:rPr>
          <w:rFonts w:hint="eastAsia" w:ascii="宋体" w:hAnsi="宋体"/>
          <w:color w:val="000000"/>
          <w:sz w:val="28"/>
          <w:szCs w:val="28"/>
          <w:lang w:val="zh-CN"/>
        </w:rPr>
        <w:t>误期赔偿费可从应付货款和</w:t>
      </w:r>
      <w:r>
        <w:rPr>
          <w:rFonts w:ascii="宋体" w:hAnsi="宋体"/>
          <w:color w:val="000000"/>
          <w:sz w:val="28"/>
          <w:szCs w:val="28"/>
          <w:lang w:val="zh-CN"/>
        </w:rPr>
        <w:t>/</w:t>
      </w:r>
      <w:r>
        <w:rPr>
          <w:rFonts w:hint="eastAsia" w:ascii="宋体" w:hAnsi="宋体"/>
          <w:color w:val="000000"/>
          <w:sz w:val="28"/>
          <w:szCs w:val="28"/>
          <w:lang w:val="zh-CN"/>
        </w:rPr>
        <w:t>或履约保证金中扣除。</w:t>
      </w:r>
    </w:p>
    <w:p w14:paraId="20DFB34D">
      <w:pPr>
        <w:autoSpaceDE w:val="0"/>
        <w:autoSpaceDN w:val="0"/>
        <w:adjustRightInd w:val="0"/>
        <w:spacing w:line="360" w:lineRule="auto"/>
        <w:ind w:firstLine="480"/>
        <w:jc w:val="left"/>
        <w:rPr>
          <w:rFonts w:ascii="宋体" w:hAnsi="宋体"/>
          <w:color w:val="000000"/>
          <w:sz w:val="28"/>
          <w:szCs w:val="28"/>
          <w:lang w:val="zh-CN"/>
        </w:rPr>
      </w:pPr>
      <w:r>
        <w:rPr>
          <w:rFonts w:ascii="宋体" w:hAnsi="宋体"/>
          <w:color w:val="000000"/>
          <w:sz w:val="28"/>
          <w:szCs w:val="28"/>
          <w:lang w:val="zh-CN"/>
        </w:rPr>
        <w:t>16.3</w:t>
      </w:r>
      <w:r>
        <w:rPr>
          <w:rFonts w:hint="eastAsia" w:ascii="宋体" w:hAnsi="宋体"/>
          <w:color w:val="000000"/>
          <w:sz w:val="28"/>
          <w:szCs w:val="28"/>
          <w:lang w:val="zh-CN"/>
        </w:rPr>
        <w:t>收取误期赔偿费不影响需方采取合同规定的其他补救措施的权利。</w:t>
      </w:r>
    </w:p>
    <w:p w14:paraId="1D59EFD6">
      <w:pPr>
        <w:autoSpaceDE w:val="0"/>
        <w:autoSpaceDN w:val="0"/>
        <w:adjustRightInd w:val="0"/>
        <w:spacing w:line="360" w:lineRule="auto"/>
        <w:ind w:firstLine="480"/>
        <w:jc w:val="left"/>
        <w:rPr>
          <w:rFonts w:ascii="宋体" w:hAnsi="宋体"/>
          <w:color w:val="000000"/>
          <w:sz w:val="28"/>
          <w:szCs w:val="28"/>
          <w:lang w:val="zh-CN"/>
        </w:rPr>
      </w:pPr>
      <w:r>
        <w:rPr>
          <w:rFonts w:ascii="宋体" w:hAnsi="宋体"/>
          <w:color w:val="000000"/>
          <w:sz w:val="28"/>
          <w:szCs w:val="28"/>
          <w:lang w:val="zh-CN"/>
        </w:rPr>
        <w:t>16.4</w:t>
      </w:r>
      <w:r>
        <w:rPr>
          <w:rFonts w:hint="eastAsia" w:ascii="宋体" w:hAnsi="宋体"/>
          <w:color w:val="000000"/>
          <w:sz w:val="28"/>
          <w:szCs w:val="28"/>
          <w:lang w:val="zh-CN"/>
        </w:rPr>
        <w:t>在收取误期赔偿费期间，需方有权决定是否终止合同。</w:t>
      </w:r>
    </w:p>
    <w:p w14:paraId="7685E14E">
      <w:pPr>
        <w:autoSpaceDE w:val="0"/>
        <w:autoSpaceDN w:val="0"/>
        <w:adjustRightInd w:val="0"/>
        <w:spacing w:line="360" w:lineRule="auto"/>
        <w:ind w:firstLine="480"/>
        <w:jc w:val="left"/>
        <w:rPr>
          <w:rFonts w:ascii="宋体" w:hAnsi="宋体"/>
          <w:color w:val="000000"/>
          <w:sz w:val="28"/>
          <w:szCs w:val="28"/>
          <w:lang w:val="zh-CN"/>
        </w:rPr>
      </w:pPr>
      <w:r>
        <w:rPr>
          <w:rFonts w:ascii="宋体" w:hAnsi="宋体"/>
          <w:color w:val="000000"/>
          <w:sz w:val="28"/>
          <w:szCs w:val="28"/>
          <w:lang w:val="zh-CN"/>
        </w:rPr>
        <w:t>16.5</w:t>
      </w:r>
      <w:r>
        <w:rPr>
          <w:rFonts w:hint="eastAsia" w:ascii="宋体" w:hAnsi="宋体"/>
          <w:color w:val="000000"/>
          <w:sz w:val="28"/>
          <w:szCs w:val="28"/>
          <w:lang w:val="zh-CN"/>
        </w:rPr>
        <w:t>如果需方违约，应承担相应的违约责任。</w:t>
      </w:r>
    </w:p>
    <w:p w14:paraId="61DB854E">
      <w:pPr>
        <w:autoSpaceDE w:val="0"/>
        <w:autoSpaceDN w:val="0"/>
        <w:adjustRightInd w:val="0"/>
        <w:spacing w:line="360" w:lineRule="auto"/>
        <w:ind w:firstLine="482"/>
        <w:rPr>
          <w:rFonts w:ascii="宋体" w:hAnsi="宋体"/>
          <w:b/>
          <w:color w:val="000000"/>
          <w:sz w:val="28"/>
          <w:szCs w:val="28"/>
          <w:lang w:val="zh-CN"/>
        </w:rPr>
      </w:pPr>
      <w:r>
        <w:rPr>
          <w:rFonts w:ascii="宋体" w:hAnsi="宋体"/>
          <w:b/>
          <w:color w:val="000000"/>
          <w:sz w:val="28"/>
          <w:szCs w:val="28"/>
          <w:lang w:val="zh-CN"/>
        </w:rPr>
        <w:t>17</w:t>
      </w:r>
      <w:r>
        <w:rPr>
          <w:rFonts w:hint="eastAsia" w:ascii="宋体" w:hAnsi="宋体"/>
          <w:b/>
          <w:color w:val="000000"/>
          <w:sz w:val="28"/>
          <w:szCs w:val="28"/>
          <w:lang w:val="zh-CN"/>
        </w:rPr>
        <w:t>．履约保证金和质量保证金：在政府采购合同书中约定。</w:t>
      </w:r>
    </w:p>
    <w:p w14:paraId="2C20AFA6">
      <w:pPr>
        <w:autoSpaceDE w:val="0"/>
        <w:autoSpaceDN w:val="0"/>
        <w:adjustRightInd w:val="0"/>
        <w:spacing w:line="360" w:lineRule="auto"/>
        <w:ind w:firstLine="482"/>
        <w:rPr>
          <w:rFonts w:ascii="宋体" w:hAnsi="宋体"/>
          <w:b/>
          <w:color w:val="000000"/>
          <w:sz w:val="28"/>
          <w:szCs w:val="28"/>
          <w:lang w:val="zh-CN"/>
        </w:rPr>
      </w:pPr>
      <w:r>
        <w:rPr>
          <w:rFonts w:ascii="宋体" w:hAnsi="宋体"/>
          <w:b/>
          <w:color w:val="000000"/>
          <w:sz w:val="28"/>
          <w:szCs w:val="28"/>
          <w:lang w:val="zh-CN"/>
        </w:rPr>
        <w:t>18</w:t>
      </w:r>
      <w:r>
        <w:rPr>
          <w:rFonts w:hint="eastAsia" w:ascii="宋体" w:hAnsi="宋体"/>
          <w:b/>
          <w:color w:val="000000"/>
          <w:sz w:val="28"/>
          <w:szCs w:val="28"/>
          <w:lang w:val="zh-CN"/>
        </w:rPr>
        <w:t>．不可抗力</w:t>
      </w:r>
    </w:p>
    <w:p w14:paraId="1352335D">
      <w:pPr>
        <w:autoSpaceDE w:val="0"/>
        <w:autoSpaceDN w:val="0"/>
        <w:adjustRightInd w:val="0"/>
        <w:spacing w:line="360" w:lineRule="auto"/>
        <w:ind w:firstLine="570"/>
        <w:rPr>
          <w:rFonts w:ascii="宋体" w:hAnsi="宋体"/>
          <w:color w:val="000000"/>
          <w:sz w:val="28"/>
          <w:szCs w:val="28"/>
          <w:lang w:val="zh-CN"/>
        </w:rPr>
      </w:pPr>
      <w:r>
        <w:rPr>
          <w:rFonts w:ascii="宋体" w:hAnsi="宋体"/>
          <w:color w:val="000000"/>
          <w:sz w:val="28"/>
          <w:szCs w:val="28"/>
          <w:lang w:val="zh-CN"/>
        </w:rPr>
        <w:t xml:space="preserve">18.1 </w:t>
      </w:r>
      <w:r>
        <w:rPr>
          <w:rFonts w:hint="eastAsia" w:ascii="宋体" w:hAnsi="宋体"/>
          <w:color w:val="000000"/>
          <w:sz w:val="28"/>
          <w:szCs w:val="28"/>
          <w:lang w:val="zh-CN"/>
        </w:rPr>
        <w:t>如果供方和需方因不可抗力导致合同实施延误或不能履行合同义务，不应该承担误期赔偿或不能履行合同义务的责任。但因供方或需方先延误或不能履行合同而后遇不可抗力的情形除外。</w:t>
      </w:r>
    </w:p>
    <w:p w14:paraId="468BCAD3">
      <w:pPr>
        <w:autoSpaceDE w:val="0"/>
        <w:autoSpaceDN w:val="0"/>
        <w:adjustRightInd w:val="0"/>
        <w:spacing w:line="360" w:lineRule="auto"/>
        <w:ind w:firstLine="570"/>
        <w:rPr>
          <w:rFonts w:ascii="宋体" w:hAnsi="宋体"/>
          <w:color w:val="000000"/>
          <w:sz w:val="28"/>
          <w:szCs w:val="28"/>
          <w:lang w:val="zh-CN"/>
        </w:rPr>
      </w:pPr>
      <w:r>
        <w:rPr>
          <w:rFonts w:ascii="宋体" w:hAnsi="宋体"/>
          <w:color w:val="000000"/>
          <w:sz w:val="28"/>
          <w:szCs w:val="28"/>
          <w:lang w:val="zh-CN"/>
        </w:rPr>
        <w:t xml:space="preserve">18.2 </w:t>
      </w:r>
      <w:r>
        <w:rPr>
          <w:rFonts w:hint="eastAsia" w:ascii="宋体" w:hAnsi="宋体"/>
          <w:color w:val="000000"/>
          <w:sz w:val="28"/>
          <w:szCs w:val="28"/>
          <w:lang w:val="zh-CN"/>
        </w:rPr>
        <w:t>本条所述的</w:t>
      </w:r>
      <w:r>
        <w:rPr>
          <w:rFonts w:ascii="宋体" w:hAnsi="宋体"/>
          <w:color w:val="000000"/>
          <w:sz w:val="28"/>
          <w:szCs w:val="28"/>
        </w:rPr>
        <w:t>“</w:t>
      </w:r>
      <w:r>
        <w:rPr>
          <w:rFonts w:hint="eastAsia" w:ascii="宋体" w:hAnsi="宋体"/>
          <w:color w:val="000000"/>
          <w:sz w:val="28"/>
          <w:szCs w:val="28"/>
          <w:lang w:val="zh-CN"/>
        </w:rPr>
        <w:t>不可抗力</w:t>
      </w:r>
      <w:r>
        <w:rPr>
          <w:rFonts w:ascii="宋体" w:hAnsi="宋体"/>
          <w:color w:val="000000"/>
          <w:sz w:val="28"/>
          <w:szCs w:val="28"/>
        </w:rPr>
        <w:t>”</w:t>
      </w:r>
      <w:r>
        <w:rPr>
          <w:rFonts w:hint="eastAsia" w:ascii="宋体" w:hAnsi="宋体"/>
          <w:color w:val="000000"/>
          <w:sz w:val="28"/>
          <w:szCs w:val="28"/>
          <w:lang w:val="zh-CN"/>
        </w:rPr>
        <w:t>系指那些双方无法控制，不可预见的事件，但不包括双方的违约或疏忽。这些事件包括但不限于：战争、严重火灾、洪水、台风、地震以及其它双方商定的事件。</w:t>
      </w:r>
    </w:p>
    <w:p w14:paraId="4B5DAFEA">
      <w:pPr>
        <w:autoSpaceDE w:val="0"/>
        <w:autoSpaceDN w:val="0"/>
        <w:adjustRightInd w:val="0"/>
        <w:spacing w:line="360" w:lineRule="auto"/>
        <w:ind w:firstLine="480"/>
        <w:rPr>
          <w:rFonts w:ascii="宋体" w:hAnsi="宋体"/>
          <w:color w:val="000000"/>
          <w:sz w:val="28"/>
          <w:szCs w:val="28"/>
          <w:lang w:val="zh-CN"/>
        </w:rPr>
      </w:pPr>
      <w:r>
        <w:rPr>
          <w:rFonts w:ascii="宋体" w:hAnsi="宋体"/>
          <w:color w:val="000000"/>
          <w:sz w:val="28"/>
          <w:szCs w:val="28"/>
          <w:lang w:val="zh-CN"/>
        </w:rPr>
        <w:t xml:space="preserve">18.3 </w:t>
      </w:r>
      <w:r>
        <w:rPr>
          <w:rFonts w:hint="eastAsia" w:ascii="宋体" w:hAnsi="宋体"/>
          <w:color w:val="000000"/>
          <w:sz w:val="28"/>
          <w:szCs w:val="28"/>
          <w:lang w:val="zh-CN"/>
        </w:rPr>
        <w:t>在不可抗力事件发生后，当事方应尽快以书面形式将不可抗力的情况和原因通知对方。双方应尽实际可能继续履行合同义务，并积极寻求采取合理的方案履行不受不可抗力影响的其他事项。双方应通过友好协商在合理的时间内达成进一步履行合同的协议。</w:t>
      </w:r>
    </w:p>
    <w:p w14:paraId="6EA39C82">
      <w:pPr>
        <w:autoSpaceDE w:val="0"/>
        <w:autoSpaceDN w:val="0"/>
        <w:adjustRightInd w:val="0"/>
        <w:spacing w:line="360" w:lineRule="auto"/>
        <w:ind w:firstLine="482"/>
        <w:rPr>
          <w:rFonts w:ascii="宋体" w:hAnsi="宋体"/>
          <w:b/>
          <w:color w:val="000000"/>
          <w:sz w:val="28"/>
          <w:szCs w:val="28"/>
          <w:lang w:val="zh-CN"/>
        </w:rPr>
      </w:pPr>
      <w:r>
        <w:rPr>
          <w:rFonts w:ascii="宋体" w:hAnsi="宋体"/>
          <w:b/>
          <w:color w:val="000000"/>
          <w:sz w:val="28"/>
          <w:szCs w:val="28"/>
          <w:lang w:val="zh-CN"/>
        </w:rPr>
        <w:t>19</w:t>
      </w:r>
      <w:r>
        <w:rPr>
          <w:rFonts w:hint="eastAsia" w:ascii="宋体" w:hAnsi="宋体"/>
          <w:b/>
          <w:color w:val="000000"/>
          <w:sz w:val="28"/>
          <w:szCs w:val="28"/>
          <w:lang w:val="zh-CN"/>
        </w:rPr>
        <w:t>．税费</w:t>
      </w:r>
    </w:p>
    <w:p w14:paraId="4B134A32">
      <w:pPr>
        <w:autoSpaceDE w:val="0"/>
        <w:autoSpaceDN w:val="0"/>
        <w:adjustRightInd w:val="0"/>
        <w:spacing w:line="360" w:lineRule="auto"/>
        <w:ind w:firstLine="560" w:firstLineChars="200"/>
        <w:rPr>
          <w:rFonts w:ascii="宋体" w:hAnsi="宋体"/>
          <w:color w:val="000000"/>
          <w:sz w:val="28"/>
          <w:szCs w:val="28"/>
          <w:lang w:val="zh-CN"/>
        </w:rPr>
      </w:pPr>
      <w:r>
        <w:rPr>
          <w:rFonts w:ascii="宋体" w:hAnsi="宋体"/>
          <w:color w:val="000000"/>
          <w:sz w:val="28"/>
          <w:szCs w:val="28"/>
          <w:lang w:val="zh-CN"/>
        </w:rPr>
        <w:t xml:space="preserve">19.1 </w:t>
      </w:r>
      <w:r>
        <w:rPr>
          <w:rFonts w:hint="eastAsia" w:ascii="宋体" w:hAnsi="宋体"/>
          <w:color w:val="000000"/>
          <w:sz w:val="28"/>
          <w:szCs w:val="28"/>
          <w:lang w:val="zh-CN"/>
        </w:rPr>
        <w:t>根据现行法律规定对需方征收的与本合同有关的一切税费均由需方负担。</w:t>
      </w:r>
    </w:p>
    <w:p w14:paraId="50BE237B">
      <w:pPr>
        <w:autoSpaceDE w:val="0"/>
        <w:autoSpaceDN w:val="0"/>
        <w:adjustRightInd w:val="0"/>
        <w:spacing w:line="360" w:lineRule="auto"/>
        <w:ind w:firstLine="560" w:firstLineChars="200"/>
        <w:rPr>
          <w:rFonts w:ascii="宋体" w:hAnsi="宋体"/>
          <w:color w:val="000000"/>
          <w:sz w:val="28"/>
          <w:szCs w:val="28"/>
          <w:lang w:val="zh-CN"/>
        </w:rPr>
      </w:pPr>
      <w:r>
        <w:rPr>
          <w:rFonts w:ascii="宋体" w:hAnsi="宋体"/>
          <w:color w:val="000000"/>
          <w:sz w:val="28"/>
          <w:szCs w:val="28"/>
          <w:lang w:val="zh-CN"/>
        </w:rPr>
        <w:t xml:space="preserve">19.2 </w:t>
      </w:r>
      <w:r>
        <w:rPr>
          <w:rFonts w:hint="eastAsia" w:ascii="宋体" w:hAnsi="宋体"/>
          <w:color w:val="000000"/>
          <w:sz w:val="28"/>
          <w:szCs w:val="28"/>
          <w:lang w:val="zh-CN"/>
        </w:rPr>
        <w:t>根据现行法律规定对供方征收的与本合同有关的一切税费均由供方负担。</w:t>
      </w:r>
    </w:p>
    <w:p w14:paraId="45089E33">
      <w:pPr>
        <w:autoSpaceDE w:val="0"/>
        <w:autoSpaceDN w:val="0"/>
        <w:adjustRightInd w:val="0"/>
        <w:spacing w:line="360" w:lineRule="auto"/>
        <w:ind w:firstLine="480"/>
        <w:rPr>
          <w:rFonts w:ascii="宋体" w:hAnsi="宋体"/>
          <w:color w:val="000000"/>
          <w:sz w:val="28"/>
          <w:szCs w:val="28"/>
          <w:lang w:val="zh-CN"/>
        </w:rPr>
      </w:pPr>
      <w:r>
        <w:rPr>
          <w:rFonts w:ascii="宋体" w:hAnsi="宋体"/>
          <w:color w:val="000000"/>
          <w:sz w:val="28"/>
          <w:szCs w:val="28"/>
          <w:lang w:val="zh-CN"/>
        </w:rPr>
        <w:t xml:space="preserve">19.3 </w:t>
      </w:r>
      <w:r>
        <w:rPr>
          <w:rFonts w:hint="eastAsia" w:ascii="宋体" w:hAnsi="宋体"/>
          <w:color w:val="000000"/>
          <w:sz w:val="28"/>
          <w:szCs w:val="28"/>
          <w:lang w:val="zh-CN"/>
        </w:rPr>
        <w:t>在中国境外发生的与执行本合同有关的一切税费均由供方负担。</w:t>
      </w:r>
    </w:p>
    <w:p w14:paraId="5FDCA93E">
      <w:pPr>
        <w:autoSpaceDE w:val="0"/>
        <w:autoSpaceDN w:val="0"/>
        <w:adjustRightInd w:val="0"/>
        <w:spacing w:line="360" w:lineRule="auto"/>
        <w:ind w:firstLine="482"/>
        <w:rPr>
          <w:rFonts w:ascii="宋体" w:hAnsi="宋体"/>
          <w:b/>
          <w:color w:val="000000"/>
          <w:sz w:val="28"/>
          <w:szCs w:val="28"/>
          <w:lang w:val="zh-CN"/>
        </w:rPr>
      </w:pPr>
      <w:r>
        <w:rPr>
          <w:rFonts w:ascii="宋体" w:hAnsi="宋体"/>
          <w:b/>
          <w:color w:val="000000"/>
          <w:sz w:val="28"/>
          <w:szCs w:val="28"/>
          <w:lang w:val="zh-CN"/>
        </w:rPr>
        <w:t>20</w:t>
      </w:r>
      <w:r>
        <w:rPr>
          <w:rFonts w:hint="eastAsia" w:ascii="宋体" w:hAnsi="宋体"/>
          <w:b/>
          <w:color w:val="000000"/>
          <w:sz w:val="28"/>
          <w:szCs w:val="28"/>
          <w:lang w:val="zh-CN"/>
        </w:rPr>
        <w:t>．争议解决方式</w:t>
      </w:r>
    </w:p>
    <w:p w14:paraId="7B7B719C">
      <w:pPr>
        <w:autoSpaceDE w:val="0"/>
        <w:autoSpaceDN w:val="0"/>
        <w:adjustRightInd w:val="0"/>
        <w:spacing w:line="360" w:lineRule="auto"/>
        <w:ind w:firstLine="482"/>
        <w:rPr>
          <w:rFonts w:ascii="宋体" w:hAnsi="宋体"/>
          <w:b/>
          <w:color w:val="000000"/>
          <w:sz w:val="28"/>
          <w:szCs w:val="28"/>
          <w:lang w:val="zh-CN"/>
        </w:rPr>
      </w:pPr>
      <w:r>
        <w:rPr>
          <w:rFonts w:ascii="宋体" w:hAnsi="宋体"/>
          <w:color w:val="000000"/>
          <w:sz w:val="28"/>
          <w:szCs w:val="28"/>
          <w:lang w:val="zh-CN"/>
        </w:rPr>
        <w:t>20.1</w:t>
      </w:r>
      <w:r>
        <w:rPr>
          <w:rFonts w:hint="eastAsia" w:ascii="宋体" w:hAnsi="宋体"/>
          <w:color w:val="000000"/>
          <w:sz w:val="28"/>
          <w:szCs w:val="28"/>
          <w:lang w:val="zh-CN"/>
        </w:rPr>
        <w:t>供需双方应通过友好协商，解决在执行本合同过程中所发生的或与本合同有关的争议。如果不能协商解决，可以向国家有关部门申请调解。如果调解不成，双方可以在</w:t>
      </w:r>
      <w:r>
        <w:rPr>
          <w:rFonts w:hint="eastAsia" w:ascii="宋体" w:hAnsi="宋体"/>
          <w:b/>
          <w:color w:val="000000"/>
          <w:sz w:val="28"/>
          <w:szCs w:val="28"/>
          <w:lang w:val="zh-CN"/>
        </w:rPr>
        <w:t>政府采购合同书</w:t>
      </w:r>
      <w:r>
        <w:rPr>
          <w:rFonts w:hint="eastAsia" w:ascii="宋体" w:hAnsi="宋体"/>
          <w:color w:val="000000"/>
          <w:sz w:val="28"/>
          <w:szCs w:val="28"/>
          <w:lang w:val="zh-CN"/>
        </w:rPr>
        <w:t>内约定以下一种方式解决争议：</w:t>
      </w:r>
    </w:p>
    <w:p w14:paraId="1B3EA48D">
      <w:pPr>
        <w:autoSpaceDE w:val="0"/>
        <w:autoSpaceDN w:val="0"/>
        <w:adjustRightInd w:val="0"/>
        <w:spacing w:line="360" w:lineRule="auto"/>
        <w:ind w:firstLine="480"/>
        <w:rPr>
          <w:rFonts w:ascii="宋体" w:hAnsi="宋体"/>
          <w:color w:val="000000"/>
          <w:sz w:val="28"/>
          <w:szCs w:val="28"/>
          <w:lang w:val="zh-CN"/>
        </w:rPr>
      </w:pPr>
      <w:r>
        <w:rPr>
          <w:rFonts w:hint="eastAsia" w:ascii="宋体" w:hAnsi="宋体"/>
          <w:color w:val="000000"/>
          <w:sz w:val="28"/>
          <w:szCs w:val="28"/>
          <w:lang w:val="zh-CN"/>
        </w:rPr>
        <w:t>第一种方式：双方达成仲裁协议，向约定的仲裁机构申请仲裁；</w:t>
      </w:r>
    </w:p>
    <w:p w14:paraId="21714FEB">
      <w:pPr>
        <w:autoSpaceDE w:val="0"/>
        <w:autoSpaceDN w:val="0"/>
        <w:adjustRightInd w:val="0"/>
        <w:spacing w:line="360" w:lineRule="auto"/>
        <w:ind w:firstLine="480"/>
        <w:rPr>
          <w:rFonts w:ascii="宋体" w:hAnsi="宋体"/>
          <w:color w:val="000000"/>
          <w:sz w:val="28"/>
          <w:szCs w:val="28"/>
          <w:lang w:val="zh-CN"/>
        </w:rPr>
      </w:pPr>
      <w:r>
        <w:rPr>
          <w:rFonts w:hint="eastAsia" w:ascii="宋体" w:hAnsi="宋体"/>
          <w:color w:val="000000"/>
          <w:sz w:val="28"/>
          <w:szCs w:val="28"/>
          <w:lang w:val="zh-CN"/>
        </w:rPr>
        <w:t>第二种方式：向有管辖权的人民法院提起诉讼。</w:t>
      </w:r>
    </w:p>
    <w:p w14:paraId="6E42C19C">
      <w:pPr>
        <w:autoSpaceDE w:val="0"/>
        <w:autoSpaceDN w:val="0"/>
        <w:adjustRightInd w:val="0"/>
        <w:spacing w:line="360" w:lineRule="auto"/>
        <w:ind w:firstLine="480"/>
        <w:rPr>
          <w:rFonts w:ascii="宋体" w:hAnsi="宋体"/>
          <w:color w:val="000000"/>
          <w:sz w:val="28"/>
          <w:szCs w:val="28"/>
          <w:lang w:val="zh-CN"/>
        </w:rPr>
      </w:pPr>
      <w:r>
        <w:rPr>
          <w:rFonts w:ascii="宋体" w:hAnsi="宋体"/>
          <w:color w:val="000000"/>
          <w:sz w:val="28"/>
          <w:szCs w:val="28"/>
          <w:lang w:val="zh-CN"/>
        </w:rPr>
        <w:t xml:space="preserve">20.2 </w:t>
      </w:r>
      <w:r>
        <w:rPr>
          <w:rFonts w:hint="eastAsia" w:ascii="宋体" w:hAnsi="宋体"/>
          <w:color w:val="000000"/>
          <w:sz w:val="28"/>
          <w:szCs w:val="28"/>
          <w:lang w:val="zh-CN"/>
        </w:rPr>
        <w:t>因合同部分履行引发仲裁（诉讼）的，在仲裁（诉讼）期间，除正在进行仲裁（诉讼）的部分外，本合同的其它部分应继续执行。</w:t>
      </w:r>
    </w:p>
    <w:p w14:paraId="02218777">
      <w:pPr>
        <w:autoSpaceDE w:val="0"/>
        <w:autoSpaceDN w:val="0"/>
        <w:adjustRightInd w:val="0"/>
        <w:spacing w:line="360" w:lineRule="auto"/>
        <w:ind w:firstLine="482"/>
        <w:rPr>
          <w:rFonts w:ascii="宋体" w:hAnsi="宋体"/>
          <w:b/>
          <w:color w:val="000000"/>
          <w:sz w:val="28"/>
          <w:szCs w:val="28"/>
          <w:lang w:val="zh-CN"/>
        </w:rPr>
      </w:pPr>
      <w:r>
        <w:rPr>
          <w:rFonts w:ascii="宋体" w:hAnsi="宋体"/>
          <w:b/>
          <w:color w:val="000000"/>
          <w:sz w:val="28"/>
          <w:szCs w:val="28"/>
          <w:lang w:val="zh-CN"/>
        </w:rPr>
        <w:t>21</w:t>
      </w:r>
      <w:r>
        <w:rPr>
          <w:rFonts w:hint="eastAsia" w:ascii="宋体" w:hAnsi="宋体"/>
          <w:b/>
          <w:color w:val="000000"/>
          <w:sz w:val="28"/>
          <w:szCs w:val="28"/>
          <w:lang w:val="zh-CN"/>
        </w:rPr>
        <w:t>．违约终止合同</w:t>
      </w:r>
    </w:p>
    <w:p w14:paraId="0F608B2A">
      <w:pPr>
        <w:autoSpaceDE w:val="0"/>
        <w:autoSpaceDN w:val="0"/>
        <w:adjustRightInd w:val="0"/>
        <w:spacing w:line="360" w:lineRule="auto"/>
        <w:ind w:firstLine="560" w:firstLineChars="200"/>
        <w:rPr>
          <w:rFonts w:ascii="宋体" w:hAnsi="宋体"/>
          <w:color w:val="000000"/>
          <w:sz w:val="28"/>
          <w:szCs w:val="28"/>
          <w:lang w:val="zh-CN"/>
        </w:rPr>
      </w:pPr>
      <w:r>
        <w:rPr>
          <w:rFonts w:ascii="宋体" w:hAnsi="宋体"/>
          <w:color w:val="000000"/>
          <w:sz w:val="28"/>
          <w:szCs w:val="28"/>
          <w:lang w:val="zh-CN"/>
        </w:rPr>
        <w:t xml:space="preserve">21.1 </w:t>
      </w:r>
      <w:r>
        <w:rPr>
          <w:rFonts w:hint="eastAsia" w:ascii="宋体" w:hAnsi="宋体"/>
          <w:color w:val="000000"/>
          <w:sz w:val="28"/>
          <w:szCs w:val="28"/>
          <w:lang w:val="zh-CN"/>
        </w:rPr>
        <w:t>在需方因供方违约而按合同约定采取的任何补救措施不受影响的情况下，需方可在下列情况下向供方发出书面通知，提出终止部分或全部合同。</w:t>
      </w:r>
    </w:p>
    <w:p w14:paraId="5C014C5A">
      <w:pPr>
        <w:autoSpaceDE w:val="0"/>
        <w:autoSpaceDN w:val="0"/>
        <w:adjustRightInd w:val="0"/>
        <w:spacing w:line="360" w:lineRule="auto"/>
        <w:ind w:firstLine="560" w:firstLineChars="200"/>
        <w:rPr>
          <w:rFonts w:ascii="宋体" w:hAnsi="宋体"/>
          <w:color w:val="000000"/>
          <w:sz w:val="28"/>
          <w:szCs w:val="28"/>
          <w:lang w:val="zh-CN"/>
        </w:rPr>
      </w:pPr>
      <w:r>
        <w:rPr>
          <w:rFonts w:hint="eastAsia" w:ascii="宋体" w:hAnsi="宋体"/>
          <w:color w:val="000000"/>
          <w:sz w:val="28"/>
          <w:szCs w:val="28"/>
          <w:lang w:val="zh-CN"/>
        </w:rPr>
        <w:t>（</w:t>
      </w:r>
      <w:r>
        <w:rPr>
          <w:rFonts w:ascii="宋体" w:hAnsi="宋体"/>
          <w:color w:val="000000"/>
          <w:sz w:val="28"/>
          <w:szCs w:val="28"/>
          <w:lang w:val="zh-CN"/>
        </w:rPr>
        <w:t>1</w:t>
      </w:r>
      <w:r>
        <w:rPr>
          <w:rFonts w:hint="eastAsia" w:ascii="宋体" w:hAnsi="宋体"/>
          <w:color w:val="000000"/>
          <w:sz w:val="28"/>
          <w:szCs w:val="28"/>
          <w:lang w:val="zh-CN"/>
        </w:rPr>
        <w:t>）如果供方未能在合同规定的限期或需方同意延长的限期内提供部分或全部货物和服务。</w:t>
      </w:r>
    </w:p>
    <w:p w14:paraId="3EA7D611">
      <w:pPr>
        <w:autoSpaceDE w:val="0"/>
        <w:autoSpaceDN w:val="0"/>
        <w:adjustRightInd w:val="0"/>
        <w:spacing w:line="360" w:lineRule="auto"/>
        <w:ind w:firstLine="560" w:firstLineChars="200"/>
        <w:rPr>
          <w:rFonts w:ascii="宋体" w:hAnsi="宋体"/>
          <w:color w:val="000000"/>
          <w:sz w:val="28"/>
          <w:szCs w:val="28"/>
          <w:lang w:val="zh-CN"/>
        </w:rPr>
      </w:pPr>
      <w:r>
        <w:rPr>
          <w:rFonts w:hint="eastAsia" w:ascii="宋体" w:hAnsi="宋体"/>
          <w:color w:val="000000"/>
          <w:sz w:val="28"/>
          <w:szCs w:val="28"/>
          <w:lang w:val="zh-CN"/>
        </w:rPr>
        <w:t>（</w:t>
      </w:r>
      <w:r>
        <w:rPr>
          <w:rFonts w:ascii="宋体" w:hAnsi="宋体"/>
          <w:color w:val="000000"/>
          <w:sz w:val="28"/>
          <w:szCs w:val="28"/>
          <w:lang w:val="zh-CN"/>
        </w:rPr>
        <w:t>2</w:t>
      </w:r>
      <w:r>
        <w:rPr>
          <w:rFonts w:hint="eastAsia" w:ascii="宋体" w:hAnsi="宋体"/>
          <w:color w:val="000000"/>
          <w:sz w:val="28"/>
          <w:szCs w:val="28"/>
          <w:lang w:val="zh-CN"/>
        </w:rPr>
        <w:t>）如果供方未能履行合同规定的其它任何义务。</w:t>
      </w:r>
    </w:p>
    <w:p w14:paraId="11FA592F">
      <w:pPr>
        <w:autoSpaceDE w:val="0"/>
        <w:autoSpaceDN w:val="0"/>
        <w:adjustRightInd w:val="0"/>
        <w:spacing w:line="360" w:lineRule="auto"/>
        <w:ind w:firstLine="560" w:firstLineChars="200"/>
        <w:rPr>
          <w:rFonts w:ascii="宋体" w:hAnsi="宋体"/>
          <w:color w:val="000000"/>
          <w:sz w:val="28"/>
          <w:szCs w:val="28"/>
          <w:lang w:val="zh-CN"/>
        </w:rPr>
      </w:pPr>
      <w:r>
        <w:rPr>
          <w:rFonts w:hint="eastAsia" w:ascii="宋体" w:hAnsi="宋体"/>
          <w:color w:val="000000"/>
          <w:sz w:val="28"/>
          <w:szCs w:val="28"/>
          <w:lang w:val="zh-CN"/>
        </w:rPr>
        <w:t>（</w:t>
      </w:r>
      <w:r>
        <w:rPr>
          <w:rFonts w:ascii="宋体" w:hAnsi="宋体"/>
          <w:color w:val="000000"/>
          <w:sz w:val="28"/>
          <w:szCs w:val="28"/>
          <w:lang w:val="zh-CN"/>
        </w:rPr>
        <w:t>3</w:t>
      </w:r>
      <w:r>
        <w:rPr>
          <w:rFonts w:hint="eastAsia" w:ascii="宋体" w:hAnsi="宋体"/>
          <w:color w:val="000000"/>
          <w:sz w:val="28"/>
          <w:szCs w:val="28"/>
          <w:lang w:val="zh-CN"/>
        </w:rPr>
        <w:t>）如果供方在本合同订立和履行过程中采取了任何</w:t>
      </w:r>
      <w:r>
        <w:rPr>
          <w:rFonts w:ascii="宋体" w:hAnsi="宋体"/>
          <w:color w:val="000000"/>
          <w:sz w:val="28"/>
          <w:szCs w:val="28"/>
        </w:rPr>
        <w:t>“</w:t>
      </w:r>
      <w:r>
        <w:rPr>
          <w:rFonts w:hint="eastAsia" w:ascii="宋体" w:hAnsi="宋体"/>
          <w:color w:val="000000"/>
          <w:sz w:val="28"/>
          <w:szCs w:val="28"/>
          <w:lang w:val="zh-CN"/>
        </w:rPr>
        <w:t>不正当竞争行为</w:t>
      </w:r>
      <w:r>
        <w:rPr>
          <w:rFonts w:ascii="宋体" w:hAnsi="宋体"/>
          <w:color w:val="000000"/>
          <w:sz w:val="28"/>
          <w:szCs w:val="28"/>
        </w:rPr>
        <w:t>”</w:t>
      </w:r>
      <w:r>
        <w:rPr>
          <w:rFonts w:hint="eastAsia" w:ascii="宋体" w:hAnsi="宋体"/>
          <w:color w:val="000000"/>
          <w:sz w:val="28"/>
          <w:szCs w:val="28"/>
          <w:lang w:val="zh-CN"/>
        </w:rPr>
        <w:t>，危害到国家利益、社会公共利益和需方的合法权益。</w:t>
      </w:r>
    </w:p>
    <w:p w14:paraId="1E0BD74C">
      <w:pPr>
        <w:autoSpaceDE w:val="0"/>
        <w:autoSpaceDN w:val="0"/>
        <w:adjustRightInd w:val="0"/>
        <w:spacing w:line="360" w:lineRule="auto"/>
        <w:ind w:firstLine="480"/>
        <w:rPr>
          <w:rFonts w:ascii="宋体" w:hAnsi="宋体"/>
          <w:color w:val="000000"/>
          <w:sz w:val="28"/>
          <w:szCs w:val="28"/>
          <w:lang w:val="zh-CN"/>
        </w:rPr>
      </w:pPr>
      <w:r>
        <w:rPr>
          <w:rFonts w:ascii="宋体" w:hAnsi="宋体"/>
          <w:color w:val="000000"/>
          <w:sz w:val="28"/>
          <w:szCs w:val="28"/>
          <w:lang w:val="zh-CN"/>
        </w:rPr>
        <w:t xml:space="preserve">21.2 </w:t>
      </w:r>
      <w:r>
        <w:rPr>
          <w:rFonts w:hint="eastAsia" w:ascii="宋体" w:hAnsi="宋体"/>
          <w:color w:val="000000"/>
          <w:sz w:val="28"/>
          <w:szCs w:val="28"/>
          <w:lang w:val="zh-CN"/>
        </w:rPr>
        <w:t>如果需方根据上述第</w:t>
      </w:r>
      <w:r>
        <w:rPr>
          <w:rFonts w:ascii="宋体" w:hAnsi="宋体"/>
          <w:color w:val="000000"/>
          <w:sz w:val="28"/>
          <w:szCs w:val="28"/>
          <w:lang w:val="zh-CN"/>
        </w:rPr>
        <w:t>21.1</w:t>
      </w:r>
      <w:r>
        <w:rPr>
          <w:rFonts w:hint="eastAsia" w:ascii="宋体" w:hAnsi="宋体"/>
          <w:color w:val="000000"/>
          <w:sz w:val="28"/>
          <w:szCs w:val="28"/>
          <w:lang w:val="zh-CN"/>
        </w:rPr>
        <w:t>款的规定，终止了全部或部分合同，需方可以依其认为适当的条件和方法购买与未交货物类似的货物，供方应对购买类似货物所超出的那部分费用负责。供方提交的履约保证金将被作为需方采取上述补救措施的购买资金的一部分。并且，供方应继续履行合同中未终止的部分。</w:t>
      </w:r>
    </w:p>
    <w:p w14:paraId="1E577C7B">
      <w:pPr>
        <w:autoSpaceDE w:val="0"/>
        <w:autoSpaceDN w:val="0"/>
        <w:adjustRightInd w:val="0"/>
        <w:spacing w:line="360" w:lineRule="auto"/>
        <w:ind w:firstLine="480"/>
        <w:rPr>
          <w:rFonts w:ascii="宋体" w:hAnsi="宋体"/>
          <w:color w:val="000000"/>
          <w:sz w:val="28"/>
          <w:szCs w:val="28"/>
          <w:lang w:val="zh-CN"/>
        </w:rPr>
      </w:pPr>
      <w:r>
        <w:rPr>
          <w:rFonts w:ascii="宋体" w:hAnsi="宋体"/>
          <w:color w:val="000000"/>
          <w:sz w:val="28"/>
          <w:szCs w:val="28"/>
          <w:lang w:val="zh-CN"/>
        </w:rPr>
        <w:t>21.3</w:t>
      </w:r>
      <w:r>
        <w:rPr>
          <w:rFonts w:hint="eastAsia" w:ascii="宋体" w:hAnsi="宋体"/>
          <w:color w:val="000000"/>
          <w:sz w:val="28"/>
          <w:szCs w:val="28"/>
          <w:lang w:val="zh-CN"/>
        </w:rPr>
        <w:t>如果需方违约，应承担相应的违约责任。</w:t>
      </w:r>
    </w:p>
    <w:p w14:paraId="600A2CBC">
      <w:pPr>
        <w:autoSpaceDE w:val="0"/>
        <w:autoSpaceDN w:val="0"/>
        <w:adjustRightInd w:val="0"/>
        <w:spacing w:line="360" w:lineRule="auto"/>
        <w:ind w:firstLine="482"/>
        <w:jc w:val="left"/>
        <w:rPr>
          <w:rFonts w:ascii="宋体" w:hAnsi="宋体"/>
          <w:color w:val="000000"/>
          <w:sz w:val="28"/>
          <w:szCs w:val="28"/>
          <w:lang w:val="zh-CN"/>
        </w:rPr>
      </w:pPr>
      <w:r>
        <w:rPr>
          <w:rFonts w:ascii="宋体" w:hAnsi="宋体"/>
          <w:b/>
          <w:color w:val="000000"/>
          <w:sz w:val="28"/>
          <w:szCs w:val="28"/>
          <w:lang w:val="zh-CN"/>
        </w:rPr>
        <w:t>22</w:t>
      </w:r>
      <w:r>
        <w:rPr>
          <w:rFonts w:hint="eastAsia" w:ascii="宋体" w:hAnsi="宋体"/>
          <w:b/>
          <w:color w:val="000000"/>
          <w:sz w:val="28"/>
          <w:szCs w:val="28"/>
          <w:lang w:val="zh-CN"/>
        </w:rPr>
        <w:t>．破产终止合同：</w:t>
      </w:r>
      <w:r>
        <w:rPr>
          <w:rFonts w:hint="eastAsia" w:ascii="宋体" w:hAnsi="宋体"/>
          <w:color w:val="000000"/>
          <w:sz w:val="28"/>
          <w:szCs w:val="28"/>
          <w:lang w:val="zh-CN"/>
        </w:rPr>
        <w:t>如果供方破产或丧失清偿能力，需方可在任何时候以书面形式通知供方终止合同而不给供方补偿。该终止合同将不损害或影响需方已经采取或将要采取任何补救措施的权力。</w:t>
      </w:r>
    </w:p>
    <w:p w14:paraId="030DF6F2">
      <w:pPr>
        <w:autoSpaceDE w:val="0"/>
        <w:autoSpaceDN w:val="0"/>
        <w:adjustRightInd w:val="0"/>
        <w:spacing w:line="360" w:lineRule="auto"/>
        <w:ind w:firstLine="482"/>
        <w:rPr>
          <w:rFonts w:ascii="宋体" w:hAnsi="宋体"/>
          <w:color w:val="000000"/>
          <w:sz w:val="28"/>
          <w:szCs w:val="28"/>
          <w:lang w:val="zh-CN"/>
        </w:rPr>
      </w:pPr>
      <w:r>
        <w:rPr>
          <w:rFonts w:ascii="宋体" w:hAnsi="宋体"/>
          <w:b/>
          <w:color w:val="000000"/>
          <w:sz w:val="28"/>
          <w:szCs w:val="28"/>
          <w:lang w:val="zh-CN"/>
        </w:rPr>
        <w:t>23</w:t>
      </w:r>
      <w:r>
        <w:rPr>
          <w:rFonts w:hint="eastAsia" w:ascii="宋体" w:hAnsi="宋体"/>
          <w:b/>
          <w:color w:val="000000"/>
          <w:sz w:val="28"/>
          <w:szCs w:val="28"/>
          <w:lang w:val="zh-CN"/>
        </w:rPr>
        <w:t>．合同转让和分包：</w:t>
      </w:r>
      <w:r>
        <w:rPr>
          <w:rFonts w:hint="eastAsia" w:ascii="宋体" w:hAnsi="宋体"/>
          <w:color w:val="000000"/>
          <w:sz w:val="28"/>
          <w:szCs w:val="28"/>
          <w:lang w:val="zh-CN"/>
        </w:rPr>
        <w:t>本合同不得转让或分包。</w:t>
      </w:r>
    </w:p>
    <w:p w14:paraId="07B2EDA2">
      <w:pPr>
        <w:autoSpaceDE w:val="0"/>
        <w:autoSpaceDN w:val="0"/>
        <w:adjustRightInd w:val="0"/>
        <w:spacing w:line="360" w:lineRule="auto"/>
        <w:ind w:firstLine="482"/>
        <w:rPr>
          <w:rFonts w:ascii="宋体" w:hAnsi="宋体"/>
          <w:color w:val="000000"/>
          <w:sz w:val="28"/>
          <w:szCs w:val="28"/>
          <w:lang w:val="zh-CN"/>
        </w:rPr>
      </w:pPr>
      <w:r>
        <w:rPr>
          <w:rFonts w:ascii="宋体" w:hAnsi="宋体"/>
          <w:b/>
          <w:color w:val="000000"/>
          <w:sz w:val="28"/>
          <w:szCs w:val="28"/>
          <w:lang w:val="zh-CN"/>
        </w:rPr>
        <w:t>24</w:t>
      </w:r>
      <w:r>
        <w:rPr>
          <w:rFonts w:hint="eastAsia" w:ascii="宋体" w:hAnsi="宋体"/>
          <w:b/>
          <w:color w:val="000000"/>
          <w:sz w:val="28"/>
          <w:szCs w:val="28"/>
          <w:lang w:val="zh-CN"/>
        </w:rPr>
        <w:t>．需要补充的合同条款：</w:t>
      </w:r>
      <w:r>
        <w:rPr>
          <w:rFonts w:hint="eastAsia" w:ascii="宋体" w:hAnsi="宋体"/>
          <w:color w:val="000000"/>
          <w:sz w:val="28"/>
          <w:szCs w:val="28"/>
          <w:lang w:val="zh-CN"/>
        </w:rPr>
        <w:t>在政府采购合同书中约定。</w:t>
      </w:r>
    </w:p>
    <w:p w14:paraId="091E7200">
      <w:pPr>
        <w:autoSpaceDE w:val="0"/>
        <w:autoSpaceDN w:val="0"/>
        <w:adjustRightInd w:val="0"/>
        <w:spacing w:line="360" w:lineRule="auto"/>
        <w:ind w:firstLine="482"/>
        <w:rPr>
          <w:rFonts w:ascii="宋体" w:hAnsi="宋体"/>
          <w:color w:val="000000"/>
          <w:sz w:val="28"/>
          <w:szCs w:val="28"/>
          <w:lang w:val="zh-CN"/>
        </w:rPr>
      </w:pPr>
      <w:r>
        <w:rPr>
          <w:rFonts w:ascii="宋体" w:hAnsi="宋体"/>
          <w:b/>
          <w:color w:val="000000"/>
          <w:sz w:val="28"/>
          <w:szCs w:val="28"/>
          <w:lang w:val="zh-CN"/>
        </w:rPr>
        <w:t>25</w:t>
      </w:r>
      <w:r>
        <w:rPr>
          <w:rFonts w:hint="eastAsia" w:ascii="宋体" w:hAnsi="宋体"/>
          <w:b/>
          <w:color w:val="000000"/>
          <w:sz w:val="28"/>
          <w:szCs w:val="28"/>
          <w:lang w:val="zh-CN"/>
        </w:rPr>
        <w:t>．适用法律：</w:t>
      </w:r>
      <w:r>
        <w:rPr>
          <w:rFonts w:hint="eastAsia" w:ascii="宋体" w:hAnsi="宋体"/>
          <w:color w:val="000000"/>
          <w:sz w:val="28"/>
          <w:szCs w:val="28"/>
          <w:lang w:val="zh-CN"/>
        </w:rPr>
        <w:t>本合同及附件的订立、效力、解释、履行、争议的解决等适用本合同签订时有效的中华人民共和国法律、法规的有关规定。</w:t>
      </w:r>
    </w:p>
    <w:p w14:paraId="7A2840D3">
      <w:pPr>
        <w:autoSpaceDE w:val="0"/>
        <w:autoSpaceDN w:val="0"/>
        <w:adjustRightInd w:val="0"/>
        <w:spacing w:line="360" w:lineRule="auto"/>
        <w:ind w:firstLine="482"/>
        <w:rPr>
          <w:rFonts w:ascii="宋体" w:hAnsi="宋体"/>
          <w:b/>
          <w:color w:val="000000"/>
          <w:sz w:val="28"/>
          <w:szCs w:val="28"/>
          <w:lang w:val="zh-CN"/>
        </w:rPr>
      </w:pPr>
      <w:r>
        <w:rPr>
          <w:rFonts w:ascii="宋体" w:hAnsi="宋体"/>
          <w:b/>
          <w:color w:val="000000"/>
          <w:sz w:val="28"/>
          <w:szCs w:val="28"/>
          <w:lang w:val="zh-CN"/>
        </w:rPr>
        <w:t>26.</w:t>
      </w:r>
      <w:r>
        <w:rPr>
          <w:rFonts w:hint="eastAsia" w:ascii="宋体" w:hAnsi="宋体"/>
          <w:b/>
          <w:color w:val="000000"/>
          <w:sz w:val="28"/>
          <w:szCs w:val="28"/>
          <w:lang w:val="zh-CN"/>
        </w:rPr>
        <w:t>主导语言与计量单位</w:t>
      </w:r>
    </w:p>
    <w:p w14:paraId="4152B633">
      <w:pPr>
        <w:autoSpaceDE w:val="0"/>
        <w:autoSpaceDN w:val="0"/>
        <w:adjustRightInd w:val="0"/>
        <w:spacing w:line="360" w:lineRule="auto"/>
        <w:ind w:firstLine="480"/>
        <w:rPr>
          <w:rFonts w:ascii="宋体" w:hAnsi="宋体"/>
          <w:color w:val="000000"/>
          <w:sz w:val="28"/>
          <w:szCs w:val="28"/>
          <w:lang w:val="zh-CN"/>
        </w:rPr>
      </w:pPr>
      <w:r>
        <w:rPr>
          <w:rFonts w:ascii="宋体" w:hAnsi="宋体"/>
          <w:color w:val="000000"/>
          <w:sz w:val="28"/>
          <w:szCs w:val="28"/>
          <w:lang w:val="zh-CN"/>
        </w:rPr>
        <w:t>26.1</w:t>
      </w:r>
      <w:r>
        <w:rPr>
          <w:rFonts w:hint="eastAsia" w:ascii="宋体" w:hAnsi="宋体"/>
          <w:color w:val="000000"/>
          <w:sz w:val="28"/>
          <w:szCs w:val="28"/>
          <w:lang w:val="zh-CN"/>
        </w:rPr>
        <w:t>合同应用中文书写。供需双方所有来往信函，以及合同有关的文件均应以中文书写。</w:t>
      </w:r>
    </w:p>
    <w:p w14:paraId="2F8A0D7F">
      <w:pPr>
        <w:autoSpaceDE w:val="0"/>
        <w:autoSpaceDN w:val="0"/>
        <w:adjustRightInd w:val="0"/>
        <w:spacing w:line="360" w:lineRule="auto"/>
        <w:ind w:firstLine="480"/>
        <w:rPr>
          <w:rFonts w:ascii="宋体" w:hAnsi="宋体"/>
          <w:color w:val="000000"/>
          <w:sz w:val="28"/>
          <w:szCs w:val="28"/>
          <w:lang w:val="zh-CN"/>
        </w:rPr>
      </w:pPr>
      <w:r>
        <w:rPr>
          <w:rFonts w:ascii="宋体" w:hAnsi="宋体"/>
          <w:color w:val="000000"/>
          <w:sz w:val="28"/>
          <w:szCs w:val="28"/>
          <w:lang w:val="zh-CN"/>
        </w:rPr>
        <w:t>26.2</w:t>
      </w:r>
      <w:r>
        <w:rPr>
          <w:rFonts w:hint="eastAsia" w:ascii="宋体" w:hAnsi="宋体"/>
          <w:color w:val="000000"/>
          <w:sz w:val="28"/>
          <w:szCs w:val="28"/>
          <w:lang w:val="zh-CN"/>
        </w:rPr>
        <w:t>除合同另有规定外，计量单位均使用中华人民共和国法定计量单位。</w:t>
      </w:r>
    </w:p>
    <w:p w14:paraId="10969D39">
      <w:pPr>
        <w:autoSpaceDE w:val="0"/>
        <w:autoSpaceDN w:val="0"/>
        <w:adjustRightInd w:val="0"/>
        <w:spacing w:line="360" w:lineRule="auto"/>
        <w:ind w:firstLine="482"/>
        <w:rPr>
          <w:rFonts w:hint="eastAsia" w:ascii="宋体" w:hAnsi="宋体"/>
          <w:color w:val="000000"/>
          <w:sz w:val="24"/>
        </w:rPr>
      </w:pPr>
      <w:r>
        <w:rPr>
          <w:rFonts w:ascii="宋体" w:hAnsi="宋体"/>
          <w:b/>
          <w:color w:val="000000"/>
          <w:sz w:val="28"/>
          <w:szCs w:val="28"/>
          <w:lang w:val="zh-CN"/>
        </w:rPr>
        <w:t>27</w:t>
      </w:r>
      <w:r>
        <w:rPr>
          <w:rFonts w:hint="eastAsia" w:ascii="宋体" w:hAnsi="宋体"/>
          <w:b/>
          <w:color w:val="000000"/>
          <w:sz w:val="28"/>
          <w:szCs w:val="28"/>
          <w:lang w:val="zh-CN"/>
        </w:rPr>
        <w:t>．政府采购法对政府采购合同变更、终止的规定：</w:t>
      </w:r>
      <w:r>
        <w:rPr>
          <w:rFonts w:ascii="宋体" w:hAnsi="宋体"/>
          <w:color w:val="000000"/>
          <w:sz w:val="28"/>
          <w:szCs w:val="28"/>
        </w:rPr>
        <w:t>“</w:t>
      </w:r>
      <w:r>
        <w:rPr>
          <w:rFonts w:hint="eastAsia" w:ascii="宋体" w:hAnsi="宋体"/>
          <w:color w:val="000000"/>
          <w:sz w:val="28"/>
          <w:szCs w:val="28"/>
          <w:lang w:val="zh-CN"/>
        </w:rPr>
        <w:t>政府采购合同的双方当事人（指供需双方）不得擅自变更、中止或者终止合同。政府采购合同继续履行将损害国家利益和社会公共利益的，双方当事人应当变更、中止或者终止合同。有过错的一方应当承担赔偿责任，双方都有过错的，各自承担相应的责任。</w:t>
      </w:r>
      <w:r>
        <w:rPr>
          <w:rFonts w:ascii="宋体" w:hAnsi="宋体"/>
          <w:color w:val="000000"/>
          <w:sz w:val="28"/>
          <w:szCs w:val="28"/>
        </w:rPr>
        <w:t>”</w:t>
      </w:r>
    </w:p>
    <w:p w14:paraId="33BA025D">
      <w:pPr>
        <w:jc w:val="center"/>
        <w:rPr>
          <w:rFonts w:ascii="宋体" w:hAnsi="宋体"/>
          <w:b/>
          <w:color w:val="000000"/>
          <w:sz w:val="44"/>
          <w:szCs w:val="44"/>
        </w:rPr>
      </w:pPr>
      <w:r>
        <w:rPr>
          <w:color w:val="000000"/>
          <w:lang w:val="zh-CN"/>
        </w:rPr>
        <w:br w:type="page"/>
      </w:r>
      <w:r>
        <w:rPr>
          <w:rFonts w:hint="eastAsia" w:ascii="宋体" w:hAnsi="宋体"/>
          <w:b/>
          <w:color w:val="000000"/>
          <w:sz w:val="44"/>
          <w:szCs w:val="44"/>
        </w:rPr>
        <w:t>政府采购合同书格式</w:t>
      </w:r>
    </w:p>
    <w:p w14:paraId="37D14F63">
      <w:pPr>
        <w:autoSpaceDE w:val="0"/>
        <w:autoSpaceDN w:val="0"/>
        <w:adjustRightInd w:val="0"/>
        <w:rPr>
          <w:rFonts w:ascii="宋体"/>
          <w:color w:val="000000"/>
          <w:sz w:val="28"/>
          <w:szCs w:val="28"/>
          <w:lang w:val="zh-CN"/>
        </w:rPr>
      </w:pPr>
    </w:p>
    <w:p w14:paraId="2D3B459B">
      <w:pPr>
        <w:autoSpaceDE w:val="0"/>
        <w:autoSpaceDN w:val="0"/>
        <w:adjustRightInd w:val="0"/>
        <w:spacing w:line="360" w:lineRule="auto"/>
        <w:rPr>
          <w:rFonts w:hint="eastAsia" w:ascii="宋体"/>
          <w:color w:val="000000"/>
          <w:sz w:val="28"/>
          <w:szCs w:val="28"/>
          <w:lang w:val="zh-CN"/>
        </w:rPr>
      </w:pPr>
      <w:r>
        <w:rPr>
          <w:rFonts w:hint="eastAsia" w:ascii="宋体"/>
          <w:color w:val="000000"/>
          <w:sz w:val="28"/>
          <w:szCs w:val="28"/>
          <w:lang w:val="zh-CN"/>
        </w:rPr>
        <w:t>合同编号：</w:t>
      </w:r>
    </w:p>
    <w:p w14:paraId="69C8289B">
      <w:pPr>
        <w:autoSpaceDE w:val="0"/>
        <w:autoSpaceDN w:val="0"/>
        <w:adjustRightInd w:val="0"/>
        <w:spacing w:line="360" w:lineRule="auto"/>
        <w:rPr>
          <w:rFonts w:hint="eastAsia" w:ascii="宋体"/>
          <w:color w:val="000000"/>
          <w:sz w:val="28"/>
          <w:szCs w:val="28"/>
          <w:lang w:val="zh-CN"/>
        </w:rPr>
      </w:pPr>
      <w:r>
        <w:rPr>
          <w:rFonts w:hint="eastAsia" w:ascii="宋体"/>
          <w:color w:val="000000"/>
          <w:sz w:val="28"/>
          <w:szCs w:val="28"/>
          <w:lang w:val="zh-CN"/>
        </w:rPr>
        <w:t xml:space="preserve">签订地点： </w:t>
      </w:r>
    </w:p>
    <w:p w14:paraId="52C17C19">
      <w:pPr>
        <w:autoSpaceDE w:val="0"/>
        <w:autoSpaceDN w:val="0"/>
        <w:adjustRightInd w:val="0"/>
        <w:spacing w:line="360" w:lineRule="auto"/>
        <w:rPr>
          <w:rFonts w:ascii="宋体"/>
          <w:color w:val="000000"/>
          <w:sz w:val="28"/>
          <w:szCs w:val="28"/>
          <w:lang w:val="zh-CN"/>
        </w:rPr>
      </w:pPr>
      <w:r>
        <w:rPr>
          <w:rFonts w:hint="eastAsia" w:ascii="宋体"/>
          <w:color w:val="000000"/>
          <w:sz w:val="28"/>
          <w:szCs w:val="28"/>
          <w:lang w:val="zh-CN"/>
        </w:rPr>
        <w:t xml:space="preserve">签订日期：    </w:t>
      </w:r>
      <w:r>
        <w:rPr>
          <w:rFonts w:ascii="宋体"/>
          <w:color w:val="000000"/>
          <w:sz w:val="28"/>
          <w:szCs w:val="28"/>
          <w:lang w:val="zh-CN"/>
        </w:rPr>
        <w:t xml:space="preserve">  </w:t>
      </w:r>
      <w:r>
        <w:rPr>
          <w:rFonts w:hint="eastAsia" w:ascii="宋体"/>
          <w:color w:val="000000"/>
          <w:sz w:val="28"/>
          <w:szCs w:val="28"/>
          <w:lang w:val="zh-CN"/>
        </w:rPr>
        <w:t>年</w:t>
      </w:r>
      <w:r>
        <w:rPr>
          <w:rFonts w:ascii="宋体"/>
          <w:color w:val="000000"/>
          <w:sz w:val="28"/>
          <w:szCs w:val="28"/>
          <w:lang w:val="zh-CN"/>
        </w:rPr>
        <w:t xml:space="preserve">  </w:t>
      </w:r>
      <w:r>
        <w:rPr>
          <w:rFonts w:hint="eastAsia" w:ascii="宋体"/>
          <w:color w:val="000000"/>
          <w:sz w:val="28"/>
          <w:szCs w:val="28"/>
          <w:lang w:val="zh-CN"/>
        </w:rPr>
        <w:t>月</w:t>
      </w:r>
      <w:r>
        <w:rPr>
          <w:rFonts w:ascii="宋体"/>
          <w:color w:val="000000"/>
          <w:sz w:val="28"/>
          <w:szCs w:val="28"/>
          <w:lang w:val="zh-CN"/>
        </w:rPr>
        <w:t xml:space="preserve">  </w:t>
      </w:r>
      <w:r>
        <w:rPr>
          <w:rFonts w:hint="eastAsia" w:ascii="宋体"/>
          <w:color w:val="000000"/>
          <w:sz w:val="28"/>
          <w:szCs w:val="28"/>
          <w:lang w:val="zh-CN"/>
        </w:rPr>
        <w:t>日</w:t>
      </w:r>
      <w:r>
        <w:rPr>
          <w:rFonts w:ascii="宋体"/>
          <w:color w:val="000000"/>
          <w:sz w:val="28"/>
          <w:szCs w:val="28"/>
          <w:lang w:val="zh-CN"/>
        </w:rPr>
        <w:t xml:space="preserve"> </w:t>
      </w:r>
    </w:p>
    <w:p w14:paraId="1D38DA2C">
      <w:pPr>
        <w:autoSpaceDE w:val="0"/>
        <w:autoSpaceDN w:val="0"/>
        <w:adjustRightInd w:val="0"/>
        <w:spacing w:line="360" w:lineRule="auto"/>
        <w:rPr>
          <w:rFonts w:ascii="宋体"/>
          <w:color w:val="000000"/>
          <w:sz w:val="28"/>
          <w:szCs w:val="28"/>
          <w:lang w:val="zh-CN"/>
        </w:rPr>
      </w:pPr>
      <w:r>
        <w:rPr>
          <w:rFonts w:hint="eastAsia" w:ascii="宋体"/>
          <w:color w:val="000000"/>
          <w:sz w:val="28"/>
          <w:szCs w:val="28"/>
          <w:lang w:val="zh-CN"/>
        </w:rPr>
        <w:t>采购任务通知书编号：</w:t>
      </w:r>
    </w:p>
    <w:p w14:paraId="43000A8E">
      <w:pPr>
        <w:autoSpaceDE w:val="0"/>
        <w:autoSpaceDN w:val="0"/>
        <w:adjustRightInd w:val="0"/>
        <w:spacing w:line="360" w:lineRule="auto"/>
        <w:rPr>
          <w:rFonts w:ascii="宋体"/>
          <w:color w:val="000000"/>
          <w:sz w:val="28"/>
          <w:szCs w:val="28"/>
          <w:lang w:val="zh-CN"/>
        </w:rPr>
      </w:pPr>
    </w:p>
    <w:p w14:paraId="16A26ECE">
      <w:pPr>
        <w:autoSpaceDE w:val="0"/>
        <w:autoSpaceDN w:val="0"/>
        <w:adjustRightInd w:val="0"/>
        <w:spacing w:line="360" w:lineRule="auto"/>
        <w:rPr>
          <w:rFonts w:ascii="宋体"/>
          <w:color w:val="000000"/>
          <w:sz w:val="28"/>
          <w:szCs w:val="28"/>
          <w:lang w:val="zh-CN"/>
        </w:rPr>
      </w:pPr>
      <w:r>
        <w:rPr>
          <w:rFonts w:ascii="宋体"/>
          <w:color w:val="000000"/>
          <w:sz w:val="28"/>
          <w:szCs w:val="28"/>
          <w:lang w:val="zh-CN"/>
        </w:rPr>
        <w:t xml:space="preserve">     </w:t>
      </w:r>
      <w:r>
        <w:rPr>
          <w:rFonts w:ascii="宋体"/>
          <w:color w:val="000000"/>
          <w:sz w:val="28"/>
          <w:szCs w:val="28"/>
          <w:u w:val="single"/>
          <w:lang w:val="zh-CN"/>
        </w:rPr>
        <w:t xml:space="preserve">                   </w:t>
      </w:r>
      <w:r>
        <w:rPr>
          <w:rFonts w:hint="eastAsia" w:ascii="宋体"/>
          <w:color w:val="000000"/>
          <w:sz w:val="28"/>
          <w:szCs w:val="28"/>
          <w:lang w:val="zh-CN"/>
        </w:rPr>
        <w:t>（需方）需求的</w:t>
      </w:r>
      <w:r>
        <w:rPr>
          <w:rFonts w:ascii="宋体"/>
          <w:color w:val="000000"/>
          <w:sz w:val="28"/>
          <w:szCs w:val="28"/>
          <w:u w:val="single"/>
          <w:lang w:val="zh-CN"/>
        </w:rPr>
        <w:t xml:space="preserve">                 </w:t>
      </w:r>
      <w:r>
        <w:rPr>
          <w:rFonts w:hint="eastAsia" w:ascii="宋体"/>
          <w:color w:val="000000"/>
          <w:sz w:val="28"/>
          <w:szCs w:val="28"/>
          <w:lang w:val="zh-CN"/>
        </w:rPr>
        <w:t>（货物名称）经招标公司以编号为</w:t>
      </w:r>
      <w:r>
        <w:rPr>
          <w:rFonts w:ascii="宋体"/>
          <w:color w:val="000000"/>
          <w:sz w:val="28"/>
          <w:szCs w:val="28"/>
          <w:u w:val="single"/>
          <w:lang w:val="zh-CN"/>
        </w:rPr>
        <w:t xml:space="preserve">    </w:t>
      </w:r>
      <w:r>
        <w:rPr>
          <w:rFonts w:hint="eastAsia" w:ascii="宋体"/>
          <w:color w:val="000000"/>
          <w:sz w:val="28"/>
          <w:szCs w:val="28"/>
          <w:lang w:val="zh-CN"/>
        </w:rPr>
        <w:t>的招标文件在国内公开招标，评标委员会评定（供方）为中标供应商。供需双方按照《中华人民共和国合同法》和有关法律法规，遵循平等、自愿、公平和诚实信用原则，同意按照下面的条款和条件订立本合同，共同信守。</w:t>
      </w:r>
    </w:p>
    <w:p w14:paraId="3B49E13B">
      <w:pPr>
        <w:autoSpaceDE w:val="0"/>
        <w:autoSpaceDN w:val="0"/>
        <w:adjustRightInd w:val="0"/>
        <w:spacing w:line="360" w:lineRule="auto"/>
        <w:ind w:firstLine="482"/>
        <w:rPr>
          <w:rFonts w:ascii="宋体"/>
          <w:color w:val="000000"/>
          <w:sz w:val="28"/>
          <w:szCs w:val="28"/>
          <w:lang w:val="zh-CN"/>
        </w:rPr>
      </w:pPr>
      <w:r>
        <w:rPr>
          <w:rFonts w:ascii="宋体"/>
          <w:b/>
          <w:color w:val="000000"/>
          <w:sz w:val="28"/>
          <w:szCs w:val="28"/>
          <w:lang w:val="zh-CN"/>
        </w:rPr>
        <w:t>1.</w:t>
      </w:r>
      <w:r>
        <w:rPr>
          <w:rFonts w:hint="eastAsia" w:ascii="宋体"/>
          <w:b/>
          <w:color w:val="000000"/>
          <w:sz w:val="28"/>
          <w:szCs w:val="28"/>
          <w:lang w:val="zh-CN"/>
        </w:rPr>
        <w:t>合同标的</w:t>
      </w:r>
      <w:r>
        <w:rPr>
          <w:rFonts w:hint="eastAsia" w:ascii="宋体"/>
          <w:color w:val="000000"/>
          <w:sz w:val="28"/>
          <w:szCs w:val="28"/>
          <w:lang w:val="zh-CN"/>
        </w:rPr>
        <w:t>：</w:t>
      </w:r>
      <w:r>
        <w:rPr>
          <w:rFonts w:ascii="宋体"/>
          <w:color w:val="000000"/>
          <w:sz w:val="28"/>
          <w:szCs w:val="28"/>
          <w:lang w:val="zh-CN"/>
        </w:rPr>
        <w:t xml:space="preserve"> </w:t>
      </w:r>
    </w:p>
    <w:tbl>
      <w:tblPr>
        <w:tblStyle w:val="44"/>
        <w:tblW w:w="0" w:type="auto"/>
        <w:jc w:val="center"/>
        <w:tblLayout w:type="fixed"/>
        <w:tblCellMar>
          <w:top w:w="0" w:type="dxa"/>
          <w:left w:w="10" w:type="dxa"/>
          <w:bottom w:w="0" w:type="dxa"/>
          <w:right w:w="10" w:type="dxa"/>
        </w:tblCellMar>
      </w:tblPr>
      <w:tblGrid>
        <w:gridCol w:w="1779"/>
        <w:gridCol w:w="2949"/>
        <w:gridCol w:w="1161"/>
        <w:gridCol w:w="1147"/>
        <w:gridCol w:w="1772"/>
      </w:tblGrid>
      <w:tr w14:paraId="24E32759">
        <w:tblPrEx>
          <w:tblCellMar>
            <w:top w:w="0" w:type="dxa"/>
            <w:left w:w="10" w:type="dxa"/>
            <w:bottom w:w="0" w:type="dxa"/>
            <w:right w:w="10" w:type="dxa"/>
          </w:tblCellMar>
        </w:tblPrEx>
        <w:trPr>
          <w:trHeight w:val="510" w:hRule="atLeast"/>
          <w:jc w:val="center"/>
        </w:trPr>
        <w:tc>
          <w:tcPr>
            <w:tcW w:w="1779" w:type="dxa"/>
            <w:tcBorders>
              <w:top w:val="single" w:color="000000" w:sz="6" w:space="0"/>
              <w:left w:val="single" w:color="000000" w:sz="6" w:space="0"/>
              <w:bottom w:val="single" w:color="000000" w:sz="6" w:space="0"/>
              <w:right w:val="single" w:color="000000" w:sz="6" w:space="0"/>
            </w:tcBorders>
            <w:noWrap w:val="0"/>
            <w:vAlign w:val="center"/>
          </w:tcPr>
          <w:p w14:paraId="4BCDA983">
            <w:pPr>
              <w:autoSpaceDE w:val="0"/>
              <w:autoSpaceDN w:val="0"/>
              <w:adjustRightInd w:val="0"/>
              <w:spacing w:line="360" w:lineRule="auto"/>
              <w:jc w:val="center"/>
              <w:rPr>
                <w:rFonts w:ascii="宋体" w:hAnsi="宋体"/>
                <w:color w:val="000000"/>
                <w:sz w:val="24"/>
                <w:szCs w:val="24"/>
              </w:rPr>
            </w:pPr>
            <w:r>
              <w:rPr>
                <w:rFonts w:hint="eastAsia" w:ascii="宋体" w:hAnsi="宋体"/>
                <w:color w:val="000000"/>
                <w:sz w:val="24"/>
                <w:szCs w:val="24"/>
                <w:lang w:val="zh-CN"/>
              </w:rPr>
              <w:t>采购项目名称</w:t>
            </w:r>
          </w:p>
        </w:tc>
        <w:tc>
          <w:tcPr>
            <w:tcW w:w="2949" w:type="dxa"/>
            <w:tcBorders>
              <w:top w:val="single" w:color="000000" w:sz="6" w:space="0"/>
              <w:left w:val="single" w:color="000000" w:sz="6" w:space="0"/>
              <w:bottom w:val="single" w:color="000000" w:sz="6" w:space="0"/>
              <w:right w:val="single" w:color="000000" w:sz="6" w:space="0"/>
            </w:tcBorders>
            <w:noWrap w:val="0"/>
            <w:vAlign w:val="center"/>
          </w:tcPr>
          <w:p w14:paraId="305340AB">
            <w:pPr>
              <w:autoSpaceDE w:val="0"/>
              <w:autoSpaceDN w:val="0"/>
              <w:adjustRightInd w:val="0"/>
              <w:spacing w:line="360" w:lineRule="auto"/>
              <w:jc w:val="center"/>
              <w:rPr>
                <w:rFonts w:ascii="宋体" w:hAnsi="宋体"/>
                <w:color w:val="000000"/>
                <w:sz w:val="24"/>
                <w:szCs w:val="24"/>
              </w:rPr>
            </w:pPr>
            <w:r>
              <w:rPr>
                <w:rFonts w:hint="eastAsia" w:ascii="宋体" w:hAnsi="宋体"/>
                <w:color w:val="000000"/>
                <w:sz w:val="24"/>
                <w:szCs w:val="24"/>
                <w:lang w:val="zh-CN"/>
              </w:rPr>
              <w:t>详细配置及主要技术参数</w:t>
            </w:r>
          </w:p>
        </w:tc>
        <w:tc>
          <w:tcPr>
            <w:tcW w:w="1161" w:type="dxa"/>
            <w:tcBorders>
              <w:top w:val="single" w:color="000000" w:sz="6" w:space="0"/>
              <w:left w:val="single" w:color="000000" w:sz="6" w:space="0"/>
              <w:bottom w:val="single" w:color="000000" w:sz="6" w:space="0"/>
              <w:right w:val="single" w:color="000000" w:sz="6" w:space="0"/>
            </w:tcBorders>
            <w:noWrap w:val="0"/>
            <w:vAlign w:val="center"/>
          </w:tcPr>
          <w:p w14:paraId="73C8A833">
            <w:pPr>
              <w:autoSpaceDE w:val="0"/>
              <w:autoSpaceDN w:val="0"/>
              <w:adjustRightInd w:val="0"/>
              <w:spacing w:line="360" w:lineRule="auto"/>
              <w:jc w:val="center"/>
              <w:rPr>
                <w:rFonts w:ascii="宋体" w:hAnsi="宋体"/>
                <w:color w:val="000000"/>
                <w:sz w:val="24"/>
                <w:szCs w:val="24"/>
              </w:rPr>
            </w:pPr>
            <w:r>
              <w:rPr>
                <w:rFonts w:hint="eastAsia" w:ascii="宋体" w:hAnsi="宋体"/>
                <w:color w:val="000000"/>
                <w:sz w:val="24"/>
                <w:szCs w:val="24"/>
                <w:lang w:val="zh-CN"/>
              </w:rPr>
              <w:t>数量</w:t>
            </w:r>
          </w:p>
        </w:tc>
        <w:tc>
          <w:tcPr>
            <w:tcW w:w="1147" w:type="dxa"/>
            <w:tcBorders>
              <w:top w:val="single" w:color="000000" w:sz="6" w:space="0"/>
              <w:left w:val="single" w:color="000000" w:sz="6" w:space="0"/>
              <w:bottom w:val="single" w:color="000000" w:sz="6" w:space="0"/>
              <w:right w:val="single" w:color="000000" w:sz="6" w:space="0"/>
            </w:tcBorders>
            <w:noWrap w:val="0"/>
            <w:vAlign w:val="center"/>
          </w:tcPr>
          <w:p w14:paraId="2C2B709D">
            <w:pPr>
              <w:autoSpaceDE w:val="0"/>
              <w:autoSpaceDN w:val="0"/>
              <w:adjustRightInd w:val="0"/>
              <w:spacing w:line="360" w:lineRule="auto"/>
              <w:jc w:val="center"/>
              <w:rPr>
                <w:rFonts w:ascii="宋体" w:hAnsi="宋体"/>
                <w:color w:val="000000"/>
                <w:sz w:val="24"/>
                <w:szCs w:val="24"/>
              </w:rPr>
            </w:pPr>
            <w:r>
              <w:rPr>
                <w:rFonts w:hint="eastAsia" w:ascii="宋体" w:hAnsi="宋体"/>
                <w:color w:val="000000"/>
                <w:sz w:val="24"/>
                <w:szCs w:val="24"/>
                <w:lang w:val="zh-CN"/>
              </w:rPr>
              <w:t>单价</w:t>
            </w:r>
            <w:r>
              <w:rPr>
                <w:rFonts w:ascii="宋体" w:hAnsi="宋体"/>
                <w:color w:val="000000"/>
                <w:sz w:val="24"/>
                <w:szCs w:val="24"/>
              </w:rPr>
              <w:t>(</w:t>
            </w:r>
            <w:r>
              <w:rPr>
                <w:rFonts w:hint="eastAsia" w:ascii="宋体" w:hAnsi="宋体"/>
                <w:color w:val="000000"/>
                <w:sz w:val="24"/>
                <w:szCs w:val="24"/>
                <w:lang w:val="zh-CN"/>
              </w:rPr>
              <w:t>元</w:t>
            </w:r>
            <w:r>
              <w:rPr>
                <w:rFonts w:ascii="宋体" w:hAnsi="宋体"/>
                <w:color w:val="000000"/>
                <w:sz w:val="24"/>
                <w:szCs w:val="24"/>
              </w:rPr>
              <w:t>)</w:t>
            </w:r>
          </w:p>
        </w:tc>
        <w:tc>
          <w:tcPr>
            <w:tcW w:w="1772" w:type="dxa"/>
            <w:tcBorders>
              <w:top w:val="single" w:color="000000" w:sz="6" w:space="0"/>
              <w:left w:val="single" w:color="000000" w:sz="6" w:space="0"/>
              <w:bottom w:val="single" w:color="000000" w:sz="6" w:space="0"/>
              <w:right w:val="single" w:color="000000" w:sz="6" w:space="0"/>
            </w:tcBorders>
            <w:noWrap w:val="0"/>
            <w:vAlign w:val="center"/>
          </w:tcPr>
          <w:p w14:paraId="346418D0">
            <w:pPr>
              <w:autoSpaceDE w:val="0"/>
              <w:autoSpaceDN w:val="0"/>
              <w:adjustRightInd w:val="0"/>
              <w:spacing w:line="360" w:lineRule="auto"/>
              <w:jc w:val="center"/>
              <w:rPr>
                <w:rFonts w:ascii="宋体" w:hAnsi="宋体"/>
                <w:color w:val="000000"/>
                <w:sz w:val="24"/>
                <w:szCs w:val="24"/>
              </w:rPr>
            </w:pPr>
            <w:r>
              <w:rPr>
                <w:rFonts w:hint="eastAsia" w:ascii="宋体" w:hAnsi="宋体"/>
                <w:color w:val="000000"/>
                <w:sz w:val="24"/>
                <w:szCs w:val="24"/>
                <w:lang w:val="zh-CN"/>
              </w:rPr>
              <w:t>小计金额</w:t>
            </w:r>
            <w:r>
              <w:rPr>
                <w:rFonts w:ascii="宋体" w:hAnsi="宋体"/>
                <w:color w:val="000000"/>
                <w:sz w:val="24"/>
                <w:szCs w:val="24"/>
              </w:rPr>
              <w:t>(</w:t>
            </w:r>
            <w:r>
              <w:rPr>
                <w:rFonts w:hint="eastAsia" w:ascii="宋体" w:hAnsi="宋体"/>
                <w:color w:val="000000"/>
                <w:sz w:val="24"/>
                <w:szCs w:val="24"/>
                <w:lang w:val="zh-CN"/>
              </w:rPr>
              <w:t>元</w:t>
            </w:r>
            <w:r>
              <w:rPr>
                <w:rFonts w:ascii="宋体" w:hAnsi="宋体"/>
                <w:color w:val="000000"/>
                <w:sz w:val="24"/>
                <w:szCs w:val="24"/>
              </w:rPr>
              <w:t>)</w:t>
            </w:r>
          </w:p>
        </w:tc>
      </w:tr>
      <w:tr w14:paraId="74CFFEAE">
        <w:tblPrEx>
          <w:tblCellMar>
            <w:top w:w="0" w:type="dxa"/>
            <w:left w:w="10" w:type="dxa"/>
            <w:bottom w:w="0" w:type="dxa"/>
            <w:right w:w="10" w:type="dxa"/>
          </w:tblCellMar>
        </w:tblPrEx>
        <w:trPr>
          <w:trHeight w:val="510" w:hRule="atLeast"/>
          <w:jc w:val="center"/>
        </w:trPr>
        <w:tc>
          <w:tcPr>
            <w:tcW w:w="1779" w:type="dxa"/>
            <w:tcBorders>
              <w:top w:val="single" w:color="000000" w:sz="6" w:space="0"/>
              <w:left w:val="single" w:color="000000" w:sz="6" w:space="0"/>
              <w:bottom w:val="single" w:color="000000" w:sz="6" w:space="0"/>
              <w:right w:val="single" w:color="000000" w:sz="6" w:space="0"/>
            </w:tcBorders>
            <w:noWrap w:val="0"/>
            <w:vAlign w:val="center"/>
          </w:tcPr>
          <w:p w14:paraId="5061A1EB">
            <w:pPr>
              <w:autoSpaceDE w:val="0"/>
              <w:autoSpaceDN w:val="0"/>
              <w:adjustRightInd w:val="0"/>
              <w:spacing w:line="360" w:lineRule="auto"/>
              <w:jc w:val="center"/>
              <w:rPr>
                <w:rFonts w:hint="eastAsia" w:ascii="宋体"/>
                <w:color w:val="000000"/>
                <w:sz w:val="28"/>
                <w:szCs w:val="28"/>
                <w:lang w:val="zh-CN"/>
              </w:rPr>
            </w:pPr>
          </w:p>
        </w:tc>
        <w:tc>
          <w:tcPr>
            <w:tcW w:w="2949" w:type="dxa"/>
            <w:tcBorders>
              <w:top w:val="single" w:color="000000" w:sz="6" w:space="0"/>
              <w:left w:val="single" w:color="000000" w:sz="6" w:space="0"/>
              <w:bottom w:val="single" w:color="000000" w:sz="6" w:space="0"/>
              <w:right w:val="single" w:color="000000" w:sz="6" w:space="0"/>
            </w:tcBorders>
            <w:noWrap w:val="0"/>
            <w:vAlign w:val="center"/>
          </w:tcPr>
          <w:p w14:paraId="2124ED65">
            <w:pPr>
              <w:autoSpaceDE w:val="0"/>
              <w:autoSpaceDN w:val="0"/>
              <w:adjustRightInd w:val="0"/>
              <w:spacing w:line="360" w:lineRule="auto"/>
              <w:jc w:val="center"/>
              <w:rPr>
                <w:rFonts w:ascii="宋体"/>
                <w:color w:val="000000"/>
                <w:sz w:val="28"/>
                <w:szCs w:val="28"/>
                <w:lang w:val="zh-CN"/>
              </w:rPr>
            </w:pPr>
          </w:p>
        </w:tc>
        <w:tc>
          <w:tcPr>
            <w:tcW w:w="1161" w:type="dxa"/>
            <w:tcBorders>
              <w:top w:val="single" w:color="000000" w:sz="6" w:space="0"/>
              <w:left w:val="single" w:color="000000" w:sz="6" w:space="0"/>
              <w:bottom w:val="single" w:color="000000" w:sz="6" w:space="0"/>
              <w:right w:val="single" w:color="000000" w:sz="6" w:space="0"/>
            </w:tcBorders>
            <w:noWrap w:val="0"/>
            <w:vAlign w:val="center"/>
          </w:tcPr>
          <w:p w14:paraId="404563C9">
            <w:pPr>
              <w:autoSpaceDE w:val="0"/>
              <w:autoSpaceDN w:val="0"/>
              <w:adjustRightInd w:val="0"/>
              <w:spacing w:line="360" w:lineRule="auto"/>
              <w:jc w:val="center"/>
              <w:rPr>
                <w:rFonts w:ascii="宋体"/>
                <w:color w:val="000000"/>
                <w:sz w:val="28"/>
                <w:szCs w:val="28"/>
                <w:lang w:val="zh-CN"/>
              </w:rPr>
            </w:pPr>
          </w:p>
        </w:tc>
        <w:tc>
          <w:tcPr>
            <w:tcW w:w="1147" w:type="dxa"/>
            <w:tcBorders>
              <w:top w:val="single" w:color="000000" w:sz="6" w:space="0"/>
              <w:left w:val="single" w:color="000000" w:sz="6" w:space="0"/>
              <w:bottom w:val="single" w:color="000000" w:sz="6" w:space="0"/>
              <w:right w:val="single" w:color="000000" w:sz="6" w:space="0"/>
            </w:tcBorders>
            <w:noWrap w:val="0"/>
            <w:vAlign w:val="center"/>
          </w:tcPr>
          <w:p w14:paraId="3F525884">
            <w:pPr>
              <w:autoSpaceDE w:val="0"/>
              <w:autoSpaceDN w:val="0"/>
              <w:adjustRightInd w:val="0"/>
              <w:spacing w:line="360" w:lineRule="auto"/>
              <w:jc w:val="center"/>
              <w:rPr>
                <w:rFonts w:ascii="宋体"/>
                <w:color w:val="000000"/>
                <w:sz w:val="28"/>
                <w:szCs w:val="28"/>
                <w:lang w:val="zh-CN"/>
              </w:rPr>
            </w:pPr>
          </w:p>
        </w:tc>
        <w:tc>
          <w:tcPr>
            <w:tcW w:w="1772" w:type="dxa"/>
            <w:tcBorders>
              <w:top w:val="single" w:color="000000" w:sz="6" w:space="0"/>
              <w:left w:val="single" w:color="000000" w:sz="6" w:space="0"/>
              <w:bottom w:val="single" w:color="000000" w:sz="6" w:space="0"/>
              <w:right w:val="single" w:color="000000" w:sz="6" w:space="0"/>
            </w:tcBorders>
            <w:noWrap w:val="0"/>
            <w:vAlign w:val="center"/>
          </w:tcPr>
          <w:p w14:paraId="79A419CD">
            <w:pPr>
              <w:autoSpaceDE w:val="0"/>
              <w:autoSpaceDN w:val="0"/>
              <w:adjustRightInd w:val="0"/>
              <w:spacing w:line="360" w:lineRule="auto"/>
              <w:jc w:val="center"/>
              <w:rPr>
                <w:rFonts w:ascii="宋体"/>
                <w:color w:val="000000"/>
                <w:sz w:val="28"/>
                <w:szCs w:val="28"/>
                <w:lang w:val="zh-CN"/>
              </w:rPr>
            </w:pPr>
          </w:p>
        </w:tc>
      </w:tr>
      <w:tr w14:paraId="7D902032">
        <w:tblPrEx>
          <w:tblCellMar>
            <w:top w:w="0" w:type="dxa"/>
            <w:left w:w="10" w:type="dxa"/>
            <w:bottom w:w="0" w:type="dxa"/>
            <w:right w:w="10" w:type="dxa"/>
          </w:tblCellMar>
        </w:tblPrEx>
        <w:trPr>
          <w:trHeight w:val="510" w:hRule="atLeast"/>
          <w:jc w:val="center"/>
        </w:trPr>
        <w:tc>
          <w:tcPr>
            <w:tcW w:w="1779" w:type="dxa"/>
            <w:tcBorders>
              <w:top w:val="single" w:color="000000" w:sz="6" w:space="0"/>
              <w:left w:val="single" w:color="000000" w:sz="6" w:space="0"/>
              <w:bottom w:val="single" w:color="000000" w:sz="6" w:space="0"/>
              <w:right w:val="single" w:color="000000" w:sz="6" w:space="0"/>
            </w:tcBorders>
            <w:noWrap w:val="0"/>
            <w:vAlign w:val="center"/>
          </w:tcPr>
          <w:p w14:paraId="784C4337">
            <w:pPr>
              <w:autoSpaceDE w:val="0"/>
              <w:autoSpaceDN w:val="0"/>
              <w:adjustRightInd w:val="0"/>
              <w:spacing w:line="360" w:lineRule="auto"/>
              <w:jc w:val="center"/>
              <w:rPr>
                <w:color w:val="000000"/>
                <w:sz w:val="28"/>
                <w:szCs w:val="28"/>
              </w:rPr>
            </w:pPr>
          </w:p>
        </w:tc>
        <w:tc>
          <w:tcPr>
            <w:tcW w:w="2949" w:type="dxa"/>
            <w:tcBorders>
              <w:top w:val="single" w:color="000000" w:sz="6" w:space="0"/>
              <w:left w:val="single" w:color="000000" w:sz="6" w:space="0"/>
              <w:bottom w:val="single" w:color="000000" w:sz="6" w:space="0"/>
              <w:right w:val="single" w:color="000000" w:sz="6" w:space="0"/>
            </w:tcBorders>
            <w:noWrap w:val="0"/>
            <w:vAlign w:val="center"/>
          </w:tcPr>
          <w:p w14:paraId="48088360">
            <w:pPr>
              <w:autoSpaceDE w:val="0"/>
              <w:autoSpaceDN w:val="0"/>
              <w:adjustRightInd w:val="0"/>
              <w:spacing w:line="360" w:lineRule="auto"/>
              <w:jc w:val="center"/>
              <w:rPr>
                <w:color w:val="000000"/>
                <w:sz w:val="28"/>
                <w:szCs w:val="28"/>
              </w:rPr>
            </w:pPr>
          </w:p>
        </w:tc>
        <w:tc>
          <w:tcPr>
            <w:tcW w:w="1161" w:type="dxa"/>
            <w:tcBorders>
              <w:top w:val="single" w:color="000000" w:sz="6" w:space="0"/>
              <w:left w:val="single" w:color="000000" w:sz="6" w:space="0"/>
              <w:bottom w:val="single" w:color="000000" w:sz="6" w:space="0"/>
              <w:right w:val="single" w:color="000000" w:sz="6" w:space="0"/>
            </w:tcBorders>
            <w:noWrap w:val="0"/>
            <w:vAlign w:val="center"/>
          </w:tcPr>
          <w:p w14:paraId="40095188">
            <w:pPr>
              <w:autoSpaceDE w:val="0"/>
              <w:autoSpaceDN w:val="0"/>
              <w:adjustRightInd w:val="0"/>
              <w:spacing w:line="360" w:lineRule="auto"/>
              <w:jc w:val="center"/>
              <w:rPr>
                <w:color w:val="000000"/>
                <w:sz w:val="28"/>
                <w:szCs w:val="28"/>
              </w:rPr>
            </w:pPr>
          </w:p>
        </w:tc>
        <w:tc>
          <w:tcPr>
            <w:tcW w:w="1147" w:type="dxa"/>
            <w:tcBorders>
              <w:top w:val="single" w:color="000000" w:sz="6" w:space="0"/>
              <w:left w:val="single" w:color="000000" w:sz="6" w:space="0"/>
              <w:bottom w:val="single" w:color="000000" w:sz="6" w:space="0"/>
              <w:right w:val="single" w:color="000000" w:sz="6" w:space="0"/>
            </w:tcBorders>
            <w:noWrap w:val="0"/>
            <w:vAlign w:val="center"/>
          </w:tcPr>
          <w:p w14:paraId="6B1545A5">
            <w:pPr>
              <w:autoSpaceDE w:val="0"/>
              <w:autoSpaceDN w:val="0"/>
              <w:adjustRightInd w:val="0"/>
              <w:spacing w:line="360" w:lineRule="auto"/>
              <w:jc w:val="center"/>
              <w:rPr>
                <w:color w:val="000000"/>
                <w:sz w:val="28"/>
                <w:szCs w:val="28"/>
              </w:rPr>
            </w:pPr>
          </w:p>
        </w:tc>
        <w:tc>
          <w:tcPr>
            <w:tcW w:w="1772" w:type="dxa"/>
            <w:tcBorders>
              <w:top w:val="single" w:color="000000" w:sz="6" w:space="0"/>
              <w:left w:val="single" w:color="000000" w:sz="6" w:space="0"/>
              <w:bottom w:val="single" w:color="000000" w:sz="6" w:space="0"/>
              <w:right w:val="single" w:color="000000" w:sz="6" w:space="0"/>
            </w:tcBorders>
            <w:noWrap w:val="0"/>
            <w:vAlign w:val="center"/>
          </w:tcPr>
          <w:p w14:paraId="26114D49">
            <w:pPr>
              <w:autoSpaceDE w:val="0"/>
              <w:autoSpaceDN w:val="0"/>
              <w:adjustRightInd w:val="0"/>
              <w:spacing w:line="360" w:lineRule="auto"/>
              <w:jc w:val="center"/>
              <w:rPr>
                <w:color w:val="000000"/>
                <w:sz w:val="28"/>
                <w:szCs w:val="28"/>
              </w:rPr>
            </w:pPr>
          </w:p>
        </w:tc>
      </w:tr>
    </w:tbl>
    <w:p w14:paraId="6649E0A5">
      <w:pPr>
        <w:autoSpaceDE w:val="0"/>
        <w:autoSpaceDN w:val="0"/>
        <w:adjustRightInd w:val="0"/>
        <w:spacing w:line="360" w:lineRule="auto"/>
        <w:ind w:firstLine="482"/>
        <w:rPr>
          <w:rFonts w:ascii="宋体" w:hAnsi="宋体"/>
          <w:color w:val="000000"/>
          <w:sz w:val="28"/>
          <w:szCs w:val="28"/>
          <w:lang w:val="zh-CN"/>
        </w:rPr>
      </w:pPr>
      <w:r>
        <w:rPr>
          <w:rFonts w:ascii="宋体" w:hAnsi="宋体"/>
          <w:b/>
          <w:color w:val="000000"/>
          <w:sz w:val="28"/>
          <w:szCs w:val="28"/>
          <w:lang w:val="zh-CN"/>
        </w:rPr>
        <w:t xml:space="preserve">2. </w:t>
      </w:r>
      <w:r>
        <w:rPr>
          <w:rFonts w:hint="eastAsia" w:ascii="宋体" w:hAnsi="宋体"/>
          <w:b/>
          <w:color w:val="000000"/>
          <w:sz w:val="28"/>
          <w:szCs w:val="28"/>
          <w:lang w:val="zh-CN"/>
        </w:rPr>
        <w:t>合同价格：</w:t>
      </w:r>
      <w:r>
        <w:rPr>
          <w:rFonts w:hint="eastAsia" w:ascii="宋体" w:hAnsi="宋体"/>
          <w:color w:val="000000"/>
          <w:sz w:val="28"/>
          <w:szCs w:val="28"/>
          <w:lang w:val="zh-CN"/>
        </w:rPr>
        <w:t>人民币（大写）</w:t>
      </w:r>
      <w:r>
        <w:rPr>
          <w:rFonts w:ascii="宋体" w:hAnsi="宋体"/>
          <w:color w:val="000000"/>
          <w:sz w:val="28"/>
          <w:szCs w:val="28"/>
          <w:u w:val="single"/>
          <w:lang w:val="zh-CN"/>
        </w:rPr>
        <w:t xml:space="preserve">      </w:t>
      </w:r>
      <w:r>
        <w:rPr>
          <w:rFonts w:hint="eastAsia" w:ascii="宋体" w:hAnsi="宋体"/>
          <w:color w:val="000000"/>
          <w:sz w:val="28"/>
          <w:szCs w:val="28"/>
          <w:lang w:val="zh-CN"/>
        </w:rPr>
        <w:t>元，（小写）</w:t>
      </w:r>
      <w:r>
        <w:rPr>
          <w:rFonts w:hint="eastAsia" w:ascii="宋体" w:hAnsi="宋体"/>
          <w:color w:val="000000"/>
          <w:sz w:val="28"/>
          <w:szCs w:val="28"/>
          <w:u w:val="single"/>
          <w:lang w:val="zh-CN"/>
        </w:rPr>
        <w:t>￥</w:t>
      </w:r>
      <w:r>
        <w:rPr>
          <w:rFonts w:ascii="宋体" w:hAnsi="宋体"/>
          <w:color w:val="000000"/>
          <w:sz w:val="28"/>
          <w:szCs w:val="28"/>
          <w:u w:val="single"/>
          <w:lang w:val="zh-CN"/>
        </w:rPr>
        <w:t xml:space="preserve">:       </w:t>
      </w:r>
      <w:r>
        <w:rPr>
          <w:rFonts w:hint="eastAsia" w:ascii="宋体" w:hAnsi="宋体"/>
          <w:color w:val="000000"/>
          <w:sz w:val="28"/>
          <w:szCs w:val="28"/>
          <w:lang w:val="zh-CN"/>
        </w:rPr>
        <w:t>元。</w:t>
      </w:r>
    </w:p>
    <w:p w14:paraId="5A21B113">
      <w:pPr>
        <w:autoSpaceDE w:val="0"/>
        <w:autoSpaceDN w:val="0"/>
        <w:adjustRightInd w:val="0"/>
        <w:spacing w:line="360" w:lineRule="auto"/>
        <w:ind w:firstLine="482"/>
        <w:rPr>
          <w:rFonts w:ascii="宋体" w:hAnsi="宋体"/>
          <w:b/>
          <w:color w:val="000000"/>
          <w:sz w:val="28"/>
          <w:szCs w:val="28"/>
          <w:lang w:val="zh-CN"/>
        </w:rPr>
      </w:pPr>
      <w:r>
        <w:rPr>
          <w:rFonts w:ascii="宋体" w:hAnsi="宋体"/>
          <w:b/>
          <w:color w:val="000000"/>
          <w:sz w:val="28"/>
          <w:szCs w:val="28"/>
          <w:lang w:val="zh-CN"/>
        </w:rPr>
        <w:t xml:space="preserve">3. </w:t>
      </w:r>
      <w:r>
        <w:rPr>
          <w:rFonts w:hint="eastAsia" w:ascii="宋体" w:hAnsi="宋体"/>
          <w:b/>
          <w:color w:val="000000"/>
          <w:sz w:val="28"/>
          <w:szCs w:val="28"/>
          <w:lang w:val="zh-CN"/>
        </w:rPr>
        <w:t>交货时间、地点、方式</w:t>
      </w:r>
    </w:p>
    <w:p w14:paraId="1F01ED48">
      <w:pPr>
        <w:autoSpaceDE w:val="0"/>
        <w:autoSpaceDN w:val="0"/>
        <w:adjustRightInd w:val="0"/>
        <w:spacing w:line="360" w:lineRule="auto"/>
        <w:ind w:firstLine="480"/>
        <w:rPr>
          <w:rFonts w:hint="eastAsia" w:ascii="宋体" w:hAnsi="宋体"/>
          <w:color w:val="000000"/>
          <w:sz w:val="28"/>
          <w:szCs w:val="28"/>
          <w:lang w:val="zh-CN"/>
        </w:rPr>
      </w:pPr>
      <w:r>
        <w:rPr>
          <w:rFonts w:ascii="宋体" w:hAnsi="宋体"/>
          <w:color w:val="000000"/>
          <w:sz w:val="28"/>
          <w:szCs w:val="28"/>
          <w:lang w:val="zh-CN"/>
        </w:rPr>
        <w:t>3.1</w:t>
      </w:r>
      <w:r>
        <w:rPr>
          <w:rFonts w:hint="eastAsia" w:ascii="宋体" w:hAnsi="宋体"/>
          <w:color w:val="000000"/>
          <w:sz w:val="28"/>
          <w:szCs w:val="28"/>
          <w:lang w:val="zh-CN"/>
        </w:rPr>
        <w:t xml:space="preserve">交货时间： </w:t>
      </w:r>
    </w:p>
    <w:p w14:paraId="0A33B79B">
      <w:pPr>
        <w:autoSpaceDE w:val="0"/>
        <w:autoSpaceDN w:val="0"/>
        <w:adjustRightInd w:val="0"/>
        <w:spacing w:line="360" w:lineRule="auto"/>
        <w:ind w:firstLine="480"/>
        <w:rPr>
          <w:rFonts w:ascii="宋体" w:hAnsi="宋体"/>
          <w:color w:val="000000"/>
          <w:sz w:val="28"/>
          <w:szCs w:val="28"/>
          <w:lang w:val="zh-CN"/>
        </w:rPr>
      </w:pPr>
      <w:r>
        <w:rPr>
          <w:rFonts w:ascii="宋体" w:hAnsi="宋体"/>
          <w:color w:val="000000"/>
          <w:sz w:val="28"/>
          <w:szCs w:val="28"/>
          <w:lang w:val="zh-CN"/>
        </w:rPr>
        <w:t>3.2</w:t>
      </w:r>
      <w:r>
        <w:rPr>
          <w:rFonts w:hint="eastAsia" w:ascii="宋体" w:hAnsi="宋体"/>
          <w:color w:val="000000"/>
          <w:sz w:val="28"/>
          <w:szCs w:val="28"/>
          <w:lang w:val="zh-CN"/>
        </w:rPr>
        <w:t>交货地点：</w:t>
      </w:r>
      <w:r>
        <w:rPr>
          <w:rFonts w:ascii="宋体" w:hAnsi="宋体"/>
          <w:color w:val="000000"/>
          <w:sz w:val="28"/>
          <w:szCs w:val="28"/>
          <w:lang w:val="zh-CN"/>
        </w:rPr>
        <w:t xml:space="preserve"> </w:t>
      </w:r>
    </w:p>
    <w:p w14:paraId="0E530D44">
      <w:pPr>
        <w:autoSpaceDE w:val="0"/>
        <w:autoSpaceDN w:val="0"/>
        <w:adjustRightInd w:val="0"/>
        <w:spacing w:line="360" w:lineRule="auto"/>
        <w:ind w:firstLine="480"/>
        <w:rPr>
          <w:rFonts w:ascii="宋体" w:hAnsi="宋体"/>
          <w:color w:val="000000"/>
          <w:sz w:val="28"/>
          <w:szCs w:val="28"/>
          <w:lang w:val="zh-CN"/>
        </w:rPr>
      </w:pPr>
      <w:r>
        <w:rPr>
          <w:rFonts w:ascii="宋体" w:hAnsi="宋体"/>
          <w:color w:val="000000"/>
          <w:sz w:val="28"/>
          <w:szCs w:val="28"/>
          <w:lang w:val="zh-CN"/>
        </w:rPr>
        <w:t>3.3</w:t>
      </w:r>
      <w:r>
        <w:rPr>
          <w:rFonts w:hint="eastAsia" w:ascii="宋体" w:hAnsi="宋体"/>
          <w:color w:val="000000"/>
          <w:sz w:val="28"/>
          <w:szCs w:val="28"/>
          <w:lang w:val="zh-CN"/>
        </w:rPr>
        <w:t>交货方式：</w:t>
      </w:r>
    </w:p>
    <w:p w14:paraId="4988519E">
      <w:pPr>
        <w:autoSpaceDE w:val="0"/>
        <w:autoSpaceDN w:val="0"/>
        <w:adjustRightInd w:val="0"/>
        <w:spacing w:line="360" w:lineRule="auto"/>
        <w:ind w:firstLine="482"/>
        <w:rPr>
          <w:rFonts w:ascii="宋体" w:hAnsi="宋体"/>
          <w:b/>
          <w:color w:val="000000"/>
          <w:sz w:val="28"/>
          <w:szCs w:val="28"/>
          <w:lang w:val="zh-CN"/>
        </w:rPr>
      </w:pPr>
      <w:r>
        <w:rPr>
          <w:rFonts w:ascii="宋体" w:hAnsi="宋体"/>
          <w:b/>
          <w:color w:val="000000"/>
          <w:sz w:val="28"/>
          <w:szCs w:val="28"/>
          <w:lang w:val="zh-CN"/>
        </w:rPr>
        <w:t xml:space="preserve">4. </w:t>
      </w:r>
      <w:r>
        <w:rPr>
          <w:rFonts w:hint="eastAsia" w:ascii="宋体" w:hAnsi="宋体"/>
          <w:b/>
          <w:color w:val="000000"/>
          <w:sz w:val="28"/>
          <w:szCs w:val="28"/>
          <w:lang w:val="zh-CN"/>
        </w:rPr>
        <w:t>付款方式</w:t>
      </w:r>
      <w:r>
        <w:rPr>
          <w:rFonts w:ascii="宋体" w:hAnsi="宋体"/>
          <w:b/>
          <w:color w:val="000000"/>
          <w:sz w:val="28"/>
          <w:szCs w:val="28"/>
          <w:lang w:val="zh-CN"/>
        </w:rPr>
        <w:t xml:space="preserve"> </w:t>
      </w:r>
    </w:p>
    <w:p w14:paraId="5F7FD407">
      <w:pPr>
        <w:autoSpaceDE w:val="0"/>
        <w:autoSpaceDN w:val="0"/>
        <w:adjustRightInd w:val="0"/>
        <w:spacing w:line="360" w:lineRule="auto"/>
        <w:rPr>
          <w:rFonts w:ascii="宋体" w:hAnsi="宋体"/>
          <w:color w:val="000000"/>
          <w:sz w:val="28"/>
          <w:szCs w:val="28"/>
          <w:lang w:val="zh-CN"/>
        </w:rPr>
      </w:pPr>
      <w:r>
        <w:rPr>
          <w:rFonts w:ascii="宋体" w:hAnsi="宋体"/>
          <w:color w:val="000000"/>
          <w:sz w:val="28"/>
          <w:szCs w:val="28"/>
          <w:lang w:val="zh-CN"/>
        </w:rPr>
        <w:t xml:space="preserve">    4.1</w:t>
      </w:r>
      <w:r>
        <w:rPr>
          <w:rFonts w:hint="eastAsia" w:ascii="宋体" w:hAnsi="宋体"/>
          <w:color w:val="000000"/>
          <w:sz w:val="28"/>
          <w:szCs w:val="28"/>
          <w:lang w:val="zh-CN"/>
        </w:rPr>
        <w:t>供方交货时应提交下列文件：销售发票，国家有关质检机构出具的检验报告或证书（如果合同约定有的话），进口产品的报关文件（如果合同约定有的话），制造厂商出具的质量检验证书、产品合格证等。</w:t>
      </w:r>
    </w:p>
    <w:p w14:paraId="6697D758">
      <w:pPr>
        <w:autoSpaceDE w:val="0"/>
        <w:autoSpaceDN w:val="0"/>
        <w:adjustRightInd w:val="0"/>
        <w:spacing w:line="360" w:lineRule="auto"/>
        <w:ind w:firstLine="480"/>
        <w:rPr>
          <w:rFonts w:ascii="宋体" w:hAnsi="宋体"/>
          <w:color w:val="000000"/>
          <w:sz w:val="28"/>
          <w:szCs w:val="28"/>
          <w:lang w:val="zh-CN"/>
        </w:rPr>
      </w:pPr>
      <w:r>
        <w:rPr>
          <w:rFonts w:ascii="宋体" w:hAnsi="宋体"/>
          <w:color w:val="000000"/>
          <w:sz w:val="28"/>
          <w:szCs w:val="28"/>
          <w:lang w:val="zh-CN"/>
        </w:rPr>
        <w:t>4.2</w:t>
      </w:r>
      <w:r>
        <w:rPr>
          <w:rFonts w:hint="eastAsia" w:ascii="宋体" w:hAnsi="宋体"/>
          <w:color w:val="000000"/>
          <w:sz w:val="28"/>
          <w:szCs w:val="28"/>
          <w:lang w:val="zh-CN"/>
        </w:rPr>
        <w:t>本合同总价款中由需方自行支付</w:t>
      </w:r>
      <w:r>
        <w:rPr>
          <w:rFonts w:ascii="宋体" w:hAnsi="宋体"/>
          <w:color w:val="000000"/>
          <w:sz w:val="28"/>
          <w:szCs w:val="28"/>
          <w:u w:val="single"/>
          <w:lang w:val="zh-CN"/>
        </w:rPr>
        <w:t xml:space="preserve">  </w:t>
      </w:r>
      <w:r>
        <w:rPr>
          <w:rFonts w:hint="eastAsia" w:ascii="宋体" w:hAnsi="宋体"/>
          <w:color w:val="000000"/>
          <w:sz w:val="28"/>
          <w:szCs w:val="28"/>
          <w:u w:val="single"/>
          <w:lang w:val="zh-CN"/>
        </w:rPr>
        <w:t xml:space="preserve"> </w:t>
      </w:r>
      <w:r>
        <w:rPr>
          <w:rFonts w:ascii="宋体" w:hAnsi="宋体"/>
          <w:color w:val="000000"/>
          <w:sz w:val="28"/>
          <w:szCs w:val="28"/>
          <w:u w:val="single"/>
          <w:lang w:val="zh-CN"/>
        </w:rPr>
        <w:t xml:space="preserve">   </w:t>
      </w:r>
      <w:r>
        <w:rPr>
          <w:rFonts w:hint="eastAsia" w:ascii="宋体" w:hAnsi="宋体"/>
          <w:color w:val="000000"/>
          <w:sz w:val="28"/>
          <w:szCs w:val="28"/>
          <w:lang w:val="zh-CN"/>
        </w:rPr>
        <w:t>元。需方承诺工程结束且需方组织验收合格</w:t>
      </w:r>
      <w:r>
        <w:rPr>
          <w:rFonts w:hint="eastAsia" w:ascii="宋体" w:hAnsi="宋体"/>
          <w:b/>
          <w:color w:val="000000"/>
          <w:sz w:val="28"/>
          <w:szCs w:val="28"/>
          <w:lang w:val="zh-CN"/>
        </w:rPr>
        <w:t>后付款</w:t>
      </w:r>
      <w:r>
        <w:rPr>
          <w:rFonts w:hint="eastAsia" w:ascii="宋体" w:hAnsi="宋体"/>
          <w:b/>
          <w:color w:val="000000"/>
          <w:sz w:val="28"/>
          <w:szCs w:val="28"/>
          <w:u w:val="single"/>
          <w:lang w:val="zh-CN"/>
        </w:rPr>
        <w:t xml:space="preserve">    </w:t>
      </w:r>
      <w:r>
        <w:rPr>
          <w:rFonts w:hint="eastAsia" w:ascii="宋体" w:hAnsi="宋体"/>
          <w:b/>
          <w:color w:val="000000"/>
          <w:sz w:val="28"/>
          <w:szCs w:val="28"/>
          <w:lang w:val="zh-CN"/>
        </w:rPr>
        <w:t>%。</w:t>
      </w:r>
      <w:r>
        <w:rPr>
          <w:rFonts w:hint="eastAsia" w:ascii="宋体" w:hAnsi="宋体"/>
          <w:color w:val="000000"/>
          <w:sz w:val="28"/>
          <w:szCs w:val="28"/>
          <w:lang w:val="zh-CN"/>
        </w:rPr>
        <w:t>其中产生的费用需方概不承担，如果需方未按上述原则支付，由需方承担违约责任，供方承担全部收款责任，与招标机构无关。</w:t>
      </w:r>
    </w:p>
    <w:p w14:paraId="20AFF84B">
      <w:pPr>
        <w:autoSpaceDE w:val="0"/>
        <w:autoSpaceDN w:val="0"/>
        <w:adjustRightInd w:val="0"/>
        <w:spacing w:line="360" w:lineRule="auto"/>
        <w:ind w:firstLine="482"/>
        <w:rPr>
          <w:rFonts w:ascii="宋体" w:hAnsi="宋体"/>
          <w:b/>
          <w:color w:val="000000"/>
          <w:sz w:val="28"/>
          <w:szCs w:val="28"/>
          <w:lang w:val="zh-CN"/>
        </w:rPr>
      </w:pPr>
      <w:r>
        <w:rPr>
          <w:rFonts w:ascii="宋体" w:hAnsi="宋体"/>
          <w:b/>
          <w:color w:val="000000"/>
          <w:sz w:val="28"/>
          <w:szCs w:val="28"/>
          <w:lang w:val="zh-CN"/>
        </w:rPr>
        <w:t>5</w:t>
      </w:r>
      <w:r>
        <w:rPr>
          <w:rFonts w:hint="eastAsia" w:ascii="宋体" w:hAnsi="宋体"/>
          <w:b/>
          <w:color w:val="000000"/>
          <w:sz w:val="28"/>
          <w:szCs w:val="28"/>
          <w:lang w:val="zh-CN"/>
        </w:rPr>
        <w:t>．履约保证金</w:t>
      </w:r>
    </w:p>
    <w:p w14:paraId="549F3769">
      <w:pPr>
        <w:autoSpaceDE w:val="0"/>
        <w:autoSpaceDN w:val="0"/>
        <w:adjustRightInd w:val="0"/>
        <w:spacing w:line="360" w:lineRule="auto"/>
        <w:ind w:firstLine="480"/>
        <w:rPr>
          <w:rFonts w:ascii="宋体" w:hAnsi="宋体"/>
          <w:color w:val="000000"/>
          <w:sz w:val="28"/>
          <w:szCs w:val="28"/>
          <w:lang w:val="zh-CN"/>
        </w:rPr>
      </w:pPr>
      <w:r>
        <w:rPr>
          <w:rFonts w:ascii="宋体" w:hAnsi="宋体"/>
          <w:color w:val="000000"/>
          <w:sz w:val="28"/>
          <w:szCs w:val="28"/>
          <w:lang w:val="zh-CN"/>
        </w:rPr>
        <w:t xml:space="preserve">5.1 </w:t>
      </w:r>
      <w:r>
        <w:rPr>
          <w:rFonts w:hint="eastAsia" w:ascii="宋体" w:hAnsi="宋体"/>
          <w:color w:val="000000"/>
          <w:sz w:val="28"/>
          <w:szCs w:val="28"/>
          <w:lang w:val="zh-CN"/>
        </w:rPr>
        <w:t>（如采购方要求）在签署本合同之前，供方应向需方提交合同总价款</w:t>
      </w:r>
      <w:r>
        <w:rPr>
          <w:rFonts w:hint="eastAsia" w:ascii="宋体" w:hAnsi="宋体"/>
          <w:color w:val="000000"/>
          <w:sz w:val="28"/>
          <w:szCs w:val="28"/>
          <w:u w:val="single"/>
        </w:rPr>
        <w:t xml:space="preserve">    </w:t>
      </w:r>
      <w:r>
        <w:rPr>
          <w:rFonts w:ascii="宋体" w:hAnsi="宋体"/>
          <w:color w:val="000000"/>
          <w:sz w:val="28"/>
          <w:szCs w:val="28"/>
          <w:lang w:val="zh-CN"/>
        </w:rPr>
        <w:t>%</w:t>
      </w:r>
      <w:r>
        <w:rPr>
          <w:rFonts w:hint="eastAsia" w:ascii="宋体" w:hAnsi="宋体"/>
          <w:color w:val="000000"/>
          <w:sz w:val="28"/>
          <w:szCs w:val="28"/>
          <w:lang w:val="zh-CN"/>
        </w:rPr>
        <w:t>的履约保证金（人民币，取整数位到百元）。履约保证金可以采用银行转帐或者现金的方式提交。</w:t>
      </w:r>
    </w:p>
    <w:p w14:paraId="5493262E">
      <w:pPr>
        <w:autoSpaceDE w:val="0"/>
        <w:autoSpaceDN w:val="0"/>
        <w:adjustRightInd w:val="0"/>
        <w:spacing w:line="360" w:lineRule="auto"/>
        <w:ind w:firstLine="480"/>
        <w:rPr>
          <w:rFonts w:ascii="宋体" w:hAnsi="宋体"/>
          <w:color w:val="000000"/>
          <w:sz w:val="28"/>
          <w:szCs w:val="28"/>
          <w:lang w:val="zh-CN"/>
        </w:rPr>
      </w:pPr>
      <w:r>
        <w:rPr>
          <w:rFonts w:ascii="宋体" w:hAnsi="宋体"/>
          <w:color w:val="000000"/>
          <w:sz w:val="28"/>
          <w:szCs w:val="28"/>
          <w:lang w:val="zh-CN"/>
        </w:rPr>
        <w:t xml:space="preserve">5.2 </w:t>
      </w:r>
      <w:r>
        <w:rPr>
          <w:rFonts w:hint="eastAsia" w:ascii="宋体" w:hAnsi="宋体"/>
          <w:color w:val="000000"/>
          <w:sz w:val="28"/>
          <w:szCs w:val="28"/>
          <w:lang w:val="zh-CN"/>
        </w:rPr>
        <w:t>履约保证金的有效期到供方提交的货物经需方验收合格并交付给需方之日止，到期后自动转为质量保证金。</w:t>
      </w:r>
    </w:p>
    <w:p w14:paraId="5A45A05E">
      <w:pPr>
        <w:autoSpaceDE w:val="0"/>
        <w:autoSpaceDN w:val="0"/>
        <w:adjustRightInd w:val="0"/>
        <w:spacing w:line="360" w:lineRule="auto"/>
        <w:ind w:firstLine="482"/>
        <w:rPr>
          <w:rFonts w:ascii="宋体" w:hAnsi="宋体"/>
          <w:b/>
          <w:color w:val="000000"/>
          <w:sz w:val="28"/>
          <w:szCs w:val="28"/>
          <w:lang w:val="zh-CN"/>
        </w:rPr>
      </w:pPr>
      <w:r>
        <w:rPr>
          <w:rFonts w:ascii="宋体" w:hAnsi="宋体"/>
          <w:b/>
          <w:color w:val="000000"/>
          <w:sz w:val="28"/>
          <w:szCs w:val="28"/>
          <w:lang w:val="zh-CN"/>
        </w:rPr>
        <w:t>6.</w:t>
      </w:r>
      <w:r>
        <w:rPr>
          <w:rFonts w:hint="eastAsia" w:ascii="宋体" w:hAnsi="宋体"/>
          <w:b/>
          <w:color w:val="000000"/>
          <w:sz w:val="28"/>
          <w:szCs w:val="28"/>
          <w:lang w:val="zh-CN"/>
        </w:rPr>
        <w:t>质量保证金</w:t>
      </w:r>
    </w:p>
    <w:p w14:paraId="406F76A8">
      <w:pPr>
        <w:autoSpaceDE w:val="0"/>
        <w:autoSpaceDN w:val="0"/>
        <w:adjustRightInd w:val="0"/>
        <w:spacing w:line="360" w:lineRule="auto"/>
        <w:ind w:firstLine="480"/>
        <w:rPr>
          <w:rFonts w:ascii="宋体" w:hAnsi="宋体"/>
          <w:color w:val="000000"/>
          <w:sz w:val="28"/>
          <w:szCs w:val="28"/>
          <w:lang w:val="zh-CN"/>
        </w:rPr>
      </w:pPr>
      <w:r>
        <w:rPr>
          <w:rFonts w:ascii="宋体" w:hAnsi="宋体"/>
          <w:color w:val="000000"/>
          <w:sz w:val="28"/>
          <w:szCs w:val="28"/>
          <w:lang w:val="zh-CN"/>
        </w:rPr>
        <w:t>6.1</w:t>
      </w:r>
      <w:r>
        <w:rPr>
          <w:rFonts w:hint="eastAsia" w:ascii="宋体" w:hAnsi="宋体"/>
          <w:color w:val="000000"/>
          <w:sz w:val="28"/>
          <w:szCs w:val="28"/>
          <w:lang w:val="zh-CN"/>
        </w:rPr>
        <w:t>质量保证金为合同总价款的</w:t>
      </w:r>
      <w:r>
        <w:rPr>
          <w:rFonts w:hint="eastAsia" w:ascii="宋体" w:hAnsi="宋体"/>
          <w:color w:val="000000"/>
          <w:sz w:val="28"/>
          <w:szCs w:val="28"/>
          <w:u w:val="single"/>
        </w:rPr>
        <w:t xml:space="preserve">     </w:t>
      </w:r>
      <w:r>
        <w:rPr>
          <w:rFonts w:ascii="宋体" w:hAnsi="宋体"/>
          <w:color w:val="000000"/>
          <w:sz w:val="28"/>
          <w:szCs w:val="28"/>
          <w:lang w:val="zh-CN"/>
        </w:rPr>
        <w:t>%</w:t>
      </w:r>
      <w:r>
        <w:rPr>
          <w:rFonts w:hint="eastAsia" w:ascii="宋体" w:hAnsi="宋体"/>
          <w:color w:val="000000"/>
          <w:sz w:val="28"/>
          <w:szCs w:val="28"/>
          <w:lang w:val="zh-CN"/>
        </w:rPr>
        <w:t>。</w:t>
      </w:r>
    </w:p>
    <w:p w14:paraId="2E3B285C">
      <w:pPr>
        <w:autoSpaceDE w:val="0"/>
        <w:autoSpaceDN w:val="0"/>
        <w:adjustRightInd w:val="0"/>
        <w:spacing w:line="360" w:lineRule="auto"/>
        <w:ind w:firstLine="482"/>
        <w:rPr>
          <w:rFonts w:ascii="宋体" w:hAnsi="宋体"/>
          <w:b/>
          <w:color w:val="000000"/>
          <w:sz w:val="28"/>
          <w:szCs w:val="28"/>
          <w:lang w:val="zh-CN"/>
        </w:rPr>
      </w:pPr>
      <w:r>
        <w:rPr>
          <w:rFonts w:ascii="宋体" w:hAnsi="宋体"/>
          <w:color w:val="000000"/>
          <w:sz w:val="28"/>
          <w:szCs w:val="28"/>
          <w:lang w:val="zh-CN"/>
        </w:rPr>
        <w:t>6.2</w:t>
      </w:r>
      <w:r>
        <w:rPr>
          <w:rFonts w:hint="eastAsia" w:ascii="宋体" w:hAnsi="宋体"/>
          <w:b/>
          <w:color w:val="000000"/>
          <w:sz w:val="28"/>
          <w:szCs w:val="28"/>
          <w:lang w:val="zh-CN"/>
        </w:rPr>
        <w:t>供方提交的履约保证金到期后转作质量保证金。</w:t>
      </w:r>
    </w:p>
    <w:p w14:paraId="17ED817F">
      <w:pPr>
        <w:autoSpaceDE w:val="0"/>
        <w:autoSpaceDN w:val="0"/>
        <w:adjustRightInd w:val="0"/>
        <w:spacing w:line="360" w:lineRule="auto"/>
        <w:ind w:firstLine="480"/>
        <w:rPr>
          <w:rFonts w:ascii="宋体" w:hAnsi="宋体"/>
          <w:color w:val="000000"/>
          <w:sz w:val="28"/>
          <w:szCs w:val="28"/>
          <w:lang w:val="zh-CN"/>
        </w:rPr>
      </w:pPr>
      <w:r>
        <w:rPr>
          <w:rFonts w:ascii="宋体" w:hAnsi="宋体"/>
          <w:color w:val="000000"/>
          <w:sz w:val="28"/>
          <w:szCs w:val="28"/>
          <w:lang w:val="zh-CN"/>
        </w:rPr>
        <w:t>6.3</w:t>
      </w:r>
      <w:r>
        <w:rPr>
          <w:rFonts w:hint="eastAsia" w:ascii="宋体" w:hAnsi="宋体"/>
          <w:color w:val="000000"/>
          <w:sz w:val="28"/>
          <w:szCs w:val="28"/>
          <w:lang w:val="zh-CN"/>
        </w:rPr>
        <w:t>质量保证金的有效期到合同规定的质量保证期期满之日止，扣除供方承担质量保证责任的费用后，剩余部分在质量保证期期满后</w:t>
      </w:r>
      <w:r>
        <w:rPr>
          <w:rFonts w:ascii="宋体" w:hAnsi="宋体"/>
          <w:color w:val="000000"/>
          <w:sz w:val="28"/>
          <w:szCs w:val="28"/>
          <w:lang w:val="zh-CN"/>
        </w:rPr>
        <w:t>20</w:t>
      </w:r>
      <w:r>
        <w:rPr>
          <w:rFonts w:hint="eastAsia" w:ascii="宋体" w:hAnsi="宋体"/>
          <w:color w:val="000000"/>
          <w:sz w:val="28"/>
          <w:szCs w:val="28"/>
          <w:lang w:val="zh-CN"/>
        </w:rPr>
        <w:t>个工作日内返还，不计利息。</w:t>
      </w:r>
    </w:p>
    <w:p w14:paraId="4ECE2873">
      <w:pPr>
        <w:autoSpaceDE w:val="0"/>
        <w:autoSpaceDN w:val="0"/>
        <w:adjustRightInd w:val="0"/>
        <w:spacing w:line="360" w:lineRule="auto"/>
        <w:ind w:firstLine="482"/>
        <w:rPr>
          <w:rFonts w:ascii="宋体" w:hAnsi="宋体"/>
          <w:b/>
          <w:color w:val="000000"/>
          <w:sz w:val="28"/>
          <w:szCs w:val="28"/>
          <w:lang w:val="zh-CN"/>
        </w:rPr>
      </w:pPr>
      <w:r>
        <w:rPr>
          <w:rFonts w:ascii="宋体" w:hAnsi="宋体"/>
          <w:b/>
          <w:color w:val="000000"/>
          <w:sz w:val="28"/>
          <w:szCs w:val="28"/>
          <w:lang w:val="zh-CN"/>
        </w:rPr>
        <w:t>7.</w:t>
      </w:r>
      <w:r>
        <w:rPr>
          <w:rFonts w:hint="eastAsia" w:ascii="宋体" w:hAnsi="宋体"/>
          <w:b/>
          <w:color w:val="000000"/>
          <w:sz w:val="28"/>
          <w:szCs w:val="28"/>
          <w:lang w:val="zh-CN"/>
        </w:rPr>
        <w:t>合同补充条款：</w:t>
      </w:r>
    </w:p>
    <w:p w14:paraId="0B80938D">
      <w:pPr>
        <w:autoSpaceDE w:val="0"/>
        <w:autoSpaceDN w:val="0"/>
        <w:adjustRightInd w:val="0"/>
        <w:spacing w:line="360" w:lineRule="auto"/>
        <w:ind w:firstLine="482"/>
        <w:rPr>
          <w:rFonts w:ascii="宋体" w:hAnsi="宋体"/>
          <w:b/>
          <w:color w:val="000000"/>
          <w:sz w:val="28"/>
          <w:szCs w:val="28"/>
          <w:lang w:val="zh-CN"/>
        </w:rPr>
      </w:pPr>
      <w:r>
        <w:rPr>
          <w:rFonts w:ascii="宋体" w:hAnsi="宋体"/>
          <w:b/>
          <w:color w:val="000000"/>
          <w:sz w:val="28"/>
          <w:szCs w:val="28"/>
          <w:lang w:val="zh-CN"/>
        </w:rPr>
        <w:t>8.</w:t>
      </w:r>
      <w:r>
        <w:rPr>
          <w:rFonts w:hint="eastAsia" w:ascii="宋体" w:hAnsi="宋体"/>
          <w:b/>
          <w:color w:val="000000"/>
          <w:sz w:val="28"/>
          <w:szCs w:val="28"/>
          <w:lang w:val="zh-CN"/>
        </w:rPr>
        <w:t>争议解决方式：</w:t>
      </w:r>
      <w:r>
        <w:rPr>
          <w:rFonts w:hint="eastAsia" w:ascii="宋体" w:hAnsi="宋体"/>
          <w:color w:val="000000"/>
          <w:sz w:val="28"/>
          <w:szCs w:val="28"/>
          <w:lang w:val="zh-CN"/>
        </w:rPr>
        <w:t>供需双方达成仲裁协议，向仲裁委员会申请仲裁（向合同签定地人民法院提起诉讼）。</w:t>
      </w:r>
    </w:p>
    <w:p w14:paraId="0FD3467C">
      <w:pPr>
        <w:autoSpaceDE w:val="0"/>
        <w:autoSpaceDN w:val="0"/>
        <w:adjustRightInd w:val="0"/>
        <w:spacing w:line="360" w:lineRule="auto"/>
        <w:ind w:firstLine="482"/>
        <w:rPr>
          <w:rFonts w:ascii="宋体" w:hAnsi="宋体"/>
          <w:color w:val="000000"/>
          <w:sz w:val="28"/>
          <w:szCs w:val="28"/>
          <w:lang w:val="zh-CN"/>
        </w:rPr>
      </w:pPr>
      <w:r>
        <w:rPr>
          <w:rFonts w:ascii="宋体" w:hAnsi="宋体"/>
          <w:b/>
          <w:color w:val="000000"/>
          <w:sz w:val="28"/>
          <w:szCs w:val="28"/>
          <w:lang w:val="zh-CN"/>
        </w:rPr>
        <w:t>9</w:t>
      </w:r>
      <w:r>
        <w:rPr>
          <w:rFonts w:hint="eastAsia" w:ascii="宋体" w:hAnsi="宋体"/>
          <w:b/>
          <w:color w:val="000000"/>
          <w:sz w:val="28"/>
          <w:szCs w:val="28"/>
          <w:lang w:val="zh-CN"/>
        </w:rPr>
        <w:t>．合同构成：</w:t>
      </w:r>
      <w:r>
        <w:rPr>
          <w:rFonts w:hint="eastAsia" w:ascii="宋体" w:hAnsi="宋体"/>
          <w:color w:val="000000"/>
          <w:sz w:val="28"/>
          <w:szCs w:val="28"/>
          <w:lang w:val="zh-CN"/>
        </w:rPr>
        <w:t>下列文件构成本合同不可分割的组成部分，与本合同具有同等法律效力：</w:t>
      </w:r>
    </w:p>
    <w:p w14:paraId="72A2F9FB">
      <w:pPr>
        <w:autoSpaceDE w:val="0"/>
        <w:autoSpaceDN w:val="0"/>
        <w:adjustRightInd w:val="0"/>
        <w:spacing w:line="360" w:lineRule="auto"/>
        <w:ind w:firstLine="482"/>
        <w:rPr>
          <w:rFonts w:ascii="宋体" w:hAnsi="宋体"/>
          <w:color w:val="000000"/>
          <w:sz w:val="28"/>
          <w:szCs w:val="28"/>
          <w:lang w:val="zh-CN"/>
        </w:rPr>
      </w:pPr>
      <w:r>
        <w:rPr>
          <w:rFonts w:ascii="宋体" w:hAnsi="宋体"/>
          <w:color w:val="000000"/>
          <w:sz w:val="28"/>
          <w:szCs w:val="28"/>
          <w:lang w:val="zh-CN"/>
        </w:rPr>
        <w:t>9.1</w:t>
      </w:r>
      <w:r>
        <w:rPr>
          <w:rFonts w:hint="eastAsia" w:ascii="宋体" w:hAnsi="宋体"/>
          <w:color w:val="000000"/>
          <w:sz w:val="28"/>
          <w:szCs w:val="28"/>
          <w:lang w:val="zh-CN"/>
        </w:rPr>
        <w:t>本合同书；</w:t>
      </w:r>
    </w:p>
    <w:p w14:paraId="72C81834">
      <w:pPr>
        <w:autoSpaceDE w:val="0"/>
        <w:autoSpaceDN w:val="0"/>
        <w:adjustRightInd w:val="0"/>
        <w:spacing w:line="360" w:lineRule="auto"/>
        <w:ind w:firstLine="482"/>
        <w:rPr>
          <w:rFonts w:ascii="宋体" w:hAnsi="宋体"/>
          <w:color w:val="000000"/>
          <w:sz w:val="28"/>
          <w:szCs w:val="28"/>
          <w:lang w:val="zh-CN"/>
        </w:rPr>
      </w:pPr>
      <w:r>
        <w:rPr>
          <w:rFonts w:ascii="宋体" w:hAnsi="宋体"/>
          <w:color w:val="000000"/>
          <w:sz w:val="28"/>
          <w:szCs w:val="28"/>
          <w:lang w:val="zh-CN"/>
        </w:rPr>
        <w:t>9.2</w:t>
      </w:r>
      <w:r>
        <w:rPr>
          <w:rFonts w:hint="eastAsia" w:ascii="宋体" w:hAnsi="宋体"/>
          <w:color w:val="000000"/>
          <w:sz w:val="28"/>
          <w:szCs w:val="28"/>
          <w:lang w:val="zh-CN"/>
        </w:rPr>
        <w:t>中标通知书；</w:t>
      </w:r>
    </w:p>
    <w:p w14:paraId="50795F48">
      <w:pPr>
        <w:autoSpaceDE w:val="0"/>
        <w:autoSpaceDN w:val="0"/>
        <w:adjustRightInd w:val="0"/>
        <w:spacing w:line="360" w:lineRule="auto"/>
        <w:ind w:firstLine="482"/>
        <w:rPr>
          <w:rFonts w:ascii="宋体" w:hAnsi="宋体"/>
          <w:color w:val="000000"/>
          <w:sz w:val="28"/>
          <w:szCs w:val="28"/>
          <w:lang w:val="zh-CN"/>
        </w:rPr>
      </w:pPr>
      <w:r>
        <w:rPr>
          <w:rFonts w:ascii="宋体" w:hAnsi="宋体"/>
          <w:color w:val="000000"/>
          <w:sz w:val="28"/>
          <w:szCs w:val="28"/>
          <w:lang w:val="zh-CN"/>
        </w:rPr>
        <w:t>9.3</w:t>
      </w:r>
      <w:r>
        <w:rPr>
          <w:rFonts w:hint="eastAsia" w:ascii="宋体" w:hAnsi="宋体"/>
          <w:color w:val="000000"/>
          <w:sz w:val="28"/>
          <w:szCs w:val="28"/>
          <w:lang w:val="zh-CN"/>
        </w:rPr>
        <w:t>招标文件及澄清、修改、补遗文件；</w:t>
      </w:r>
    </w:p>
    <w:p w14:paraId="59EA3C5B">
      <w:pPr>
        <w:autoSpaceDE w:val="0"/>
        <w:autoSpaceDN w:val="0"/>
        <w:adjustRightInd w:val="0"/>
        <w:spacing w:line="360" w:lineRule="auto"/>
        <w:ind w:firstLine="482"/>
        <w:rPr>
          <w:rFonts w:ascii="宋体" w:hAnsi="宋体"/>
          <w:color w:val="000000"/>
          <w:sz w:val="28"/>
          <w:szCs w:val="28"/>
          <w:lang w:val="zh-CN"/>
        </w:rPr>
      </w:pPr>
      <w:r>
        <w:rPr>
          <w:rFonts w:ascii="宋体" w:hAnsi="宋体"/>
          <w:color w:val="000000"/>
          <w:sz w:val="28"/>
          <w:szCs w:val="28"/>
          <w:lang w:val="zh-CN"/>
        </w:rPr>
        <w:t>9.4</w:t>
      </w:r>
      <w:r>
        <w:rPr>
          <w:rFonts w:hint="eastAsia" w:ascii="宋体" w:hAnsi="宋体"/>
          <w:color w:val="000000"/>
          <w:sz w:val="28"/>
          <w:szCs w:val="28"/>
          <w:lang w:val="zh-CN"/>
        </w:rPr>
        <w:t>供方的投标文件及书面澄清、说明、补正文件；</w:t>
      </w:r>
    </w:p>
    <w:p w14:paraId="7CFFC6E6">
      <w:pPr>
        <w:autoSpaceDE w:val="0"/>
        <w:autoSpaceDN w:val="0"/>
        <w:adjustRightInd w:val="0"/>
        <w:spacing w:line="360" w:lineRule="auto"/>
        <w:ind w:firstLine="482"/>
        <w:rPr>
          <w:rFonts w:ascii="宋体" w:hAnsi="宋体"/>
          <w:color w:val="000000"/>
          <w:sz w:val="28"/>
          <w:szCs w:val="28"/>
          <w:lang w:val="zh-CN"/>
        </w:rPr>
      </w:pPr>
      <w:r>
        <w:rPr>
          <w:rFonts w:ascii="宋体" w:hAnsi="宋体"/>
          <w:color w:val="000000"/>
          <w:sz w:val="28"/>
          <w:szCs w:val="28"/>
          <w:lang w:val="zh-CN"/>
        </w:rPr>
        <w:t>9.5</w:t>
      </w:r>
      <w:r>
        <w:rPr>
          <w:rFonts w:hint="eastAsia" w:ascii="宋体" w:hAnsi="宋体"/>
          <w:color w:val="000000"/>
          <w:sz w:val="28"/>
          <w:szCs w:val="28"/>
          <w:lang w:val="zh-CN"/>
        </w:rPr>
        <w:t>产品样本、样品（样机）、说明书、图纸等有关资料；</w:t>
      </w:r>
    </w:p>
    <w:p w14:paraId="3C1003E6">
      <w:pPr>
        <w:autoSpaceDE w:val="0"/>
        <w:autoSpaceDN w:val="0"/>
        <w:adjustRightInd w:val="0"/>
        <w:spacing w:line="360" w:lineRule="auto"/>
        <w:ind w:firstLine="482"/>
        <w:rPr>
          <w:rFonts w:ascii="宋体" w:hAnsi="宋体"/>
          <w:color w:val="000000"/>
          <w:sz w:val="28"/>
          <w:szCs w:val="28"/>
          <w:lang w:val="zh-CN"/>
        </w:rPr>
      </w:pPr>
      <w:r>
        <w:rPr>
          <w:rFonts w:ascii="宋体" w:hAnsi="宋体"/>
          <w:color w:val="000000"/>
          <w:sz w:val="28"/>
          <w:szCs w:val="28"/>
          <w:lang w:val="zh-CN"/>
        </w:rPr>
        <w:t>9.6</w:t>
      </w:r>
      <w:r>
        <w:rPr>
          <w:rFonts w:hint="eastAsia" w:ascii="宋体" w:hAnsi="宋体"/>
          <w:color w:val="000000"/>
          <w:sz w:val="28"/>
          <w:szCs w:val="28"/>
          <w:lang w:val="zh-CN"/>
        </w:rPr>
        <w:t>政府采购验收报告单；</w:t>
      </w:r>
    </w:p>
    <w:p w14:paraId="14A6C36B">
      <w:pPr>
        <w:autoSpaceDE w:val="0"/>
        <w:autoSpaceDN w:val="0"/>
        <w:adjustRightInd w:val="0"/>
        <w:spacing w:line="360" w:lineRule="auto"/>
        <w:ind w:firstLine="482"/>
        <w:rPr>
          <w:rFonts w:ascii="宋体" w:hAnsi="宋体"/>
          <w:color w:val="000000"/>
          <w:sz w:val="28"/>
          <w:szCs w:val="28"/>
          <w:lang w:val="zh-CN"/>
        </w:rPr>
      </w:pPr>
      <w:r>
        <w:rPr>
          <w:rFonts w:ascii="宋体" w:hAnsi="宋体"/>
          <w:color w:val="000000"/>
          <w:sz w:val="28"/>
          <w:szCs w:val="28"/>
          <w:lang w:val="zh-CN"/>
        </w:rPr>
        <w:t>9.7</w:t>
      </w:r>
      <w:r>
        <w:rPr>
          <w:rFonts w:hint="eastAsia" w:ascii="宋体" w:hAnsi="宋体"/>
          <w:color w:val="000000"/>
          <w:sz w:val="28"/>
          <w:szCs w:val="28"/>
          <w:lang w:val="zh-CN"/>
        </w:rPr>
        <w:t>合同的其它附件。</w:t>
      </w:r>
    </w:p>
    <w:p w14:paraId="08302104">
      <w:pPr>
        <w:autoSpaceDE w:val="0"/>
        <w:autoSpaceDN w:val="0"/>
        <w:adjustRightInd w:val="0"/>
        <w:spacing w:line="360" w:lineRule="auto"/>
        <w:ind w:firstLine="480"/>
        <w:rPr>
          <w:rFonts w:hint="eastAsia" w:ascii="宋体" w:hAnsi="宋体"/>
          <w:color w:val="000000"/>
          <w:sz w:val="28"/>
          <w:szCs w:val="28"/>
          <w:lang w:val="zh-CN"/>
        </w:rPr>
      </w:pPr>
      <w:r>
        <w:rPr>
          <w:rFonts w:hint="eastAsia" w:ascii="宋体" w:hAnsi="宋体"/>
          <w:color w:val="000000"/>
          <w:sz w:val="28"/>
          <w:szCs w:val="28"/>
          <w:lang w:val="zh-CN"/>
        </w:rPr>
        <w:t>上述组成合同的文件如有不一致之处，以日期在后的为准。</w:t>
      </w:r>
    </w:p>
    <w:p w14:paraId="3B1BF359">
      <w:pPr>
        <w:autoSpaceDE w:val="0"/>
        <w:autoSpaceDN w:val="0"/>
        <w:adjustRightInd w:val="0"/>
        <w:spacing w:line="360" w:lineRule="auto"/>
        <w:ind w:firstLine="480"/>
        <w:rPr>
          <w:rFonts w:ascii="宋体" w:hAnsi="宋体"/>
          <w:color w:val="000000"/>
          <w:sz w:val="28"/>
          <w:szCs w:val="28"/>
          <w:lang w:val="zh-CN"/>
        </w:rPr>
      </w:pPr>
      <w:r>
        <w:rPr>
          <w:rFonts w:ascii="宋体" w:hAnsi="宋体"/>
          <w:b/>
          <w:color w:val="000000"/>
          <w:sz w:val="28"/>
          <w:szCs w:val="28"/>
          <w:lang w:val="zh-CN"/>
        </w:rPr>
        <w:t>10.</w:t>
      </w:r>
      <w:r>
        <w:rPr>
          <w:rFonts w:hint="eastAsia" w:ascii="宋体" w:hAnsi="宋体"/>
          <w:b/>
          <w:color w:val="000000"/>
          <w:sz w:val="28"/>
          <w:szCs w:val="28"/>
          <w:lang w:val="zh-CN"/>
        </w:rPr>
        <w:t>合同份数：</w:t>
      </w:r>
      <w:r>
        <w:rPr>
          <w:rFonts w:hint="eastAsia" w:ascii="宋体" w:hAnsi="宋体"/>
          <w:color w:val="000000"/>
          <w:sz w:val="28"/>
          <w:szCs w:val="28"/>
          <w:lang w:val="zh-CN"/>
        </w:rPr>
        <w:t>本合同一式</w:t>
      </w:r>
      <w:r>
        <w:rPr>
          <w:rFonts w:hint="eastAsia" w:ascii="宋体" w:hAnsi="宋体"/>
          <w:color w:val="000000"/>
          <w:sz w:val="28"/>
          <w:szCs w:val="28"/>
          <w:u w:val="single"/>
          <w:lang w:val="zh-CN"/>
        </w:rPr>
        <w:t xml:space="preserve">   </w:t>
      </w:r>
      <w:r>
        <w:rPr>
          <w:rFonts w:hint="eastAsia" w:ascii="宋体" w:hAnsi="宋体"/>
          <w:color w:val="000000"/>
          <w:sz w:val="28"/>
          <w:szCs w:val="28"/>
          <w:lang w:val="zh-CN"/>
        </w:rPr>
        <w:t>份，供需双方各执一份，另一份作为需方向</w:t>
      </w:r>
      <w:r>
        <w:rPr>
          <w:rFonts w:hint="eastAsia" w:ascii="宋体" w:hAnsi="宋体"/>
          <w:color w:val="000000"/>
          <w:sz w:val="28"/>
          <w:szCs w:val="28"/>
          <w:u w:val="single"/>
          <w:lang w:val="zh-CN"/>
        </w:rPr>
        <w:t xml:space="preserve">                   </w:t>
      </w:r>
      <w:r>
        <w:rPr>
          <w:rFonts w:hint="eastAsia" w:ascii="宋体" w:hAnsi="宋体"/>
          <w:color w:val="000000"/>
          <w:sz w:val="28"/>
          <w:szCs w:val="28"/>
          <w:lang w:val="zh-CN"/>
        </w:rPr>
        <w:t>提请付款的凭证。</w:t>
      </w:r>
      <w:r>
        <w:rPr>
          <w:rFonts w:ascii="宋体" w:hAnsi="宋体"/>
          <w:color w:val="000000"/>
          <w:sz w:val="28"/>
          <w:szCs w:val="28"/>
          <w:lang w:val="zh-CN"/>
        </w:rPr>
        <w:t xml:space="preserve"> </w:t>
      </w:r>
    </w:p>
    <w:p w14:paraId="1E38BE44">
      <w:pPr>
        <w:autoSpaceDE w:val="0"/>
        <w:autoSpaceDN w:val="0"/>
        <w:adjustRightInd w:val="0"/>
        <w:spacing w:line="360" w:lineRule="auto"/>
        <w:ind w:firstLine="482"/>
        <w:rPr>
          <w:rFonts w:ascii="宋体" w:hAnsi="宋体"/>
          <w:color w:val="000000"/>
          <w:sz w:val="28"/>
          <w:szCs w:val="28"/>
          <w:lang w:val="zh-CN"/>
        </w:rPr>
      </w:pPr>
      <w:r>
        <w:rPr>
          <w:rFonts w:ascii="宋体" w:hAnsi="宋体"/>
          <w:b/>
          <w:color w:val="000000"/>
          <w:sz w:val="28"/>
          <w:szCs w:val="28"/>
          <w:lang w:val="zh-CN"/>
        </w:rPr>
        <w:t>11.</w:t>
      </w:r>
      <w:r>
        <w:rPr>
          <w:rFonts w:hint="eastAsia" w:ascii="宋体" w:hAnsi="宋体"/>
          <w:b/>
          <w:color w:val="000000"/>
          <w:sz w:val="28"/>
          <w:szCs w:val="28"/>
          <w:lang w:val="zh-CN"/>
        </w:rPr>
        <w:t>合同生效：</w:t>
      </w:r>
      <w:r>
        <w:rPr>
          <w:rFonts w:hint="eastAsia" w:ascii="宋体" w:hAnsi="宋体"/>
          <w:color w:val="000000"/>
          <w:sz w:val="28"/>
          <w:szCs w:val="28"/>
          <w:lang w:val="zh-CN"/>
        </w:rPr>
        <w:t>本合同在供需双方法定代表人或其授权代理人签字、加盖双方公章或者合同专用章，并且需方收到供方提交的履约保证金后生效。</w:t>
      </w:r>
    </w:p>
    <w:p w14:paraId="47E9D7DD">
      <w:pPr>
        <w:autoSpaceDE w:val="0"/>
        <w:autoSpaceDN w:val="0"/>
        <w:adjustRightInd w:val="0"/>
        <w:spacing w:line="360" w:lineRule="auto"/>
        <w:ind w:firstLine="482"/>
        <w:rPr>
          <w:rFonts w:hint="eastAsia" w:ascii="宋体" w:hAnsi="宋体"/>
          <w:color w:val="000000"/>
          <w:sz w:val="28"/>
          <w:szCs w:val="28"/>
          <w:lang w:val="zh-CN"/>
        </w:rPr>
      </w:pPr>
      <w:r>
        <w:rPr>
          <w:rFonts w:ascii="宋体" w:hAnsi="宋体"/>
          <w:b/>
          <w:color w:val="000000"/>
          <w:sz w:val="28"/>
          <w:szCs w:val="28"/>
          <w:lang w:val="zh-CN"/>
        </w:rPr>
        <w:t>12.</w:t>
      </w:r>
      <w:r>
        <w:rPr>
          <w:rFonts w:hint="eastAsia" w:ascii="宋体" w:hAnsi="宋体"/>
          <w:b/>
          <w:color w:val="000000"/>
          <w:sz w:val="28"/>
          <w:szCs w:val="28"/>
          <w:lang w:val="zh-CN"/>
        </w:rPr>
        <w:t>合同修改：</w:t>
      </w:r>
      <w:r>
        <w:rPr>
          <w:rFonts w:hint="eastAsia" w:ascii="宋体" w:hAnsi="宋体"/>
          <w:color w:val="000000"/>
          <w:sz w:val="28"/>
          <w:szCs w:val="28"/>
          <w:lang w:val="zh-CN"/>
        </w:rPr>
        <w:t>除供需双方签署书面修改、补充协议外，本合同条件不得有任何变化或修改。</w:t>
      </w:r>
    </w:p>
    <w:p w14:paraId="2BEC98F2">
      <w:pPr>
        <w:autoSpaceDE w:val="0"/>
        <w:autoSpaceDN w:val="0"/>
        <w:adjustRightInd w:val="0"/>
        <w:spacing w:line="276" w:lineRule="auto"/>
        <w:rPr>
          <w:rFonts w:hint="eastAsia" w:ascii="宋体"/>
          <w:color w:val="000000"/>
          <w:sz w:val="24"/>
          <w:szCs w:val="24"/>
          <w:lang w:val="zh-CN"/>
        </w:rPr>
      </w:pPr>
    </w:p>
    <w:p w14:paraId="54D4A0D1">
      <w:pPr>
        <w:autoSpaceDE w:val="0"/>
        <w:autoSpaceDN w:val="0"/>
        <w:adjustRightInd w:val="0"/>
        <w:spacing w:line="276" w:lineRule="auto"/>
        <w:rPr>
          <w:rFonts w:ascii="宋体"/>
          <w:color w:val="000000"/>
          <w:sz w:val="24"/>
          <w:szCs w:val="24"/>
          <w:lang w:val="zh-CN"/>
        </w:rPr>
      </w:pPr>
      <w:r>
        <w:rPr>
          <w:rFonts w:hint="eastAsia" w:ascii="宋体"/>
          <w:color w:val="000000"/>
          <w:sz w:val="24"/>
          <w:szCs w:val="24"/>
          <w:lang w:val="zh-CN"/>
        </w:rPr>
        <w:t>需方：</w:t>
      </w:r>
      <w:r>
        <w:rPr>
          <w:rFonts w:ascii="宋体"/>
          <w:color w:val="000000"/>
          <w:sz w:val="24"/>
          <w:szCs w:val="24"/>
          <w:lang w:val="zh-CN"/>
        </w:rPr>
        <w:t xml:space="preserve">                   </w:t>
      </w:r>
      <w:r>
        <w:rPr>
          <w:rFonts w:hint="eastAsia" w:ascii="宋体"/>
          <w:color w:val="000000"/>
          <w:sz w:val="24"/>
          <w:szCs w:val="24"/>
          <w:lang w:val="zh-CN"/>
        </w:rPr>
        <w:t xml:space="preserve">          供方：</w:t>
      </w:r>
    </w:p>
    <w:p w14:paraId="60C95696">
      <w:pPr>
        <w:autoSpaceDE w:val="0"/>
        <w:autoSpaceDN w:val="0"/>
        <w:adjustRightInd w:val="0"/>
        <w:spacing w:line="276" w:lineRule="auto"/>
        <w:rPr>
          <w:rFonts w:ascii="宋体"/>
          <w:color w:val="000000"/>
          <w:sz w:val="24"/>
          <w:szCs w:val="24"/>
          <w:lang w:val="zh-CN"/>
        </w:rPr>
      </w:pPr>
      <w:r>
        <w:rPr>
          <w:rFonts w:hint="eastAsia" w:ascii="宋体"/>
          <w:color w:val="000000"/>
          <w:sz w:val="24"/>
          <w:szCs w:val="24"/>
          <w:lang w:val="zh-CN"/>
        </w:rPr>
        <w:t>（加盖公章或合同专用章）</w:t>
      </w:r>
      <w:r>
        <w:rPr>
          <w:rFonts w:ascii="宋体"/>
          <w:color w:val="000000"/>
          <w:sz w:val="24"/>
          <w:szCs w:val="24"/>
          <w:lang w:val="zh-CN"/>
        </w:rPr>
        <w:t xml:space="preserve">  </w:t>
      </w:r>
      <w:r>
        <w:rPr>
          <w:rFonts w:hint="eastAsia" w:ascii="宋体"/>
          <w:color w:val="000000"/>
          <w:sz w:val="24"/>
          <w:szCs w:val="24"/>
          <w:lang w:val="zh-CN"/>
        </w:rPr>
        <w:t xml:space="preserve">        （加盖公章或合同专用章）</w:t>
      </w:r>
    </w:p>
    <w:p w14:paraId="13703B72">
      <w:pPr>
        <w:autoSpaceDE w:val="0"/>
        <w:autoSpaceDN w:val="0"/>
        <w:adjustRightInd w:val="0"/>
        <w:spacing w:line="276" w:lineRule="auto"/>
        <w:rPr>
          <w:rFonts w:ascii="宋体"/>
          <w:color w:val="000000"/>
          <w:sz w:val="24"/>
          <w:szCs w:val="24"/>
          <w:lang w:val="zh-CN"/>
        </w:rPr>
      </w:pPr>
      <w:r>
        <w:rPr>
          <w:rFonts w:hint="eastAsia" w:ascii="宋体"/>
          <w:color w:val="000000"/>
          <w:sz w:val="24"/>
          <w:szCs w:val="24"/>
          <w:lang w:val="zh-CN"/>
        </w:rPr>
        <w:t>地址：</w:t>
      </w:r>
      <w:r>
        <w:rPr>
          <w:rFonts w:ascii="宋体"/>
          <w:color w:val="000000"/>
          <w:sz w:val="24"/>
          <w:szCs w:val="24"/>
          <w:lang w:val="zh-CN"/>
        </w:rPr>
        <w:t xml:space="preserve">                   </w:t>
      </w:r>
      <w:r>
        <w:rPr>
          <w:rFonts w:hint="eastAsia" w:ascii="宋体"/>
          <w:color w:val="000000"/>
          <w:sz w:val="24"/>
          <w:szCs w:val="24"/>
          <w:lang w:val="zh-CN"/>
        </w:rPr>
        <w:t xml:space="preserve">          地址：</w:t>
      </w:r>
    </w:p>
    <w:p w14:paraId="25BDF74C">
      <w:pPr>
        <w:autoSpaceDE w:val="0"/>
        <w:autoSpaceDN w:val="0"/>
        <w:adjustRightInd w:val="0"/>
        <w:spacing w:line="276" w:lineRule="auto"/>
        <w:rPr>
          <w:rFonts w:ascii="宋体"/>
          <w:color w:val="000000"/>
          <w:sz w:val="24"/>
          <w:szCs w:val="24"/>
          <w:lang w:val="zh-CN"/>
        </w:rPr>
      </w:pPr>
      <w:r>
        <w:rPr>
          <w:rFonts w:hint="eastAsia" w:ascii="宋体"/>
          <w:color w:val="000000"/>
          <w:sz w:val="24"/>
          <w:szCs w:val="24"/>
          <w:lang w:val="zh-CN"/>
        </w:rPr>
        <w:t>法定代表人</w:t>
      </w:r>
      <w:r>
        <w:rPr>
          <w:rFonts w:ascii="宋体"/>
          <w:color w:val="000000"/>
          <w:sz w:val="24"/>
          <w:szCs w:val="24"/>
          <w:lang w:val="zh-CN"/>
        </w:rPr>
        <w:t xml:space="preserve">              </w:t>
      </w:r>
      <w:r>
        <w:rPr>
          <w:rFonts w:hint="eastAsia" w:ascii="宋体"/>
          <w:color w:val="000000"/>
          <w:sz w:val="24"/>
          <w:szCs w:val="24"/>
          <w:lang w:val="zh-CN"/>
        </w:rPr>
        <w:t xml:space="preserve">          </w:t>
      </w:r>
      <w:r>
        <w:rPr>
          <w:rFonts w:ascii="宋体"/>
          <w:color w:val="000000"/>
          <w:sz w:val="24"/>
          <w:szCs w:val="24"/>
          <w:lang w:val="zh-CN"/>
        </w:rPr>
        <w:t xml:space="preserve"> </w:t>
      </w:r>
      <w:r>
        <w:rPr>
          <w:rFonts w:hint="eastAsia" w:ascii="宋体"/>
          <w:color w:val="000000"/>
          <w:sz w:val="24"/>
          <w:szCs w:val="24"/>
          <w:lang w:val="zh-CN"/>
        </w:rPr>
        <w:t>法定代表人</w:t>
      </w:r>
      <w:r>
        <w:rPr>
          <w:rFonts w:ascii="宋体"/>
          <w:color w:val="000000"/>
          <w:sz w:val="24"/>
          <w:szCs w:val="24"/>
          <w:lang w:val="zh-CN"/>
        </w:rPr>
        <w:t xml:space="preserve">               </w:t>
      </w:r>
    </w:p>
    <w:p w14:paraId="1DA5E214">
      <w:pPr>
        <w:autoSpaceDE w:val="0"/>
        <w:autoSpaceDN w:val="0"/>
        <w:adjustRightInd w:val="0"/>
        <w:spacing w:line="276" w:lineRule="auto"/>
        <w:rPr>
          <w:rFonts w:ascii="宋体"/>
          <w:color w:val="000000"/>
          <w:sz w:val="24"/>
          <w:szCs w:val="24"/>
          <w:lang w:val="zh-CN"/>
        </w:rPr>
      </w:pPr>
      <w:r>
        <w:rPr>
          <w:rFonts w:hint="eastAsia" w:ascii="宋体"/>
          <w:color w:val="000000"/>
          <w:sz w:val="24"/>
          <w:szCs w:val="24"/>
          <w:lang w:val="zh-CN"/>
        </w:rPr>
        <w:t>或授权代理人签字：</w:t>
      </w:r>
      <w:r>
        <w:rPr>
          <w:rFonts w:ascii="宋体"/>
          <w:color w:val="000000"/>
          <w:sz w:val="24"/>
          <w:szCs w:val="24"/>
          <w:lang w:val="zh-CN"/>
        </w:rPr>
        <w:t xml:space="preserve">       </w:t>
      </w:r>
      <w:r>
        <w:rPr>
          <w:rFonts w:hint="eastAsia" w:ascii="宋体"/>
          <w:color w:val="000000"/>
          <w:sz w:val="24"/>
          <w:szCs w:val="24"/>
          <w:lang w:val="zh-CN"/>
        </w:rPr>
        <w:t xml:space="preserve">          或授权代理人签字：</w:t>
      </w:r>
    </w:p>
    <w:p w14:paraId="364AB5E0">
      <w:pPr>
        <w:autoSpaceDE w:val="0"/>
        <w:autoSpaceDN w:val="0"/>
        <w:adjustRightInd w:val="0"/>
        <w:spacing w:line="276" w:lineRule="auto"/>
        <w:rPr>
          <w:rFonts w:ascii="宋体"/>
          <w:color w:val="000000"/>
          <w:sz w:val="24"/>
          <w:szCs w:val="24"/>
          <w:lang w:val="zh-CN"/>
        </w:rPr>
      </w:pPr>
      <w:r>
        <w:rPr>
          <w:rFonts w:hint="eastAsia" w:ascii="宋体"/>
          <w:color w:val="000000"/>
          <w:sz w:val="24"/>
          <w:szCs w:val="24"/>
          <w:lang w:val="zh-CN"/>
        </w:rPr>
        <w:t>签字日期：</w:t>
      </w:r>
      <w:r>
        <w:rPr>
          <w:rFonts w:ascii="宋体"/>
          <w:color w:val="000000"/>
          <w:sz w:val="24"/>
          <w:szCs w:val="24"/>
          <w:lang w:val="zh-CN"/>
        </w:rPr>
        <w:t xml:space="preserve">               </w:t>
      </w:r>
      <w:r>
        <w:rPr>
          <w:rFonts w:hint="eastAsia" w:ascii="宋体"/>
          <w:color w:val="000000"/>
          <w:sz w:val="24"/>
          <w:szCs w:val="24"/>
          <w:lang w:val="zh-CN"/>
        </w:rPr>
        <w:t xml:space="preserve">          签字日期：</w:t>
      </w:r>
    </w:p>
    <w:p w14:paraId="468D94F5">
      <w:pPr>
        <w:autoSpaceDE w:val="0"/>
        <w:autoSpaceDN w:val="0"/>
        <w:adjustRightInd w:val="0"/>
        <w:spacing w:line="276" w:lineRule="auto"/>
        <w:rPr>
          <w:rFonts w:ascii="宋体"/>
          <w:color w:val="000000"/>
          <w:sz w:val="24"/>
          <w:szCs w:val="24"/>
          <w:lang w:val="zh-CN"/>
        </w:rPr>
      </w:pPr>
      <w:r>
        <w:rPr>
          <w:rFonts w:hint="eastAsia" w:ascii="宋体"/>
          <w:color w:val="000000"/>
          <w:sz w:val="24"/>
          <w:szCs w:val="24"/>
          <w:lang w:val="zh-CN"/>
        </w:rPr>
        <w:t>邮政编码：</w:t>
      </w:r>
      <w:r>
        <w:rPr>
          <w:rFonts w:ascii="宋体"/>
          <w:color w:val="000000"/>
          <w:sz w:val="24"/>
          <w:szCs w:val="24"/>
          <w:lang w:val="zh-CN"/>
        </w:rPr>
        <w:t xml:space="preserve">              </w:t>
      </w:r>
      <w:r>
        <w:rPr>
          <w:rFonts w:hint="eastAsia" w:ascii="宋体"/>
          <w:color w:val="000000"/>
          <w:sz w:val="24"/>
          <w:szCs w:val="24"/>
          <w:lang w:val="zh-CN"/>
        </w:rPr>
        <w:t xml:space="preserve">          </w:t>
      </w:r>
      <w:r>
        <w:rPr>
          <w:rFonts w:ascii="宋体"/>
          <w:color w:val="000000"/>
          <w:sz w:val="24"/>
          <w:szCs w:val="24"/>
          <w:lang w:val="zh-CN"/>
        </w:rPr>
        <w:t xml:space="preserve"> </w:t>
      </w:r>
      <w:r>
        <w:rPr>
          <w:rFonts w:hint="eastAsia" w:ascii="宋体"/>
          <w:color w:val="000000"/>
          <w:sz w:val="24"/>
          <w:szCs w:val="24"/>
          <w:lang w:val="zh-CN"/>
        </w:rPr>
        <w:t>邮政编码：</w:t>
      </w:r>
    </w:p>
    <w:p w14:paraId="2E953BE7">
      <w:pPr>
        <w:autoSpaceDE w:val="0"/>
        <w:autoSpaceDN w:val="0"/>
        <w:adjustRightInd w:val="0"/>
        <w:spacing w:line="276" w:lineRule="auto"/>
        <w:ind w:firstLine="480"/>
        <w:rPr>
          <w:rFonts w:ascii="宋体"/>
          <w:color w:val="000000"/>
          <w:sz w:val="24"/>
          <w:szCs w:val="24"/>
          <w:lang w:val="zh-CN"/>
        </w:rPr>
      </w:pPr>
      <w:r>
        <w:rPr>
          <w:rFonts w:ascii="宋体"/>
          <w:color w:val="000000"/>
          <w:sz w:val="24"/>
          <w:szCs w:val="24"/>
          <w:lang w:val="zh-CN"/>
        </w:rPr>
        <w:t xml:space="preserve">                         </w:t>
      </w:r>
      <w:r>
        <w:rPr>
          <w:rFonts w:hint="eastAsia" w:ascii="宋体"/>
          <w:color w:val="000000"/>
          <w:sz w:val="24"/>
          <w:szCs w:val="24"/>
          <w:lang w:val="zh-CN"/>
        </w:rPr>
        <w:t xml:space="preserve">  </w:t>
      </w:r>
      <w:r>
        <w:rPr>
          <w:rFonts w:ascii="宋体"/>
          <w:color w:val="000000"/>
          <w:sz w:val="24"/>
          <w:szCs w:val="24"/>
          <w:lang w:val="zh-CN"/>
        </w:rPr>
        <w:t xml:space="preserve">    </w:t>
      </w:r>
      <w:r>
        <w:rPr>
          <w:rFonts w:hint="eastAsia" w:ascii="宋体"/>
          <w:color w:val="000000"/>
          <w:sz w:val="24"/>
          <w:szCs w:val="24"/>
          <w:lang w:val="zh-CN"/>
        </w:rPr>
        <w:t>电话：</w:t>
      </w:r>
    </w:p>
    <w:p w14:paraId="2AE0FF22">
      <w:pPr>
        <w:autoSpaceDE w:val="0"/>
        <w:autoSpaceDN w:val="0"/>
        <w:adjustRightInd w:val="0"/>
        <w:spacing w:line="276" w:lineRule="auto"/>
        <w:ind w:firstLine="4200" w:firstLineChars="1750"/>
        <w:rPr>
          <w:rFonts w:ascii="宋体"/>
          <w:color w:val="000000"/>
          <w:sz w:val="24"/>
          <w:szCs w:val="24"/>
          <w:lang w:val="zh-CN"/>
        </w:rPr>
      </w:pPr>
      <w:r>
        <w:rPr>
          <w:rFonts w:hint="eastAsia" w:ascii="宋体"/>
          <w:color w:val="000000"/>
          <w:sz w:val="24"/>
          <w:szCs w:val="24"/>
          <w:lang w:val="zh-CN"/>
        </w:rPr>
        <w:t>传真：</w:t>
      </w:r>
    </w:p>
    <w:p w14:paraId="07DA2E7D">
      <w:pPr>
        <w:autoSpaceDE w:val="0"/>
        <w:autoSpaceDN w:val="0"/>
        <w:adjustRightInd w:val="0"/>
        <w:spacing w:line="276" w:lineRule="auto"/>
        <w:rPr>
          <w:rFonts w:ascii="宋体"/>
          <w:color w:val="000000"/>
          <w:sz w:val="24"/>
          <w:szCs w:val="24"/>
          <w:lang w:val="zh-CN"/>
        </w:rPr>
      </w:pPr>
      <w:r>
        <w:rPr>
          <w:rFonts w:ascii="宋体"/>
          <w:color w:val="000000"/>
          <w:sz w:val="24"/>
          <w:szCs w:val="24"/>
          <w:lang w:val="zh-CN"/>
        </w:rPr>
        <w:t xml:space="preserve">                              </w:t>
      </w:r>
      <w:r>
        <w:rPr>
          <w:rFonts w:hint="eastAsia" w:ascii="宋体"/>
          <w:color w:val="000000"/>
          <w:sz w:val="24"/>
          <w:szCs w:val="24"/>
          <w:lang w:val="zh-CN"/>
        </w:rPr>
        <w:t xml:space="preserve">  </w:t>
      </w:r>
      <w:r>
        <w:rPr>
          <w:rFonts w:ascii="宋体"/>
          <w:color w:val="000000"/>
          <w:sz w:val="24"/>
          <w:szCs w:val="24"/>
          <w:lang w:val="zh-CN"/>
        </w:rPr>
        <w:t xml:space="preserve">   </w:t>
      </w:r>
      <w:r>
        <w:rPr>
          <w:rFonts w:hint="eastAsia" w:ascii="宋体"/>
          <w:color w:val="000000"/>
          <w:sz w:val="24"/>
          <w:szCs w:val="24"/>
          <w:lang w:val="zh-CN"/>
        </w:rPr>
        <w:t>联系人：</w:t>
      </w:r>
    </w:p>
    <w:p w14:paraId="5526FFD8">
      <w:pPr>
        <w:autoSpaceDE w:val="0"/>
        <w:autoSpaceDN w:val="0"/>
        <w:adjustRightInd w:val="0"/>
        <w:spacing w:line="276" w:lineRule="auto"/>
        <w:rPr>
          <w:rFonts w:ascii="宋体"/>
          <w:color w:val="000000"/>
          <w:sz w:val="24"/>
          <w:szCs w:val="24"/>
          <w:lang w:val="zh-CN"/>
        </w:rPr>
      </w:pPr>
      <w:r>
        <w:rPr>
          <w:rFonts w:ascii="宋体"/>
          <w:color w:val="000000"/>
          <w:sz w:val="24"/>
          <w:szCs w:val="24"/>
          <w:lang w:val="zh-CN"/>
        </w:rPr>
        <w:t xml:space="preserve">                               </w:t>
      </w:r>
      <w:r>
        <w:rPr>
          <w:rFonts w:hint="eastAsia" w:ascii="宋体"/>
          <w:color w:val="000000"/>
          <w:sz w:val="24"/>
          <w:szCs w:val="24"/>
          <w:lang w:val="zh-CN"/>
        </w:rPr>
        <w:t xml:space="preserve">  </w:t>
      </w:r>
      <w:r>
        <w:rPr>
          <w:rFonts w:ascii="宋体"/>
          <w:color w:val="000000"/>
          <w:sz w:val="24"/>
          <w:szCs w:val="24"/>
          <w:lang w:val="zh-CN"/>
        </w:rPr>
        <w:t xml:space="preserve">  </w:t>
      </w:r>
      <w:r>
        <w:rPr>
          <w:rFonts w:hint="eastAsia" w:ascii="宋体"/>
          <w:color w:val="000000"/>
          <w:sz w:val="24"/>
          <w:szCs w:val="24"/>
          <w:lang w:val="zh-CN"/>
        </w:rPr>
        <w:t>开户银行：</w:t>
      </w:r>
    </w:p>
    <w:p w14:paraId="38304488">
      <w:pPr>
        <w:autoSpaceDE w:val="0"/>
        <w:autoSpaceDN w:val="0"/>
        <w:adjustRightInd w:val="0"/>
        <w:spacing w:line="276" w:lineRule="auto"/>
        <w:rPr>
          <w:rFonts w:ascii="宋体"/>
          <w:color w:val="000000"/>
          <w:sz w:val="24"/>
          <w:szCs w:val="24"/>
          <w:lang w:val="zh-CN"/>
        </w:rPr>
      </w:pPr>
      <w:r>
        <w:rPr>
          <w:rFonts w:ascii="宋体"/>
          <w:color w:val="000000"/>
          <w:sz w:val="24"/>
          <w:szCs w:val="24"/>
          <w:lang w:val="zh-CN"/>
        </w:rPr>
        <w:t xml:space="preserve">                               </w:t>
      </w:r>
      <w:r>
        <w:rPr>
          <w:rFonts w:hint="eastAsia" w:ascii="宋体"/>
          <w:color w:val="000000"/>
          <w:sz w:val="24"/>
          <w:szCs w:val="24"/>
          <w:lang w:val="zh-CN"/>
        </w:rPr>
        <w:t xml:space="preserve">  </w:t>
      </w:r>
      <w:r>
        <w:rPr>
          <w:rFonts w:ascii="宋体"/>
          <w:color w:val="000000"/>
          <w:sz w:val="24"/>
          <w:szCs w:val="24"/>
          <w:lang w:val="zh-CN"/>
        </w:rPr>
        <w:t xml:space="preserve">  </w:t>
      </w:r>
      <w:r>
        <w:rPr>
          <w:rFonts w:hint="eastAsia" w:ascii="宋体"/>
          <w:color w:val="000000"/>
          <w:sz w:val="24"/>
          <w:szCs w:val="24"/>
          <w:lang w:val="zh-CN"/>
        </w:rPr>
        <w:t>帐户名称：</w:t>
      </w:r>
    </w:p>
    <w:p w14:paraId="51D52A0A">
      <w:pPr>
        <w:autoSpaceDE w:val="0"/>
        <w:autoSpaceDN w:val="0"/>
        <w:adjustRightInd w:val="0"/>
        <w:spacing w:line="276" w:lineRule="auto"/>
        <w:rPr>
          <w:rFonts w:ascii="宋体"/>
          <w:color w:val="000000"/>
          <w:sz w:val="24"/>
          <w:szCs w:val="24"/>
          <w:lang w:val="zh-CN"/>
        </w:rPr>
      </w:pPr>
      <w:r>
        <w:rPr>
          <w:rFonts w:ascii="宋体"/>
          <w:color w:val="000000"/>
          <w:sz w:val="24"/>
          <w:szCs w:val="24"/>
          <w:lang w:val="zh-CN"/>
        </w:rPr>
        <w:t xml:space="preserve">                               </w:t>
      </w:r>
      <w:r>
        <w:rPr>
          <w:rFonts w:hint="eastAsia" w:ascii="宋体"/>
          <w:color w:val="000000"/>
          <w:sz w:val="24"/>
          <w:szCs w:val="24"/>
          <w:lang w:val="zh-CN"/>
        </w:rPr>
        <w:t xml:space="preserve">  </w:t>
      </w:r>
      <w:r>
        <w:rPr>
          <w:rFonts w:ascii="宋体"/>
          <w:color w:val="000000"/>
          <w:sz w:val="24"/>
          <w:szCs w:val="24"/>
          <w:lang w:val="zh-CN"/>
        </w:rPr>
        <w:t xml:space="preserve">  </w:t>
      </w:r>
      <w:r>
        <w:rPr>
          <w:rFonts w:hint="eastAsia" w:ascii="宋体"/>
          <w:color w:val="000000"/>
          <w:sz w:val="24"/>
          <w:szCs w:val="24"/>
          <w:lang w:val="zh-CN"/>
        </w:rPr>
        <w:t>帐号：</w:t>
      </w:r>
    </w:p>
    <w:p w14:paraId="0D72D1B6">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kern w:val="44"/>
          <w:sz w:val="24"/>
          <w:szCs w:val="24"/>
          <w:highlight w:val="none"/>
          <w:lang w:eastAsia="zh-CN"/>
        </w:rPr>
      </w:pPr>
      <w:r>
        <w:rPr>
          <w:rFonts w:hint="eastAsia" w:ascii="宋体" w:hAnsi="宋体" w:eastAsia="宋体" w:cs="宋体"/>
          <w:b/>
          <w:color w:val="auto"/>
          <w:kern w:val="44"/>
          <w:sz w:val="24"/>
          <w:szCs w:val="24"/>
          <w:highlight w:val="none"/>
          <w:lang w:eastAsia="zh-CN"/>
        </w:rPr>
        <w:t>注：此合同为参考模板，具体以双方实际签订为准。</w:t>
      </w:r>
    </w:p>
    <w:p w14:paraId="2068E84D">
      <w:pPr>
        <w:pStyle w:val="3"/>
        <w:keepNext/>
        <w:keepLines/>
        <w:pageBreakBefore w:val="0"/>
        <w:widowControl/>
        <w:kinsoku/>
        <w:wordWrap/>
        <w:overflowPunct/>
        <w:topLinePunct w:val="0"/>
        <w:autoSpaceDE/>
        <w:autoSpaceDN/>
        <w:bidi w:val="0"/>
        <w:adjustRightInd/>
        <w:snapToGrid/>
        <w:spacing w:before="0" w:after="0" w:line="360" w:lineRule="auto"/>
        <w:jc w:val="center"/>
        <w:textAlignment w:val="auto"/>
        <w:rPr>
          <w:rFonts w:hint="eastAsia" w:ascii="宋体" w:hAnsi="宋体" w:eastAsia="宋体" w:cs="宋体"/>
          <w:color w:val="auto"/>
          <w:sz w:val="36"/>
          <w:szCs w:val="36"/>
          <w:highlight w:val="none"/>
        </w:rPr>
      </w:pPr>
    </w:p>
    <w:p w14:paraId="5327597E">
      <w:pPr>
        <w:pStyle w:val="3"/>
        <w:keepNext/>
        <w:keepLines/>
        <w:pageBreakBefore w:val="0"/>
        <w:widowControl/>
        <w:kinsoku/>
        <w:wordWrap/>
        <w:overflowPunct/>
        <w:topLinePunct w:val="0"/>
        <w:autoSpaceDE/>
        <w:autoSpaceDN/>
        <w:bidi w:val="0"/>
        <w:adjustRightInd/>
        <w:snapToGrid/>
        <w:spacing w:before="0" w:after="0" w:line="360" w:lineRule="auto"/>
        <w:jc w:val="center"/>
        <w:textAlignment w:val="auto"/>
        <w:rPr>
          <w:rFonts w:hint="eastAsia" w:ascii="宋体" w:hAnsi="宋体" w:eastAsia="宋体" w:cs="宋体"/>
          <w:color w:val="auto"/>
          <w:sz w:val="36"/>
          <w:szCs w:val="36"/>
          <w:highlight w:val="none"/>
        </w:rPr>
      </w:pPr>
    </w:p>
    <w:p w14:paraId="783B20C4">
      <w:pPr>
        <w:pStyle w:val="3"/>
        <w:keepNext/>
        <w:keepLines/>
        <w:pageBreakBefore w:val="0"/>
        <w:widowControl/>
        <w:kinsoku/>
        <w:wordWrap/>
        <w:overflowPunct/>
        <w:topLinePunct w:val="0"/>
        <w:autoSpaceDE/>
        <w:autoSpaceDN/>
        <w:bidi w:val="0"/>
        <w:adjustRightInd/>
        <w:snapToGrid/>
        <w:spacing w:before="0" w:after="0" w:line="360" w:lineRule="auto"/>
        <w:jc w:val="center"/>
        <w:textAlignment w:val="auto"/>
        <w:rPr>
          <w:rFonts w:hint="eastAsia" w:ascii="宋体" w:hAnsi="宋体" w:eastAsia="宋体" w:cs="宋体"/>
          <w:color w:val="auto"/>
          <w:sz w:val="36"/>
          <w:szCs w:val="36"/>
          <w:highlight w:val="none"/>
        </w:rPr>
      </w:pPr>
    </w:p>
    <w:p w14:paraId="322B85DA">
      <w:pPr>
        <w:pStyle w:val="3"/>
        <w:keepNext/>
        <w:keepLines/>
        <w:pageBreakBefore w:val="0"/>
        <w:widowControl/>
        <w:kinsoku/>
        <w:wordWrap/>
        <w:overflowPunct/>
        <w:topLinePunct w:val="0"/>
        <w:autoSpaceDE/>
        <w:autoSpaceDN/>
        <w:bidi w:val="0"/>
        <w:adjustRightInd/>
        <w:snapToGrid/>
        <w:spacing w:before="0" w:after="0" w:line="360" w:lineRule="auto"/>
        <w:jc w:val="center"/>
        <w:textAlignment w:val="auto"/>
        <w:rPr>
          <w:rFonts w:hint="eastAsia" w:ascii="宋体" w:hAnsi="宋体" w:eastAsia="宋体" w:cs="宋体"/>
          <w:color w:val="auto"/>
          <w:sz w:val="36"/>
          <w:szCs w:val="36"/>
          <w:highlight w:val="none"/>
        </w:rPr>
      </w:pPr>
    </w:p>
    <w:p w14:paraId="082FFAAA">
      <w:pPr>
        <w:pStyle w:val="3"/>
        <w:keepNext/>
        <w:keepLines/>
        <w:pageBreakBefore w:val="0"/>
        <w:widowControl/>
        <w:kinsoku/>
        <w:wordWrap/>
        <w:overflowPunct/>
        <w:topLinePunct w:val="0"/>
        <w:autoSpaceDE/>
        <w:autoSpaceDN/>
        <w:bidi w:val="0"/>
        <w:adjustRightInd/>
        <w:snapToGrid/>
        <w:spacing w:before="0" w:after="0" w:line="360" w:lineRule="auto"/>
        <w:jc w:val="center"/>
        <w:textAlignment w:val="auto"/>
        <w:rPr>
          <w:rFonts w:hint="eastAsia" w:ascii="宋体" w:hAnsi="宋体" w:eastAsia="宋体" w:cs="宋体"/>
          <w:color w:val="auto"/>
          <w:sz w:val="36"/>
          <w:szCs w:val="36"/>
          <w:highlight w:val="none"/>
        </w:rPr>
      </w:pPr>
    </w:p>
    <w:p w14:paraId="6E190B3A">
      <w:pPr>
        <w:pStyle w:val="3"/>
        <w:keepNext/>
        <w:keepLines/>
        <w:pageBreakBefore w:val="0"/>
        <w:widowControl/>
        <w:kinsoku/>
        <w:wordWrap/>
        <w:overflowPunct/>
        <w:topLinePunct w:val="0"/>
        <w:autoSpaceDE/>
        <w:autoSpaceDN/>
        <w:bidi w:val="0"/>
        <w:adjustRightInd/>
        <w:snapToGrid/>
        <w:spacing w:before="0" w:after="0" w:line="360" w:lineRule="auto"/>
        <w:jc w:val="center"/>
        <w:textAlignment w:val="auto"/>
        <w:rPr>
          <w:rFonts w:hint="eastAsia" w:ascii="宋体" w:hAnsi="宋体" w:eastAsia="宋体" w:cs="宋体"/>
          <w:color w:val="auto"/>
          <w:sz w:val="36"/>
          <w:szCs w:val="36"/>
          <w:highlight w:val="none"/>
        </w:rPr>
      </w:pPr>
      <w:bookmarkStart w:id="43" w:name="_Toc19534"/>
      <w:r>
        <w:rPr>
          <w:rFonts w:hint="eastAsia" w:ascii="宋体" w:hAnsi="宋体" w:eastAsia="宋体" w:cs="宋体"/>
          <w:color w:val="auto"/>
          <w:sz w:val="36"/>
          <w:szCs w:val="36"/>
          <w:highlight w:val="none"/>
        </w:rPr>
        <w:t xml:space="preserve">第六部分  </w:t>
      </w:r>
      <w:bookmarkEnd w:id="13"/>
      <w:r>
        <w:rPr>
          <w:rFonts w:hint="eastAsia" w:ascii="宋体" w:hAnsi="宋体" w:eastAsia="宋体" w:cs="宋体"/>
          <w:color w:val="auto"/>
          <w:sz w:val="36"/>
          <w:szCs w:val="36"/>
          <w:highlight w:val="none"/>
        </w:rPr>
        <w:t>投标文件格式</w:t>
      </w:r>
      <w:bookmarkEnd w:id="43"/>
    </w:p>
    <w:p w14:paraId="04A9BCC3">
      <w:pPr>
        <w:spacing w:line="440" w:lineRule="exact"/>
        <w:rPr>
          <w:rFonts w:hint="eastAsia" w:ascii="宋体" w:hAnsi="宋体" w:eastAsia="宋体" w:cs="宋体"/>
          <w:color w:val="auto"/>
          <w:highlight w:val="none"/>
        </w:rPr>
      </w:pPr>
    </w:p>
    <w:p w14:paraId="6D95F1BC">
      <w:pPr>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642D9BE1">
      <w:pPr>
        <w:pStyle w:val="63"/>
        <w:rPr>
          <w:rFonts w:hint="eastAsia" w:ascii="宋体" w:hAnsi="宋体" w:eastAsia="宋体" w:cs="宋体"/>
          <w:color w:val="auto"/>
          <w:highlight w:val="none"/>
        </w:rPr>
      </w:pPr>
    </w:p>
    <w:p w14:paraId="026A9384">
      <w:pPr>
        <w:spacing w:line="440" w:lineRule="exact"/>
        <w:rPr>
          <w:rFonts w:hint="eastAsia" w:ascii="宋体" w:hAnsi="宋体" w:eastAsia="宋体" w:cs="宋体"/>
          <w:color w:val="auto"/>
          <w:highlight w:val="none"/>
        </w:rPr>
      </w:pPr>
    </w:p>
    <w:p w14:paraId="76A14B5D">
      <w:pPr>
        <w:pStyle w:val="63"/>
        <w:jc w:val="right"/>
        <w:rPr>
          <w:rFonts w:hint="eastAsia" w:ascii="宋体" w:hAnsi="宋体" w:eastAsia="宋体" w:cs="宋体"/>
          <w:b/>
          <w:bCs/>
          <w:color w:val="auto"/>
          <w:sz w:val="36"/>
          <w:szCs w:val="36"/>
          <w:highlight w:val="none"/>
          <w:lang w:val="en-US" w:eastAsia="zh-CN"/>
        </w:rPr>
      </w:pPr>
      <w:r>
        <w:rPr>
          <w:rFonts w:hint="eastAsia" w:ascii="宋体" w:hAnsi="宋体" w:eastAsia="宋体" w:cs="宋体"/>
          <w:b/>
          <w:bCs/>
          <w:color w:val="auto"/>
          <w:sz w:val="36"/>
          <w:szCs w:val="36"/>
          <w:highlight w:val="none"/>
          <w:lang w:eastAsia="zh-CN"/>
        </w:rPr>
        <w:t>正</w:t>
      </w:r>
      <w:r>
        <w:rPr>
          <w:rFonts w:hint="eastAsia" w:ascii="宋体" w:hAnsi="宋体" w:eastAsia="宋体" w:cs="宋体"/>
          <w:b/>
          <w:bCs/>
          <w:color w:val="auto"/>
          <w:sz w:val="36"/>
          <w:szCs w:val="36"/>
          <w:highlight w:val="none"/>
          <w:lang w:val="en-US" w:eastAsia="zh-CN"/>
        </w:rPr>
        <w:t>/副本</w:t>
      </w:r>
    </w:p>
    <w:p w14:paraId="7B0648BE">
      <w:pPr>
        <w:pStyle w:val="63"/>
        <w:rPr>
          <w:rFonts w:hint="eastAsia" w:ascii="宋体" w:hAnsi="宋体" w:eastAsia="宋体" w:cs="宋体"/>
          <w:color w:val="auto"/>
          <w:highlight w:val="none"/>
        </w:rPr>
      </w:pPr>
    </w:p>
    <w:p w14:paraId="3C7AA0CE">
      <w:pPr>
        <w:pStyle w:val="63"/>
        <w:rPr>
          <w:rFonts w:hint="eastAsia" w:ascii="宋体" w:hAnsi="宋体" w:eastAsia="宋体" w:cs="宋体"/>
          <w:color w:val="auto"/>
          <w:highlight w:val="none"/>
        </w:rPr>
      </w:pPr>
    </w:p>
    <w:p w14:paraId="2513BB0E">
      <w:pPr>
        <w:spacing w:line="440" w:lineRule="exact"/>
        <w:rPr>
          <w:rFonts w:hint="eastAsia" w:ascii="宋体" w:hAnsi="宋体" w:eastAsia="宋体" w:cs="宋体"/>
          <w:color w:val="auto"/>
          <w:highlight w:val="none"/>
        </w:rPr>
      </w:pPr>
    </w:p>
    <w:p w14:paraId="7A4C4264">
      <w:pPr>
        <w:jc w:val="center"/>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rPr>
        <w:t>（项目名称）</w:t>
      </w:r>
    </w:p>
    <w:p w14:paraId="0BCB4BA1">
      <w:pPr>
        <w:jc w:val="center"/>
        <w:rPr>
          <w:rFonts w:hint="eastAsia" w:ascii="宋体" w:hAnsi="宋体" w:eastAsia="宋体" w:cs="宋体"/>
          <w:color w:val="auto"/>
          <w:highlight w:val="none"/>
        </w:rPr>
      </w:pPr>
    </w:p>
    <w:p w14:paraId="66E4FF15">
      <w:pPr>
        <w:rPr>
          <w:rFonts w:hint="eastAsia" w:ascii="宋体" w:hAnsi="宋体" w:eastAsia="宋体" w:cs="宋体"/>
          <w:color w:val="auto"/>
          <w:highlight w:val="none"/>
        </w:rPr>
      </w:pPr>
    </w:p>
    <w:p w14:paraId="6CCA2DB5">
      <w:pPr>
        <w:pStyle w:val="63"/>
        <w:rPr>
          <w:rFonts w:hint="eastAsia" w:ascii="宋体" w:hAnsi="宋体" w:eastAsia="宋体" w:cs="宋体"/>
          <w:color w:val="auto"/>
          <w:highlight w:val="none"/>
        </w:rPr>
      </w:pPr>
    </w:p>
    <w:p w14:paraId="2183F7E8">
      <w:pPr>
        <w:jc w:val="center"/>
        <w:rPr>
          <w:rFonts w:hint="eastAsia" w:ascii="宋体" w:hAnsi="宋体" w:eastAsia="宋体" w:cs="宋体"/>
          <w:color w:val="auto"/>
          <w:sz w:val="144"/>
          <w:szCs w:val="144"/>
          <w:highlight w:val="none"/>
        </w:rPr>
      </w:pPr>
      <w:r>
        <w:rPr>
          <w:rFonts w:hint="eastAsia" w:ascii="宋体" w:hAnsi="宋体" w:eastAsia="宋体" w:cs="宋体"/>
          <w:color w:val="auto"/>
          <w:sz w:val="144"/>
          <w:szCs w:val="144"/>
          <w:highlight w:val="none"/>
        </w:rPr>
        <w:t>投标文件</w:t>
      </w:r>
    </w:p>
    <w:p w14:paraId="1AA454FA">
      <w:pPr>
        <w:jc w:val="center"/>
        <w:rPr>
          <w:rFonts w:hint="eastAsia" w:ascii="宋体" w:hAnsi="宋体" w:eastAsia="宋体" w:cs="宋体"/>
          <w:color w:val="auto"/>
          <w:sz w:val="28"/>
          <w:szCs w:val="28"/>
          <w:highlight w:val="none"/>
        </w:rPr>
      </w:pPr>
    </w:p>
    <w:p w14:paraId="468BFDE1">
      <w:pPr>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eastAsia="zh-CN"/>
        </w:rPr>
        <w:t>项目</w:t>
      </w:r>
      <w:r>
        <w:rPr>
          <w:rFonts w:hint="eastAsia" w:ascii="宋体" w:hAnsi="宋体" w:eastAsia="宋体" w:cs="宋体"/>
          <w:color w:val="auto"/>
          <w:sz w:val="28"/>
          <w:szCs w:val="28"/>
          <w:highlight w:val="none"/>
        </w:rPr>
        <w:t>编号：</w:t>
      </w:r>
    </w:p>
    <w:p w14:paraId="0992E497">
      <w:pPr>
        <w:rPr>
          <w:rFonts w:hint="eastAsia" w:ascii="宋体" w:hAnsi="宋体" w:eastAsia="宋体" w:cs="宋体"/>
          <w:color w:val="auto"/>
          <w:sz w:val="28"/>
          <w:szCs w:val="28"/>
          <w:highlight w:val="none"/>
        </w:rPr>
      </w:pPr>
    </w:p>
    <w:p w14:paraId="04D53F4B">
      <w:pPr>
        <w:rPr>
          <w:rFonts w:hint="eastAsia" w:ascii="宋体" w:hAnsi="宋体" w:eastAsia="宋体" w:cs="宋体"/>
          <w:color w:val="auto"/>
          <w:sz w:val="28"/>
          <w:szCs w:val="28"/>
          <w:highlight w:val="none"/>
        </w:rPr>
      </w:pPr>
    </w:p>
    <w:p w14:paraId="26B275CB">
      <w:pPr>
        <w:rPr>
          <w:rFonts w:hint="eastAsia" w:ascii="宋体" w:hAnsi="宋体" w:eastAsia="宋体" w:cs="宋体"/>
          <w:color w:val="auto"/>
          <w:sz w:val="28"/>
          <w:szCs w:val="28"/>
          <w:highlight w:val="none"/>
        </w:rPr>
      </w:pPr>
    </w:p>
    <w:p w14:paraId="69092DE8">
      <w:pPr>
        <w:rPr>
          <w:rFonts w:hint="eastAsia" w:ascii="宋体" w:hAnsi="宋体" w:eastAsia="宋体" w:cs="宋体"/>
          <w:color w:val="auto"/>
          <w:sz w:val="28"/>
          <w:szCs w:val="28"/>
          <w:highlight w:val="none"/>
        </w:rPr>
      </w:pPr>
    </w:p>
    <w:p w14:paraId="4AFDE857">
      <w:pPr>
        <w:rPr>
          <w:rFonts w:hint="eastAsia" w:ascii="宋体" w:hAnsi="宋体" w:eastAsia="宋体" w:cs="宋体"/>
          <w:color w:val="auto"/>
          <w:sz w:val="28"/>
          <w:szCs w:val="28"/>
          <w:highlight w:val="none"/>
        </w:rPr>
      </w:pPr>
    </w:p>
    <w:p w14:paraId="2F6A175F">
      <w:pPr>
        <w:rPr>
          <w:rFonts w:hint="eastAsia" w:ascii="宋体" w:hAnsi="宋体" w:eastAsia="宋体" w:cs="宋体"/>
          <w:color w:val="auto"/>
          <w:sz w:val="28"/>
          <w:szCs w:val="28"/>
          <w:highlight w:val="none"/>
        </w:rPr>
      </w:pPr>
    </w:p>
    <w:p w14:paraId="287E31F8">
      <w:pPr>
        <w:rPr>
          <w:rFonts w:hint="eastAsia" w:ascii="宋体" w:hAnsi="宋体" w:eastAsia="宋体" w:cs="宋体"/>
          <w:color w:val="auto"/>
          <w:sz w:val="28"/>
          <w:szCs w:val="28"/>
          <w:highlight w:val="none"/>
        </w:rPr>
      </w:pPr>
    </w:p>
    <w:p w14:paraId="42E374B4">
      <w:pPr>
        <w:rPr>
          <w:rFonts w:hint="eastAsia" w:ascii="宋体" w:hAnsi="宋体" w:eastAsia="宋体" w:cs="宋体"/>
          <w:color w:val="auto"/>
          <w:sz w:val="28"/>
          <w:szCs w:val="28"/>
          <w:highlight w:val="none"/>
        </w:rPr>
      </w:pPr>
    </w:p>
    <w:p w14:paraId="4EC7823E">
      <w:pPr>
        <w:rPr>
          <w:rFonts w:hint="eastAsia" w:ascii="宋体" w:hAnsi="宋体" w:eastAsia="宋体" w:cs="宋体"/>
          <w:color w:val="auto"/>
          <w:sz w:val="28"/>
          <w:szCs w:val="28"/>
          <w:highlight w:val="none"/>
        </w:rPr>
      </w:pPr>
    </w:p>
    <w:p w14:paraId="321EF1AD">
      <w:pPr>
        <w:rPr>
          <w:rFonts w:hint="eastAsia" w:ascii="宋体" w:hAnsi="宋体" w:eastAsia="宋体" w:cs="宋体"/>
          <w:color w:val="auto"/>
          <w:sz w:val="28"/>
          <w:szCs w:val="28"/>
          <w:highlight w:val="none"/>
        </w:rPr>
      </w:pPr>
    </w:p>
    <w:p w14:paraId="5DBE7E4B">
      <w:pPr>
        <w:spacing w:line="360" w:lineRule="auto"/>
        <w:rPr>
          <w:rFonts w:hint="eastAsia" w:ascii="宋体" w:hAnsi="宋体" w:eastAsia="宋体" w:cs="宋体"/>
          <w:color w:val="auto"/>
          <w:sz w:val="28"/>
          <w:szCs w:val="28"/>
          <w:highlight w:val="none"/>
        </w:rPr>
      </w:pPr>
    </w:p>
    <w:p w14:paraId="2DA911AD">
      <w:pPr>
        <w:keepNext w:val="0"/>
        <w:keepLines w:val="0"/>
        <w:pageBreakBefore w:val="0"/>
        <w:widowControl/>
        <w:kinsoku/>
        <w:wordWrap/>
        <w:overflowPunct/>
        <w:topLinePunct w:val="0"/>
        <w:autoSpaceDE/>
        <w:autoSpaceDN/>
        <w:bidi w:val="0"/>
        <w:adjustRightInd/>
        <w:snapToGrid/>
        <w:spacing w:line="480" w:lineRule="auto"/>
        <w:ind w:firstLine="1120" w:firstLineChars="400"/>
        <w:jc w:val="both"/>
        <w:textAlignment w:val="auto"/>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供应商名称：</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（盖单位章）</w:t>
      </w:r>
    </w:p>
    <w:p w14:paraId="6D70BDC4">
      <w:pPr>
        <w:keepNext w:val="0"/>
        <w:keepLines w:val="0"/>
        <w:pageBreakBefore w:val="0"/>
        <w:widowControl/>
        <w:kinsoku/>
        <w:wordWrap/>
        <w:overflowPunct/>
        <w:topLinePunct w:val="0"/>
        <w:autoSpaceDE/>
        <w:autoSpaceDN/>
        <w:bidi w:val="0"/>
        <w:adjustRightInd/>
        <w:snapToGrid/>
        <w:spacing w:line="480" w:lineRule="auto"/>
        <w:ind w:firstLine="1120" w:firstLineChars="400"/>
        <w:jc w:val="both"/>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法定代表人或其委托代理人：</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（签字）</w:t>
      </w:r>
    </w:p>
    <w:p w14:paraId="12FB3D56">
      <w:pPr>
        <w:keepNext w:val="0"/>
        <w:keepLines w:val="0"/>
        <w:pageBreakBefore w:val="0"/>
        <w:widowControl/>
        <w:kinsoku/>
        <w:wordWrap/>
        <w:overflowPunct/>
        <w:topLinePunct w:val="0"/>
        <w:autoSpaceDE/>
        <w:autoSpaceDN/>
        <w:bidi w:val="0"/>
        <w:adjustRightInd/>
        <w:snapToGrid/>
        <w:spacing w:line="480" w:lineRule="auto"/>
        <w:ind w:firstLine="1120" w:firstLineChars="400"/>
        <w:jc w:val="both"/>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u w:val="none"/>
          <w:lang w:eastAsia="zh-CN"/>
        </w:rPr>
        <w:t>日期：</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年</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月</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日</w:t>
      </w:r>
    </w:p>
    <w:p w14:paraId="180AF842">
      <w:pPr>
        <w:spacing w:line="360" w:lineRule="auto"/>
        <w:rPr>
          <w:rFonts w:hint="eastAsia" w:ascii="宋体" w:hAnsi="宋体" w:eastAsia="宋体" w:cs="宋体"/>
          <w:color w:val="auto"/>
          <w:sz w:val="32"/>
          <w:highlight w:val="none"/>
        </w:rPr>
      </w:pPr>
      <w:r>
        <w:rPr>
          <w:rFonts w:hint="eastAsia" w:ascii="宋体" w:hAnsi="宋体" w:eastAsia="宋体" w:cs="宋体"/>
          <w:color w:val="auto"/>
          <w:sz w:val="32"/>
          <w:highlight w:val="none"/>
        </w:rPr>
        <w:br w:type="page"/>
      </w:r>
    </w:p>
    <w:bookmarkEnd w:id="14"/>
    <w:p w14:paraId="23236314">
      <w:pPr>
        <w:spacing w:line="360" w:lineRule="auto"/>
        <w:jc w:val="center"/>
        <w:rPr>
          <w:rFonts w:hint="eastAsia" w:ascii="宋体" w:hAnsi="宋体" w:eastAsia="宋体" w:cs="宋体"/>
          <w:b/>
          <w:color w:val="auto"/>
          <w:sz w:val="36"/>
          <w:szCs w:val="36"/>
          <w:highlight w:val="none"/>
        </w:rPr>
      </w:pPr>
    </w:p>
    <w:p w14:paraId="20006F44">
      <w:pPr>
        <w:spacing w:line="360" w:lineRule="auto"/>
        <w:jc w:val="center"/>
        <w:rPr>
          <w:rFonts w:hint="eastAsia" w:ascii="宋体" w:hAnsi="宋体" w:eastAsia="宋体" w:cs="宋体"/>
          <w:color w:val="auto"/>
          <w:sz w:val="36"/>
          <w:szCs w:val="36"/>
          <w:highlight w:val="none"/>
        </w:rPr>
      </w:pPr>
      <w:r>
        <w:rPr>
          <w:rFonts w:hint="eastAsia" w:ascii="宋体" w:hAnsi="宋体" w:eastAsia="宋体" w:cs="宋体"/>
          <w:b/>
          <w:color w:val="auto"/>
          <w:sz w:val="36"/>
          <w:szCs w:val="36"/>
          <w:highlight w:val="none"/>
        </w:rPr>
        <w:t>目  录</w:t>
      </w:r>
    </w:p>
    <w:p w14:paraId="16054F7B">
      <w:pPr>
        <w:spacing w:line="360" w:lineRule="auto"/>
        <w:ind w:firstLine="480" w:firstLineChars="200"/>
        <w:jc w:val="both"/>
        <w:rPr>
          <w:rFonts w:hint="eastAsia" w:ascii="宋体" w:hAnsi="宋体" w:eastAsia="宋体" w:cs="宋体"/>
          <w:color w:val="auto"/>
          <w:sz w:val="24"/>
          <w:highlight w:val="none"/>
        </w:rPr>
      </w:pPr>
    </w:p>
    <w:p w14:paraId="6B70AC8D">
      <w:pPr>
        <w:pStyle w:val="94"/>
        <w:keepNext w:val="0"/>
        <w:keepLines w:val="0"/>
        <w:pageBreakBefore w:val="0"/>
        <w:widowControl w:val="0"/>
        <w:numPr>
          <w:ilvl w:val="0"/>
          <w:numId w:val="5"/>
        </w:numPr>
        <w:tabs>
          <w:tab w:val="left" w:pos="567"/>
        </w:tabs>
        <w:kinsoku/>
        <w:wordWrap/>
        <w:overflowPunct/>
        <w:topLinePunct w:val="0"/>
        <w:autoSpaceDE/>
        <w:autoSpaceDN/>
        <w:bidi w:val="0"/>
        <w:adjustRightInd/>
        <w:snapToGrid/>
        <w:spacing w:line="288" w:lineRule="auto"/>
        <w:ind w:left="0"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开标一览表</w:t>
      </w:r>
    </w:p>
    <w:p w14:paraId="47A28B90">
      <w:pPr>
        <w:pStyle w:val="94"/>
        <w:keepNext w:val="0"/>
        <w:keepLines w:val="0"/>
        <w:pageBreakBefore w:val="0"/>
        <w:widowControl w:val="0"/>
        <w:numPr>
          <w:ilvl w:val="0"/>
          <w:numId w:val="5"/>
        </w:numPr>
        <w:tabs>
          <w:tab w:val="left" w:pos="567"/>
        </w:tabs>
        <w:kinsoku/>
        <w:wordWrap/>
        <w:overflowPunct/>
        <w:topLinePunct w:val="0"/>
        <w:autoSpaceDE/>
        <w:autoSpaceDN/>
        <w:bidi w:val="0"/>
        <w:adjustRightInd/>
        <w:snapToGrid/>
        <w:spacing w:line="288" w:lineRule="auto"/>
        <w:ind w:left="0" w:firstLine="476" w:firstLineChars="170"/>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投标明细报价表</w:t>
      </w:r>
    </w:p>
    <w:p w14:paraId="0FF371F6">
      <w:pPr>
        <w:pStyle w:val="135"/>
        <w:keepNext w:val="0"/>
        <w:keepLines w:val="0"/>
        <w:pageBreakBefore w:val="0"/>
        <w:widowControl w:val="0"/>
        <w:numPr>
          <w:ilvl w:val="0"/>
          <w:numId w:val="5"/>
        </w:numPr>
        <w:tabs>
          <w:tab w:val="left" w:pos="567"/>
        </w:tabs>
        <w:kinsoku/>
        <w:wordWrap/>
        <w:overflowPunct/>
        <w:topLinePunct w:val="0"/>
        <w:autoSpaceDE/>
        <w:autoSpaceDN/>
        <w:bidi w:val="0"/>
        <w:adjustRightInd/>
        <w:snapToGrid/>
        <w:spacing w:line="288" w:lineRule="auto"/>
        <w:ind w:lef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投标函</w:t>
      </w:r>
    </w:p>
    <w:p w14:paraId="6A766DDF">
      <w:pPr>
        <w:pStyle w:val="135"/>
        <w:keepNext w:val="0"/>
        <w:keepLines w:val="0"/>
        <w:pageBreakBefore w:val="0"/>
        <w:widowControl w:val="0"/>
        <w:numPr>
          <w:ilvl w:val="0"/>
          <w:numId w:val="5"/>
        </w:numPr>
        <w:tabs>
          <w:tab w:val="left" w:pos="567"/>
        </w:tabs>
        <w:kinsoku/>
        <w:wordWrap/>
        <w:overflowPunct/>
        <w:topLinePunct w:val="0"/>
        <w:autoSpaceDE/>
        <w:autoSpaceDN/>
        <w:bidi w:val="0"/>
        <w:adjustRightInd/>
        <w:snapToGrid/>
        <w:spacing w:line="288" w:lineRule="auto"/>
        <w:ind w:lef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法定代表人身份证明书</w:t>
      </w:r>
    </w:p>
    <w:p w14:paraId="748BAFFE">
      <w:pPr>
        <w:pStyle w:val="135"/>
        <w:keepNext w:val="0"/>
        <w:keepLines w:val="0"/>
        <w:pageBreakBefore w:val="0"/>
        <w:widowControl w:val="0"/>
        <w:numPr>
          <w:ilvl w:val="0"/>
          <w:numId w:val="5"/>
        </w:numPr>
        <w:tabs>
          <w:tab w:val="left" w:pos="567"/>
        </w:tabs>
        <w:kinsoku/>
        <w:wordWrap/>
        <w:overflowPunct/>
        <w:topLinePunct w:val="0"/>
        <w:autoSpaceDE/>
        <w:autoSpaceDN/>
        <w:bidi w:val="0"/>
        <w:adjustRightInd/>
        <w:snapToGrid/>
        <w:spacing w:line="288" w:lineRule="auto"/>
        <w:ind w:lef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法定代表人授权委托书</w:t>
      </w:r>
    </w:p>
    <w:p w14:paraId="554C8697">
      <w:pPr>
        <w:pStyle w:val="135"/>
        <w:keepNext w:val="0"/>
        <w:keepLines w:val="0"/>
        <w:pageBreakBefore w:val="0"/>
        <w:widowControl w:val="0"/>
        <w:numPr>
          <w:ilvl w:val="0"/>
          <w:numId w:val="5"/>
        </w:numPr>
        <w:tabs>
          <w:tab w:val="left" w:pos="567"/>
        </w:tabs>
        <w:kinsoku/>
        <w:wordWrap/>
        <w:overflowPunct/>
        <w:topLinePunct w:val="0"/>
        <w:autoSpaceDE/>
        <w:autoSpaceDN/>
        <w:bidi w:val="0"/>
        <w:adjustRightInd/>
        <w:snapToGrid/>
        <w:spacing w:line="288" w:lineRule="auto"/>
        <w:ind w:lef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供应商基本情况说明</w:t>
      </w:r>
    </w:p>
    <w:p w14:paraId="1AD98777">
      <w:pPr>
        <w:pStyle w:val="135"/>
        <w:keepNext w:val="0"/>
        <w:keepLines w:val="0"/>
        <w:pageBreakBefore w:val="0"/>
        <w:widowControl w:val="0"/>
        <w:numPr>
          <w:ilvl w:val="0"/>
          <w:numId w:val="5"/>
        </w:numPr>
        <w:tabs>
          <w:tab w:val="left" w:pos="567"/>
        </w:tabs>
        <w:kinsoku/>
        <w:wordWrap/>
        <w:overflowPunct/>
        <w:topLinePunct w:val="0"/>
        <w:autoSpaceDE/>
        <w:autoSpaceDN/>
        <w:bidi w:val="0"/>
        <w:adjustRightInd/>
        <w:snapToGrid/>
        <w:spacing w:line="288" w:lineRule="auto"/>
        <w:ind w:lef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承诺书</w:t>
      </w:r>
    </w:p>
    <w:p w14:paraId="29BDD2A0">
      <w:pPr>
        <w:pStyle w:val="135"/>
        <w:keepNext w:val="0"/>
        <w:keepLines w:val="0"/>
        <w:pageBreakBefore w:val="0"/>
        <w:widowControl w:val="0"/>
        <w:numPr>
          <w:ilvl w:val="0"/>
          <w:numId w:val="5"/>
        </w:numPr>
        <w:tabs>
          <w:tab w:val="left" w:pos="567"/>
        </w:tabs>
        <w:kinsoku/>
        <w:wordWrap/>
        <w:overflowPunct/>
        <w:topLinePunct w:val="0"/>
        <w:autoSpaceDE/>
        <w:autoSpaceDN/>
        <w:bidi w:val="0"/>
        <w:adjustRightInd/>
        <w:snapToGrid/>
        <w:spacing w:line="288" w:lineRule="auto"/>
        <w:ind w:lef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商务偏离表</w:t>
      </w:r>
    </w:p>
    <w:p w14:paraId="6145AFCF">
      <w:pPr>
        <w:pStyle w:val="135"/>
        <w:keepNext w:val="0"/>
        <w:keepLines w:val="0"/>
        <w:pageBreakBefore w:val="0"/>
        <w:widowControl w:val="0"/>
        <w:numPr>
          <w:ilvl w:val="0"/>
          <w:numId w:val="5"/>
        </w:numPr>
        <w:tabs>
          <w:tab w:val="left" w:pos="567"/>
        </w:tabs>
        <w:kinsoku/>
        <w:wordWrap/>
        <w:overflowPunct/>
        <w:topLinePunct w:val="0"/>
        <w:autoSpaceDE/>
        <w:autoSpaceDN/>
        <w:bidi w:val="0"/>
        <w:adjustRightInd/>
        <w:snapToGrid/>
        <w:spacing w:line="288" w:lineRule="auto"/>
        <w:ind w:lef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企业业绩表</w:t>
      </w:r>
    </w:p>
    <w:p w14:paraId="7761DCE1">
      <w:pPr>
        <w:pStyle w:val="135"/>
        <w:keepNext w:val="0"/>
        <w:keepLines w:val="0"/>
        <w:pageBreakBefore w:val="0"/>
        <w:widowControl w:val="0"/>
        <w:numPr>
          <w:ilvl w:val="0"/>
          <w:numId w:val="5"/>
        </w:numPr>
        <w:tabs>
          <w:tab w:val="left" w:pos="567"/>
        </w:tabs>
        <w:kinsoku/>
        <w:wordWrap/>
        <w:overflowPunct/>
        <w:topLinePunct w:val="0"/>
        <w:autoSpaceDE/>
        <w:autoSpaceDN/>
        <w:bidi w:val="0"/>
        <w:adjustRightInd/>
        <w:snapToGrid/>
        <w:spacing w:line="288" w:lineRule="auto"/>
        <w:ind w:lef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资格声明</w:t>
      </w:r>
    </w:p>
    <w:p w14:paraId="017C7856">
      <w:pPr>
        <w:pStyle w:val="94"/>
        <w:keepNext w:val="0"/>
        <w:keepLines w:val="0"/>
        <w:pageBreakBefore w:val="0"/>
        <w:widowControl w:val="0"/>
        <w:numPr>
          <w:ilvl w:val="0"/>
          <w:numId w:val="5"/>
        </w:numPr>
        <w:tabs>
          <w:tab w:val="left" w:pos="567"/>
        </w:tabs>
        <w:kinsoku/>
        <w:wordWrap/>
        <w:overflowPunct/>
        <w:topLinePunct w:val="0"/>
        <w:autoSpaceDE/>
        <w:autoSpaceDN/>
        <w:bidi w:val="0"/>
        <w:adjustRightInd/>
        <w:snapToGrid/>
        <w:spacing w:line="288" w:lineRule="auto"/>
        <w:ind w:left="0"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技术参数偏离表</w:t>
      </w:r>
    </w:p>
    <w:p w14:paraId="7D307E07">
      <w:pPr>
        <w:pStyle w:val="94"/>
        <w:keepNext w:val="0"/>
        <w:keepLines w:val="0"/>
        <w:pageBreakBefore w:val="0"/>
        <w:widowControl w:val="0"/>
        <w:numPr>
          <w:ilvl w:val="0"/>
          <w:numId w:val="5"/>
        </w:numPr>
        <w:tabs>
          <w:tab w:val="left" w:pos="567"/>
        </w:tabs>
        <w:kinsoku/>
        <w:wordWrap/>
        <w:overflowPunct/>
        <w:topLinePunct w:val="0"/>
        <w:autoSpaceDE/>
        <w:autoSpaceDN/>
        <w:bidi w:val="0"/>
        <w:adjustRightInd/>
        <w:snapToGrid/>
        <w:spacing w:line="288" w:lineRule="auto"/>
        <w:ind w:left="0"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技术参数承诺书</w:t>
      </w:r>
    </w:p>
    <w:p w14:paraId="7DC6A1FB">
      <w:pPr>
        <w:pStyle w:val="94"/>
        <w:keepNext w:val="0"/>
        <w:keepLines w:val="0"/>
        <w:pageBreakBefore w:val="0"/>
        <w:widowControl w:val="0"/>
        <w:numPr>
          <w:ilvl w:val="0"/>
          <w:numId w:val="5"/>
        </w:numPr>
        <w:tabs>
          <w:tab w:val="left" w:pos="567"/>
        </w:tabs>
        <w:kinsoku/>
        <w:wordWrap/>
        <w:overflowPunct/>
        <w:topLinePunct w:val="0"/>
        <w:autoSpaceDE/>
        <w:autoSpaceDN/>
        <w:bidi w:val="0"/>
        <w:adjustRightInd/>
        <w:snapToGrid/>
        <w:spacing w:line="288" w:lineRule="auto"/>
        <w:ind w:left="0" w:firstLine="528"/>
        <w:textAlignment w:val="auto"/>
        <w:rPr>
          <w:rFonts w:hint="eastAsia" w:ascii="宋体" w:hAnsi="宋体" w:eastAsia="宋体" w:cs="宋体"/>
          <w:color w:val="auto"/>
          <w:sz w:val="24"/>
          <w:szCs w:val="24"/>
          <w:highlight w:val="none"/>
        </w:rPr>
      </w:pPr>
      <w:r>
        <w:rPr>
          <w:rStyle w:val="47"/>
          <w:rFonts w:hint="eastAsia" w:ascii="宋体" w:hAnsi="宋体" w:eastAsia="宋体" w:cs="宋体"/>
          <w:b w:val="0"/>
          <w:color w:val="auto"/>
          <w:spacing w:val="12"/>
          <w:sz w:val="24"/>
          <w:szCs w:val="24"/>
          <w:highlight w:val="none"/>
        </w:rPr>
        <w:t>投标货物详细说明</w:t>
      </w:r>
    </w:p>
    <w:p w14:paraId="45189DE5">
      <w:pPr>
        <w:pStyle w:val="94"/>
        <w:keepNext w:val="0"/>
        <w:keepLines w:val="0"/>
        <w:pageBreakBefore w:val="0"/>
        <w:widowControl w:val="0"/>
        <w:numPr>
          <w:ilvl w:val="0"/>
          <w:numId w:val="5"/>
        </w:numPr>
        <w:tabs>
          <w:tab w:val="left" w:pos="567"/>
        </w:tabs>
        <w:kinsoku/>
        <w:wordWrap/>
        <w:overflowPunct/>
        <w:topLinePunct w:val="0"/>
        <w:autoSpaceDE/>
        <w:autoSpaceDN/>
        <w:bidi w:val="0"/>
        <w:adjustRightInd/>
        <w:snapToGrid/>
        <w:spacing w:line="288" w:lineRule="auto"/>
        <w:ind w:left="0"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具备履行合同所必需设备和专业技术能力承诺书</w:t>
      </w:r>
    </w:p>
    <w:p w14:paraId="388975BD">
      <w:pPr>
        <w:pStyle w:val="94"/>
        <w:keepNext w:val="0"/>
        <w:keepLines w:val="0"/>
        <w:pageBreakBefore w:val="0"/>
        <w:widowControl w:val="0"/>
        <w:numPr>
          <w:ilvl w:val="0"/>
          <w:numId w:val="5"/>
        </w:numPr>
        <w:tabs>
          <w:tab w:val="left" w:pos="567"/>
        </w:tabs>
        <w:kinsoku/>
        <w:wordWrap/>
        <w:overflowPunct/>
        <w:topLinePunct w:val="0"/>
        <w:autoSpaceDE/>
        <w:autoSpaceDN/>
        <w:bidi w:val="0"/>
        <w:adjustRightInd/>
        <w:snapToGrid/>
        <w:spacing w:line="288" w:lineRule="auto"/>
        <w:ind w:left="0" w:firstLine="480"/>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项目实施方案</w:t>
      </w:r>
      <w:r>
        <w:rPr>
          <w:rFonts w:hint="eastAsia" w:ascii="宋体" w:hAnsi="宋体" w:eastAsia="宋体" w:cs="宋体"/>
          <w:color w:val="auto"/>
          <w:sz w:val="24"/>
          <w:szCs w:val="24"/>
          <w:highlight w:val="none"/>
        </w:rPr>
        <w:t>（供应商自行编写）</w:t>
      </w:r>
    </w:p>
    <w:p w14:paraId="4AB9DD5D">
      <w:pPr>
        <w:pStyle w:val="94"/>
        <w:keepNext w:val="0"/>
        <w:keepLines w:val="0"/>
        <w:pageBreakBefore w:val="0"/>
        <w:widowControl w:val="0"/>
        <w:numPr>
          <w:ilvl w:val="0"/>
          <w:numId w:val="5"/>
        </w:numPr>
        <w:tabs>
          <w:tab w:val="left" w:pos="567"/>
        </w:tabs>
        <w:kinsoku/>
        <w:wordWrap/>
        <w:overflowPunct/>
        <w:topLinePunct w:val="0"/>
        <w:autoSpaceDE/>
        <w:autoSpaceDN/>
        <w:bidi w:val="0"/>
        <w:adjustRightInd/>
        <w:snapToGrid/>
        <w:spacing w:line="288" w:lineRule="auto"/>
        <w:ind w:left="0"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投标保证金汇入情况说明</w:t>
      </w:r>
    </w:p>
    <w:p w14:paraId="4CF705E5">
      <w:pPr>
        <w:pStyle w:val="94"/>
        <w:keepNext w:val="0"/>
        <w:keepLines w:val="0"/>
        <w:pageBreakBefore w:val="0"/>
        <w:widowControl w:val="0"/>
        <w:numPr>
          <w:ilvl w:val="0"/>
          <w:numId w:val="5"/>
        </w:numPr>
        <w:tabs>
          <w:tab w:val="left" w:pos="567"/>
        </w:tabs>
        <w:kinsoku/>
        <w:wordWrap/>
        <w:overflowPunct/>
        <w:topLinePunct w:val="0"/>
        <w:autoSpaceDE/>
        <w:autoSpaceDN/>
        <w:bidi w:val="0"/>
        <w:adjustRightInd/>
        <w:snapToGrid/>
        <w:spacing w:line="288" w:lineRule="auto"/>
        <w:ind w:left="0"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供应商认为有必要提供的其他材料</w:t>
      </w:r>
    </w:p>
    <w:p w14:paraId="7033CC03">
      <w:pPr>
        <w:spacing w:line="360" w:lineRule="auto"/>
        <w:rPr>
          <w:rFonts w:hint="eastAsia" w:ascii="宋体" w:hAnsi="宋体" w:eastAsia="宋体" w:cs="宋体"/>
          <w:color w:val="auto"/>
          <w:szCs w:val="21"/>
          <w:highlight w:val="none"/>
        </w:rPr>
      </w:pPr>
    </w:p>
    <w:p w14:paraId="187243EE">
      <w:pPr>
        <w:rPr>
          <w:rFonts w:hint="eastAsia" w:ascii="宋体" w:hAnsi="宋体" w:eastAsia="宋体" w:cs="宋体"/>
          <w:b/>
          <w:color w:val="auto"/>
          <w:sz w:val="28"/>
          <w:szCs w:val="28"/>
          <w:highlight w:val="none"/>
          <w:lang w:val="zh-CN"/>
        </w:rPr>
      </w:pPr>
      <w:r>
        <w:rPr>
          <w:rFonts w:hint="eastAsia" w:ascii="宋体" w:hAnsi="宋体" w:eastAsia="宋体" w:cs="宋体"/>
          <w:b/>
          <w:color w:val="auto"/>
          <w:sz w:val="28"/>
          <w:szCs w:val="28"/>
          <w:highlight w:val="none"/>
          <w:lang w:val="zh-CN"/>
        </w:rPr>
        <w:br w:type="page"/>
      </w:r>
    </w:p>
    <w:p w14:paraId="287AD88C">
      <w:pPr>
        <w:spacing w:line="360" w:lineRule="auto"/>
        <w:jc w:val="center"/>
        <w:rPr>
          <w:rFonts w:hint="eastAsia" w:ascii="宋体" w:hAnsi="宋体" w:eastAsia="宋体" w:cs="宋体"/>
          <w:b/>
          <w:color w:val="auto"/>
          <w:sz w:val="36"/>
          <w:szCs w:val="36"/>
          <w:highlight w:val="none"/>
          <w:lang w:val="zh-CN"/>
        </w:rPr>
      </w:pPr>
    </w:p>
    <w:p w14:paraId="450CE29F">
      <w:pPr>
        <w:spacing w:line="360" w:lineRule="auto"/>
        <w:jc w:val="center"/>
        <w:rPr>
          <w:rFonts w:hint="eastAsia" w:ascii="宋体" w:hAnsi="宋体" w:eastAsia="宋体" w:cs="宋体"/>
          <w:b/>
          <w:color w:val="auto"/>
          <w:sz w:val="36"/>
          <w:szCs w:val="36"/>
          <w:highlight w:val="none"/>
          <w:lang w:val="zh-CN"/>
        </w:rPr>
      </w:pPr>
      <w:r>
        <w:rPr>
          <w:rFonts w:hint="eastAsia" w:ascii="宋体" w:hAnsi="宋体" w:eastAsia="宋体" w:cs="宋体"/>
          <w:b/>
          <w:color w:val="auto"/>
          <w:sz w:val="36"/>
          <w:szCs w:val="36"/>
          <w:highlight w:val="none"/>
          <w:lang w:val="zh-CN"/>
        </w:rPr>
        <w:t>一、</w:t>
      </w:r>
      <w:r>
        <w:rPr>
          <w:rFonts w:hint="eastAsia" w:ascii="宋体" w:hAnsi="宋体" w:eastAsia="宋体" w:cs="宋体"/>
          <w:b/>
          <w:color w:val="auto"/>
          <w:sz w:val="36"/>
          <w:szCs w:val="36"/>
          <w:highlight w:val="none"/>
        </w:rPr>
        <w:t>开 标 一 览 表</w:t>
      </w:r>
    </w:p>
    <w:p w14:paraId="6AAB1A00">
      <w:pPr>
        <w:rPr>
          <w:rFonts w:hint="eastAsia" w:ascii="宋体" w:hAnsi="宋体" w:eastAsia="宋体" w:cs="宋体"/>
          <w:color w:val="auto"/>
          <w:szCs w:val="21"/>
          <w:highlight w:val="none"/>
        </w:rPr>
      </w:pPr>
    </w:p>
    <w:p w14:paraId="139C9CC5">
      <w:pPr>
        <w:ind w:left="152" w:leftChars="-109" w:hanging="370" w:hangingChars="185"/>
        <w:rPr>
          <w:rFonts w:hint="eastAsia" w:ascii="宋体" w:hAnsi="宋体" w:eastAsia="宋体" w:cs="宋体"/>
          <w:color w:val="auto"/>
          <w:szCs w:val="21"/>
          <w:highlight w:val="none"/>
        </w:rPr>
      </w:pPr>
    </w:p>
    <w:p w14:paraId="689D2F7D">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 xml:space="preserve">项目名称：      </w:t>
      </w:r>
    </w:p>
    <w:p w14:paraId="331BD084">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项目编号：                                                开标时间：</w:t>
      </w:r>
    </w:p>
    <w:tbl>
      <w:tblPr>
        <w:tblStyle w:val="44"/>
        <w:tblW w:w="9180" w:type="dxa"/>
        <w:tblInd w:w="80" w:type="dxa"/>
        <w:tblLayout w:type="fixed"/>
        <w:tblCellMar>
          <w:top w:w="0" w:type="dxa"/>
          <w:left w:w="108" w:type="dxa"/>
          <w:bottom w:w="0" w:type="dxa"/>
          <w:right w:w="108" w:type="dxa"/>
        </w:tblCellMar>
      </w:tblPr>
      <w:tblGrid>
        <w:gridCol w:w="1731"/>
        <w:gridCol w:w="1488"/>
        <w:gridCol w:w="1416"/>
        <w:gridCol w:w="1506"/>
        <w:gridCol w:w="1254"/>
        <w:gridCol w:w="1785"/>
      </w:tblGrid>
      <w:tr w14:paraId="3B3C2DEC">
        <w:tblPrEx>
          <w:tblCellMar>
            <w:top w:w="0" w:type="dxa"/>
            <w:left w:w="108" w:type="dxa"/>
            <w:bottom w:w="0" w:type="dxa"/>
            <w:right w:w="108" w:type="dxa"/>
          </w:tblCellMar>
        </w:tblPrEx>
        <w:trPr>
          <w:trHeight w:val="724" w:hRule="atLeast"/>
        </w:trPr>
        <w:tc>
          <w:tcPr>
            <w:tcW w:w="1731" w:type="dxa"/>
            <w:tcBorders>
              <w:top w:val="single" w:color="auto" w:sz="4" w:space="0"/>
              <w:left w:val="single" w:color="auto" w:sz="4" w:space="0"/>
              <w:bottom w:val="single" w:color="auto" w:sz="4" w:space="0"/>
              <w:right w:val="single" w:color="auto" w:sz="4" w:space="0"/>
            </w:tcBorders>
            <w:shd w:val="clear" w:color="auto" w:fill="auto"/>
            <w:vAlign w:val="center"/>
          </w:tcPr>
          <w:p w14:paraId="2823A99C">
            <w:pPr>
              <w:keepNext w:val="0"/>
              <w:keepLines w:val="0"/>
              <w:pageBreakBefore w:val="0"/>
              <w:widowControl/>
              <w:kinsoku/>
              <w:wordWrap/>
              <w:overflowPunct/>
              <w:topLinePunct w:val="0"/>
              <w:autoSpaceDE/>
              <w:autoSpaceDN/>
              <w:bidi w:val="0"/>
              <w:adjustRightInd/>
              <w:snapToGrid/>
              <w:spacing w:line="288"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供应商名称</w:t>
            </w:r>
          </w:p>
        </w:tc>
        <w:tc>
          <w:tcPr>
            <w:tcW w:w="1488" w:type="dxa"/>
            <w:tcBorders>
              <w:top w:val="single" w:color="auto" w:sz="4" w:space="0"/>
              <w:left w:val="single" w:color="auto" w:sz="4" w:space="0"/>
              <w:bottom w:val="single" w:color="auto" w:sz="4" w:space="0"/>
              <w:right w:val="single" w:color="auto" w:sz="4" w:space="0"/>
            </w:tcBorders>
            <w:shd w:val="clear" w:color="auto" w:fill="auto"/>
            <w:vAlign w:val="center"/>
          </w:tcPr>
          <w:p w14:paraId="29482EB7">
            <w:pPr>
              <w:keepNext w:val="0"/>
              <w:keepLines w:val="0"/>
              <w:pageBreakBefore w:val="0"/>
              <w:widowControl/>
              <w:kinsoku/>
              <w:wordWrap/>
              <w:overflowPunct/>
              <w:topLinePunct w:val="0"/>
              <w:autoSpaceDE/>
              <w:autoSpaceDN/>
              <w:bidi w:val="0"/>
              <w:adjustRightInd/>
              <w:snapToGrid/>
              <w:spacing w:line="288" w:lineRule="auto"/>
              <w:jc w:val="center"/>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总</w:t>
            </w:r>
            <w:r>
              <w:rPr>
                <w:rFonts w:hint="eastAsia" w:ascii="宋体" w:hAnsi="宋体" w:eastAsia="宋体" w:cs="宋体"/>
                <w:color w:val="auto"/>
                <w:sz w:val="24"/>
                <w:szCs w:val="24"/>
                <w:highlight w:val="none"/>
              </w:rPr>
              <w:t>投标报价</w:t>
            </w:r>
          </w:p>
          <w:p w14:paraId="6CF7D1A7">
            <w:pPr>
              <w:keepNext w:val="0"/>
              <w:keepLines w:val="0"/>
              <w:pageBreakBefore w:val="0"/>
              <w:widowControl/>
              <w:kinsoku/>
              <w:wordWrap/>
              <w:overflowPunct/>
              <w:topLinePunct w:val="0"/>
              <w:autoSpaceDE/>
              <w:autoSpaceDN/>
              <w:bidi w:val="0"/>
              <w:adjustRightInd/>
              <w:snapToGrid/>
              <w:spacing w:line="288"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（元）</w:t>
            </w:r>
          </w:p>
        </w:tc>
        <w:tc>
          <w:tcPr>
            <w:tcW w:w="1416" w:type="dxa"/>
            <w:tcBorders>
              <w:top w:val="single" w:color="auto" w:sz="4" w:space="0"/>
              <w:left w:val="nil"/>
              <w:bottom w:val="single" w:color="auto" w:sz="4" w:space="0"/>
              <w:right w:val="single" w:color="auto" w:sz="4" w:space="0"/>
            </w:tcBorders>
            <w:shd w:val="clear" w:color="auto" w:fill="auto"/>
            <w:vAlign w:val="center"/>
          </w:tcPr>
          <w:p w14:paraId="38817C52">
            <w:pPr>
              <w:keepNext w:val="0"/>
              <w:keepLines w:val="0"/>
              <w:pageBreakBefore w:val="0"/>
              <w:widowControl/>
              <w:kinsoku/>
              <w:wordWrap/>
              <w:overflowPunct/>
              <w:topLinePunct w:val="0"/>
              <w:autoSpaceDE/>
              <w:autoSpaceDN/>
              <w:bidi w:val="0"/>
              <w:adjustRightInd/>
              <w:snapToGrid/>
              <w:spacing w:line="288" w:lineRule="auto"/>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投标保证金</w:t>
            </w:r>
          </w:p>
        </w:tc>
        <w:tc>
          <w:tcPr>
            <w:tcW w:w="1506" w:type="dxa"/>
            <w:tcBorders>
              <w:top w:val="single" w:color="auto" w:sz="4" w:space="0"/>
              <w:left w:val="nil"/>
              <w:bottom w:val="single" w:color="auto" w:sz="4" w:space="0"/>
              <w:right w:val="single" w:color="auto" w:sz="4" w:space="0"/>
            </w:tcBorders>
            <w:shd w:val="clear" w:color="auto" w:fill="auto"/>
            <w:vAlign w:val="center"/>
          </w:tcPr>
          <w:p w14:paraId="19F2C656">
            <w:pPr>
              <w:keepNext w:val="0"/>
              <w:keepLines w:val="0"/>
              <w:pageBreakBefore w:val="0"/>
              <w:widowControl/>
              <w:kinsoku/>
              <w:wordWrap/>
              <w:overflowPunct/>
              <w:topLinePunct w:val="0"/>
              <w:autoSpaceDE/>
              <w:autoSpaceDN/>
              <w:bidi w:val="0"/>
              <w:adjustRightInd/>
              <w:snapToGrid/>
              <w:spacing w:line="288" w:lineRule="auto"/>
              <w:jc w:val="center"/>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供货期</w:t>
            </w:r>
          </w:p>
        </w:tc>
        <w:tc>
          <w:tcPr>
            <w:tcW w:w="1254" w:type="dxa"/>
            <w:tcBorders>
              <w:top w:val="single" w:color="auto" w:sz="4" w:space="0"/>
              <w:left w:val="nil"/>
              <w:bottom w:val="single" w:color="auto" w:sz="4" w:space="0"/>
              <w:right w:val="single" w:color="auto" w:sz="4" w:space="0"/>
            </w:tcBorders>
            <w:shd w:val="clear" w:color="auto" w:fill="auto"/>
            <w:vAlign w:val="center"/>
          </w:tcPr>
          <w:p w14:paraId="45F96135">
            <w:pPr>
              <w:keepNext w:val="0"/>
              <w:keepLines w:val="0"/>
              <w:pageBreakBefore w:val="0"/>
              <w:widowControl/>
              <w:kinsoku/>
              <w:wordWrap/>
              <w:overflowPunct/>
              <w:topLinePunct w:val="0"/>
              <w:autoSpaceDE/>
              <w:autoSpaceDN/>
              <w:bidi w:val="0"/>
              <w:adjustRightInd/>
              <w:snapToGrid/>
              <w:spacing w:line="288" w:lineRule="auto"/>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质量标准</w:t>
            </w:r>
          </w:p>
        </w:tc>
        <w:tc>
          <w:tcPr>
            <w:tcW w:w="1785" w:type="dxa"/>
            <w:tcBorders>
              <w:top w:val="single" w:color="auto" w:sz="4" w:space="0"/>
              <w:left w:val="nil"/>
              <w:bottom w:val="single" w:color="auto" w:sz="4" w:space="0"/>
              <w:right w:val="single" w:color="auto" w:sz="4" w:space="0"/>
            </w:tcBorders>
            <w:shd w:val="clear" w:color="auto" w:fill="auto"/>
            <w:vAlign w:val="center"/>
          </w:tcPr>
          <w:p w14:paraId="25232168">
            <w:pPr>
              <w:keepNext w:val="0"/>
              <w:keepLines w:val="0"/>
              <w:pageBreakBefore w:val="0"/>
              <w:widowControl/>
              <w:kinsoku/>
              <w:wordWrap/>
              <w:overflowPunct/>
              <w:topLinePunct w:val="0"/>
              <w:autoSpaceDE/>
              <w:autoSpaceDN/>
              <w:bidi w:val="0"/>
              <w:adjustRightInd/>
              <w:snapToGrid/>
              <w:spacing w:line="288" w:lineRule="auto"/>
              <w:jc w:val="center"/>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服务承诺</w:t>
            </w:r>
          </w:p>
        </w:tc>
      </w:tr>
      <w:tr w14:paraId="5C5A1D03">
        <w:tblPrEx>
          <w:tblCellMar>
            <w:top w:w="0" w:type="dxa"/>
            <w:left w:w="108" w:type="dxa"/>
            <w:bottom w:w="0" w:type="dxa"/>
            <w:right w:w="108" w:type="dxa"/>
          </w:tblCellMar>
        </w:tblPrEx>
        <w:trPr>
          <w:trHeight w:val="1003" w:hRule="atLeast"/>
        </w:trPr>
        <w:tc>
          <w:tcPr>
            <w:tcW w:w="1731" w:type="dxa"/>
            <w:tcBorders>
              <w:top w:val="single" w:color="auto" w:sz="4" w:space="0"/>
              <w:left w:val="single" w:color="auto" w:sz="4" w:space="0"/>
              <w:bottom w:val="single" w:color="auto" w:sz="4" w:space="0"/>
              <w:right w:val="single" w:color="auto" w:sz="4" w:space="0"/>
            </w:tcBorders>
            <w:shd w:val="clear" w:color="auto" w:fill="auto"/>
            <w:vAlign w:val="center"/>
          </w:tcPr>
          <w:p w14:paraId="1D0AA7CD">
            <w:pPr>
              <w:keepNext w:val="0"/>
              <w:keepLines w:val="0"/>
              <w:pageBreakBefore w:val="0"/>
              <w:widowControl/>
              <w:kinsoku/>
              <w:wordWrap/>
              <w:overflowPunct/>
              <w:topLinePunct w:val="0"/>
              <w:autoSpaceDE/>
              <w:autoSpaceDN/>
              <w:bidi w:val="0"/>
              <w:adjustRightInd/>
              <w:snapToGrid/>
              <w:spacing w:line="288" w:lineRule="auto"/>
              <w:jc w:val="center"/>
              <w:textAlignment w:val="auto"/>
              <w:rPr>
                <w:rFonts w:hint="eastAsia" w:ascii="宋体" w:hAnsi="宋体" w:eastAsia="宋体" w:cs="宋体"/>
                <w:color w:val="auto"/>
                <w:sz w:val="24"/>
                <w:szCs w:val="24"/>
                <w:highlight w:val="none"/>
              </w:rPr>
            </w:pPr>
          </w:p>
        </w:tc>
        <w:tc>
          <w:tcPr>
            <w:tcW w:w="1488" w:type="dxa"/>
            <w:tcBorders>
              <w:top w:val="single" w:color="auto" w:sz="4" w:space="0"/>
              <w:left w:val="single" w:color="auto" w:sz="4" w:space="0"/>
              <w:bottom w:val="single" w:color="auto" w:sz="4" w:space="0"/>
              <w:right w:val="single" w:color="auto" w:sz="4" w:space="0"/>
            </w:tcBorders>
            <w:shd w:val="clear" w:color="auto" w:fill="auto"/>
            <w:vAlign w:val="center"/>
          </w:tcPr>
          <w:p w14:paraId="29B5FA82">
            <w:pPr>
              <w:keepNext w:val="0"/>
              <w:keepLines w:val="0"/>
              <w:pageBreakBefore w:val="0"/>
              <w:widowControl/>
              <w:kinsoku/>
              <w:wordWrap/>
              <w:overflowPunct/>
              <w:topLinePunct w:val="0"/>
              <w:autoSpaceDE/>
              <w:autoSpaceDN/>
              <w:bidi w:val="0"/>
              <w:adjustRightInd/>
              <w:snapToGrid/>
              <w:spacing w:line="288" w:lineRule="auto"/>
              <w:jc w:val="center"/>
              <w:textAlignment w:val="auto"/>
              <w:rPr>
                <w:rFonts w:hint="eastAsia" w:ascii="宋体" w:hAnsi="宋体" w:eastAsia="宋体" w:cs="宋体"/>
                <w:color w:val="auto"/>
                <w:sz w:val="24"/>
                <w:szCs w:val="24"/>
                <w:highlight w:val="none"/>
              </w:rPr>
            </w:pPr>
          </w:p>
        </w:tc>
        <w:tc>
          <w:tcPr>
            <w:tcW w:w="1416" w:type="dxa"/>
            <w:tcBorders>
              <w:top w:val="single" w:color="auto" w:sz="4" w:space="0"/>
              <w:left w:val="nil"/>
              <w:bottom w:val="single" w:color="auto" w:sz="4" w:space="0"/>
              <w:right w:val="single" w:color="auto" w:sz="4" w:space="0"/>
            </w:tcBorders>
            <w:shd w:val="clear" w:color="auto" w:fill="auto"/>
            <w:vAlign w:val="center"/>
          </w:tcPr>
          <w:p w14:paraId="036B2427">
            <w:pPr>
              <w:keepNext w:val="0"/>
              <w:keepLines w:val="0"/>
              <w:pageBreakBefore w:val="0"/>
              <w:widowControl/>
              <w:kinsoku/>
              <w:wordWrap/>
              <w:overflowPunct/>
              <w:topLinePunct w:val="0"/>
              <w:autoSpaceDE/>
              <w:autoSpaceDN/>
              <w:bidi w:val="0"/>
              <w:adjustRightInd/>
              <w:snapToGrid/>
              <w:spacing w:line="288"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（有/无）</w:t>
            </w:r>
          </w:p>
        </w:tc>
        <w:tc>
          <w:tcPr>
            <w:tcW w:w="1506" w:type="dxa"/>
            <w:tcBorders>
              <w:top w:val="single" w:color="auto" w:sz="4" w:space="0"/>
              <w:left w:val="nil"/>
              <w:bottom w:val="single" w:color="auto" w:sz="4" w:space="0"/>
              <w:right w:val="single" w:color="auto" w:sz="4" w:space="0"/>
            </w:tcBorders>
            <w:shd w:val="clear" w:color="auto" w:fill="auto"/>
            <w:noWrap/>
            <w:vAlign w:val="center"/>
          </w:tcPr>
          <w:p w14:paraId="2C8FF631">
            <w:pPr>
              <w:keepNext w:val="0"/>
              <w:keepLines w:val="0"/>
              <w:pageBreakBefore w:val="0"/>
              <w:widowControl/>
              <w:kinsoku/>
              <w:wordWrap/>
              <w:overflowPunct/>
              <w:topLinePunct w:val="0"/>
              <w:autoSpaceDE/>
              <w:autoSpaceDN/>
              <w:bidi w:val="0"/>
              <w:adjustRightInd/>
              <w:snapToGrid/>
              <w:spacing w:line="288" w:lineRule="auto"/>
              <w:jc w:val="center"/>
              <w:textAlignment w:val="auto"/>
              <w:rPr>
                <w:rFonts w:hint="eastAsia" w:ascii="宋体" w:hAnsi="宋体" w:eastAsia="宋体" w:cs="宋体"/>
                <w:color w:val="auto"/>
                <w:sz w:val="24"/>
                <w:szCs w:val="24"/>
                <w:highlight w:val="none"/>
              </w:rPr>
            </w:pPr>
          </w:p>
        </w:tc>
        <w:tc>
          <w:tcPr>
            <w:tcW w:w="1254" w:type="dxa"/>
            <w:tcBorders>
              <w:top w:val="single" w:color="auto" w:sz="4" w:space="0"/>
              <w:left w:val="nil"/>
              <w:bottom w:val="single" w:color="auto" w:sz="4" w:space="0"/>
              <w:right w:val="single" w:color="auto" w:sz="4" w:space="0"/>
            </w:tcBorders>
            <w:shd w:val="clear" w:color="auto" w:fill="auto"/>
            <w:vAlign w:val="center"/>
          </w:tcPr>
          <w:p w14:paraId="0F0C2E8E">
            <w:pPr>
              <w:keepNext w:val="0"/>
              <w:keepLines w:val="0"/>
              <w:pageBreakBefore w:val="0"/>
              <w:widowControl/>
              <w:kinsoku/>
              <w:wordWrap/>
              <w:overflowPunct/>
              <w:topLinePunct w:val="0"/>
              <w:autoSpaceDE/>
              <w:autoSpaceDN/>
              <w:bidi w:val="0"/>
              <w:adjustRightInd/>
              <w:snapToGrid/>
              <w:spacing w:line="288" w:lineRule="auto"/>
              <w:jc w:val="center"/>
              <w:textAlignment w:val="auto"/>
              <w:rPr>
                <w:rFonts w:hint="eastAsia" w:ascii="宋体" w:hAnsi="宋体" w:eastAsia="宋体" w:cs="宋体"/>
                <w:color w:val="auto"/>
                <w:sz w:val="24"/>
                <w:szCs w:val="24"/>
                <w:highlight w:val="none"/>
              </w:rPr>
            </w:pPr>
          </w:p>
        </w:tc>
        <w:tc>
          <w:tcPr>
            <w:tcW w:w="1785" w:type="dxa"/>
            <w:tcBorders>
              <w:top w:val="single" w:color="auto" w:sz="4" w:space="0"/>
              <w:left w:val="nil"/>
              <w:bottom w:val="single" w:color="auto" w:sz="4" w:space="0"/>
              <w:right w:val="single" w:color="auto" w:sz="4" w:space="0"/>
            </w:tcBorders>
            <w:shd w:val="clear" w:color="auto" w:fill="auto"/>
            <w:vAlign w:val="center"/>
          </w:tcPr>
          <w:p w14:paraId="7E01BA94">
            <w:pPr>
              <w:keepNext w:val="0"/>
              <w:keepLines w:val="0"/>
              <w:pageBreakBefore w:val="0"/>
              <w:widowControl/>
              <w:kinsoku/>
              <w:wordWrap/>
              <w:overflowPunct/>
              <w:topLinePunct w:val="0"/>
              <w:autoSpaceDE/>
              <w:autoSpaceDN/>
              <w:bidi w:val="0"/>
              <w:adjustRightInd/>
              <w:snapToGrid/>
              <w:spacing w:line="288"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（有/无）</w:t>
            </w:r>
          </w:p>
        </w:tc>
      </w:tr>
    </w:tbl>
    <w:p w14:paraId="0B6B4A17">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注：1、本表只作唱标用，但本表的一切内容均具有法律效力，不得更改；</w:t>
      </w:r>
    </w:p>
    <w:p w14:paraId="0E67A502">
      <w:pPr>
        <w:keepNext w:val="0"/>
        <w:keepLines w:val="0"/>
        <w:pageBreakBefore w:val="0"/>
        <w:widowControl/>
        <w:kinsoku/>
        <w:wordWrap/>
        <w:overflowPunct/>
        <w:topLinePunct w:val="0"/>
        <w:autoSpaceDE/>
        <w:autoSpaceDN/>
        <w:bidi w:val="0"/>
        <w:adjustRightInd/>
        <w:snapToGrid/>
        <w:spacing w:line="288" w:lineRule="auto"/>
        <w:ind w:firstLine="408"/>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2、投标报价</w:t>
      </w:r>
      <w:r>
        <w:rPr>
          <w:rFonts w:hint="eastAsia" w:ascii="宋体" w:hAnsi="宋体" w:eastAsia="宋体" w:cs="宋体"/>
          <w:b/>
          <w:color w:val="auto"/>
          <w:sz w:val="24"/>
          <w:szCs w:val="24"/>
          <w:highlight w:val="none"/>
        </w:rPr>
        <w:t>不超过</w:t>
      </w:r>
      <w:r>
        <w:rPr>
          <w:rFonts w:hint="eastAsia" w:ascii="宋体" w:hAnsi="宋体" w:eastAsia="宋体" w:cs="宋体"/>
          <w:b/>
          <w:color w:val="auto"/>
          <w:sz w:val="24"/>
          <w:szCs w:val="24"/>
          <w:highlight w:val="none"/>
          <w:lang w:val="zh-CN"/>
        </w:rPr>
        <w:t>预算金额</w:t>
      </w:r>
      <w:r>
        <w:rPr>
          <w:rFonts w:hint="eastAsia" w:ascii="宋体" w:hAnsi="宋体" w:eastAsia="宋体" w:cs="宋体"/>
          <w:b/>
          <w:color w:val="auto"/>
          <w:sz w:val="24"/>
          <w:szCs w:val="24"/>
          <w:highlight w:val="none"/>
        </w:rPr>
        <w:t>，超过为无效报价。</w:t>
      </w:r>
      <w:r>
        <w:rPr>
          <w:rFonts w:hint="eastAsia" w:ascii="宋体" w:hAnsi="宋体" w:eastAsia="宋体" w:cs="宋体"/>
          <w:b/>
          <w:bCs/>
          <w:color w:val="auto"/>
          <w:sz w:val="24"/>
          <w:szCs w:val="24"/>
          <w:highlight w:val="none"/>
        </w:rPr>
        <w:t>本表中填写的投标报价应与投标函中填写的投标报价相一致，如果不一致</w:t>
      </w:r>
      <w:r>
        <w:rPr>
          <w:rFonts w:hint="eastAsia" w:ascii="宋体" w:hAnsi="宋体" w:cs="宋体"/>
          <w:b/>
          <w:bCs/>
          <w:color w:val="auto"/>
          <w:sz w:val="24"/>
          <w:szCs w:val="24"/>
          <w:highlight w:val="none"/>
          <w:lang w:eastAsia="zh-CN"/>
        </w:rPr>
        <w:t>以本表为准</w:t>
      </w:r>
      <w:r>
        <w:rPr>
          <w:rFonts w:hint="eastAsia" w:ascii="宋体" w:hAnsi="宋体" w:eastAsia="宋体" w:cs="宋体"/>
          <w:b/>
          <w:bCs/>
          <w:color w:val="auto"/>
          <w:sz w:val="24"/>
          <w:szCs w:val="24"/>
          <w:highlight w:val="none"/>
        </w:rPr>
        <w:t>；</w:t>
      </w:r>
    </w:p>
    <w:p w14:paraId="3A6603FE">
      <w:pPr>
        <w:keepNext w:val="0"/>
        <w:keepLines w:val="0"/>
        <w:pageBreakBefore w:val="0"/>
        <w:widowControl/>
        <w:kinsoku/>
        <w:wordWrap/>
        <w:overflowPunct/>
        <w:topLinePunct w:val="0"/>
        <w:autoSpaceDE/>
        <w:autoSpaceDN/>
        <w:bidi w:val="0"/>
        <w:adjustRightInd/>
        <w:snapToGrid/>
        <w:spacing w:line="288" w:lineRule="auto"/>
        <w:ind w:firstLine="408"/>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rPr>
        <w:t>3、本开表一览表须装订在投标文件内，然后再单独打印一份签字和加盖印章后，单独密封在一个小信封内，随投标文件一同递交，以便开标时唱标用</w:t>
      </w:r>
      <w:r>
        <w:rPr>
          <w:rFonts w:hint="eastAsia" w:ascii="宋体" w:hAnsi="宋体" w:eastAsia="宋体" w:cs="宋体"/>
          <w:b/>
          <w:bCs/>
          <w:color w:val="auto"/>
          <w:sz w:val="24"/>
          <w:szCs w:val="24"/>
          <w:highlight w:val="none"/>
          <w:lang w:eastAsia="zh-CN"/>
        </w:rPr>
        <w:t>；</w:t>
      </w:r>
    </w:p>
    <w:p w14:paraId="1AE4EB44">
      <w:pPr>
        <w:keepNext w:val="0"/>
        <w:keepLines w:val="0"/>
        <w:pageBreakBefore w:val="0"/>
        <w:widowControl/>
        <w:kinsoku/>
        <w:wordWrap/>
        <w:overflowPunct/>
        <w:topLinePunct w:val="0"/>
        <w:autoSpaceDE/>
        <w:autoSpaceDN/>
        <w:bidi w:val="0"/>
        <w:adjustRightInd/>
        <w:snapToGrid/>
        <w:spacing w:line="288" w:lineRule="auto"/>
        <w:ind w:firstLine="408"/>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val="en-US" w:eastAsia="zh-CN"/>
        </w:rPr>
        <w:t>4</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eastAsia="zh-CN"/>
        </w:rPr>
        <w:t>投标报价保留至小数点后</w:t>
      </w:r>
      <w:r>
        <w:rPr>
          <w:rFonts w:hint="eastAsia" w:ascii="宋体" w:hAnsi="宋体" w:cs="宋体"/>
          <w:b/>
          <w:bCs/>
          <w:color w:val="auto"/>
          <w:sz w:val="24"/>
          <w:szCs w:val="24"/>
          <w:highlight w:val="none"/>
          <w:lang w:eastAsia="zh-CN"/>
        </w:rPr>
        <w:t>二</w:t>
      </w:r>
      <w:r>
        <w:rPr>
          <w:rFonts w:hint="eastAsia" w:ascii="宋体" w:hAnsi="宋体" w:eastAsia="宋体" w:cs="宋体"/>
          <w:b/>
          <w:bCs/>
          <w:color w:val="auto"/>
          <w:sz w:val="24"/>
          <w:szCs w:val="24"/>
          <w:highlight w:val="none"/>
          <w:lang w:eastAsia="zh-CN"/>
        </w:rPr>
        <w:t>位。</w:t>
      </w:r>
    </w:p>
    <w:p w14:paraId="163A7A20">
      <w:pPr>
        <w:pStyle w:val="63"/>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p>
    <w:p w14:paraId="254EABFF">
      <w:pPr>
        <w:keepNext w:val="0"/>
        <w:keepLines w:val="0"/>
        <w:pageBreakBefore w:val="0"/>
        <w:widowControl/>
        <w:kinsoku/>
        <w:wordWrap/>
        <w:overflowPunct/>
        <w:topLinePunct w:val="0"/>
        <w:autoSpaceDE/>
        <w:autoSpaceDN/>
        <w:bidi w:val="0"/>
        <w:adjustRightInd/>
        <w:snapToGrid/>
        <w:spacing w:line="288" w:lineRule="auto"/>
        <w:ind w:firstLine="472" w:firstLineChars="196"/>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 xml:space="preserve">                                                                     </w:t>
      </w:r>
    </w:p>
    <w:p w14:paraId="054E20B0">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bCs/>
          <w:color w:val="auto"/>
          <w:sz w:val="24"/>
          <w:szCs w:val="24"/>
          <w:highlight w:val="none"/>
        </w:rPr>
      </w:pPr>
    </w:p>
    <w:p w14:paraId="7E9AE904">
      <w:pPr>
        <w:keepNext w:val="0"/>
        <w:keepLines w:val="0"/>
        <w:pageBreakBefore w:val="0"/>
        <w:widowControl/>
        <w:kinsoku/>
        <w:wordWrap/>
        <w:overflowPunct/>
        <w:topLinePunct w:val="0"/>
        <w:autoSpaceDE/>
        <w:autoSpaceDN/>
        <w:bidi w:val="0"/>
        <w:adjustRightInd/>
        <w:snapToGrid/>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供应商名称：            （公章）                    </w:t>
      </w:r>
    </w:p>
    <w:p w14:paraId="3BFD9AA2">
      <w:pPr>
        <w:keepNext w:val="0"/>
        <w:keepLines w:val="0"/>
        <w:pageBreakBefore w:val="0"/>
        <w:widowControl/>
        <w:kinsoku/>
        <w:wordWrap/>
        <w:overflowPunct/>
        <w:topLinePunct w:val="0"/>
        <w:autoSpaceDE/>
        <w:autoSpaceDN/>
        <w:bidi w:val="0"/>
        <w:adjustRightInd/>
        <w:snapToGrid/>
        <w:spacing w:line="288" w:lineRule="auto"/>
        <w:ind w:firstLine="480" w:firstLineChars="200"/>
        <w:textAlignment w:val="auto"/>
        <w:rPr>
          <w:rFonts w:hint="eastAsia" w:ascii="宋体" w:hAnsi="宋体" w:eastAsia="宋体" w:cs="宋体"/>
          <w:color w:val="auto"/>
          <w:sz w:val="24"/>
          <w:szCs w:val="24"/>
          <w:highlight w:val="none"/>
        </w:rPr>
      </w:pPr>
    </w:p>
    <w:p w14:paraId="038F7455">
      <w:pPr>
        <w:keepNext w:val="0"/>
        <w:keepLines w:val="0"/>
        <w:pageBreakBefore w:val="0"/>
        <w:widowControl/>
        <w:kinsoku/>
        <w:wordWrap/>
        <w:overflowPunct/>
        <w:topLinePunct w:val="0"/>
        <w:autoSpaceDE/>
        <w:autoSpaceDN/>
        <w:bidi w:val="0"/>
        <w:adjustRightInd/>
        <w:snapToGrid/>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            （</w:t>
      </w:r>
      <w:r>
        <w:rPr>
          <w:rFonts w:hint="eastAsia" w:ascii="宋体" w:hAnsi="宋体" w:eastAsia="宋体" w:cs="宋体"/>
          <w:color w:val="auto"/>
          <w:sz w:val="24"/>
          <w:szCs w:val="24"/>
          <w:highlight w:val="none"/>
          <w:lang w:eastAsia="zh-CN"/>
        </w:rPr>
        <w:t>签字</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盖章）</w:t>
      </w:r>
    </w:p>
    <w:p w14:paraId="1CC04541">
      <w:pPr>
        <w:keepNext w:val="0"/>
        <w:keepLines w:val="0"/>
        <w:pageBreakBefore w:val="0"/>
        <w:widowControl/>
        <w:kinsoku/>
        <w:wordWrap/>
        <w:overflowPunct/>
        <w:topLinePunct w:val="0"/>
        <w:autoSpaceDE/>
        <w:autoSpaceDN/>
        <w:bidi w:val="0"/>
        <w:adjustRightInd/>
        <w:snapToGrid/>
        <w:spacing w:line="288" w:lineRule="auto"/>
        <w:ind w:firstLine="480" w:firstLineChars="200"/>
        <w:textAlignment w:val="auto"/>
        <w:rPr>
          <w:rFonts w:hint="eastAsia" w:ascii="宋体" w:hAnsi="宋体" w:eastAsia="宋体" w:cs="宋体"/>
          <w:color w:val="auto"/>
          <w:sz w:val="24"/>
          <w:szCs w:val="24"/>
          <w:highlight w:val="none"/>
        </w:rPr>
      </w:pPr>
    </w:p>
    <w:p w14:paraId="285F8015">
      <w:pPr>
        <w:keepNext w:val="0"/>
        <w:keepLines w:val="0"/>
        <w:pageBreakBefore w:val="0"/>
        <w:widowControl/>
        <w:kinsoku/>
        <w:wordWrap/>
        <w:overflowPunct/>
        <w:topLinePunct w:val="0"/>
        <w:autoSpaceDE/>
        <w:autoSpaceDN/>
        <w:bidi w:val="0"/>
        <w:adjustRightInd/>
        <w:snapToGrid/>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委托代理人：            （签字）  </w:t>
      </w:r>
    </w:p>
    <w:p w14:paraId="5FC964A7">
      <w:pPr>
        <w:keepNext w:val="0"/>
        <w:keepLines w:val="0"/>
        <w:pageBreakBefore w:val="0"/>
        <w:widowControl/>
        <w:kinsoku/>
        <w:wordWrap/>
        <w:overflowPunct/>
        <w:topLinePunct w:val="0"/>
        <w:autoSpaceDE/>
        <w:autoSpaceDN/>
        <w:bidi w:val="0"/>
        <w:adjustRightInd/>
        <w:snapToGrid/>
        <w:spacing w:line="288" w:lineRule="auto"/>
        <w:ind w:firstLine="4560" w:firstLineChars="1900"/>
        <w:textAlignment w:val="auto"/>
        <w:rPr>
          <w:rFonts w:hint="eastAsia" w:ascii="宋体" w:hAnsi="宋体" w:eastAsia="宋体" w:cs="宋体"/>
          <w:color w:val="auto"/>
          <w:sz w:val="24"/>
          <w:szCs w:val="24"/>
          <w:highlight w:val="none"/>
        </w:rPr>
      </w:pPr>
    </w:p>
    <w:p w14:paraId="614555A8">
      <w:pPr>
        <w:keepNext w:val="0"/>
        <w:keepLines w:val="0"/>
        <w:pageBreakBefore w:val="0"/>
        <w:widowControl/>
        <w:kinsoku/>
        <w:wordWrap/>
        <w:overflowPunct/>
        <w:topLinePunct w:val="0"/>
        <w:autoSpaceDE/>
        <w:autoSpaceDN/>
        <w:bidi w:val="0"/>
        <w:adjustRightInd/>
        <w:snapToGrid/>
        <w:spacing w:line="288" w:lineRule="auto"/>
        <w:ind w:firstLine="6480" w:firstLineChars="27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szCs w:val="24"/>
          <w:highlight w:val="none"/>
        </w:rPr>
        <w:t>日　　期：</w:t>
      </w:r>
    </w:p>
    <w:p w14:paraId="6BA66265">
      <w:pP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br w:type="page"/>
      </w:r>
    </w:p>
    <w:p w14:paraId="19F08246">
      <w:pPr>
        <w:spacing w:line="360" w:lineRule="auto"/>
        <w:jc w:val="center"/>
        <w:rPr>
          <w:rFonts w:hint="eastAsia" w:ascii="宋体" w:hAnsi="宋体" w:eastAsia="宋体" w:cs="宋体"/>
          <w:b/>
          <w:color w:val="auto"/>
          <w:sz w:val="36"/>
          <w:szCs w:val="36"/>
          <w:highlight w:val="none"/>
        </w:rPr>
      </w:pPr>
    </w:p>
    <w:p w14:paraId="3E787FFD">
      <w:pPr>
        <w:spacing w:line="360" w:lineRule="auto"/>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二、投标明细报价表</w:t>
      </w:r>
    </w:p>
    <w:tbl>
      <w:tblPr>
        <w:tblStyle w:val="44"/>
        <w:tblW w:w="9276" w:type="dxa"/>
        <w:tblInd w:w="8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8"/>
        <w:gridCol w:w="2281"/>
        <w:gridCol w:w="1075"/>
        <w:gridCol w:w="1180"/>
        <w:gridCol w:w="1623"/>
        <w:gridCol w:w="2249"/>
      </w:tblGrid>
      <w:tr w14:paraId="584841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trPr>
        <w:tc>
          <w:tcPr>
            <w:tcW w:w="9276" w:type="dxa"/>
            <w:gridSpan w:val="6"/>
            <w:vAlign w:val="center"/>
          </w:tcPr>
          <w:p w14:paraId="148C7576">
            <w:pPr>
              <w:keepNext w:val="0"/>
              <w:keepLines w:val="0"/>
              <w:pageBreakBefore w:val="0"/>
              <w:kinsoku/>
              <w:wordWrap/>
              <w:topLinePunct w:val="0"/>
              <w:bidi w:val="0"/>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bCs/>
                <w:color w:val="auto"/>
                <w:sz w:val="24"/>
                <w:szCs w:val="24"/>
                <w:highlight w:val="none"/>
              </w:rPr>
              <w:t xml:space="preserve">项目名称：                                                    </w:t>
            </w:r>
            <w:r>
              <w:rPr>
                <w:rFonts w:hint="eastAsia" w:ascii="宋体" w:hAnsi="宋体" w:eastAsia="宋体" w:cs="宋体"/>
                <w:b/>
                <w:color w:val="auto"/>
                <w:sz w:val="24"/>
                <w:szCs w:val="24"/>
                <w:highlight w:val="none"/>
              </w:rPr>
              <w:t>项目编号：</w:t>
            </w:r>
          </w:p>
        </w:tc>
      </w:tr>
      <w:tr w14:paraId="282B7D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trPr>
        <w:tc>
          <w:tcPr>
            <w:tcW w:w="9276" w:type="dxa"/>
            <w:gridSpan w:val="6"/>
            <w:vAlign w:val="center"/>
          </w:tcPr>
          <w:p w14:paraId="6D0A47E4">
            <w:pPr>
              <w:keepNext w:val="0"/>
              <w:keepLines w:val="0"/>
              <w:pageBreakBefore w:val="0"/>
              <w:kinsoku/>
              <w:wordWrap/>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货物明细表：（单位：元）</w:t>
            </w:r>
          </w:p>
        </w:tc>
      </w:tr>
      <w:tr w14:paraId="18F501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868" w:type="dxa"/>
            <w:vAlign w:val="center"/>
          </w:tcPr>
          <w:p w14:paraId="1C1FD074">
            <w:pPr>
              <w:keepNext w:val="0"/>
              <w:keepLines w:val="0"/>
              <w:pageBreakBefore w:val="0"/>
              <w:kinsoku/>
              <w:wordWrap/>
              <w:topLinePunct w:val="0"/>
              <w:bidi w:val="0"/>
              <w:snapToGrid/>
              <w:spacing w:line="288"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2281" w:type="dxa"/>
            <w:vAlign w:val="center"/>
          </w:tcPr>
          <w:p w14:paraId="1AE0B722">
            <w:pPr>
              <w:keepNext w:val="0"/>
              <w:keepLines w:val="0"/>
              <w:pageBreakBefore w:val="0"/>
              <w:kinsoku/>
              <w:wordWrap/>
              <w:topLinePunct w:val="0"/>
              <w:bidi w:val="0"/>
              <w:snapToGrid/>
              <w:spacing w:line="288"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货物名称</w:t>
            </w:r>
          </w:p>
        </w:tc>
        <w:tc>
          <w:tcPr>
            <w:tcW w:w="1075" w:type="dxa"/>
            <w:vAlign w:val="center"/>
          </w:tcPr>
          <w:p w14:paraId="1929525F">
            <w:pPr>
              <w:keepNext w:val="0"/>
              <w:keepLines w:val="0"/>
              <w:pageBreakBefore w:val="0"/>
              <w:kinsoku/>
              <w:wordWrap/>
              <w:topLinePunct w:val="0"/>
              <w:bidi w:val="0"/>
              <w:snapToGrid/>
              <w:spacing w:line="288"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品牌型号</w:t>
            </w:r>
          </w:p>
        </w:tc>
        <w:tc>
          <w:tcPr>
            <w:tcW w:w="1180" w:type="dxa"/>
            <w:vAlign w:val="center"/>
          </w:tcPr>
          <w:p w14:paraId="30CC7BBC">
            <w:pPr>
              <w:keepNext w:val="0"/>
              <w:keepLines w:val="0"/>
              <w:pageBreakBefore w:val="0"/>
              <w:kinsoku/>
              <w:wordWrap/>
              <w:topLinePunct w:val="0"/>
              <w:bidi w:val="0"/>
              <w:snapToGrid/>
              <w:spacing w:line="288"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数量</w:t>
            </w:r>
          </w:p>
        </w:tc>
        <w:tc>
          <w:tcPr>
            <w:tcW w:w="1623" w:type="dxa"/>
            <w:vAlign w:val="center"/>
          </w:tcPr>
          <w:p w14:paraId="51898B66">
            <w:pPr>
              <w:keepNext w:val="0"/>
              <w:keepLines w:val="0"/>
              <w:pageBreakBefore w:val="0"/>
              <w:kinsoku/>
              <w:wordWrap/>
              <w:topLinePunct w:val="0"/>
              <w:bidi w:val="0"/>
              <w:snapToGrid/>
              <w:spacing w:line="288"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单价</w:t>
            </w:r>
          </w:p>
        </w:tc>
        <w:tc>
          <w:tcPr>
            <w:tcW w:w="2249" w:type="dxa"/>
            <w:vAlign w:val="center"/>
          </w:tcPr>
          <w:p w14:paraId="4AD8C038">
            <w:pPr>
              <w:keepNext w:val="0"/>
              <w:keepLines w:val="0"/>
              <w:pageBreakBefore w:val="0"/>
              <w:kinsoku/>
              <w:wordWrap/>
              <w:topLinePunct w:val="0"/>
              <w:bidi w:val="0"/>
              <w:snapToGrid/>
              <w:spacing w:line="288"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分项总价</w:t>
            </w:r>
          </w:p>
        </w:tc>
      </w:tr>
      <w:tr w14:paraId="799A8B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868" w:type="dxa"/>
            <w:vAlign w:val="center"/>
          </w:tcPr>
          <w:p w14:paraId="4F747508">
            <w:pPr>
              <w:keepNext w:val="0"/>
              <w:keepLines w:val="0"/>
              <w:pageBreakBefore w:val="0"/>
              <w:kinsoku/>
              <w:wordWrap/>
              <w:topLinePunct w:val="0"/>
              <w:bidi w:val="0"/>
              <w:snapToGrid/>
              <w:spacing w:line="288" w:lineRule="auto"/>
              <w:jc w:val="center"/>
              <w:textAlignment w:val="auto"/>
              <w:rPr>
                <w:rFonts w:hint="eastAsia" w:ascii="宋体" w:hAnsi="宋体" w:eastAsia="宋体" w:cs="宋体"/>
                <w:color w:val="auto"/>
                <w:sz w:val="24"/>
                <w:szCs w:val="24"/>
                <w:highlight w:val="none"/>
              </w:rPr>
            </w:pPr>
          </w:p>
        </w:tc>
        <w:tc>
          <w:tcPr>
            <w:tcW w:w="2281" w:type="dxa"/>
            <w:vAlign w:val="center"/>
          </w:tcPr>
          <w:p w14:paraId="1CF0F36F">
            <w:pPr>
              <w:keepNext w:val="0"/>
              <w:keepLines w:val="0"/>
              <w:pageBreakBefore w:val="0"/>
              <w:kinsoku/>
              <w:wordWrap/>
              <w:topLinePunct w:val="0"/>
              <w:bidi w:val="0"/>
              <w:snapToGrid/>
              <w:spacing w:line="288" w:lineRule="auto"/>
              <w:jc w:val="center"/>
              <w:textAlignment w:val="auto"/>
              <w:rPr>
                <w:rFonts w:hint="eastAsia" w:ascii="宋体" w:hAnsi="宋体" w:eastAsia="宋体" w:cs="宋体"/>
                <w:color w:val="auto"/>
                <w:sz w:val="24"/>
                <w:szCs w:val="24"/>
                <w:highlight w:val="none"/>
              </w:rPr>
            </w:pPr>
          </w:p>
        </w:tc>
        <w:tc>
          <w:tcPr>
            <w:tcW w:w="1075" w:type="dxa"/>
            <w:vAlign w:val="center"/>
          </w:tcPr>
          <w:p w14:paraId="58BBE16D">
            <w:pPr>
              <w:keepNext w:val="0"/>
              <w:keepLines w:val="0"/>
              <w:pageBreakBefore w:val="0"/>
              <w:kinsoku/>
              <w:wordWrap/>
              <w:topLinePunct w:val="0"/>
              <w:bidi w:val="0"/>
              <w:snapToGrid/>
              <w:spacing w:line="288" w:lineRule="auto"/>
              <w:jc w:val="center"/>
              <w:textAlignment w:val="auto"/>
              <w:rPr>
                <w:rFonts w:hint="eastAsia" w:ascii="宋体" w:hAnsi="宋体" w:eastAsia="宋体" w:cs="宋体"/>
                <w:color w:val="auto"/>
                <w:sz w:val="24"/>
                <w:szCs w:val="24"/>
                <w:highlight w:val="none"/>
              </w:rPr>
            </w:pPr>
          </w:p>
        </w:tc>
        <w:tc>
          <w:tcPr>
            <w:tcW w:w="1180" w:type="dxa"/>
            <w:vAlign w:val="center"/>
          </w:tcPr>
          <w:p w14:paraId="54136195">
            <w:pPr>
              <w:keepNext w:val="0"/>
              <w:keepLines w:val="0"/>
              <w:pageBreakBefore w:val="0"/>
              <w:kinsoku/>
              <w:wordWrap/>
              <w:topLinePunct w:val="0"/>
              <w:bidi w:val="0"/>
              <w:snapToGrid/>
              <w:spacing w:line="288" w:lineRule="auto"/>
              <w:jc w:val="center"/>
              <w:textAlignment w:val="auto"/>
              <w:rPr>
                <w:rFonts w:hint="eastAsia" w:ascii="宋体" w:hAnsi="宋体" w:eastAsia="宋体" w:cs="宋体"/>
                <w:color w:val="auto"/>
                <w:sz w:val="24"/>
                <w:szCs w:val="24"/>
                <w:highlight w:val="none"/>
              </w:rPr>
            </w:pPr>
          </w:p>
        </w:tc>
        <w:tc>
          <w:tcPr>
            <w:tcW w:w="1623" w:type="dxa"/>
            <w:vAlign w:val="center"/>
          </w:tcPr>
          <w:p w14:paraId="6598EDD1">
            <w:pPr>
              <w:keepNext w:val="0"/>
              <w:keepLines w:val="0"/>
              <w:pageBreakBefore w:val="0"/>
              <w:kinsoku/>
              <w:wordWrap/>
              <w:topLinePunct w:val="0"/>
              <w:bidi w:val="0"/>
              <w:snapToGrid/>
              <w:spacing w:line="288" w:lineRule="auto"/>
              <w:jc w:val="center"/>
              <w:textAlignment w:val="auto"/>
              <w:rPr>
                <w:rFonts w:hint="eastAsia" w:ascii="宋体" w:hAnsi="宋体" w:eastAsia="宋体" w:cs="宋体"/>
                <w:color w:val="auto"/>
                <w:sz w:val="24"/>
                <w:szCs w:val="24"/>
                <w:highlight w:val="none"/>
              </w:rPr>
            </w:pPr>
          </w:p>
        </w:tc>
        <w:tc>
          <w:tcPr>
            <w:tcW w:w="2249" w:type="dxa"/>
            <w:vAlign w:val="center"/>
          </w:tcPr>
          <w:p w14:paraId="773A5B58">
            <w:pPr>
              <w:keepNext w:val="0"/>
              <w:keepLines w:val="0"/>
              <w:pageBreakBefore w:val="0"/>
              <w:kinsoku/>
              <w:wordWrap/>
              <w:topLinePunct w:val="0"/>
              <w:bidi w:val="0"/>
              <w:snapToGrid/>
              <w:spacing w:line="288" w:lineRule="auto"/>
              <w:jc w:val="center"/>
              <w:textAlignment w:val="auto"/>
              <w:rPr>
                <w:rFonts w:hint="eastAsia" w:ascii="宋体" w:hAnsi="宋体" w:eastAsia="宋体" w:cs="宋体"/>
                <w:color w:val="auto"/>
                <w:sz w:val="24"/>
                <w:szCs w:val="24"/>
                <w:highlight w:val="none"/>
              </w:rPr>
            </w:pPr>
          </w:p>
        </w:tc>
      </w:tr>
      <w:tr w14:paraId="10F3B2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868" w:type="dxa"/>
            <w:vAlign w:val="center"/>
          </w:tcPr>
          <w:p w14:paraId="389DCC01">
            <w:pPr>
              <w:keepNext w:val="0"/>
              <w:keepLines w:val="0"/>
              <w:pageBreakBefore w:val="0"/>
              <w:kinsoku/>
              <w:wordWrap/>
              <w:topLinePunct w:val="0"/>
              <w:bidi w:val="0"/>
              <w:snapToGrid/>
              <w:spacing w:line="288"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2281" w:type="dxa"/>
            <w:vAlign w:val="center"/>
          </w:tcPr>
          <w:p w14:paraId="7A03F006">
            <w:pPr>
              <w:keepNext w:val="0"/>
              <w:keepLines w:val="0"/>
              <w:pageBreakBefore w:val="0"/>
              <w:kinsoku/>
              <w:wordWrap/>
              <w:topLinePunct w:val="0"/>
              <w:bidi w:val="0"/>
              <w:snapToGrid/>
              <w:spacing w:line="288" w:lineRule="auto"/>
              <w:jc w:val="center"/>
              <w:textAlignment w:val="auto"/>
              <w:rPr>
                <w:rFonts w:hint="eastAsia" w:ascii="宋体" w:hAnsi="宋体" w:eastAsia="宋体" w:cs="宋体"/>
                <w:color w:val="auto"/>
                <w:sz w:val="24"/>
                <w:szCs w:val="24"/>
                <w:highlight w:val="none"/>
              </w:rPr>
            </w:pPr>
          </w:p>
        </w:tc>
        <w:tc>
          <w:tcPr>
            <w:tcW w:w="1075" w:type="dxa"/>
            <w:vAlign w:val="center"/>
          </w:tcPr>
          <w:p w14:paraId="2E3638A8">
            <w:pPr>
              <w:keepNext w:val="0"/>
              <w:keepLines w:val="0"/>
              <w:pageBreakBefore w:val="0"/>
              <w:kinsoku/>
              <w:wordWrap/>
              <w:topLinePunct w:val="0"/>
              <w:bidi w:val="0"/>
              <w:snapToGrid/>
              <w:spacing w:line="288" w:lineRule="auto"/>
              <w:jc w:val="center"/>
              <w:textAlignment w:val="auto"/>
              <w:rPr>
                <w:rFonts w:hint="eastAsia" w:ascii="宋体" w:hAnsi="宋体" w:eastAsia="宋体" w:cs="宋体"/>
                <w:color w:val="auto"/>
                <w:sz w:val="24"/>
                <w:szCs w:val="24"/>
                <w:highlight w:val="none"/>
              </w:rPr>
            </w:pPr>
          </w:p>
        </w:tc>
        <w:tc>
          <w:tcPr>
            <w:tcW w:w="1180" w:type="dxa"/>
            <w:vAlign w:val="center"/>
          </w:tcPr>
          <w:p w14:paraId="6614BC2A">
            <w:pPr>
              <w:keepNext w:val="0"/>
              <w:keepLines w:val="0"/>
              <w:pageBreakBefore w:val="0"/>
              <w:kinsoku/>
              <w:wordWrap/>
              <w:topLinePunct w:val="0"/>
              <w:bidi w:val="0"/>
              <w:snapToGrid/>
              <w:spacing w:line="288" w:lineRule="auto"/>
              <w:jc w:val="center"/>
              <w:textAlignment w:val="auto"/>
              <w:rPr>
                <w:rFonts w:hint="eastAsia" w:ascii="宋体" w:hAnsi="宋体" w:eastAsia="宋体" w:cs="宋体"/>
                <w:color w:val="auto"/>
                <w:sz w:val="24"/>
                <w:szCs w:val="24"/>
                <w:highlight w:val="none"/>
              </w:rPr>
            </w:pPr>
          </w:p>
        </w:tc>
        <w:tc>
          <w:tcPr>
            <w:tcW w:w="1623" w:type="dxa"/>
            <w:vAlign w:val="center"/>
          </w:tcPr>
          <w:p w14:paraId="144EDEA7">
            <w:pPr>
              <w:keepNext w:val="0"/>
              <w:keepLines w:val="0"/>
              <w:pageBreakBefore w:val="0"/>
              <w:kinsoku/>
              <w:wordWrap/>
              <w:topLinePunct w:val="0"/>
              <w:bidi w:val="0"/>
              <w:snapToGrid/>
              <w:spacing w:line="288" w:lineRule="auto"/>
              <w:jc w:val="center"/>
              <w:textAlignment w:val="auto"/>
              <w:rPr>
                <w:rFonts w:hint="eastAsia" w:ascii="宋体" w:hAnsi="宋体" w:eastAsia="宋体" w:cs="宋体"/>
                <w:color w:val="auto"/>
                <w:sz w:val="24"/>
                <w:szCs w:val="24"/>
                <w:highlight w:val="none"/>
              </w:rPr>
            </w:pPr>
          </w:p>
        </w:tc>
        <w:tc>
          <w:tcPr>
            <w:tcW w:w="2249" w:type="dxa"/>
            <w:vAlign w:val="center"/>
          </w:tcPr>
          <w:p w14:paraId="0E823950">
            <w:pPr>
              <w:keepNext w:val="0"/>
              <w:keepLines w:val="0"/>
              <w:pageBreakBefore w:val="0"/>
              <w:kinsoku/>
              <w:wordWrap/>
              <w:topLinePunct w:val="0"/>
              <w:bidi w:val="0"/>
              <w:snapToGrid/>
              <w:spacing w:line="288" w:lineRule="auto"/>
              <w:jc w:val="center"/>
              <w:textAlignment w:val="auto"/>
              <w:rPr>
                <w:rFonts w:hint="eastAsia" w:ascii="宋体" w:hAnsi="宋体" w:eastAsia="宋体" w:cs="宋体"/>
                <w:color w:val="auto"/>
                <w:sz w:val="24"/>
                <w:szCs w:val="24"/>
                <w:highlight w:val="none"/>
              </w:rPr>
            </w:pPr>
          </w:p>
        </w:tc>
      </w:tr>
      <w:tr w14:paraId="048FDA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868" w:type="dxa"/>
            <w:vAlign w:val="center"/>
          </w:tcPr>
          <w:p w14:paraId="4DBFB396">
            <w:pPr>
              <w:keepNext w:val="0"/>
              <w:keepLines w:val="0"/>
              <w:pageBreakBefore w:val="0"/>
              <w:kinsoku/>
              <w:wordWrap/>
              <w:topLinePunct w:val="0"/>
              <w:bidi w:val="0"/>
              <w:snapToGrid/>
              <w:spacing w:line="288" w:lineRule="auto"/>
              <w:jc w:val="center"/>
              <w:textAlignment w:val="auto"/>
              <w:rPr>
                <w:rFonts w:hint="eastAsia" w:ascii="宋体" w:hAnsi="宋体" w:eastAsia="宋体" w:cs="宋体"/>
                <w:color w:val="auto"/>
                <w:sz w:val="24"/>
                <w:szCs w:val="24"/>
                <w:highlight w:val="none"/>
              </w:rPr>
            </w:pPr>
          </w:p>
        </w:tc>
        <w:tc>
          <w:tcPr>
            <w:tcW w:w="2281" w:type="dxa"/>
            <w:vAlign w:val="center"/>
          </w:tcPr>
          <w:p w14:paraId="2468A3CF">
            <w:pPr>
              <w:keepNext w:val="0"/>
              <w:keepLines w:val="0"/>
              <w:pageBreakBefore w:val="0"/>
              <w:kinsoku/>
              <w:wordWrap/>
              <w:topLinePunct w:val="0"/>
              <w:bidi w:val="0"/>
              <w:snapToGrid/>
              <w:spacing w:line="288"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合计</w:t>
            </w:r>
          </w:p>
        </w:tc>
        <w:tc>
          <w:tcPr>
            <w:tcW w:w="1075" w:type="dxa"/>
            <w:vAlign w:val="center"/>
          </w:tcPr>
          <w:p w14:paraId="62D6BADC">
            <w:pPr>
              <w:keepNext w:val="0"/>
              <w:keepLines w:val="0"/>
              <w:pageBreakBefore w:val="0"/>
              <w:kinsoku/>
              <w:wordWrap/>
              <w:topLinePunct w:val="0"/>
              <w:bidi w:val="0"/>
              <w:snapToGrid/>
              <w:spacing w:line="288" w:lineRule="auto"/>
              <w:jc w:val="center"/>
              <w:textAlignment w:val="auto"/>
              <w:rPr>
                <w:rFonts w:hint="eastAsia" w:ascii="宋体" w:hAnsi="宋体" w:eastAsia="宋体" w:cs="宋体"/>
                <w:color w:val="auto"/>
                <w:sz w:val="24"/>
                <w:szCs w:val="24"/>
                <w:highlight w:val="none"/>
              </w:rPr>
            </w:pPr>
          </w:p>
        </w:tc>
        <w:tc>
          <w:tcPr>
            <w:tcW w:w="1180" w:type="dxa"/>
            <w:vAlign w:val="center"/>
          </w:tcPr>
          <w:p w14:paraId="67DD00D7">
            <w:pPr>
              <w:keepNext w:val="0"/>
              <w:keepLines w:val="0"/>
              <w:pageBreakBefore w:val="0"/>
              <w:kinsoku/>
              <w:wordWrap/>
              <w:topLinePunct w:val="0"/>
              <w:bidi w:val="0"/>
              <w:snapToGrid/>
              <w:spacing w:line="288" w:lineRule="auto"/>
              <w:jc w:val="center"/>
              <w:textAlignment w:val="auto"/>
              <w:rPr>
                <w:rFonts w:hint="eastAsia" w:ascii="宋体" w:hAnsi="宋体" w:eastAsia="宋体" w:cs="宋体"/>
                <w:color w:val="auto"/>
                <w:sz w:val="24"/>
                <w:szCs w:val="24"/>
                <w:highlight w:val="none"/>
              </w:rPr>
            </w:pPr>
          </w:p>
        </w:tc>
        <w:tc>
          <w:tcPr>
            <w:tcW w:w="1623" w:type="dxa"/>
            <w:vAlign w:val="center"/>
          </w:tcPr>
          <w:p w14:paraId="6C18122C">
            <w:pPr>
              <w:keepNext w:val="0"/>
              <w:keepLines w:val="0"/>
              <w:pageBreakBefore w:val="0"/>
              <w:kinsoku/>
              <w:wordWrap/>
              <w:topLinePunct w:val="0"/>
              <w:bidi w:val="0"/>
              <w:snapToGrid/>
              <w:spacing w:line="288" w:lineRule="auto"/>
              <w:jc w:val="center"/>
              <w:textAlignment w:val="auto"/>
              <w:rPr>
                <w:rFonts w:hint="eastAsia" w:ascii="宋体" w:hAnsi="宋体" w:eastAsia="宋体" w:cs="宋体"/>
                <w:color w:val="auto"/>
                <w:sz w:val="24"/>
                <w:szCs w:val="24"/>
                <w:highlight w:val="none"/>
              </w:rPr>
            </w:pPr>
          </w:p>
        </w:tc>
        <w:tc>
          <w:tcPr>
            <w:tcW w:w="2249" w:type="dxa"/>
            <w:vAlign w:val="center"/>
          </w:tcPr>
          <w:p w14:paraId="36A93DBB">
            <w:pPr>
              <w:keepNext w:val="0"/>
              <w:keepLines w:val="0"/>
              <w:pageBreakBefore w:val="0"/>
              <w:kinsoku/>
              <w:wordWrap/>
              <w:topLinePunct w:val="0"/>
              <w:bidi w:val="0"/>
              <w:snapToGrid/>
              <w:spacing w:line="288" w:lineRule="auto"/>
              <w:jc w:val="center"/>
              <w:textAlignment w:val="auto"/>
              <w:rPr>
                <w:rFonts w:hint="eastAsia" w:ascii="宋体" w:hAnsi="宋体" w:eastAsia="宋体" w:cs="宋体"/>
                <w:color w:val="auto"/>
                <w:sz w:val="24"/>
                <w:szCs w:val="24"/>
                <w:highlight w:val="none"/>
              </w:rPr>
            </w:pPr>
          </w:p>
        </w:tc>
      </w:tr>
      <w:tr w14:paraId="659E43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9276" w:type="dxa"/>
            <w:gridSpan w:val="6"/>
            <w:vAlign w:val="center"/>
          </w:tcPr>
          <w:p w14:paraId="08F58D87">
            <w:pPr>
              <w:keepNext w:val="0"/>
              <w:keepLines w:val="0"/>
              <w:pageBreakBefore w:val="0"/>
              <w:kinsoku/>
              <w:wordWrap/>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其他费用明细表：</w:t>
            </w:r>
          </w:p>
        </w:tc>
      </w:tr>
      <w:tr w14:paraId="52472F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trPr>
        <w:tc>
          <w:tcPr>
            <w:tcW w:w="868" w:type="dxa"/>
            <w:vAlign w:val="center"/>
          </w:tcPr>
          <w:p w14:paraId="5823E866">
            <w:pPr>
              <w:keepNext w:val="0"/>
              <w:keepLines w:val="0"/>
              <w:pageBreakBefore w:val="0"/>
              <w:kinsoku/>
              <w:wordWrap/>
              <w:topLinePunct w:val="0"/>
              <w:bidi w:val="0"/>
              <w:snapToGrid/>
              <w:spacing w:line="288"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2281" w:type="dxa"/>
            <w:vAlign w:val="center"/>
          </w:tcPr>
          <w:p w14:paraId="190B22D5">
            <w:pPr>
              <w:keepNext w:val="0"/>
              <w:keepLines w:val="0"/>
              <w:pageBreakBefore w:val="0"/>
              <w:kinsoku/>
              <w:wordWrap/>
              <w:topLinePunct w:val="0"/>
              <w:bidi w:val="0"/>
              <w:snapToGrid/>
              <w:spacing w:line="288"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w:t>
            </w:r>
          </w:p>
        </w:tc>
        <w:tc>
          <w:tcPr>
            <w:tcW w:w="2255" w:type="dxa"/>
            <w:gridSpan w:val="2"/>
            <w:vAlign w:val="center"/>
          </w:tcPr>
          <w:p w14:paraId="3A81A194">
            <w:pPr>
              <w:keepNext w:val="0"/>
              <w:keepLines w:val="0"/>
              <w:pageBreakBefore w:val="0"/>
              <w:kinsoku/>
              <w:wordWrap/>
              <w:topLinePunct w:val="0"/>
              <w:bidi w:val="0"/>
              <w:snapToGrid/>
              <w:spacing w:line="288"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内容和标准</w:t>
            </w:r>
          </w:p>
        </w:tc>
        <w:tc>
          <w:tcPr>
            <w:tcW w:w="1623" w:type="dxa"/>
            <w:vAlign w:val="center"/>
          </w:tcPr>
          <w:p w14:paraId="0F671413">
            <w:pPr>
              <w:keepNext w:val="0"/>
              <w:keepLines w:val="0"/>
              <w:pageBreakBefore w:val="0"/>
              <w:kinsoku/>
              <w:wordWrap/>
              <w:topLinePunct w:val="0"/>
              <w:bidi w:val="0"/>
              <w:snapToGrid/>
              <w:spacing w:line="288"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报价</w:t>
            </w:r>
          </w:p>
        </w:tc>
        <w:tc>
          <w:tcPr>
            <w:tcW w:w="2249" w:type="dxa"/>
            <w:vAlign w:val="center"/>
          </w:tcPr>
          <w:p w14:paraId="047E0E9A">
            <w:pPr>
              <w:keepNext w:val="0"/>
              <w:keepLines w:val="0"/>
              <w:pageBreakBefore w:val="0"/>
              <w:kinsoku/>
              <w:wordWrap/>
              <w:topLinePunct w:val="0"/>
              <w:bidi w:val="0"/>
              <w:snapToGrid/>
              <w:spacing w:line="288"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备注</w:t>
            </w:r>
          </w:p>
        </w:tc>
      </w:tr>
      <w:tr w14:paraId="4A2437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trPr>
        <w:tc>
          <w:tcPr>
            <w:tcW w:w="868" w:type="dxa"/>
            <w:vAlign w:val="center"/>
          </w:tcPr>
          <w:p w14:paraId="7008CA90">
            <w:pPr>
              <w:keepNext w:val="0"/>
              <w:keepLines w:val="0"/>
              <w:pageBreakBefore w:val="0"/>
              <w:kinsoku/>
              <w:wordWrap/>
              <w:topLinePunct w:val="0"/>
              <w:bidi w:val="0"/>
              <w:snapToGrid/>
              <w:spacing w:line="288" w:lineRule="auto"/>
              <w:jc w:val="center"/>
              <w:textAlignment w:val="auto"/>
              <w:rPr>
                <w:rFonts w:hint="eastAsia" w:ascii="宋体" w:hAnsi="宋体" w:eastAsia="宋体" w:cs="宋体"/>
                <w:color w:val="auto"/>
                <w:sz w:val="24"/>
                <w:szCs w:val="24"/>
                <w:highlight w:val="none"/>
              </w:rPr>
            </w:pPr>
          </w:p>
        </w:tc>
        <w:tc>
          <w:tcPr>
            <w:tcW w:w="2281" w:type="dxa"/>
            <w:vAlign w:val="center"/>
          </w:tcPr>
          <w:p w14:paraId="50A403EB">
            <w:pPr>
              <w:keepNext w:val="0"/>
              <w:keepLines w:val="0"/>
              <w:pageBreakBefore w:val="0"/>
              <w:kinsoku/>
              <w:wordWrap/>
              <w:topLinePunct w:val="0"/>
              <w:bidi w:val="0"/>
              <w:snapToGrid/>
              <w:spacing w:line="288" w:lineRule="auto"/>
              <w:jc w:val="center"/>
              <w:textAlignment w:val="auto"/>
              <w:rPr>
                <w:rFonts w:hint="eastAsia" w:ascii="宋体" w:hAnsi="宋体" w:eastAsia="宋体" w:cs="宋体"/>
                <w:color w:val="auto"/>
                <w:sz w:val="24"/>
                <w:szCs w:val="24"/>
                <w:highlight w:val="none"/>
              </w:rPr>
            </w:pPr>
          </w:p>
        </w:tc>
        <w:tc>
          <w:tcPr>
            <w:tcW w:w="2255" w:type="dxa"/>
            <w:gridSpan w:val="2"/>
            <w:vAlign w:val="center"/>
          </w:tcPr>
          <w:p w14:paraId="77898BD5">
            <w:pPr>
              <w:keepNext w:val="0"/>
              <w:keepLines w:val="0"/>
              <w:pageBreakBefore w:val="0"/>
              <w:kinsoku/>
              <w:wordWrap/>
              <w:topLinePunct w:val="0"/>
              <w:bidi w:val="0"/>
              <w:snapToGrid/>
              <w:spacing w:line="288" w:lineRule="auto"/>
              <w:jc w:val="center"/>
              <w:textAlignment w:val="auto"/>
              <w:rPr>
                <w:rFonts w:hint="eastAsia" w:ascii="宋体" w:hAnsi="宋体" w:eastAsia="宋体" w:cs="宋体"/>
                <w:color w:val="auto"/>
                <w:sz w:val="24"/>
                <w:szCs w:val="24"/>
                <w:highlight w:val="none"/>
              </w:rPr>
            </w:pPr>
          </w:p>
        </w:tc>
        <w:tc>
          <w:tcPr>
            <w:tcW w:w="1623" w:type="dxa"/>
            <w:vAlign w:val="center"/>
          </w:tcPr>
          <w:p w14:paraId="698C324A">
            <w:pPr>
              <w:keepNext w:val="0"/>
              <w:keepLines w:val="0"/>
              <w:pageBreakBefore w:val="0"/>
              <w:kinsoku/>
              <w:wordWrap/>
              <w:topLinePunct w:val="0"/>
              <w:bidi w:val="0"/>
              <w:snapToGrid/>
              <w:spacing w:line="288" w:lineRule="auto"/>
              <w:jc w:val="center"/>
              <w:textAlignment w:val="auto"/>
              <w:rPr>
                <w:rFonts w:hint="eastAsia" w:ascii="宋体" w:hAnsi="宋体" w:eastAsia="宋体" w:cs="宋体"/>
                <w:color w:val="auto"/>
                <w:sz w:val="24"/>
                <w:szCs w:val="24"/>
                <w:highlight w:val="none"/>
              </w:rPr>
            </w:pPr>
          </w:p>
        </w:tc>
        <w:tc>
          <w:tcPr>
            <w:tcW w:w="2249" w:type="dxa"/>
            <w:vAlign w:val="center"/>
          </w:tcPr>
          <w:p w14:paraId="558900EE">
            <w:pPr>
              <w:keepNext w:val="0"/>
              <w:keepLines w:val="0"/>
              <w:pageBreakBefore w:val="0"/>
              <w:kinsoku/>
              <w:wordWrap/>
              <w:topLinePunct w:val="0"/>
              <w:bidi w:val="0"/>
              <w:snapToGrid/>
              <w:spacing w:line="288" w:lineRule="auto"/>
              <w:jc w:val="center"/>
              <w:textAlignment w:val="auto"/>
              <w:rPr>
                <w:rFonts w:hint="eastAsia" w:ascii="宋体" w:hAnsi="宋体" w:eastAsia="宋体" w:cs="宋体"/>
                <w:color w:val="auto"/>
                <w:sz w:val="24"/>
                <w:szCs w:val="24"/>
                <w:highlight w:val="none"/>
              </w:rPr>
            </w:pPr>
          </w:p>
        </w:tc>
      </w:tr>
      <w:tr w14:paraId="6CB990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868" w:type="dxa"/>
            <w:vAlign w:val="center"/>
          </w:tcPr>
          <w:p w14:paraId="319854E7">
            <w:pPr>
              <w:keepNext w:val="0"/>
              <w:keepLines w:val="0"/>
              <w:pageBreakBefore w:val="0"/>
              <w:kinsoku/>
              <w:wordWrap/>
              <w:topLinePunct w:val="0"/>
              <w:bidi w:val="0"/>
              <w:snapToGrid/>
              <w:spacing w:line="288"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2281" w:type="dxa"/>
            <w:vAlign w:val="center"/>
          </w:tcPr>
          <w:p w14:paraId="3A9300E0">
            <w:pPr>
              <w:keepNext w:val="0"/>
              <w:keepLines w:val="0"/>
              <w:pageBreakBefore w:val="0"/>
              <w:kinsoku/>
              <w:wordWrap/>
              <w:topLinePunct w:val="0"/>
              <w:bidi w:val="0"/>
              <w:snapToGrid/>
              <w:spacing w:line="288" w:lineRule="auto"/>
              <w:jc w:val="center"/>
              <w:textAlignment w:val="auto"/>
              <w:rPr>
                <w:rFonts w:hint="eastAsia" w:ascii="宋体" w:hAnsi="宋体" w:eastAsia="宋体" w:cs="宋体"/>
                <w:color w:val="auto"/>
                <w:sz w:val="24"/>
                <w:szCs w:val="24"/>
                <w:highlight w:val="none"/>
              </w:rPr>
            </w:pPr>
          </w:p>
        </w:tc>
        <w:tc>
          <w:tcPr>
            <w:tcW w:w="2255" w:type="dxa"/>
            <w:gridSpan w:val="2"/>
            <w:vAlign w:val="center"/>
          </w:tcPr>
          <w:p w14:paraId="6E4F52A2">
            <w:pPr>
              <w:keepNext w:val="0"/>
              <w:keepLines w:val="0"/>
              <w:pageBreakBefore w:val="0"/>
              <w:kinsoku/>
              <w:wordWrap/>
              <w:topLinePunct w:val="0"/>
              <w:bidi w:val="0"/>
              <w:snapToGrid/>
              <w:spacing w:line="288" w:lineRule="auto"/>
              <w:jc w:val="center"/>
              <w:textAlignment w:val="auto"/>
              <w:rPr>
                <w:rFonts w:hint="eastAsia" w:ascii="宋体" w:hAnsi="宋体" w:eastAsia="宋体" w:cs="宋体"/>
                <w:color w:val="auto"/>
                <w:sz w:val="24"/>
                <w:szCs w:val="24"/>
                <w:highlight w:val="none"/>
              </w:rPr>
            </w:pPr>
          </w:p>
        </w:tc>
        <w:tc>
          <w:tcPr>
            <w:tcW w:w="1623" w:type="dxa"/>
            <w:vAlign w:val="center"/>
          </w:tcPr>
          <w:p w14:paraId="6C8797CA">
            <w:pPr>
              <w:keepNext w:val="0"/>
              <w:keepLines w:val="0"/>
              <w:pageBreakBefore w:val="0"/>
              <w:kinsoku/>
              <w:wordWrap/>
              <w:topLinePunct w:val="0"/>
              <w:bidi w:val="0"/>
              <w:snapToGrid/>
              <w:spacing w:line="288" w:lineRule="auto"/>
              <w:jc w:val="center"/>
              <w:textAlignment w:val="auto"/>
              <w:rPr>
                <w:rFonts w:hint="eastAsia" w:ascii="宋体" w:hAnsi="宋体" w:eastAsia="宋体" w:cs="宋体"/>
                <w:color w:val="auto"/>
                <w:sz w:val="24"/>
                <w:szCs w:val="24"/>
                <w:highlight w:val="none"/>
              </w:rPr>
            </w:pPr>
          </w:p>
        </w:tc>
        <w:tc>
          <w:tcPr>
            <w:tcW w:w="2249" w:type="dxa"/>
            <w:vAlign w:val="center"/>
          </w:tcPr>
          <w:p w14:paraId="099343CA">
            <w:pPr>
              <w:keepNext w:val="0"/>
              <w:keepLines w:val="0"/>
              <w:pageBreakBefore w:val="0"/>
              <w:kinsoku/>
              <w:wordWrap/>
              <w:topLinePunct w:val="0"/>
              <w:bidi w:val="0"/>
              <w:snapToGrid/>
              <w:spacing w:line="288" w:lineRule="auto"/>
              <w:jc w:val="center"/>
              <w:textAlignment w:val="auto"/>
              <w:rPr>
                <w:rFonts w:hint="eastAsia" w:ascii="宋体" w:hAnsi="宋体" w:eastAsia="宋体" w:cs="宋体"/>
                <w:color w:val="auto"/>
                <w:sz w:val="24"/>
                <w:szCs w:val="24"/>
                <w:highlight w:val="none"/>
              </w:rPr>
            </w:pPr>
          </w:p>
        </w:tc>
      </w:tr>
      <w:tr w14:paraId="656564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9276" w:type="dxa"/>
            <w:gridSpan w:val="6"/>
            <w:vAlign w:val="center"/>
          </w:tcPr>
          <w:p w14:paraId="0189A9F7">
            <w:pPr>
              <w:keepNext w:val="0"/>
              <w:keepLines w:val="0"/>
              <w:pageBreakBefore w:val="0"/>
              <w:kinsoku/>
              <w:wordWrap/>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明细报价汇总表：</w:t>
            </w:r>
          </w:p>
        </w:tc>
      </w:tr>
      <w:tr w14:paraId="4CBB9E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2" w:hRule="atLeast"/>
        </w:trPr>
        <w:tc>
          <w:tcPr>
            <w:tcW w:w="5404" w:type="dxa"/>
            <w:gridSpan w:val="4"/>
            <w:vAlign w:val="center"/>
          </w:tcPr>
          <w:p w14:paraId="63CE4BC4">
            <w:pPr>
              <w:keepNext w:val="0"/>
              <w:keepLines w:val="0"/>
              <w:pageBreakBefore w:val="0"/>
              <w:kinsoku/>
              <w:wordWrap/>
              <w:topLinePunct w:val="0"/>
              <w:bidi w:val="0"/>
              <w:snapToGrid/>
              <w:spacing w:line="288"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报价总计（货物报价合计+其他费用合计）</w:t>
            </w:r>
          </w:p>
        </w:tc>
        <w:tc>
          <w:tcPr>
            <w:tcW w:w="3872" w:type="dxa"/>
            <w:gridSpan w:val="2"/>
            <w:vAlign w:val="center"/>
          </w:tcPr>
          <w:p w14:paraId="03845A63">
            <w:pPr>
              <w:keepNext w:val="0"/>
              <w:keepLines w:val="0"/>
              <w:pageBreakBefore w:val="0"/>
              <w:kinsoku/>
              <w:wordWrap/>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大写：人民币</w:t>
            </w:r>
            <w:r>
              <w:rPr>
                <w:rFonts w:hint="eastAsia" w:ascii="宋体" w:hAnsi="宋体" w:eastAsia="宋体" w:cs="宋体"/>
                <w:color w:val="auto"/>
                <w:sz w:val="24"/>
                <w:szCs w:val="24"/>
                <w:highlight w:val="none"/>
                <w:u w:val="single"/>
              </w:rPr>
              <w:t xml:space="preserve">          元</w:t>
            </w:r>
          </w:p>
          <w:p w14:paraId="49DA304E">
            <w:pPr>
              <w:keepNext w:val="0"/>
              <w:keepLines w:val="0"/>
              <w:pageBreakBefore w:val="0"/>
              <w:kinsoku/>
              <w:wordWrap/>
              <w:topLinePunct w:val="0"/>
              <w:bidi w:val="0"/>
              <w:snapToGrid/>
              <w:spacing w:line="288" w:lineRule="auto"/>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 xml:space="preserve">小写：￥ </w:t>
            </w:r>
            <w:r>
              <w:rPr>
                <w:rFonts w:hint="eastAsia" w:ascii="宋体" w:hAnsi="宋体" w:eastAsia="宋体" w:cs="宋体"/>
                <w:color w:val="auto"/>
                <w:sz w:val="24"/>
                <w:szCs w:val="24"/>
                <w:highlight w:val="none"/>
                <w:u w:val="single"/>
              </w:rPr>
              <w:t xml:space="preserve">             元</w:t>
            </w:r>
          </w:p>
        </w:tc>
      </w:tr>
    </w:tbl>
    <w:p w14:paraId="7E98CF87">
      <w:pPr>
        <w:keepNext w:val="0"/>
        <w:keepLines w:val="0"/>
        <w:pageBreakBefore w:val="0"/>
        <w:kinsoku/>
        <w:wordWrap/>
        <w:topLinePunct w:val="0"/>
        <w:bidi w:val="0"/>
        <w:snapToGrid/>
        <w:spacing w:before="240" w:beforeLines="100"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注明：</w:t>
      </w:r>
    </w:p>
    <w:p w14:paraId="30F6F2CD">
      <w:pPr>
        <w:pStyle w:val="94"/>
        <w:keepNext w:val="0"/>
        <w:keepLines w:val="0"/>
        <w:pageBreakBefore w:val="0"/>
        <w:numPr>
          <w:ilvl w:val="0"/>
          <w:numId w:val="6"/>
        </w:numPr>
        <w:kinsoku/>
        <w:wordWrap/>
        <w:topLinePunct w:val="0"/>
        <w:bidi w:val="0"/>
        <w:snapToGrid/>
        <w:spacing w:line="288" w:lineRule="auto"/>
        <w:ind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此表为报价总表的明细表。</w:t>
      </w:r>
    </w:p>
    <w:p w14:paraId="0024F6E4">
      <w:pPr>
        <w:pStyle w:val="94"/>
        <w:keepNext w:val="0"/>
        <w:keepLines w:val="0"/>
        <w:pageBreakBefore w:val="0"/>
        <w:numPr>
          <w:ilvl w:val="0"/>
          <w:numId w:val="6"/>
        </w:numPr>
        <w:kinsoku/>
        <w:wordWrap/>
        <w:topLinePunct w:val="0"/>
        <w:bidi w:val="0"/>
        <w:snapToGrid/>
        <w:spacing w:line="288" w:lineRule="auto"/>
        <w:ind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如果单价和总价不符时，以单价为准，修正总价。</w:t>
      </w:r>
    </w:p>
    <w:p w14:paraId="76AB550E">
      <w:pPr>
        <w:pStyle w:val="94"/>
        <w:keepNext w:val="0"/>
        <w:keepLines w:val="0"/>
        <w:pageBreakBefore w:val="0"/>
        <w:numPr>
          <w:ilvl w:val="0"/>
          <w:numId w:val="6"/>
        </w:numPr>
        <w:kinsoku/>
        <w:wordWrap/>
        <w:topLinePunct w:val="0"/>
        <w:bidi w:val="0"/>
        <w:snapToGrid/>
        <w:spacing w:line="288" w:lineRule="auto"/>
        <w:ind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供应商应列明按“采购需求”所要求提供的所有报价项的价格明细。</w:t>
      </w:r>
    </w:p>
    <w:p w14:paraId="30F5576B">
      <w:pPr>
        <w:pStyle w:val="94"/>
        <w:keepNext w:val="0"/>
        <w:keepLines w:val="0"/>
        <w:pageBreakBefore w:val="0"/>
        <w:numPr>
          <w:ilvl w:val="0"/>
          <w:numId w:val="6"/>
        </w:numPr>
        <w:kinsoku/>
        <w:wordWrap/>
        <w:topLinePunct w:val="0"/>
        <w:bidi w:val="0"/>
        <w:snapToGrid/>
        <w:spacing w:line="288" w:lineRule="auto"/>
        <w:ind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货物名称与产品注册证登记名称保持一致。</w:t>
      </w:r>
    </w:p>
    <w:p w14:paraId="693E0AB6">
      <w:pPr>
        <w:keepNext w:val="0"/>
        <w:keepLines w:val="0"/>
        <w:pageBreakBefore w:val="0"/>
        <w:kinsoku/>
        <w:wordWrap/>
        <w:topLinePunct w:val="0"/>
        <w:bidi w:val="0"/>
        <w:snapToGrid/>
        <w:spacing w:line="288" w:lineRule="auto"/>
        <w:textAlignment w:val="auto"/>
        <w:rPr>
          <w:rFonts w:hint="eastAsia" w:ascii="宋体" w:hAnsi="宋体" w:eastAsia="宋体" w:cs="宋体"/>
          <w:color w:val="auto"/>
          <w:sz w:val="24"/>
          <w:szCs w:val="24"/>
          <w:highlight w:val="none"/>
        </w:rPr>
      </w:pPr>
    </w:p>
    <w:tbl>
      <w:tblPr>
        <w:tblStyle w:val="44"/>
        <w:tblW w:w="9345" w:type="dxa"/>
        <w:tblInd w:w="0" w:type="dxa"/>
        <w:tblLayout w:type="fixed"/>
        <w:tblCellMar>
          <w:top w:w="0" w:type="dxa"/>
          <w:left w:w="108" w:type="dxa"/>
          <w:bottom w:w="0" w:type="dxa"/>
          <w:right w:w="108" w:type="dxa"/>
        </w:tblCellMar>
      </w:tblPr>
      <w:tblGrid>
        <w:gridCol w:w="5353"/>
        <w:gridCol w:w="3992"/>
      </w:tblGrid>
      <w:tr w14:paraId="5E92824A">
        <w:tblPrEx>
          <w:tblCellMar>
            <w:top w:w="0" w:type="dxa"/>
            <w:left w:w="108" w:type="dxa"/>
            <w:bottom w:w="0" w:type="dxa"/>
            <w:right w:w="108" w:type="dxa"/>
          </w:tblCellMar>
        </w:tblPrEx>
        <w:tc>
          <w:tcPr>
            <w:tcW w:w="5353" w:type="dxa"/>
            <w:shd w:val="clear" w:color="auto" w:fill="auto"/>
          </w:tcPr>
          <w:p w14:paraId="609C23E4">
            <w:pPr>
              <w:keepNext w:val="0"/>
              <w:keepLines w:val="0"/>
              <w:pageBreakBefore w:val="0"/>
              <w:kinsoku/>
              <w:wordWrap/>
              <w:overflowPunct w:val="0"/>
              <w:topLinePunct w:val="0"/>
              <w:bidi w:val="0"/>
              <w:adjustRightInd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供应商名称（加盖公章）：</w:t>
            </w:r>
          </w:p>
        </w:tc>
        <w:tc>
          <w:tcPr>
            <w:tcW w:w="3992" w:type="dxa"/>
            <w:shd w:val="clear" w:color="auto" w:fill="auto"/>
          </w:tcPr>
          <w:p w14:paraId="168CDB81">
            <w:pPr>
              <w:keepNext w:val="0"/>
              <w:keepLines w:val="0"/>
              <w:pageBreakBefore w:val="0"/>
              <w:kinsoku/>
              <w:wordWrap/>
              <w:topLinePunct w:val="0"/>
              <w:bidi w:val="0"/>
              <w:snapToGrid/>
              <w:spacing w:line="288" w:lineRule="auto"/>
              <w:textAlignment w:val="auto"/>
              <w:rPr>
                <w:rFonts w:hint="eastAsia" w:ascii="宋体" w:hAnsi="宋体" w:eastAsia="宋体" w:cs="宋体"/>
                <w:color w:val="auto"/>
                <w:sz w:val="24"/>
                <w:szCs w:val="24"/>
                <w:highlight w:val="none"/>
              </w:rPr>
            </w:pPr>
          </w:p>
        </w:tc>
      </w:tr>
      <w:tr w14:paraId="40A7148C">
        <w:tblPrEx>
          <w:tblCellMar>
            <w:top w:w="0" w:type="dxa"/>
            <w:left w:w="108" w:type="dxa"/>
            <w:bottom w:w="0" w:type="dxa"/>
            <w:right w:w="108" w:type="dxa"/>
          </w:tblCellMar>
        </w:tblPrEx>
        <w:tc>
          <w:tcPr>
            <w:tcW w:w="5353" w:type="dxa"/>
            <w:shd w:val="clear" w:color="auto" w:fill="auto"/>
          </w:tcPr>
          <w:p w14:paraId="2F24EAC6">
            <w:pPr>
              <w:keepNext w:val="0"/>
              <w:keepLines w:val="0"/>
              <w:pageBreakBefore w:val="0"/>
              <w:kinsoku/>
              <w:wordWrap/>
              <w:topLinePunct w:val="0"/>
              <w:bidi w:val="0"/>
              <w:snapToGrid/>
              <w:spacing w:line="288" w:lineRule="auto"/>
              <w:textAlignment w:val="auto"/>
              <w:rPr>
                <w:rFonts w:hint="eastAsia" w:ascii="宋体" w:hAnsi="宋体" w:eastAsia="宋体" w:cs="宋体"/>
                <w:color w:val="auto"/>
                <w:sz w:val="24"/>
                <w:szCs w:val="24"/>
                <w:highlight w:val="none"/>
              </w:rPr>
            </w:pPr>
          </w:p>
          <w:p w14:paraId="3EB0188D">
            <w:pPr>
              <w:keepNext w:val="0"/>
              <w:keepLines w:val="0"/>
              <w:pageBreakBefore w:val="0"/>
              <w:kinsoku/>
              <w:wordWrap/>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          年         月         日</w:t>
            </w:r>
          </w:p>
        </w:tc>
        <w:tc>
          <w:tcPr>
            <w:tcW w:w="3992" w:type="dxa"/>
            <w:shd w:val="clear" w:color="auto" w:fill="auto"/>
          </w:tcPr>
          <w:p w14:paraId="64D1857D">
            <w:pPr>
              <w:keepNext w:val="0"/>
              <w:keepLines w:val="0"/>
              <w:pageBreakBefore w:val="0"/>
              <w:kinsoku/>
              <w:wordWrap/>
              <w:topLinePunct w:val="0"/>
              <w:bidi w:val="0"/>
              <w:snapToGrid/>
              <w:spacing w:line="288" w:lineRule="auto"/>
              <w:textAlignment w:val="auto"/>
              <w:rPr>
                <w:rFonts w:hint="eastAsia" w:ascii="宋体" w:hAnsi="宋体" w:eastAsia="宋体" w:cs="宋体"/>
                <w:color w:val="auto"/>
                <w:sz w:val="24"/>
                <w:szCs w:val="24"/>
                <w:highlight w:val="none"/>
              </w:rPr>
            </w:pPr>
          </w:p>
        </w:tc>
      </w:tr>
    </w:tbl>
    <w:p w14:paraId="6329B8C8">
      <w:pPr>
        <w:keepNext w:val="0"/>
        <w:keepLines w:val="0"/>
        <w:pageBreakBefore w:val="0"/>
        <w:kinsoku/>
        <w:wordWrap/>
        <w:topLinePunct w:val="0"/>
        <w:autoSpaceDE w:val="0"/>
        <w:autoSpaceDN w:val="0"/>
        <w:bidi w:val="0"/>
        <w:adjustRightInd w:val="0"/>
        <w:snapToGrid/>
        <w:spacing w:before="120" w:beforeLines="50" w:after="120" w:afterLines="50" w:line="288" w:lineRule="auto"/>
        <w:jc w:val="center"/>
        <w:textAlignment w:val="auto"/>
        <w:rPr>
          <w:rFonts w:hint="eastAsia" w:ascii="宋体" w:hAnsi="宋体" w:eastAsia="宋体" w:cs="宋体"/>
          <w:b/>
          <w:color w:val="auto"/>
          <w:sz w:val="24"/>
          <w:szCs w:val="24"/>
          <w:highlight w:val="none"/>
        </w:rPr>
      </w:pPr>
    </w:p>
    <w:p w14:paraId="71607293">
      <w:pP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br w:type="page"/>
      </w:r>
    </w:p>
    <w:p w14:paraId="7D2EB020">
      <w:pPr>
        <w:spacing w:line="360" w:lineRule="auto"/>
        <w:jc w:val="center"/>
        <w:rPr>
          <w:rFonts w:hint="eastAsia" w:ascii="宋体" w:hAnsi="宋体" w:eastAsia="宋体" w:cs="宋体"/>
          <w:b/>
          <w:color w:val="auto"/>
          <w:sz w:val="36"/>
          <w:szCs w:val="36"/>
          <w:highlight w:val="none"/>
        </w:rPr>
      </w:pPr>
    </w:p>
    <w:p w14:paraId="6D5C10D3">
      <w:pPr>
        <w:spacing w:line="360" w:lineRule="auto"/>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三、投标函</w:t>
      </w:r>
    </w:p>
    <w:p w14:paraId="33785C72">
      <w:pPr>
        <w:keepNext w:val="0"/>
        <w:keepLines w:val="0"/>
        <w:pageBreakBefore w:val="0"/>
        <w:kinsoku/>
        <w:wordWrap/>
        <w:overflowPunct/>
        <w:topLinePunct w:val="0"/>
        <w:bidi w:val="0"/>
        <w:snapToGrid/>
        <w:spacing w:before="120" w:beforeLines="50" w:after="120" w:afterLines="50"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致：</w:t>
      </w:r>
      <w:r>
        <w:rPr>
          <w:rFonts w:hint="eastAsia" w:ascii="宋体" w:hAnsi="宋体" w:eastAsia="宋体" w:cs="宋体"/>
          <w:b/>
          <w:color w:val="auto"/>
          <w:sz w:val="24"/>
          <w:szCs w:val="24"/>
          <w:highlight w:val="none"/>
          <w:u w:val="single"/>
        </w:rPr>
        <w:t>(采购代理机构名称)</w:t>
      </w:r>
    </w:p>
    <w:p w14:paraId="0C404035">
      <w:pPr>
        <w:keepNext w:val="0"/>
        <w:keepLines w:val="0"/>
        <w:pageBreakBefore w:val="0"/>
        <w:kinsoku/>
        <w:wordWrap/>
        <w:overflowPunct/>
        <w:topLinePunct w:val="0"/>
        <w:autoSpaceDE w:val="0"/>
        <w:autoSpaceDN w:val="0"/>
        <w:bidi w:val="0"/>
        <w:adjustRightInd w:val="0"/>
        <w:snapToGrid/>
        <w:spacing w:line="288" w:lineRule="auto"/>
        <w:ind w:right="26"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依据贵方</w:t>
      </w:r>
      <w:r>
        <w:rPr>
          <w:rFonts w:hint="eastAsia" w:ascii="宋体" w:hAnsi="宋体" w:eastAsia="宋体" w:cs="宋体"/>
          <w:b/>
          <w:bCs/>
          <w:color w:val="auto"/>
          <w:sz w:val="24"/>
          <w:szCs w:val="24"/>
          <w:highlight w:val="none"/>
          <w:u w:val="single"/>
        </w:rPr>
        <w:t>项目名称</w:t>
      </w:r>
      <w:r>
        <w:rPr>
          <w:rFonts w:hint="eastAsia" w:ascii="宋体" w:hAnsi="宋体" w:eastAsia="宋体" w:cs="宋体"/>
          <w:b/>
          <w:bCs/>
          <w:color w:val="auto"/>
          <w:sz w:val="24"/>
          <w:szCs w:val="24"/>
          <w:highlight w:val="none"/>
          <w:u w:val="single"/>
          <w:lang w:val="en-US" w:eastAsia="zh-CN"/>
        </w:rPr>
        <w:t xml:space="preserve">    </w:t>
      </w:r>
      <w:r>
        <w:rPr>
          <w:rFonts w:hint="eastAsia" w:ascii="宋体" w:hAnsi="宋体" w:eastAsia="宋体" w:cs="宋体"/>
          <w:bCs/>
          <w:color w:val="auto"/>
          <w:sz w:val="24"/>
          <w:szCs w:val="24"/>
          <w:highlight w:val="none"/>
          <w:u w:val="single"/>
        </w:rPr>
        <w:t>（</w:t>
      </w:r>
      <w:r>
        <w:rPr>
          <w:rFonts w:hint="eastAsia" w:ascii="宋体" w:hAnsi="宋体" w:eastAsia="宋体" w:cs="宋体"/>
          <w:b/>
          <w:bCs/>
          <w:color w:val="auto"/>
          <w:sz w:val="24"/>
          <w:szCs w:val="24"/>
          <w:highlight w:val="none"/>
          <w:u w:val="single"/>
        </w:rPr>
        <w:t>项目编号：</w:t>
      </w:r>
      <w:r>
        <w:rPr>
          <w:rFonts w:hint="eastAsia" w:ascii="宋体" w:hAnsi="宋体" w:eastAsia="宋体" w:cs="宋体"/>
          <w:bCs/>
          <w:color w:val="auto"/>
          <w:sz w:val="24"/>
          <w:szCs w:val="24"/>
          <w:highlight w:val="none"/>
          <w:u w:val="single"/>
        </w:rPr>
        <w:t xml:space="preserve">        ) </w:t>
      </w:r>
      <w:r>
        <w:rPr>
          <w:rFonts w:hint="eastAsia" w:ascii="宋体" w:hAnsi="宋体" w:eastAsia="宋体" w:cs="宋体"/>
          <w:bCs/>
          <w:color w:val="auto"/>
          <w:sz w:val="24"/>
          <w:szCs w:val="24"/>
          <w:highlight w:val="none"/>
        </w:rPr>
        <w:t>招标货物及服务的投标，我方代表</w:t>
      </w:r>
      <w:r>
        <w:rPr>
          <w:rFonts w:hint="eastAsia" w:ascii="宋体" w:hAnsi="宋体" w:eastAsia="宋体" w:cs="宋体"/>
          <w:b/>
          <w:bCs/>
          <w:color w:val="auto"/>
          <w:sz w:val="24"/>
          <w:szCs w:val="24"/>
          <w:highlight w:val="none"/>
          <w:u w:val="single"/>
        </w:rPr>
        <w:t>（姓名、职务）</w:t>
      </w:r>
      <w:r>
        <w:rPr>
          <w:rFonts w:hint="eastAsia" w:ascii="宋体" w:hAnsi="宋体" w:eastAsia="宋体" w:cs="宋体"/>
          <w:bCs/>
          <w:color w:val="auto"/>
          <w:sz w:val="24"/>
          <w:szCs w:val="24"/>
          <w:highlight w:val="none"/>
        </w:rPr>
        <w:t>经正式授权并代表</w:t>
      </w:r>
      <w:r>
        <w:rPr>
          <w:rFonts w:hint="eastAsia" w:ascii="宋体" w:hAnsi="宋体" w:eastAsia="宋体" w:cs="宋体"/>
          <w:b/>
          <w:bCs/>
          <w:color w:val="auto"/>
          <w:sz w:val="24"/>
          <w:szCs w:val="24"/>
          <w:highlight w:val="none"/>
          <w:u w:val="single"/>
        </w:rPr>
        <w:t>（供应商名称）</w:t>
      </w:r>
      <w:r>
        <w:rPr>
          <w:rFonts w:hint="eastAsia" w:ascii="宋体" w:hAnsi="宋体" w:eastAsia="宋体" w:cs="宋体"/>
          <w:bCs/>
          <w:color w:val="auto"/>
          <w:sz w:val="24"/>
          <w:szCs w:val="24"/>
          <w:highlight w:val="none"/>
        </w:rPr>
        <w:t>提交开标一览表一份、投标文件正本一份，副本</w:t>
      </w:r>
      <w:r>
        <w:rPr>
          <w:rFonts w:hint="eastAsia" w:ascii="宋体" w:hAnsi="宋体" w:eastAsia="宋体" w:cs="宋体"/>
          <w:bCs/>
          <w:color w:val="auto"/>
          <w:sz w:val="24"/>
          <w:szCs w:val="24"/>
          <w:highlight w:val="none"/>
          <w:u w:val="single"/>
        </w:rPr>
        <w:t xml:space="preserve">   </w:t>
      </w:r>
      <w:r>
        <w:rPr>
          <w:rFonts w:hint="eastAsia" w:ascii="宋体" w:hAnsi="宋体" w:eastAsia="宋体" w:cs="宋体"/>
          <w:b/>
          <w:bCs/>
          <w:color w:val="auto"/>
          <w:sz w:val="24"/>
          <w:szCs w:val="24"/>
          <w:highlight w:val="none"/>
          <w:u w:val="single"/>
        </w:rPr>
        <w:t xml:space="preserve"> </w:t>
      </w:r>
      <w:r>
        <w:rPr>
          <w:rFonts w:hint="eastAsia" w:ascii="宋体" w:hAnsi="宋体" w:eastAsia="宋体" w:cs="宋体"/>
          <w:bCs/>
          <w:color w:val="auto"/>
          <w:sz w:val="24"/>
          <w:szCs w:val="24"/>
          <w:highlight w:val="none"/>
        </w:rPr>
        <w:t>份。</w:t>
      </w:r>
    </w:p>
    <w:p w14:paraId="49B77A87">
      <w:pPr>
        <w:keepNext w:val="0"/>
        <w:keepLines w:val="0"/>
        <w:pageBreakBefore w:val="0"/>
        <w:kinsoku/>
        <w:wordWrap/>
        <w:overflowPunct/>
        <w:topLinePunct w:val="0"/>
        <w:autoSpaceDE w:val="0"/>
        <w:autoSpaceDN w:val="0"/>
        <w:bidi w:val="0"/>
        <w:adjustRightInd w:val="0"/>
        <w:snapToGrid/>
        <w:spacing w:line="288" w:lineRule="auto"/>
        <w:ind w:right="246"/>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在此，我方声明如下：</w:t>
      </w:r>
    </w:p>
    <w:p w14:paraId="5E9D3280">
      <w:pPr>
        <w:pStyle w:val="94"/>
        <w:keepNext w:val="0"/>
        <w:keepLines w:val="0"/>
        <w:pageBreakBefore w:val="0"/>
        <w:numPr>
          <w:ilvl w:val="0"/>
          <w:numId w:val="7"/>
        </w:numPr>
        <w:kinsoku/>
        <w:wordWrap/>
        <w:overflowPunct/>
        <w:topLinePunct w:val="0"/>
        <w:bidi w:val="0"/>
        <w:snapToGrid/>
        <w:spacing w:line="288" w:lineRule="auto"/>
        <w:ind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6"/>
          <w:sz w:val="24"/>
          <w:szCs w:val="24"/>
          <w:highlight w:val="none"/>
        </w:rPr>
        <w:t>同意并接受招标文件的各项要求，遵守招标文件中的各项规定，按招标文件的要求提供报价</w:t>
      </w:r>
      <w:r>
        <w:rPr>
          <w:rFonts w:hint="eastAsia" w:ascii="宋体" w:hAnsi="宋体" w:eastAsia="宋体" w:cs="宋体"/>
          <w:color w:val="auto"/>
          <w:sz w:val="24"/>
          <w:szCs w:val="24"/>
          <w:highlight w:val="none"/>
        </w:rPr>
        <w:t>。</w:t>
      </w:r>
    </w:p>
    <w:p w14:paraId="75F5E812">
      <w:pPr>
        <w:pStyle w:val="94"/>
        <w:keepNext w:val="0"/>
        <w:keepLines w:val="0"/>
        <w:pageBreakBefore w:val="0"/>
        <w:numPr>
          <w:ilvl w:val="0"/>
          <w:numId w:val="7"/>
        </w:numPr>
        <w:kinsoku/>
        <w:wordWrap/>
        <w:overflowPunct/>
        <w:topLinePunct w:val="0"/>
        <w:bidi w:val="0"/>
        <w:snapToGrid/>
        <w:spacing w:line="288" w:lineRule="auto"/>
        <w:ind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投标有效期为递交投标文件截止日后90天，中标人投标有效期延至合同验收之日。</w:t>
      </w:r>
    </w:p>
    <w:p w14:paraId="490EFA2E">
      <w:pPr>
        <w:pStyle w:val="94"/>
        <w:keepNext w:val="0"/>
        <w:keepLines w:val="0"/>
        <w:pageBreakBefore w:val="0"/>
        <w:numPr>
          <w:ilvl w:val="0"/>
          <w:numId w:val="7"/>
        </w:numPr>
        <w:kinsoku/>
        <w:wordWrap/>
        <w:overflowPunct/>
        <w:topLinePunct w:val="0"/>
        <w:bidi w:val="0"/>
        <w:snapToGrid/>
        <w:spacing w:line="288" w:lineRule="auto"/>
        <w:ind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我方已经详细地阅读了全部招标文件及其附件，包括澄清及参考文件(如果有的话)。我方已完全清晰理解招标文件的要求，不存在任何含糊不清和误解之处，同意放弃对这些文件所提出的异议和质疑的权利。</w:t>
      </w:r>
    </w:p>
    <w:p w14:paraId="412C054C">
      <w:pPr>
        <w:pStyle w:val="94"/>
        <w:keepNext w:val="0"/>
        <w:keepLines w:val="0"/>
        <w:pageBreakBefore w:val="0"/>
        <w:numPr>
          <w:ilvl w:val="0"/>
          <w:numId w:val="7"/>
        </w:numPr>
        <w:kinsoku/>
        <w:wordWrap/>
        <w:overflowPunct/>
        <w:topLinePunct w:val="0"/>
        <w:bidi w:val="0"/>
        <w:snapToGrid/>
        <w:spacing w:line="288" w:lineRule="auto"/>
        <w:ind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我方已毫无保留地向贵方提供一切所需的证明材料。</w:t>
      </w:r>
    </w:p>
    <w:p w14:paraId="42488094">
      <w:pPr>
        <w:pStyle w:val="94"/>
        <w:keepNext w:val="0"/>
        <w:keepLines w:val="0"/>
        <w:pageBreakBefore w:val="0"/>
        <w:numPr>
          <w:ilvl w:val="0"/>
          <w:numId w:val="7"/>
        </w:numPr>
        <w:kinsoku/>
        <w:wordWrap/>
        <w:overflowPunct/>
        <w:topLinePunct w:val="0"/>
        <w:bidi w:val="0"/>
        <w:snapToGrid/>
        <w:spacing w:line="288" w:lineRule="auto"/>
        <w:ind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我方承诺在本次投标文件中提供的一切文件，无论是原件还是复印件均为真实和准确的，绝无任何虚假、伪造和夸大的成份，否则，愿承担相应的后果和法律责任。</w:t>
      </w:r>
    </w:p>
    <w:p w14:paraId="49843817">
      <w:pPr>
        <w:pStyle w:val="94"/>
        <w:keepNext w:val="0"/>
        <w:keepLines w:val="0"/>
        <w:pageBreakBefore w:val="0"/>
        <w:numPr>
          <w:ilvl w:val="0"/>
          <w:numId w:val="7"/>
        </w:numPr>
        <w:kinsoku/>
        <w:wordWrap/>
        <w:overflowPunct/>
        <w:topLinePunct w:val="0"/>
        <w:bidi w:val="0"/>
        <w:snapToGrid/>
        <w:spacing w:line="288" w:lineRule="auto"/>
        <w:ind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我方完全服从和尊重评委会所作的评定结果，同时清楚理解到报价最低并非意味着必定获得中标资格。</w:t>
      </w:r>
    </w:p>
    <w:p w14:paraId="12FDB2B9">
      <w:pPr>
        <w:pStyle w:val="94"/>
        <w:keepNext w:val="0"/>
        <w:keepLines w:val="0"/>
        <w:pageBreakBefore w:val="0"/>
        <w:numPr>
          <w:ilvl w:val="0"/>
          <w:numId w:val="7"/>
        </w:numPr>
        <w:kinsoku/>
        <w:wordWrap/>
        <w:overflowPunct/>
        <w:topLinePunct w:val="0"/>
        <w:bidi w:val="0"/>
        <w:snapToGrid/>
        <w:spacing w:line="288" w:lineRule="auto"/>
        <w:ind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我方同意按招标文件规定向采购代理机构缴纳中标服务费。</w:t>
      </w:r>
    </w:p>
    <w:p w14:paraId="71F421D7">
      <w:pPr>
        <w:pStyle w:val="94"/>
        <w:keepNext w:val="0"/>
        <w:keepLines w:val="0"/>
        <w:pageBreakBefore w:val="0"/>
        <w:kinsoku/>
        <w:wordWrap/>
        <w:overflowPunct/>
        <w:topLinePunct w:val="0"/>
        <w:bidi w:val="0"/>
        <w:snapToGrid/>
        <w:spacing w:line="288" w:lineRule="auto"/>
        <w:ind w:left="420" w:firstLine="0" w:firstLineChars="0"/>
        <w:textAlignment w:val="auto"/>
        <w:rPr>
          <w:rFonts w:hint="eastAsia" w:ascii="宋体" w:hAnsi="宋体" w:eastAsia="宋体" w:cs="宋体"/>
          <w:color w:val="auto"/>
          <w:sz w:val="24"/>
          <w:szCs w:val="24"/>
          <w:highlight w:val="none"/>
        </w:rPr>
      </w:pPr>
    </w:p>
    <w:tbl>
      <w:tblPr>
        <w:tblStyle w:val="44"/>
        <w:tblW w:w="8528" w:type="dxa"/>
        <w:jc w:val="center"/>
        <w:tblLayout w:type="fixed"/>
        <w:tblCellMar>
          <w:top w:w="0" w:type="dxa"/>
          <w:left w:w="108" w:type="dxa"/>
          <w:bottom w:w="0" w:type="dxa"/>
          <w:right w:w="108" w:type="dxa"/>
        </w:tblCellMar>
      </w:tblPr>
      <w:tblGrid>
        <w:gridCol w:w="4264"/>
        <w:gridCol w:w="4264"/>
      </w:tblGrid>
      <w:tr w14:paraId="11839ABD">
        <w:tblPrEx>
          <w:tblCellMar>
            <w:top w:w="0" w:type="dxa"/>
            <w:left w:w="108" w:type="dxa"/>
            <w:bottom w:w="0" w:type="dxa"/>
            <w:right w:w="108" w:type="dxa"/>
          </w:tblCellMar>
        </w:tblPrEx>
        <w:trPr>
          <w:jc w:val="center"/>
        </w:trPr>
        <w:tc>
          <w:tcPr>
            <w:tcW w:w="4264" w:type="dxa"/>
            <w:shd w:val="clear" w:color="auto" w:fill="auto"/>
          </w:tcPr>
          <w:p w14:paraId="51AB2454">
            <w:pPr>
              <w:keepNext w:val="0"/>
              <w:keepLines w:val="0"/>
              <w:pageBreakBefore w:val="0"/>
              <w:kinsoku/>
              <w:wordWrap/>
              <w:overflowPunct/>
              <w:topLinePunct w:val="0"/>
              <w:bidi w:val="0"/>
              <w:snapToGrid/>
              <w:spacing w:before="120" w:beforeLines="50"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供应商地址：</w:t>
            </w:r>
          </w:p>
        </w:tc>
        <w:tc>
          <w:tcPr>
            <w:tcW w:w="4264" w:type="dxa"/>
            <w:shd w:val="clear" w:color="auto" w:fill="auto"/>
          </w:tcPr>
          <w:p w14:paraId="38AAA0CC">
            <w:pPr>
              <w:keepNext w:val="0"/>
              <w:keepLines w:val="0"/>
              <w:pageBreakBefore w:val="0"/>
              <w:kinsoku/>
              <w:wordWrap/>
              <w:overflowPunct/>
              <w:topLinePunct w:val="0"/>
              <w:bidi w:val="0"/>
              <w:snapToGrid/>
              <w:spacing w:before="120" w:beforeLines="50"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邮编：</w:t>
            </w:r>
          </w:p>
        </w:tc>
      </w:tr>
      <w:tr w14:paraId="6BE8079D">
        <w:tblPrEx>
          <w:tblCellMar>
            <w:top w:w="0" w:type="dxa"/>
            <w:left w:w="108" w:type="dxa"/>
            <w:bottom w:w="0" w:type="dxa"/>
            <w:right w:w="108" w:type="dxa"/>
          </w:tblCellMar>
        </w:tblPrEx>
        <w:trPr>
          <w:jc w:val="center"/>
        </w:trPr>
        <w:tc>
          <w:tcPr>
            <w:tcW w:w="4264" w:type="dxa"/>
            <w:shd w:val="clear" w:color="auto" w:fill="auto"/>
          </w:tcPr>
          <w:p w14:paraId="71FC019F">
            <w:pPr>
              <w:keepNext w:val="0"/>
              <w:keepLines w:val="0"/>
              <w:pageBreakBefore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联系电话：</w:t>
            </w:r>
          </w:p>
        </w:tc>
        <w:tc>
          <w:tcPr>
            <w:tcW w:w="4264" w:type="dxa"/>
            <w:shd w:val="clear" w:color="auto" w:fill="auto"/>
          </w:tcPr>
          <w:p w14:paraId="17C39AE6">
            <w:pPr>
              <w:keepNext w:val="0"/>
              <w:keepLines w:val="0"/>
              <w:pageBreakBefore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传真：</w:t>
            </w:r>
          </w:p>
        </w:tc>
      </w:tr>
      <w:tr w14:paraId="7FF901EB">
        <w:tblPrEx>
          <w:tblCellMar>
            <w:top w:w="0" w:type="dxa"/>
            <w:left w:w="108" w:type="dxa"/>
            <w:bottom w:w="0" w:type="dxa"/>
            <w:right w:w="108" w:type="dxa"/>
          </w:tblCellMar>
        </w:tblPrEx>
        <w:trPr>
          <w:jc w:val="center"/>
        </w:trPr>
        <w:tc>
          <w:tcPr>
            <w:tcW w:w="4264" w:type="dxa"/>
            <w:shd w:val="clear" w:color="auto" w:fill="auto"/>
          </w:tcPr>
          <w:p w14:paraId="4646E304">
            <w:pPr>
              <w:keepNext w:val="0"/>
              <w:keepLines w:val="0"/>
              <w:pageBreakBefore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项目联系人：</w:t>
            </w:r>
          </w:p>
        </w:tc>
        <w:tc>
          <w:tcPr>
            <w:tcW w:w="4264" w:type="dxa"/>
            <w:shd w:val="clear" w:color="auto" w:fill="auto"/>
          </w:tcPr>
          <w:p w14:paraId="194EFBF2">
            <w:pPr>
              <w:keepNext w:val="0"/>
              <w:keepLines w:val="0"/>
              <w:pageBreakBefore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手机：</w:t>
            </w:r>
          </w:p>
        </w:tc>
      </w:tr>
      <w:tr w14:paraId="075D5BB7">
        <w:tblPrEx>
          <w:tblCellMar>
            <w:top w:w="0" w:type="dxa"/>
            <w:left w:w="108" w:type="dxa"/>
            <w:bottom w:w="0" w:type="dxa"/>
            <w:right w:w="108" w:type="dxa"/>
          </w:tblCellMar>
        </w:tblPrEx>
        <w:trPr>
          <w:jc w:val="center"/>
        </w:trPr>
        <w:tc>
          <w:tcPr>
            <w:tcW w:w="8528" w:type="dxa"/>
            <w:gridSpan w:val="2"/>
            <w:shd w:val="clear" w:color="auto" w:fill="auto"/>
          </w:tcPr>
          <w:p w14:paraId="35EE1CAB">
            <w:pPr>
              <w:keepNext w:val="0"/>
              <w:keepLines w:val="0"/>
              <w:pageBreakBefore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供应商名称（加盖公章）：</w:t>
            </w:r>
          </w:p>
        </w:tc>
      </w:tr>
      <w:tr w14:paraId="79062301">
        <w:tblPrEx>
          <w:tblCellMar>
            <w:top w:w="0" w:type="dxa"/>
            <w:left w:w="108" w:type="dxa"/>
            <w:bottom w:w="0" w:type="dxa"/>
            <w:right w:w="108" w:type="dxa"/>
          </w:tblCellMar>
        </w:tblPrEx>
        <w:trPr>
          <w:jc w:val="center"/>
        </w:trPr>
        <w:tc>
          <w:tcPr>
            <w:tcW w:w="8528" w:type="dxa"/>
            <w:gridSpan w:val="2"/>
            <w:shd w:val="clear" w:color="auto" w:fill="auto"/>
          </w:tcPr>
          <w:p w14:paraId="25810F58">
            <w:pPr>
              <w:keepNext w:val="0"/>
              <w:keepLines w:val="0"/>
              <w:pageBreakBefore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供应商法定代表人或被授权人（签名或盖章）：</w:t>
            </w:r>
          </w:p>
        </w:tc>
      </w:tr>
      <w:tr w14:paraId="11C87D3F">
        <w:tblPrEx>
          <w:tblCellMar>
            <w:top w:w="0" w:type="dxa"/>
            <w:left w:w="108" w:type="dxa"/>
            <w:bottom w:w="0" w:type="dxa"/>
            <w:right w:w="108" w:type="dxa"/>
          </w:tblCellMar>
        </w:tblPrEx>
        <w:trPr>
          <w:jc w:val="center"/>
        </w:trPr>
        <w:tc>
          <w:tcPr>
            <w:tcW w:w="8528" w:type="dxa"/>
            <w:gridSpan w:val="2"/>
            <w:shd w:val="clear" w:color="auto" w:fill="auto"/>
          </w:tcPr>
          <w:p w14:paraId="7105C2CD">
            <w:pPr>
              <w:keepNext w:val="0"/>
              <w:keepLines w:val="0"/>
              <w:pageBreakBefore w:val="0"/>
              <w:kinsoku/>
              <w:wordWrap/>
              <w:overflowPunct/>
              <w:topLinePunct w:val="0"/>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    年   月   日</w:t>
            </w:r>
          </w:p>
        </w:tc>
      </w:tr>
    </w:tbl>
    <w:p w14:paraId="2E8F985B">
      <w:pPr>
        <w:spacing w:before="120" w:beforeLines="50" w:after="120" w:afterLines="50" w:line="360" w:lineRule="auto"/>
        <w:jc w:val="center"/>
        <w:rPr>
          <w:rFonts w:hint="eastAsia" w:ascii="宋体" w:hAnsi="宋体" w:eastAsia="宋体" w:cs="宋体"/>
          <w:b/>
          <w:color w:val="auto"/>
          <w:spacing w:val="20"/>
          <w:sz w:val="30"/>
          <w:szCs w:val="30"/>
          <w:highlight w:val="none"/>
        </w:rPr>
      </w:pPr>
    </w:p>
    <w:p w14:paraId="6E0E36B3">
      <w:pPr>
        <w:rPr>
          <w:rFonts w:hint="eastAsia" w:ascii="宋体" w:hAnsi="宋体" w:eastAsia="宋体" w:cs="宋体"/>
          <w:b/>
          <w:color w:val="auto"/>
          <w:spacing w:val="20"/>
          <w:sz w:val="30"/>
          <w:szCs w:val="30"/>
          <w:highlight w:val="none"/>
        </w:rPr>
      </w:pPr>
      <w:r>
        <w:rPr>
          <w:rFonts w:hint="eastAsia" w:ascii="宋体" w:hAnsi="宋体" w:eastAsia="宋体" w:cs="宋体"/>
          <w:b/>
          <w:color w:val="auto"/>
          <w:spacing w:val="20"/>
          <w:sz w:val="30"/>
          <w:szCs w:val="30"/>
          <w:highlight w:val="none"/>
        </w:rPr>
        <w:br w:type="page"/>
      </w:r>
    </w:p>
    <w:p w14:paraId="0D939AA3">
      <w:pPr>
        <w:spacing w:line="360" w:lineRule="auto"/>
        <w:jc w:val="center"/>
        <w:rPr>
          <w:rFonts w:hint="eastAsia" w:ascii="宋体" w:hAnsi="宋体" w:eastAsia="宋体" w:cs="宋体"/>
          <w:b/>
          <w:color w:val="auto"/>
          <w:sz w:val="36"/>
          <w:szCs w:val="36"/>
          <w:highlight w:val="none"/>
        </w:rPr>
      </w:pPr>
    </w:p>
    <w:p w14:paraId="6B9CE3C7">
      <w:pPr>
        <w:spacing w:line="360" w:lineRule="auto"/>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四、法定代表人身份证明书</w:t>
      </w:r>
    </w:p>
    <w:p w14:paraId="2D6FED06">
      <w:pPr>
        <w:keepNext w:val="0"/>
        <w:keepLines w:val="0"/>
        <w:pageBreakBefore w:val="0"/>
        <w:kinsoku/>
        <w:wordWrap/>
        <w:overflowPunct/>
        <w:topLinePunct w:val="0"/>
        <w:autoSpaceDE/>
        <w:autoSpaceDN/>
        <w:bidi w:val="0"/>
        <w:adjustRightInd/>
        <w:snapToGrid/>
        <w:spacing w:before="240" w:beforeLines="100" w:after="120" w:afterLines="50"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致：</w:t>
      </w:r>
      <w:r>
        <w:rPr>
          <w:rFonts w:hint="eastAsia" w:ascii="宋体" w:hAnsi="宋体" w:eastAsia="宋体" w:cs="宋体"/>
          <w:b/>
          <w:color w:val="auto"/>
          <w:sz w:val="24"/>
          <w:szCs w:val="24"/>
          <w:highlight w:val="none"/>
          <w:u w:val="single"/>
        </w:rPr>
        <w:t>(采购代理机构名称)</w:t>
      </w:r>
    </w:p>
    <w:tbl>
      <w:tblPr>
        <w:tblStyle w:val="44"/>
        <w:tblW w:w="8528" w:type="dxa"/>
        <w:jc w:val="center"/>
        <w:tblLayout w:type="fixed"/>
        <w:tblCellMar>
          <w:top w:w="0" w:type="dxa"/>
          <w:left w:w="108" w:type="dxa"/>
          <w:bottom w:w="0" w:type="dxa"/>
          <w:right w:w="108" w:type="dxa"/>
        </w:tblCellMar>
      </w:tblPr>
      <w:tblGrid>
        <w:gridCol w:w="2802"/>
        <w:gridCol w:w="1462"/>
        <w:gridCol w:w="4264"/>
      </w:tblGrid>
      <w:tr w14:paraId="28C29617">
        <w:tblPrEx>
          <w:tblCellMar>
            <w:top w:w="0" w:type="dxa"/>
            <w:left w:w="108" w:type="dxa"/>
            <w:bottom w:w="0" w:type="dxa"/>
            <w:right w:w="108" w:type="dxa"/>
          </w:tblCellMar>
        </w:tblPrEx>
        <w:trPr>
          <w:jc w:val="center"/>
        </w:trPr>
        <w:tc>
          <w:tcPr>
            <w:tcW w:w="8528" w:type="dxa"/>
            <w:gridSpan w:val="3"/>
            <w:shd w:val="clear" w:color="auto" w:fill="auto"/>
          </w:tcPr>
          <w:p w14:paraId="5CC87872">
            <w:pPr>
              <w:keepNext w:val="0"/>
              <w:keepLines w:val="0"/>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同志，现任我单位职务，为法定代表人，特此证明。</w:t>
            </w:r>
          </w:p>
        </w:tc>
      </w:tr>
      <w:tr w14:paraId="675230DC">
        <w:tblPrEx>
          <w:tblCellMar>
            <w:top w:w="0" w:type="dxa"/>
            <w:left w:w="108" w:type="dxa"/>
            <w:bottom w:w="0" w:type="dxa"/>
            <w:right w:w="108" w:type="dxa"/>
          </w:tblCellMar>
        </w:tblPrEx>
        <w:trPr>
          <w:jc w:val="center"/>
        </w:trPr>
        <w:tc>
          <w:tcPr>
            <w:tcW w:w="8528" w:type="dxa"/>
            <w:gridSpan w:val="3"/>
            <w:shd w:val="clear" w:color="auto" w:fill="auto"/>
          </w:tcPr>
          <w:p w14:paraId="1DB82880">
            <w:pPr>
              <w:keepNext w:val="0"/>
              <w:keepLines w:val="0"/>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单位名称：</w:t>
            </w:r>
          </w:p>
        </w:tc>
      </w:tr>
      <w:tr w14:paraId="0D234ECC">
        <w:tblPrEx>
          <w:tblCellMar>
            <w:top w:w="0" w:type="dxa"/>
            <w:left w:w="108" w:type="dxa"/>
            <w:bottom w:w="0" w:type="dxa"/>
            <w:right w:w="108" w:type="dxa"/>
          </w:tblCellMar>
        </w:tblPrEx>
        <w:trPr>
          <w:jc w:val="center"/>
        </w:trPr>
        <w:tc>
          <w:tcPr>
            <w:tcW w:w="8528" w:type="dxa"/>
            <w:gridSpan w:val="3"/>
            <w:shd w:val="clear" w:color="auto" w:fill="auto"/>
          </w:tcPr>
          <w:p w14:paraId="04E10E45">
            <w:pPr>
              <w:keepNext w:val="0"/>
              <w:keepLines w:val="0"/>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单位地址：</w:t>
            </w:r>
          </w:p>
        </w:tc>
      </w:tr>
      <w:tr w14:paraId="7EE1FA6C">
        <w:tblPrEx>
          <w:tblCellMar>
            <w:top w:w="0" w:type="dxa"/>
            <w:left w:w="108" w:type="dxa"/>
            <w:bottom w:w="0" w:type="dxa"/>
            <w:right w:w="108" w:type="dxa"/>
          </w:tblCellMar>
        </w:tblPrEx>
        <w:trPr>
          <w:jc w:val="center"/>
        </w:trPr>
        <w:tc>
          <w:tcPr>
            <w:tcW w:w="4264" w:type="dxa"/>
            <w:gridSpan w:val="2"/>
            <w:shd w:val="clear" w:color="auto" w:fill="auto"/>
          </w:tcPr>
          <w:p w14:paraId="68A82C3C">
            <w:pPr>
              <w:keepNext w:val="0"/>
              <w:keepLines w:val="0"/>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代表人姓名：</w:t>
            </w:r>
          </w:p>
        </w:tc>
        <w:tc>
          <w:tcPr>
            <w:tcW w:w="4264" w:type="dxa"/>
            <w:shd w:val="clear" w:color="auto" w:fill="auto"/>
          </w:tcPr>
          <w:p w14:paraId="2C69D9FD">
            <w:pPr>
              <w:keepNext w:val="0"/>
              <w:keepLines w:val="0"/>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代表人联系电话：</w:t>
            </w:r>
          </w:p>
        </w:tc>
      </w:tr>
      <w:tr w14:paraId="1C19569E">
        <w:tblPrEx>
          <w:tblCellMar>
            <w:top w:w="0" w:type="dxa"/>
            <w:left w:w="108" w:type="dxa"/>
            <w:bottom w:w="0" w:type="dxa"/>
            <w:right w:w="108" w:type="dxa"/>
          </w:tblCellMar>
        </w:tblPrEx>
        <w:trPr>
          <w:jc w:val="center"/>
        </w:trPr>
        <w:tc>
          <w:tcPr>
            <w:tcW w:w="4264" w:type="dxa"/>
            <w:gridSpan w:val="2"/>
            <w:shd w:val="clear" w:color="auto" w:fill="auto"/>
          </w:tcPr>
          <w:p w14:paraId="7785952D">
            <w:pPr>
              <w:keepNext w:val="0"/>
              <w:keepLines w:val="0"/>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代表人性别：</w:t>
            </w:r>
          </w:p>
        </w:tc>
        <w:tc>
          <w:tcPr>
            <w:tcW w:w="4264" w:type="dxa"/>
            <w:shd w:val="clear" w:color="auto" w:fill="auto"/>
          </w:tcPr>
          <w:p w14:paraId="0E9D781E">
            <w:pPr>
              <w:keepNext w:val="0"/>
              <w:keepLines w:val="0"/>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代表人年龄：</w:t>
            </w:r>
          </w:p>
        </w:tc>
      </w:tr>
      <w:tr w14:paraId="5D430AFE">
        <w:tblPrEx>
          <w:tblCellMar>
            <w:top w:w="0" w:type="dxa"/>
            <w:left w:w="108" w:type="dxa"/>
            <w:bottom w:w="0" w:type="dxa"/>
            <w:right w:w="108" w:type="dxa"/>
          </w:tblCellMar>
        </w:tblPrEx>
        <w:trPr>
          <w:jc w:val="center"/>
        </w:trPr>
        <w:tc>
          <w:tcPr>
            <w:tcW w:w="4264" w:type="dxa"/>
            <w:gridSpan w:val="2"/>
            <w:shd w:val="clear" w:color="auto" w:fill="auto"/>
          </w:tcPr>
          <w:p w14:paraId="44667703">
            <w:pPr>
              <w:keepNext w:val="0"/>
              <w:keepLines w:val="0"/>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代表人身份证号码：</w:t>
            </w:r>
          </w:p>
        </w:tc>
        <w:tc>
          <w:tcPr>
            <w:tcW w:w="4264" w:type="dxa"/>
            <w:shd w:val="clear" w:color="auto" w:fill="auto"/>
          </w:tcPr>
          <w:p w14:paraId="39E2D2E7">
            <w:pPr>
              <w:keepNext w:val="0"/>
              <w:keepLines w:val="0"/>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color w:val="auto"/>
                <w:spacing w:val="-8"/>
                <w:sz w:val="24"/>
                <w:szCs w:val="24"/>
                <w:highlight w:val="none"/>
              </w:rPr>
            </w:pPr>
            <w:r>
              <w:rPr>
                <w:rFonts w:hint="eastAsia" w:ascii="宋体" w:hAnsi="宋体" w:eastAsia="宋体" w:cs="宋体"/>
                <w:color w:val="auto"/>
                <w:spacing w:val="-8"/>
                <w:sz w:val="24"/>
                <w:szCs w:val="24"/>
                <w:highlight w:val="none"/>
              </w:rPr>
              <w:t>营业执照或事业单位法人证书号码：</w:t>
            </w:r>
          </w:p>
        </w:tc>
      </w:tr>
      <w:tr w14:paraId="472A9005">
        <w:tblPrEx>
          <w:tblCellMar>
            <w:top w:w="0" w:type="dxa"/>
            <w:left w:w="108" w:type="dxa"/>
            <w:bottom w:w="0" w:type="dxa"/>
            <w:right w:w="108" w:type="dxa"/>
          </w:tblCellMar>
        </w:tblPrEx>
        <w:trPr>
          <w:jc w:val="center"/>
        </w:trPr>
        <w:tc>
          <w:tcPr>
            <w:tcW w:w="4264" w:type="dxa"/>
            <w:gridSpan w:val="2"/>
            <w:shd w:val="clear" w:color="auto" w:fill="auto"/>
          </w:tcPr>
          <w:p w14:paraId="076071C7">
            <w:pPr>
              <w:keepNext w:val="0"/>
              <w:keepLines w:val="0"/>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单位性质：</w:t>
            </w:r>
          </w:p>
        </w:tc>
        <w:tc>
          <w:tcPr>
            <w:tcW w:w="4264" w:type="dxa"/>
            <w:shd w:val="clear" w:color="auto" w:fill="auto"/>
          </w:tcPr>
          <w:p w14:paraId="33B28234">
            <w:pPr>
              <w:keepNext w:val="0"/>
              <w:keepLines w:val="0"/>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经营期限：</w:t>
            </w:r>
          </w:p>
        </w:tc>
      </w:tr>
      <w:tr w14:paraId="52280E02">
        <w:tblPrEx>
          <w:tblCellMar>
            <w:top w:w="0" w:type="dxa"/>
            <w:left w:w="108" w:type="dxa"/>
            <w:bottom w:w="0" w:type="dxa"/>
            <w:right w:w="108" w:type="dxa"/>
          </w:tblCellMar>
        </w:tblPrEx>
        <w:trPr>
          <w:jc w:val="center"/>
        </w:trPr>
        <w:tc>
          <w:tcPr>
            <w:tcW w:w="8528" w:type="dxa"/>
            <w:gridSpan w:val="3"/>
            <w:shd w:val="clear" w:color="auto" w:fill="auto"/>
          </w:tcPr>
          <w:p w14:paraId="2E8F7604">
            <w:pPr>
              <w:keepNext w:val="0"/>
              <w:keepLines w:val="0"/>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主营（产）：</w:t>
            </w:r>
          </w:p>
        </w:tc>
      </w:tr>
      <w:tr w14:paraId="5B60979F">
        <w:tblPrEx>
          <w:tblCellMar>
            <w:top w:w="0" w:type="dxa"/>
            <w:left w:w="108" w:type="dxa"/>
            <w:bottom w:w="0" w:type="dxa"/>
            <w:right w:w="108" w:type="dxa"/>
          </w:tblCellMar>
        </w:tblPrEx>
        <w:trPr>
          <w:jc w:val="center"/>
        </w:trPr>
        <w:tc>
          <w:tcPr>
            <w:tcW w:w="8528" w:type="dxa"/>
            <w:gridSpan w:val="3"/>
            <w:shd w:val="clear" w:color="auto" w:fill="auto"/>
          </w:tcPr>
          <w:p w14:paraId="7E6DBB07">
            <w:pPr>
              <w:keepNext w:val="0"/>
              <w:keepLines w:val="0"/>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兼营（产）：</w:t>
            </w:r>
          </w:p>
        </w:tc>
      </w:tr>
      <w:tr w14:paraId="2DF8E2D6">
        <w:tblPrEx>
          <w:tblCellMar>
            <w:top w:w="0" w:type="dxa"/>
            <w:left w:w="108" w:type="dxa"/>
            <w:bottom w:w="0" w:type="dxa"/>
            <w:right w:w="108" w:type="dxa"/>
          </w:tblCellMar>
        </w:tblPrEx>
        <w:trPr>
          <w:trHeight w:val="461" w:hRule="atLeast"/>
          <w:jc w:val="center"/>
        </w:trPr>
        <w:tc>
          <w:tcPr>
            <w:tcW w:w="8528" w:type="dxa"/>
            <w:gridSpan w:val="3"/>
            <w:shd w:val="clear" w:color="auto" w:fill="auto"/>
            <w:vAlign w:val="center"/>
          </w:tcPr>
          <w:p w14:paraId="1A3E066B">
            <w:pPr>
              <w:keepNext w:val="0"/>
              <w:keepLines w:val="0"/>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特此证明！</w:t>
            </w:r>
          </w:p>
        </w:tc>
      </w:tr>
      <w:tr w14:paraId="02C7507C">
        <w:tblPrEx>
          <w:tblCellMar>
            <w:top w:w="0" w:type="dxa"/>
            <w:left w:w="108" w:type="dxa"/>
            <w:bottom w:w="0" w:type="dxa"/>
            <w:right w:w="108" w:type="dxa"/>
          </w:tblCellMar>
        </w:tblPrEx>
        <w:trPr>
          <w:jc w:val="center"/>
        </w:trPr>
        <w:tc>
          <w:tcPr>
            <w:tcW w:w="2802" w:type="dxa"/>
            <w:shd w:val="clear" w:color="auto" w:fill="auto"/>
          </w:tcPr>
          <w:p w14:paraId="6959ED19">
            <w:pPr>
              <w:keepNext w:val="0"/>
              <w:keepLines w:val="0"/>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p>
        </w:tc>
        <w:tc>
          <w:tcPr>
            <w:tcW w:w="5726" w:type="dxa"/>
            <w:gridSpan w:val="2"/>
            <w:shd w:val="clear" w:color="auto" w:fill="auto"/>
          </w:tcPr>
          <w:p w14:paraId="52DDADE6">
            <w:pPr>
              <w:keepNext w:val="0"/>
              <w:keepLines w:val="0"/>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供应商名称（加盖公章）：</w:t>
            </w:r>
          </w:p>
        </w:tc>
      </w:tr>
      <w:tr w14:paraId="7B1B921B">
        <w:tblPrEx>
          <w:tblCellMar>
            <w:top w:w="0" w:type="dxa"/>
            <w:left w:w="108" w:type="dxa"/>
            <w:bottom w:w="0" w:type="dxa"/>
            <w:right w:w="108" w:type="dxa"/>
          </w:tblCellMar>
        </w:tblPrEx>
        <w:trPr>
          <w:jc w:val="center"/>
        </w:trPr>
        <w:tc>
          <w:tcPr>
            <w:tcW w:w="2802" w:type="dxa"/>
            <w:shd w:val="clear" w:color="auto" w:fill="auto"/>
          </w:tcPr>
          <w:p w14:paraId="53EDBA06">
            <w:pPr>
              <w:keepNext w:val="0"/>
              <w:keepLines w:val="0"/>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p>
        </w:tc>
        <w:tc>
          <w:tcPr>
            <w:tcW w:w="5726" w:type="dxa"/>
            <w:gridSpan w:val="2"/>
            <w:shd w:val="clear" w:color="auto" w:fill="auto"/>
          </w:tcPr>
          <w:p w14:paraId="318AC8D6">
            <w:pPr>
              <w:keepNext w:val="0"/>
              <w:keepLines w:val="0"/>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法定代表人（签名或盖章）：</w:t>
            </w:r>
          </w:p>
        </w:tc>
      </w:tr>
      <w:tr w14:paraId="79EBF9BF">
        <w:tblPrEx>
          <w:tblCellMar>
            <w:top w:w="0" w:type="dxa"/>
            <w:left w:w="108" w:type="dxa"/>
            <w:bottom w:w="0" w:type="dxa"/>
            <w:right w:w="108" w:type="dxa"/>
          </w:tblCellMar>
        </w:tblPrEx>
        <w:trPr>
          <w:jc w:val="center"/>
        </w:trPr>
        <w:tc>
          <w:tcPr>
            <w:tcW w:w="2802" w:type="dxa"/>
            <w:shd w:val="clear" w:color="auto" w:fill="auto"/>
          </w:tcPr>
          <w:p w14:paraId="2F0424C8">
            <w:pPr>
              <w:keepNext w:val="0"/>
              <w:keepLines w:val="0"/>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p>
        </w:tc>
        <w:tc>
          <w:tcPr>
            <w:tcW w:w="5726" w:type="dxa"/>
            <w:gridSpan w:val="2"/>
            <w:shd w:val="clear" w:color="auto" w:fill="auto"/>
          </w:tcPr>
          <w:p w14:paraId="49AEF17B">
            <w:pPr>
              <w:keepNext w:val="0"/>
              <w:keepLines w:val="0"/>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         年            月             日</w:t>
            </w:r>
          </w:p>
        </w:tc>
      </w:tr>
    </w:tbl>
    <w:p w14:paraId="6C179BAB">
      <w:pPr>
        <w:keepNext w:val="0"/>
        <w:keepLines w:val="0"/>
        <w:pageBreakBefore w:val="0"/>
        <w:kinsoku/>
        <w:wordWrap/>
        <w:overflowPunct/>
        <w:topLinePunct w:val="0"/>
        <w:autoSpaceDE/>
        <w:autoSpaceDN/>
        <w:bidi w:val="0"/>
        <w:adjustRightInd/>
        <w:snapToGrid/>
        <w:spacing w:before="120" w:beforeLines="50" w:after="72" w:afterLines="30"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须附：法定代表人有效期内身份证复印件</w:t>
      </w:r>
    </w:p>
    <w:tbl>
      <w:tblPr>
        <w:tblStyle w:val="44"/>
        <w:tblW w:w="8941" w:type="dxa"/>
        <w:jc w:val="center"/>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Layout w:type="fixed"/>
        <w:tblCellMar>
          <w:top w:w="0" w:type="dxa"/>
          <w:left w:w="108" w:type="dxa"/>
          <w:bottom w:w="0" w:type="dxa"/>
          <w:right w:w="108" w:type="dxa"/>
        </w:tblCellMar>
      </w:tblPr>
      <w:tblGrid>
        <w:gridCol w:w="4677"/>
        <w:gridCol w:w="4264"/>
      </w:tblGrid>
      <w:tr w14:paraId="0519A8C9">
        <w:tblPrEx>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PrEx>
        <w:trPr>
          <w:trHeight w:val="1833" w:hRule="atLeast"/>
          <w:jc w:val="center"/>
        </w:trPr>
        <w:tc>
          <w:tcPr>
            <w:tcW w:w="4677" w:type="dxa"/>
            <w:vAlign w:val="center"/>
          </w:tcPr>
          <w:p w14:paraId="0288202F">
            <w:pPr>
              <w:pStyle w:val="135"/>
              <w:keepNext w:val="0"/>
              <w:keepLines w:val="0"/>
              <w:pageBreakBefore w:val="0"/>
              <w:kinsoku/>
              <w:wordWrap/>
              <w:overflowPunct/>
              <w:topLinePunct w:val="0"/>
              <w:autoSpaceDE/>
              <w:autoSpaceDN/>
              <w:bidi w:val="0"/>
              <w:adjustRightInd/>
              <w:snapToGrid/>
              <w:spacing w:line="288"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正面</w:t>
            </w:r>
          </w:p>
        </w:tc>
        <w:tc>
          <w:tcPr>
            <w:tcW w:w="4264" w:type="dxa"/>
            <w:vAlign w:val="center"/>
          </w:tcPr>
          <w:p w14:paraId="38FF813D">
            <w:pPr>
              <w:pStyle w:val="135"/>
              <w:keepNext w:val="0"/>
              <w:keepLines w:val="0"/>
              <w:pageBreakBefore w:val="0"/>
              <w:kinsoku/>
              <w:wordWrap/>
              <w:overflowPunct/>
              <w:topLinePunct w:val="0"/>
              <w:autoSpaceDE/>
              <w:autoSpaceDN/>
              <w:bidi w:val="0"/>
              <w:adjustRightInd/>
              <w:snapToGrid/>
              <w:spacing w:line="288"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背面</w:t>
            </w:r>
          </w:p>
        </w:tc>
      </w:tr>
    </w:tbl>
    <w:p w14:paraId="3C676F3D">
      <w:pPr>
        <w:keepNext w:val="0"/>
        <w:keepLines w:val="0"/>
        <w:pageBreakBefore w:val="0"/>
        <w:kinsoku/>
        <w:wordWrap/>
        <w:overflowPunct/>
        <w:topLinePunct w:val="0"/>
        <w:autoSpaceDE/>
        <w:autoSpaceDN/>
        <w:bidi w:val="0"/>
        <w:adjustRightInd/>
        <w:snapToGrid/>
        <w:spacing w:before="120" w:beforeLines="50" w:after="120" w:afterLines="50" w:line="288" w:lineRule="auto"/>
        <w:jc w:val="center"/>
        <w:textAlignment w:val="auto"/>
        <w:rPr>
          <w:rFonts w:hint="eastAsia" w:ascii="宋体" w:hAnsi="宋体" w:eastAsia="宋体" w:cs="宋体"/>
          <w:b/>
          <w:color w:val="auto"/>
          <w:spacing w:val="20"/>
          <w:sz w:val="24"/>
          <w:szCs w:val="24"/>
          <w:highlight w:val="none"/>
        </w:rPr>
      </w:pPr>
    </w:p>
    <w:p w14:paraId="5C2BBBDA">
      <w:pPr>
        <w:keepNext w:val="0"/>
        <w:keepLines w:val="0"/>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b/>
          <w:color w:val="auto"/>
          <w:spacing w:val="20"/>
          <w:sz w:val="30"/>
          <w:szCs w:val="30"/>
          <w:highlight w:val="none"/>
        </w:rPr>
      </w:pPr>
      <w:r>
        <w:rPr>
          <w:rFonts w:hint="eastAsia" w:ascii="宋体" w:hAnsi="宋体" w:eastAsia="宋体" w:cs="宋体"/>
          <w:b/>
          <w:color w:val="auto"/>
          <w:spacing w:val="20"/>
          <w:sz w:val="24"/>
          <w:szCs w:val="24"/>
          <w:highlight w:val="none"/>
        </w:rPr>
        <w:br w:type="page"/>
      </w:r>
    </w:p>
    <w:p w14:paraId="4FCF130F">
      <w:pPr>
        <w:spacing w:line="360" w:lineRule="auto"/>
        <w:jc w:val="center"/>
        <w:rPr>
          <w:rFonts w:hint="eastAsia" w:ascii="宋体" w:hAnsi="宋体" w:eastAsia="宋体" w:cs="宋体"/>
          <w:b/>
          <w:color w:val="auto"/>
          <w:sz w:val="36"/>
          <w:szCs w:val="36"/>
          <w:highlight w:val="none"/>
        </w:rPr>
      </w:pPr>
    </w:p>
    <w:p w14:paraId="42E31CA3">
      <w:pPr>
        <w:spacing w:line="360" w:lineRule="auto"/>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五、法定代表人授权委托书</w:t>
      </w:r>
    </w:p>
    <w:p w14:paraId="5A66D954">
      <w:pPr>
        <w:keepNext w:val="0"/>
        <w:keepLines w:val="0"/>
        <w:pageBreakBefore w:val="0"/>
        <w:kinsoku/>
        <w:wordWrap/>
        <w:overflowPunct/>
        <w:topLinePunct w:val="0"/>
        <w:autoSpaceDE/>
        <w:autoSpaceDN/>
        <w:bidi w:val="0"/>
        <w:adjustRightInd/>
        <w:snapToGrid/>
        <w:spacing w:before="360" w:beforeLines="150" w:after="240" w:afterLines="100"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致：</w:t>
      </w:r>
      <w:r>
        <w:rPr>
          <w:rFonts w:hint="eastAsia" w:ascii="宋体" w:hAnsi="宋体" w:eastAsia="宋体" w:cs="宋体"/>
          <w:b/>
          <w:color w:val="auto"/>
          <w:sz w:val="24"/>
          <w:szCs w:val="24"/>
          <w:highlight w:val="none"/>
          <w:u w:val="single"/>
        </w:rPr>
        <w:t>(采购代理机构名称)</w:t>
      </w:r>
    </w:p>
    <w:p w14:paraId="64166252">
      <w:pPr>
        <w:pStyle w:val="135"/>
        <w:keepNext w:val="0"/>
        <w:keepLines w:val="0"/>
        <w:pageBreakBefore w:val="0"/>
        <w:kinsoku/>
        <w:wordWrap/>
        <w:overflowPunct/>
        <w:topLinePunct w:val="0"/>
        <w:autoSpaceDE/>
        <w:autoSpaceDN/>
        <w:bidi w:val="0"/>
        <w:adjustRightInd/>
        <w:snapToGrid/>
        <w:spacing w:line="288" w:lineRule="auto"/>
        <w:ind w:firstLine="45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本人</w:t>
      </w:r>
      <w:r>
        <w:rPr>
          <w:rFonts w:hint="eastAsia" w:ascii="宋体" w:hAnsi="宋体" w:eastAsia="宋体" w:cs="宋体"/>
          <w:color w:val="auto"/>
          <w:sz w:val="24"/>
          <w:szCs w:val="24"/>
          <w:highlight w:val="none"/>
          <w:u w:val="single"/>
        </w:rPr>
        <w:t>（姓名）</w:t>
      </w:r>
      <w:r>
        <w:rPr>
          <w:rFonts w:hint="eastAsia" w:ascii="宋体" w:hAnsi="宋体" w:eastAsia="宋体" w:cs="宋体"/>
          <w:color w:val="auto"/>
          <w:sz w:val="24"/>
          <w:szCs w:val="24"/>
          <w:highlight w:val="none"/>
        </w:rPr>
        <w:t>系</w:t>
      </w:r>
      <w:r>
        <w:rPr>
          <w:rFonts w:hint="eastAsia" w:ascii="宋体" w:hAnsi="宋体" w:eastAsia="宋体" w:cs="宋体"/>
          <w:color w:val="auto"/>
          <w:sz w:val="24"/>
          <w:szCs w:val="24"/>
          <w:highlight w:val="none"/>
          <w:u w:val="single"/>
        </w:rPr>
        <w:t xml:space="preserve">     （供应商名称）    </w:t>
      </w:r>
      <w:r>
        <w:rPr>
          <w:rFonts w:hint="eastAsia" w:ascii="宋体" w:hAnsi="宋体" w:eastAsia="宋体" w:cs="宋体"/>
          <w:color w:val="auto"/>
          <w:sz w:val="24"/>
          <w:szCs w:val="24"/>
          <w:highlight w:val="none"/>
        </w:rPr>
        <w:t>的法定代表人，现委托</w:t>
      </w:r>
      <w:r>
        <w:rPr>
          <w:rFonts w:hint="eastAsia" w:ascii="宋体" w:hAnsi="宋体" w:eastAsia="宋体" w:cs="宋体"/>
          <w:color w:val="auto"/>
          <w:sz w:val="24"/>
          <w:szCs w:val="24"/>
          <w:highlight w:val="none"/>
          <w:u w:val="single"/>
        </w:rPr>
        <w:t xml:space="preserve"> （姓名） </w:t>
      </w:r>
      <w:r>
        <w:rPr>
          <w:rFonts w:hint="eastAsia" w:ascii="宋体" w:hAnsi="宋体" w:eastAsia="宋体" w:cs="宋体"/>
          <w:color w:val="auto"/>
          <w:sz w:val="24"/>
          <w:szCs w:val="24"/>
          <w:highlight w:val="none"/>
        </w:rPr>
        <w:t>为我方合法代理人。代理人根据授权，以我方名义签署、澄清、说明、补正、递交、撤回、修改</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eastAsia="zh-CN"/>
        </w:rPr>
        <w:t>项目</w:t>
      </w:r>
      <w:r>
        <w:rPr>
          <w:rFonts w:hint="eastAsia" w:ascii="宋体" w:hAnsi="宋体" w:eastAsia="宋体" w:cs="宋体"/>
          <w:color w:val="auto"/>
          <w:sz w:val="24"/>
          <w:szCs w:val="24"/>
          <w:highlight w:val="none"/>
          <w:u w:val="single"/>
        </w:rPr>
        <w:t xml:space="preserve">名称）      </w:t>
      </w:r>
      <w:r>
        <w:rPr>
          <w:rFonts w:hint="eastAsia" w:ascii="宋体" w:hAnsi="宋体" w:eastAsia="宋体" w:cs="宋体"/>
          <w:color w:val="auto"/>
          <w:sz w:val="24"/>
          <w:szCs w:val="24"/>
          <w:highlight w:val="none"/>
        </w:rPr>
        <w:t>（</w:t>
      </w:r>
      <w:r>
        <w:rPr>
          <w:rFonts w:hint="eastAsia" w:ascii="宋体" w:eastAsia="宋体" w:cs="宋体"/>
          <w:color w:val="auto"/>
          <w:sz w:val="24"/>
          <w:szCs w:val="24"/>
          <w:highlight w:val="none"/>
          <w:lang w:eastAsia="zh-CN"/>
        </w:rPr>
        <w:t>项目</w:t>
      </w:r>
      <w:r>
        <w:rPr>
          <w:rFonts w:hint="eastAsia" w:ascii="宋体" w:hAnsi="宋体" w:eastAsia="宋体" w:cs="宋体"/>
          <w:color w:val="auto"/>
          <w:sz w:val="24"/>
          <w:szCs w:val="24"/>
          <w:highlight w:val="none"/>
        </w:rPr>
        <w:t>编号：</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rPr>
        <w:t>）投标文件、签订合同和处理有关事宜，其法律后果由我方承担。</w:t>
      </w:r>
    </w:p>
    <w:p w14:paraId="727DEF60">
      <w:pPr>
        <w:pStyle w:val="135"/>
        <w:keepNext w:val="0"/>
        <w:keepLines w:val="0"/>
        <w:pageBreakBefore w:val="0"/>
        <w:kinsoku/>
        <w:wordWrap/>
        <w:overflowPunct/>
        <w:topLinePunct w:val="0"/>
        <w:autoSpaceDE/>
        <w:autoSpaceDN/>
        <w:bidi w:val="0"/>
        <w:adjustRightInd/>
        <w:snapToGrid/>
        <w:spacing w:line="288" w:lineRule="auto"/>
        <w:ind w:firstLine="489" w:firstLineChars="204"/>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本委托书于</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rPr>
        <w:t>日签字生效，特此证明。</w:t>
      </w:r>
    </w:p>
    <w:p w14:paraId="6C42189A">
      <w:pPr>
        <w:pStyle w:val="135"/>
        <w:keepNext w:val="0"/>
        <w:keepLines w:val="0"/>
        <w:pageBreakBefore w:val="0"/>
        <w:kinsoku/>
        <w:wordWrap/>
        <w:overflowPunct/>
        <w:topLinePunct w:val="0"/>
        <w:autoSpaceDE/>
        <w:autoSpaceDN/>
        <w:bidi w:val="0"/>
        <w:adjustRightInd/>
        <w:snapToGrid/>
        <w:spacing w:line="288" w:lineRule="auto"/>
        <w:ind w:firstLine="489" w:firstLineChars="204"/>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被授权人无转委托权。</w:t>
      </w:r>
    </w:p>
    <w:p w14:paraId="3BC009B0">
      <w:pPr>
        <w:pStyle w:val="135"/>
        <w:keepNext w:val="0"/>
        <w:keepLines w:val="0"/>
        <w:pageBreakBefore w:val="0"/>
        <w:kinsoku/>
        <w:wordWrap/>
        <w:overflowPunct/>
        <w:topLinePunct w:val="0"/>
        <w:autoSpaceDE/>
        <w:autoSpaceDN/>
        <w:bidi w:val="0"/>
        <w:adjustRightInd/>
        <w:snapToGrid/>
        <w:spacing w:line="288" w:lineRule="auto"/>
        <w:ind w:firstLine="0" w:firstLineChars="0"/>
        <w:textAlignment w:val="auto"/>
        <w:rPr>
          <w:rFonts w:hint="eastAsia" w:ascii="宋体" w:hAnsi="宋体" w:eastAsia="宋体" w:cs="宋体"/>
          <w:color w:val="auto"/>
          <w:sz w:val="24"/>
          <w:szCs w:val="24"/>
          <w:highlight w:val="none"/>
        </w:rPr>
      </w:pPr>
    </w:p>
    <w:p w14:paraId="3881C699">
      <w:pPr>
        <w:pStyle w:val="135"/>
        <w:keepNext w:val="0"/>
        <w:keepLines w:val="0"/>
        <w:pageBreakBefore w:val="0"/>
        <w:kinsoku/>
        <w:wordWrap/>
        <w:overflowPunct/>
        <w:topLinePunct w:val="0"/>
        <w:autoSpaceDE/>
        <w:autoSpaceDN/>
        <w:bidi w:val="0"/>
        <w:adjustRightInd/>
        <w:snapToGrid/>
        <w:spacing w:line="288" w:lineRule="auto"/>
        <w:ind w:firstLine="0" w:firstLineChars="0"/>
        <w:textAlignment w:val="auto"/>
        <w:rPr>
          <w:rFonts w:hint="eastAsia" w:ascii="宋体" w:hAnsi="宋体" w:eastAsia="宋体" w:cs="宋体"/>
          <w:color w:val="auto"/>
          <w:sz w:val="24"/>
          <w:szCs w:val="24"/>
          <w:highlight w:val="none"/>
        </w:rPr>
      </w:pPr>
    </w:p>
    <w:tbl>
      <w:tblPr>
        <w:tblStyle w:val="44"/>
        <w:tblW w:w="5726" w:type="dxa"/>
        <w:tblInd w:w="0" w:type="dxa"/>
        <w:tblLayout w:type="fixed"/>
        <w:tblCellMar>
          <w:top w:w="0" w:type="dxa"/>
          <w:left w:w="108" w:type="dxa"/>
          <w:bottom w:w="0" w:type="dxa"/>
          <w:right w:w="108" w:type="dxa"/>
        </w:tblCellMar>
      </w:tblPr>
      <w:tblGrid>
        <w:gridCol w:w="5726"/>
      </w:tblGrid>
      <w:tr w14:paraId="3C04C530">
        <w:tblPrEx>
          <w:tblCellMar>
            <w:top w:w="0" w:type="dxa"/>
            <w:left w:w="108" w:type="dxa"/>
            <w:bottom w:w="0" w:type="dxa"/>
            <w:right w:w="108" w:type="dxa"/>
          </w:tblCellMar>
        </w:tblPrEx>
        <w:tc>
          <w:tcPr>
            <w:tcW w:w="5726" w:type="dxa"/>
            <w:shd w:val="clear" w:color="auto" w:fill="auto"/>
          </w:tcPr>
          <w:p w14:paraId="7227F169">
            <w:pPr>
              <w:keepNext w:val="0"/>
              <w:keepLines w:val="0"/>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供应商名称（加盖公章）：</w:t>
            </w:r>
          </w:p>
        </w:tc>
      </w:tr>
      <w:tr w14:paraId="5D764713">
        <w:tblPrEx>
          <w:tblCellMar>
            <w:top w:w="0" w:type="dxa"/>
            <w:left w:w="108" w:type="dxa"/>
            <w:bottom w:w="0" w:type="dxa"/>
            <w:right w:w="108" w:type="dxa"/>
          </w:tblCellMar>
        </w:tblPrEx>
        <w:tc>
          <w:tcPr>
            <w:tcW w:w="5726" w:type="dxa"/>
            <w:shd w:val="clear" w:color="auto" w:fill="auto"/>
          </w:tcPr>
          <w:p w14:paraId="4C3BDF76">
            <w:pPr>
              <w:keepNext w:val="0"/>
              <w:keepLines w:val="0"/>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法定代表人（签名或盖章）：</w:t>
            </w:r>
          </w:p>
        </w:tc>
      </w:tr>
      <w:tr w14:paraId="70F1D380">
        <w:tblPrEx>
          <w:tblCellMar>
            <w:top w:w="0" w:type="dxa"/>
            <w:left w:w="108" w:type="dxa"/>
            <w:bottom w:w="0" w:type="dxa"/>
            <w:right w:w="108" w:type="dxa"/>
          </w:tblCellMar>
        </w:tblPrEx>
        <w:tc>
          <w:tcPr>
            <w:tcW w:w="5726" w:type="dxa"/>
            <w:shd w:val="clear" w:color="auto" w:fill="auto"/>
          </w:tcPr>
          <w:p w14:paraId="369CBBFD">
            <w:pPr>
              <w:keepNext w:val="0"/>
              <w:keepLines w:val="0"/>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身份证号码：</w:t>
            </w:r>
          </w:p>
        </w:tc>
      </w:tr>
      <w:tr w14:paraId="354396F0">
        <w:tblPrEx>
          <w:tblCellMar>
            <w:top w:w="0" w:type="dxa"/>
            <w:left w:w="108" w:type="dxa"/>
            <w:bottom w:w="0" w:type="dxa"/>
            <w:right w:w="108" w:type="dxa"/>
          </w:tblCellMar>
        </w:tblPrEx>
        <w:tc>
          <w:tcPr>
            <w:tcW w:w="5726" w:type="dxa"/>
            <w:shd w:val="clear" w:color="auto" w:fill="auto"/>
          </w:tcPr>
          <w:p w14:paraId="7D8673A0">
            <w:pPr>
              <w:keepNext w:val="0"/>
              <w:keepLines w:val="0"/>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被授权人（签名或盖章）：</w:t>
            </w:r>
          </w:p>
        </w:tc>
      </w:tr>
      <w:tr w14:paraId="5BC6119C">
        <w:tblPrEx>
          <w:tblCellMar>
            <w:top w:w="0" w:type="dxa"/>
            <w:left w:w="108" w:type="dxa"/>
            <w:bottom w:w="0" w:type="dxa"/>
            <w:right w:w="108" w:type="dxa"/>
          </w:tblCellMar>
        </w:tblPrEx>
        <w:tc>
          <w:tcPr>
            <w:tcW w:w="5726" w:type="dxa"/>
            <w:shd w:val="clear" w:color="auto" w:fill="auto"/>
          </w:tcPr>
          <w:p w14:paraId="4B6B59D7">
            <w:pPr>
              <w:keepNext w:val="0"/>
              <w:keepLines w:val="0"/>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身份证号码：</w:t>
            </w:r>
          </w:p>
        </w:tc>
      </w:tr>
      <w:tr w14:paraId="497EFD4F">
        <w:tblPrEx>
          <w:tblCellMar>
            <w:top w:w="0" w:type="dxa"/>
            <w:left w:w="108" w:type="dxa"/>
            <w:bottom w:w="0" w:type="dxa"/>
            <w:right w:w="108" w:type="dxa"/>
          </w:tblCellMar>
        </w:tblPrEx>
        <w:tc>
          <w:tcPr>
            <w:tcW w:w="5726" w:type="dxa"/>
            <w:shd w:val="clear" w:color="auto" w:fill="auto"/>
          </w:tcPr>
          <w:p w14:paraId="7867C11B">
            <w:pPr>
              <w:keepNext w:val="0"/>
              <w:keepLines w:val="0"/>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w:t>
            </w:r>
            <w:r>
              <w:rPr>
                <w:rFonts w:hint="eastAsia" w:ascii="宋体" w:hAnsi="宋体" w:eastAsia="宋体" w:cs="宋体"/>
                <w:color w:val="auto"/>
                <w:sz w:val="24"/>
                <w:szCs w:val="24"/>
                <w:highlight w:val="none"/>
                <w:u w:val="single"/>
              </w:rPr>
              <w:t xml:space="preserve">              年             月             日</w:t>
            </w:r>
          </w:p>
        </w:tc>
      </w:tr>
    </w:tbl>
    <w:p w14:paraId="3F5EDC7A">
      <w:pPr>
        <w:pStyle w:val="135"/>
        <w:keepNext w:val="0"/>
        <w:keepLines w:val="0"/>
        <w:pageBreakBefore w:val="0"/>
        <w:kinsoku/>
        <w:wordWrap/>
        <w:overflowPunct/>
        <w:topLinePunct w:val="0"/>
        <w:autoSpaceDE/>
        <w:autoSpaceDN/>
        <w:bidi w:val="0"/>
        <w:adjustRightInd/>
        <w:snapToGrid/>
        <w:spacing w:line="288" w:lineRule="auto"/>
        <w:ind w:firstLine="0" w:firstLineChars="0"/>
        <w:textAlignment w:val="auto"/>
        <w:rPr>
          <w:rFonts w:hint="eastAsia" w:ascii="宋体" w:hAnsi="宋体" w:eastAsia="宋体" w:cs="宋体"/>
          <w:color w:val="auto"/>
          <w:sz w:val="24"/>
          <w:szCs w:val="24"/>
          <w:highlight w:val="none"/>
        </w:rPr>
      </w:pPr>
    </w:p>
    <w:p w14:paraId="10D4BDFE">
      <w:pPr>
        <w:pStyle w:val="135"/>
        <w:keepNext w:val="0"/>
        <w:keepLines w:val="0"/>
        <w:pageBreakBefore w:val="0"/>
        <w:kinsoku/>
        <w:wordWrap/>
        <w:overflowPunct/>
        <w:topLinePunct w:val="0"/>
        <w:autoSpaceDE/>
        <w:autoSpaceDN/>
        <w:bidi w:val="0"/>
        <w:adjustRightInd/>
        <w:snapToGrid/>
        <w:spacing w:line="288" w:lineRule="auto"/>
        <w:ind w:firstLine="0" w:firstLineChars="0"/>
        <w:textAlignment w:val="auto"/>
        <w:rPr>
          <w:rFonts w:hint="eastAsia" w:ascii="宋体" w:hAnsi="宋体" w:eastAsia="宋体" w:cs="宋体"/>
          <w:color w:val="auto"/>
          <w:sz w:val="24"/>
          <w:szCs w:val="24"/>
          <w:highlight w:val="none"/>
        </w:rPr>
      </w:pPr>
    </w:p>
    <w:p w14:paraId="56318F45">
      <w:pPr>
        <w:keepNext w:val="0"/>
        <w:keepLines w:val="0"/>
        <w:pageBreakBefore w:val="0"/>
        <w:kinsoku/>
        <w:wordWrap/>
        <w:overflowPunct/>
        <w:topLinePunct w:val="0"/>
        <w:autoSpaceDE/>
        <w:autoSpaceDN/>
        <w:bidi w:val="0"/>
        <w:adjustRightInd/>
        <w:snapToGrid/>
        <w:spacing w:after="120" w:afterLines="50"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须附：被授权人有效期内身份证复印件</w:t>
      </w:r>
    </w:p>
    <w:tbl>
      <w:tblPr>
        <w:tblStyle w:val="44"/>
        <w:tblW w:w="8799" w:type="dxa"/>
        <w:jc w:val="center"/>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Layout w:type="fixed"/>
        <w:tblCellMar>
          <w:top w:w="0" w:type="dxa"/>
          <w:left w:w="108" w:type="dxa"/>
          <w:bottom w:w="0" w:type="dxa"/>
          <w:right w:w="108" w:type="dxa"/>
        </w:tblCellMar>
      </w:tblPr>
      <w:tblGrid>
        <w:gridCol w:w="4535"/>
        <w:gridCol w:w="4264"/>
      </w:tblGrid>
      <w:tr w14:paraId="39851448">
        <w:tblPrEx>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PrEx>
        <w:trPr>
          <w:trHeight w:val="2310" w:hRule="atLeast"/>
          <w:jc w:val="center"/>
        </w:trPr>
        <w:tc>
          <w:tcPr>
            <w:tcW w:w="4535" w:type="dxa"/>
            <w:vAlign w:val="center"/>
          </w:tcPr>
          <w:p w14:paraId="0183785E">
            <w:pPr>
              <w:pStyle w:val="135"/>
              <w:keepNext w:val="0"/>
              <w:keepLines w:val="0"/>
              <w:pageBreakBefore w:val="0"/>
              <w:kinsoku/>
              <w:wordWrap/>
              <w:overflowPunct/>
              <w:topLinePunct w:val="0"/>
              <w:autoSpaceDE/>
              <w:autoSpaceDN/>
              <w:bidi w:val="0"/>
              <w:adjustRightInd/>
              <w:snapToGrid/>
              <w:spacing w:line="288"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正面</w:t>
            </w:r>
          </w:p>
        </w:tc>
        <w:tc>
          <w:tcPr>
            <w:tcW w:w="4264" w:type="dxa"/>
            <w:vAlign w:val="center"/>
          </w:tcPr>
          <w:p w14:paraId="7A2E202C">
            <w:pPr>
              <w:pStyle w:val="135"/>
              <w:keepNext w:val="0"/>
              <w:keepLines w:val="0"/>
              <w:pageBreakBefore w:val="0"/>
              <w:kinsoku/>
              <w:wordWrap/>
              <w:overflowPunct/>
              <w:topLinePunct w:val="0"/>
              <w:autoSpaceDE/>
              <w:autoSpaceDN/>
              <w:bidi w:val="0"/>
              <w:adjustRightInd/>
              <w:snapToGrid/>
              <w:spacing w:line="288"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背面</w:t>
            </w:r>
          </w:p>
        </w:tc>
      </w:tr>
    </w:tbl>
    <w:p w14:paraId="5C5D4041">
      <w:pPr>
        <w:keepNext w:val="0"/>
        <w:keepLines w:val="0"/>
        <w:pageBreakBefore w:val="0"/>
        <w:kinsoku/>
        <w:wordWrap/>
        <w:overflowPunct/>
        <w:topLinePunct w:val="0"/>
        <w:autoSpaceDE/>
        <w:autoSpaceDN/>
        <w:bidi w:val="0"/>
        <w:adjustRightInd/>
        <w:snapToGrid/>
        <w:spacing w:before="120" w:beforeLines="50" w:after="120" w:afterLines="50" w:line="288" w:lineRule="auto"/>
        <w:jc w:val="center"/>
        <w:textAlignment w:val="auto"/>
        <w:rPr>
          <w:rFonts w:hint="eastAsia" w:ascii="宋体" w:hAnsi="宋体" w:eastAsia="宋体" w:cs="宋体"/>
          <w:b/>
          <w:color w:val="auto"/>
          <w:spacing w:val="20"/>
          <w:sz w:val="24"/>
          <w:szCs w:val="24"/>
          <w:highlight w:val="none"/>
        </w:rPr>
      </w:pPr>
    </w:p>
    <w:p w14:paraId="03235088">
      <w:pPr>
        <w:rPr>
          <w:rFonts w:hint="eastAsia" w:ascii="宋体" w:hAnsi="宋体" w:eastAsia="宋体" w:cs="宋体"/>
          <w:b/>
          <w:color w:val="auto"/>
          <w:spacing w:val="20"/>
          <w:sz w:val="30"/>
          <w:szCs w:val="30"/>
          <w:highlight w:val="none"/>
        </w:rPr>
      </w:pPr>
      <w:r>
        <w:rPr>
          <w:rFonts w:hint="eastAsia" w:ascii="宋体" w:hAnsi="宋体" w:eastAsia="宋体" w:cs="宋体"/>
          <w:b/>
          <w:color w:val="auto"/>
          <w:spacing w:val="20"/>
          <w:sz w:val="30"/>
          <w:szCs w:val="30"/>
          <w:highlight w:val="none"/>
        </w:rPr>
        <w:br w:type="page"/>
      </w:r>
    </w:p>
    <w:p w14:paraId="23DAEC05">
      <w:pPr>
        <w:spacing w:line="360" w:lineRule="auto"/>
        <w:jc w:val="center"/>
        <w:rPr>
          <w:rFonts w:hint="eastAsia" w:ascii="宋体" w:hAnsi="宋体" w:eastAsia="宋体" w:cs="宋体"/>
          <w:b/>
          <w:color w:val="auto"/>
          <w:sz w:val="36"/>
          <w:szCs w:val="36"/>
          <w:highlight w:val="none"/>
        </w:rPr>
      </w:pPr>
    </w:p>
    <w:p w14:paraId="4404D9F6">
      <w:pPr>
        <w:spacing w:line="360" w:lineRule="auto"/>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六、供应商基本情况说明</w:t>
      </w:r>
    </w:p>
    <w:p w14:paraId="38F96C42">
      <w:pPr>
        <w:pStyle w:val="94"/>
        <w:keepNext w:val="0"/>
        <w:keepLines w:val="0"/>
        <w:pageBreakBefore w:val="0"/>
        <w:numPr>
          <w:ilvl w:val="0"/>
          <w:numId w:val="8"/>
        </w:numPr>
        <w:kinsoku/>
        <w:wordWrap/>
        <w:topLinePunct w:val="0"/>
        <w:autoSpaceDE/>
        <w:autoSpaceDN/>
        <w:bidi w:val="0"/>
        <w:snapToGrid/>
        <w:spacing w:after="120" w:afterLines="50" w:line="288" w:lineRule="auto"/>
        <w:ind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公司基本情况</w:t>
      </w:r>
    </w:p>
    <w:tbl>
      <w:tblPr>
        <w:tblStyle w:val="44"/>
        <w:tblW w:w="9096" w:type="dxa"/>
        <w:jc w:val="center"/>
        <w:tblLayout w:type="fixed"/>
        <w:tblCellMar>
          <w:top w:w="0" w:type="dxa"/>
          <w:left w:w="108" w:type="dxa"/>
          <w:bottom w:w="0" w:type="dxa"/>
          <w:right w:w="108" w:type="dxa"/>
        </w:tblCellMar>
      </w:tblPr>
      <w:tblGrid>
        <w:gridCol w:w="2114"/>
        <w:gridCol w:w="2372"/>
        <w:gridCol w:w="1039"/>
        <w:gridCol w:w="1371"/>
        <w:gridCol w:w="2200"/>
      </w:tblGrid>
      <w:tr w14:paraId="3519A30B">
        <w:tblPrEx>
          <w:tblCellMar>
            <w:top w:w="0" w:type="dxa"/>
            <w:left w:w="108" w:type="dxa"/>
            <w:bottom w:w="0" w:type="dxa"/>
            <w:right w:w="108" w:type="dxa"/>
          </w:tblCellMar>
        </w:tblPrEx>
        <w:trPr>
          <w:jc w:val="center"/>
        </w:trPr>
        <w:tc>
          <w:tcPr>
            <w:tcW w:w="5525" w:type="dxa"/>
            <w:gridSpan w:val="3"/>
            <w:shd w:val="clear" w:color="auto" w:fill="auto"/>
          </w:tcPr>
          <w:p w14:paraId="5238F67F">
            <w:pPr>
              <w:keepNext w:val="0"/>
              <w:keepLines w:val="0"/>
              <w:pageBreakBefore w:val="0"/>
              <w:kinsoku/>
              <w:wordWrap/>
              <w:topLinePunct w:val="0"/>
              <w:autoSpaceDE/>
              <w:autoSpaceDN/>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公司名称：</w:t>
            </w:r>
          </w:p>
        </w:tc>
        <w:tc>
          <w:tcPr>
            <w:tcW w:w="3571" w:type="dxa"/>
            <w:gridSpan w:val="2"/>
            <w:shd w:val="clear" w:color="auto" w:fill="auto"/>
          </w:tcPr>
          <w:p w14:paraId="7F969C05">
            <w:pPr>
              <w:keepNext w:val="0"/>
              <w:keepLines w:val="0"/>
              <w:pageBreakBefore w:val="0"/>
              <w:kinsoku/>
              <w:wordWrap/>
              <w:topLinePunct w:val="0"/>
              <w:autoSpaceDE/>
              <w:autoSpaceDN/>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公司固话：</w:t>
            </w:r>
          </w:p>
        </w:tc>
      </w:tr>
      <w:tr w14:paraId="3D17F55C">
        <w:tblPrEx>
          <w:tblCellMar>
            <w:top w:w="0" w:type="dxa"/>
            <w:left w:w="108" w:type="dxa"/>
            <w:bottom w:w="0" w:type="dxa"/>
            <w:right w:w="108" w:type="dxa"/>
          </w:tblCellMar>
        </w:tblPrEx>
        <w:trPr>
          <w:jc w:val="center"/>
        </w:trPr>
        <w:tc>
          <w:tcPr>
            <w:tcW w:w="5525" w:type="dxa"/>
            <w:gridSpan w:val="3"/>
            <w:shd w:val="clear" w:color="auto" w:fill="auto"/>
          </w:tcPr>
          <w:p w14:paraId="444F7024">
            <w:pPr>
              <w:keepNext w:val="0"/>
              <w:keepLines w:val="0"/>
              <w:pageBreakBefore w:val="0"/>
              <w:kinsoku/>
              <w:wordWrap/>
              <w:topLinePunct w:val="0"/>
              <w:autoSpaceDE/>
              <w:autoSpaceDN/>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单位地址：</w:t>
            </w:r>
          </w:p>
        </w:tc>
        <w:tc>
          <w:tcPr>
            <w:tcW w:w="3571" w:type="dxa"/>
            <w:gridSpan w:val="2"/>
            <w:shd w:val="clear" w:color="auto" w:fill="auto"/>
          </w:tcPr>
          <w:p w14:paraId="23CB8628">
            <w:pPr>
              <w:keepNext w:val="0"/>
              <w:keepLines w:val="0"/>
              <w:pageBreakBefore w:val="0"/>
              <w:kinsoku/>
              <w:wordWrap/>
              <w:topLinePunct w:val="0"/>
              <w:autoSpaceDE/>
              <w:autoSpaceDN/>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公司传真：</w:t>
            </w:r>
          </w:p>
        </w:tc>
      </w:tr>
      <w:tr w14:paraId="444428EE">
        <w:tblPrEx>
          <w:tblCellMar>
            <w:top w:w="0" w:type="dxa"/>
            <w:left w:w="108" w:type="dxa"/>
            <w:bottom w:w="0" w:type="dxa"/>
            <w:right w:w="108" w:type="dxa"/>
          </w:tblCellMar>
        </w:tblPrEx>
        <w:trPr>
          <w:jc w:val="center"/>
        </w:trPr>
        <w:tc>
          <w:tcPr>
            <w:tcW w:w="5525" w:type="dxa"/>
            <w:gridSpan w:val="3"/>
            <w:shd w:val="clear" w:color="auto" w:fill="auto"/>
          </w:tcPr>
          <w:p w14:paraId="225BA50E">
            <w:pPr>
              <w:keepNext w:val="0"/>
              <w:keepLines w:val="0"/>
              <w:pageBreakBefore w:val="0"/>
              <w:kinsoku/>
              <w:wordWrap/>
              <w:topLinePunct w:val="0"/>
              <w:autoSpaceDE/>
              <w:autoSpaceDN/>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注册资金：</w:t>
            </w:r>
          </w:p>
        </w:tc>
        <w:tc>
          <w:tcPr>
            <w:tcW w:w="3571" w:type="dxa"/>
            <w:gridSpan w:val="2"/>
            <w:shd w:val="clear" w:color="auto" w:fill="auto"/>
          </w:tcPr>
          <w:p w14:paraId="577FD78D">
            <w:pPr>
              <w:keepNext w:val="0"/>
              <w:keepLines w:val="0"/>
              <w:pageBreakBefore w:val="0"/>
              <w:kinsoku/>
              <w:wordWrap/>
              <w:topLinePunct w:val="0"/>
              <w:autoSpaceDE/>
              <w:autoSpaceDN/>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单位性质：</w:t>
            </w:r>
          </w:p>
        </w:tc>
      </w:tr>
      <w:tr w14:paraId="09C1545E">
        <w:tblPrEx>
          <w:tblCellMar>
            <w:top w:w="0" w:type="dxa"/>
            <w:left w:w="108" w:type="dxa"/>
            <w:bottom w:w="0" w:type="dxa"/>
            <w:right w:w="108" w:type="dxa"/>
          </w:tblCellMar>
        </w:tblPrEx>
        <w:trPr>
          <w:jc w:val="center"/>
        </w:trPr>
        <w:tc>
          <w:tcPr>
            <w:tcW w:w="5525" w:type="dxa"/>
            <w:gridSpan w:val="3"/>
            <w:shd w:val="clear" w:color="auto" w:fill="auto"/>
          </w:tcPr>
          <w:p w14:paraId="74E01AB9">
            <w:pPr>
              <w:keepNext w:val="0"/>
              <w:keepLines w:val="0"/>
              <w:pageBreakBefore w:val="0"/>
              <w:kinsoku/>
              <w:wordWrap/>
              <w:topLinePunct w:val="0"/>
              <w:autoSpaceDE/>
              <w:autoSpaceDN/>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公司开户银行名称：</w:t>
            </w:r>
          </w:p>
        </w:tc>
        <w:tc>
          <w:tcPr>
            <w:tcW w:w="3571" w:type="dxa"/>
            <w:gridSpan w:val="2"/>
            <w:shd w:val="clear" w:color="auto" w:fill="auto"/>
          </w:tcPr>
          <w:p w14:paraId="222686D3">
            <w:pPr>
              <w:keepNext w:val="0"/>
              <w:keepLines w:val="0"/>
              <w:pageBreakBefore w:val="0"/>
              <w:kinsoku/>
              <w:wordWrap/>
              <w:topLinePunct w:val="0"/>
              <w:autoSpaceDE/>
              <w:autoSpaceDN/>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开户账号：</w:t>
            </w:r>
          </w:p>
        </w:tc>
      </w:tr>
      <w:tr w14:paraId="572F158F">
        <w:tblPrEx>
          <w:tblCellMar>
            <w:top w:w="0" w:type="dxa"/>
            <w:left w:w="108" w:type="dxa"/>
            <w:bottom w:w="0" w:type="dxa"/>
            <w:right w:w="108" w:type="dxa"/>
          </w:tblCellMar>
        </w:tblPrEx>
        <w:trPr>
          <w:jc w:val="center"/>
        </w:trPr>
        <w:tc>
          <w:tcPr>
            <w:tcW w:w="9096" w:type="dxa"/>
            <w:gridSpan w:val="5"/>
            <w:shd w:val="clear" w:color="auto" w:fill="auto"/>
          </w:tcPr>
          <w:p w14:paraId="01C37937">
            <w:pPr>
              <w:keepNext w:val="0"/>
              <w:keepLines w:val="0"/>
              <w:pageBreakBefore w:val="0"/>
              <w:kinsoku/>
              <w:wordWrap/>
              <w:topLinePunct w:val="0"/>
              <w:autoSpaceDE/>
              <w:autoSpaceDN/>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营业注册执照或事业单位法人证书号：</w:t>
            </w:r>
          </w:p>
        </w:tc>
      </w:tr>
      <w:tr w14:paraId="56097747">
        <w:tblPrEx>
          <w:tblCellMar>
            <w:top w:w="0" w:type="dxa"/>
            <w:left w:w="108" w:type="dxa"/>
            <w:bottom w:w="0" w:type="dxa"/>
            <w:right w:w="108" w:type="dxa"/>
          </w:tblCellMar>
        </w:tblPrEx>
        <w:trPr>
          <w:trHeight w:val="583" w:hRule="atLeast"/>
          <w:jc w:val="center"/>
        </w:trPr>
        <w:tc>
          <w:tcPr>
            <w:tcW w:w="9096" w:type="dxa"/>
            <w:gridSpan w:val="5"/>
            <w:shd w:val="clear" w:color="auto" w:fill="auto"/>
          </w:tcPr>
          <w:p w14:paraId="7A3B3E10">
            <w:pPr>
              <w:keepNext w:val="0"/>
              <w:keepLines w:val="0"/>
              <w:pageBreakBefore w:val="0"/>
              <w:kinsoku/>
              <w:wordWrap/>
              <w:topLinePunct w:val="0"/>
              <w:autoSpaceDE/>
              <w:autoSpaceDN/>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公司财务状况：（如需）                            【价格单位：（人民币）元】</w:t>
            </w:r>
          </w:p>
        </w:tc>
      </w:tr>
      <w:tr w14:paraId="142A279C">
        <w:tblPrEx>
          <w:tblCellMar>
            <w:top w:w="0" w:type="dxa"/>
            <w:left w:w="108" w:type="dxa"/>
            <w:bottom w:w="0" w:type="dxa"/>
            <w:right w:w="108" w:type="dxa"/>
          </w:tblCellMar>
        </w:tblPrEx>
        <w:trPr>
          <w:jc w:val="center"/>
        </w:trPr>
        <w:tc>
          <w:tcPr>
            <w:tcW w:w="2114" w:type="dxa"/>
            <w:tcBorders>
              <w:top w:val="single" w:color="auto" w:sz="6" w:space="0"/>
              <w:left w:val="single" w:color="auto" w:sz="6" w:space="0"/>
              <w:bottom w:val="single" w:color="auto" w:sz="6" w:space="0"/>
              <w:right w:val="single" w:color="auto" w:sz="6" w:space="0"/>
            </w:tcBorders>
            <w:shd w:val="clear" w:color="auto" w:fill="auto"/>
            <w:vAlign w:val="center"/>
          </w:tcPr>
          <w:p w14:paraId="65B87A06">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年  度</w:t>
            </w:r>
          </w:p>
        </w:tc>
        <w:tc>
          <w:tcPr>
            <w:tcW w:w="2372" w:type="dxa"/>
            <w:tcBorders>
              <w:top w:val="single" w:color="auto" w:sz="6" w:space="0"/>
              <w:left w:val="single" w:color="auto" w:sz="6" w:space="0"/>
              <w:bottom w:val="single" w:color="auto" w:sz="6" w:space="0"/>
              <w:right w:val="single" w:color="auto" w:sz="6" w:space="0"/>
            </w:tcBorders>
            <w:shd w:val="clear" w:color="auto" w:fill="auto"/>
            <w:vAlign w:val="center"/>
          </w:tcPr>
          <w:p w14:paraId="1AEFD204">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总资产（元）</w:t>
            </w:r>
          </w:p>
        </w:tc>
        <w:tc>
          <w:tcPr>
            <w:tcW w:w="2410" w:type="dxa"/>
            <w:gridSpan w:val="2"/>
            <w:tcBorders>
              <w:top w:val="single" w:color="auto" w:sz="6" w:space="0"/>
              <w:left w:val="single" w:color="auto" w:sz="6" w:space="0"/>
              <w:bottom w:val="single" w:color="auto" w:sz="6" w:space="0"/>
              <w:right w:val="single" w:color="auto" w:sz="6" w:space="0"/>
            </w:tcBorders>
            <w:shd w:val="clear" w:color="auto" w:fill="auto"/>
            <w:vAlign w:val="center"/>
          </w:tcPr>
          <w:p w14:paraId="2056CB98">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年营业额（元）</w:t>
            </w:r>
          </w:p>
        </w:tc>
        <w:tc>
          <w:tcPr>
            <w:tcW w:w="2200" w:type="dxa"/>
            <w:tcBorders>
              <w:top w:val="single" w:color="auto" w:sz="6" w:space="0"/>
              <w:left w:val="single" w:color="auto" w:sz="6" w:space="0"/>
              <w:bottom w:val="single" w:color="auto" w:sz="6" w:space="0"/>
              <w:right w:val="single" w:color="auto" w:sz="6" w:space="0"/>
            </w:tcBorders>
            <w:shd w:val="clear" w:color="auto" w:fill="auto"/>
            <w:vAlign w:val="center"/>
          </w:tcPr>
          <w:p w14:paraId="18A5D4E5">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年净利润（元）</w:t>
            </w:r>
          </w:p>
        </w:tc>
      </w:tr>
      <w:tr w14:paraId="1E25F84F">
        <w:tblPrEx>
          <w:tblCellMar>
            <w:top w:w="0" w:type="dxa"/>
            <w:left w:w="108" w:type="dxa"/>
            <w:bottom w:w="0" w:type="dxa"/>
            <w:right w:w="108" w:type="dxa"/>
          </w:tblCellMar>
        </w:tblPrEx>
        <w:trPr>
          <w:jc w:val="center"/>
        </w:trPr>
        <w:tc>
          <w:tcPr>
            <w:tcW w:w="2114" w:type="dxa"/>
            <w:tcBorders>
              <w:top w:val="single" w:color="auto" w:sz="6" w:space="0"/>
              <w:left w:val="single" w:color="auto" w:sz="6" w:space="0"/>
              <w:bottom w:val="single" w:color="auto" w:sz="6" w:space="0"/>
              <w:right w:val="single" w:color="auto" w:sz="6" w:space="0"/>
            </w:tcBorders>
            <w:shd w:val="clear" w:color="auto" w:fill="auto"/>
          </w:tcPr>
          <w:p w14:paraId="7A780456">
            <w:pPr>
              <w:keepNext w:val="0"/>
              <w:keepLines w:val="0"/>
              <w:pageBreakBefore w:val="0"/>
              <w:kinsoku/>
              <w:wordWrap/>
              <w:topLinePunct w:val="0"/>
              <w:autoSpaceDE/>
              <w:autoSpaceDN/>
              <w:bidi w:val="0"/>
              <w:snapToGrid/>
              <w:spacing w:line="288" w:lineRule="auto"/>
              <w:textAlignment w:val="auto"/>
              <w:rPr>
                <w:rFonts w:hint="eastAsia" w:ascii="宋体" w:hAnsi="宋体" w:eastAsia="宋体" w:cs="宋体"/>
                <w:color w:val="auto"/>
                <w:sz w:val="24"/>
                <w:szCs w:val="24"/>
                <w:highlight w:val="none"/>
              </w:rPr>
            </w:pPr>
          </w:p>
        </w:tc>
        <w:tc>
          <w:tcPr>
            <w:tcW w:w="2372" w:type="dxa"/>
            <w:tcBorders>
              <w:top w:val="single" w:color="auto" w:sz="6" w:space="0"/>
              <w:left w:val="single" w:color="auto" w:sz="6" w:space="0"/>
              <w:bottom w:val="single" w:color="auto" w:sz="6" w:space="0"/>
              <w:right w:val="single" w:color="auto" w:sz="6" w:space="0"/>
            </w:tcBorders>
            <w:shd w:val="clear" w:color="auto" w:fill="auto"/>
          </w:tcPr>
          <w:p w14:paraId="3ECFCC9E">
            <w:pPr>
              <w:keepNext w:val="0"/>
              <w:keepLines w:val="0"/>
              <w:pageBreakBefore w:val="0"/>
              <w:kinsoku/>
              <w:wordWrap/>
              <w:topLinePunct w:val="0"/>
              <w:autoSpaceDE/>
              <w:autoSpaceDN/>
              <w:bidi w:val="0"/>
              <w:snapToGrid/>
              <w:spacing w:line="288" w:lineRule="auto"/>
              <w:textAlignment w:val="auto"/>
              <w:rPr>
                <w:rFonts w:hint="eastAsia" w:ascii="宋体" w:hAnsi="宋体" w:eastAsia="宋体" w:cs="宋体"/>
                <w:color w:val="auto"/>
                <w:sz w:val="24"/>
                <w:szCs w:val="24"/>
                <w:highlight w:val="none"/>
              </w:rPr>
            </w:pPr>
          </w:p>
        </w:tc>
        <w:tc>
          <w:tcPr>
            <w:tcW w:w="2410" w:type="dxa"/>
            <w:gridSpan w:val="2"/>
            <w:tcBorders>
              <w:top w:val="single" w:color="auto" w:sz="6" w:space="0"/>
              <w:left w:val="single" w:color="auto" w:sz="6" w:space="0"/>
              <w:bottom w:val="single" w:color="auto" w:sz="6" w:space="0"/>
              <w:right w:val="single" w:color="auto" w:sz="6" w:space="0"/>
            </w:tcBorders>
            <w:shd w:val="clear" w:color="auto" w:fill="auto"/>
          </w:tcPr>
          <w:p w14:paraId="24154059">
            <w:pPr>
              <w:keepNext w:val="0"/>
              <w:keepLines w:val="0"/>
              <w:pageBreakBefore w:val="0"/>
              <w:kinsoku/>
              <w:wordWrap/>
              <w:topLinePunct w:val="0"/>
              <w:autoSpaceDE/>
              <w:autoSpaceDN/>
              <w:bidi w:val="0"/>
              <w:snapToGrid/>
              <w:spacing w:line="288" w:lineRule="auto"/>
              <w:textAlignment w:val="auto"/>
              <w:rPr>
                <w:rFonts w:hint="eastAsia" w:ascii="宋体" w:hAnsi="宋体" w:eastAsia="宋体" w:cs="宋体"/>
                <w:color w:val="auto"/>
                <w:sz w:val="24"/>
                <w:szCs w:val="24"/>
                <w:highlight w:val="none"/>
              </w:rPr>
            </w:pPr>
          </w:p>
        </w:tc>
        <w:tc>
          <w:tcPr>
            <w:tcW w:w="2200" w:type="dxa"/>
            <w:tcBorders>
              <w:top w:val="single" w:color="auto" w:sz="6" w:space="0"/>
              <w:left w:val="single" w:color="auto" w:sz="6" w:space="0"/>
              <w:bottom w:val="single" w:color="auto" w:sz="6" w:space="0"/>
              <w:right w:val="single" w:color="auto" w:sz="6" w:space="0"/>
            </w:tcBorders>
            <w:shd w:val="clear" w:color="auto" w:fill="auto"/>
          </w:tcPr>
          <w:p w14:paraId="2BF21B77">
            <w:pPr>
              <w:keepNext w:val="0"/>
              <w:keepLines w:val="0"/>
              <w:pageBreakBefore w:val="0"/>
              <w:kinsoku/>
              <w:wordWrap/>
              <w:topLinePunct w:val="0"/>
              <w:autoSpaceDE/>
              <w:autoSpaceDN/>
              <w:bidi w:val="0"/>
              <w:snapToGrid/>
              <w:spacing w:line="288" w:lineRule="auto"/>
              <w:textAlignment w:val="auto"/>
              <w:rPr>
                <w:rFonts w:hint="eastAsia" w:ascii="宋体" w:hAnsi="宋体" w:eastAsia="宋体" w:cs="宋体"/>
                <w:color w:val="auto"/>
                <w:sz w:val="24"/>
                <w:szCs w:val="24"/>
                <w:highlight w:val="none"/>
              </w:rPr>
            </w:pPr>
          </w:p>
        </w:tc>
      </w:tr>
      <w:tr w14:paraId="436051FA">
        <w:tblPrEx>
          <w:tblCellMar>
            <w:top w:w="0" w:type="dxa"/>
            <w:left w:w="108" w:type="dxa"/>
            <w:bottom w:w="0" w:type="dxa"/>
            <w:right w:w="108" w:type="dxa"/>
          </w:tblCellMar>
        </w:tblPrEx>
        <w:trPr>
          <w:jc w:val="center"/>
        </w:trPr>
        <w:tc>
          <w:tcPr>
            <w:tcW w:w="2114" w:type="dxa"/>
            <w:tcBorders>
              <w:top w:val="single" w:color="auto" w:sz="6" w:space="0"/>
              <w:left w:val="single" w:color="auto" w:sz="6" w:space="0"/>
              <w:bottom w:val="single" w:color="auto" w:sz="6" w:space="0"/>
              <w:right w:val="single" w:color="auto" w:sz="6" w:space="0"/>
            </w:tcBorders>
            <w:shd w:val="clear" w:color="auto" w:fill="auto"/>
          </w:tcPr>
          <w:p w14:paraId="1D6A4437">
            <w:pPr>
              <w:keepNext w:val="0"/>
              <w:keepLines w:val="0"/>
              <w:pageBreakBefore w:val="0"/>
              <w:kinsoku/>
              <w:wordWrap/>
              <w:topLinePunct w:val="0"/>
              <w:autoSpaceDE/>
              <w:autoSpaceDN/>
              <w:bidi w:val="0"/>
              <w:snapToGrid/>
              <w:spacing w:line="288" w:lineRule="auto"/>
              <w:textAlignment w:val="auto"/>
              <w:rPr>
                <w:rFonts w:hint="eastAsia" w:ascii="宋体" w:hAnsi="宋体" w:eastAsia="宋体" w:cs="宋体"/>
                <w:color w:val="auto"/>
                <w:sz w:val="24"/>
                <w:szCs w:val="24"/>
                <w:highlight w:val="none"/>
              </w:rPr>
            </w:pPr>
          </w:p>
        </w:tc>
        <w:tc>
          <w:tcPr>
            <w:tcW w:w="2372" w:type="dxa"/>
            <w:tcBorders>
              <w:top w:val="single" w:color="auto" w:sz="6" w:space="0"/>
              <w:left w:val="single" w:color="auto" w:sz="6" w:space="0"/>
              <w:bottom w:val="single" w:color="auto" w:sz="6" w:space="0"/>
              <w:right w:val="single" w:color="auto" w:sz="6" w:space="0"/>
            </w:tcBorders>
            <w:shd w:val="clear" w:color="auto" w:fill="auto"/>
          </w:tcPr>
          <w:p w14:paraId="62B0B8D0">
            <w:pPr>
              <w:keepNext w:val="0"/>
              <w:keepLines w:val="0"/>
              <w:pageBreakBefore w:val="0"/>
              <w:kinsoku/>
              <w:wordWrap/>
              <w:topLinePunct w:val="0"/>
              <w:autoSpaceDE/>
              <w:autoSpaceDN/>
              <w:bidi w:val="0"/>
              <w:snapToGrid/>
              <w:spacing w:line="288" w:lineRule="auto"/>
              <w:textAlignment w:val="auto"/>
              <w:rPr>
                <w:rFonts w:hint="eastAsia" w:ascii="宋体" w:hAnsi="宋体" w:eastAsia="宋体" w:cs="宋体"/>
                <w:color w:val="auto"/>
                <w:sz w:val="24"/>
                <w:szCs w:val="24"/>
                <w:highlight w:val="none"/>
              </w:rPr>
            </w:pPr>
          </w:p>
        </w:tc>
        <w:tc>
          <w:tcPr>
            <w:tcW w:w="2410" w:type="dxa"/>
            <w:gridSpan w:val="2"/>
            <w:tcBorders>
              <w:top w:val="single" w:color="auto" w:sz="6" w:space="0"/>
              <w:left w:val="single" w:color="auto" w:sz="6" w:space="0"/>
              <w:bottom w:val="single" w:color="auto" w:sz="6" w:space="0"/>
              <w:right w:val="single" w:color="auto" w:sz="6" w:space="0"/>
            </w:tcBorders>
            <w:shd w:val="clear" w:color="auto" w:fill="auto"/>
          </w:tcPr>
          <w:p w14:paraId="735FEA07">
            <w:pPr>
              <w:keepNext w:val="0"/>
              <w:keepLines w:val="0"/>
              <w:pageBreakBefore w:val="0"/>
              <w:kinsoku/>
              <w:wordWrap/>
              <w:topLinePunct w:val="0"/>
              <w:autoSpaceDE/>
              <w:autoSpaceDN/>
              <w:bidi w:val="0"/>
              <w:snapToGrid/>
              <w:spacing w:line="288" w:lineRule="auto"/>
              <w:textAlignment w:val="auto"/>
              <w:rPr>
                <w:rFonts w:hint="eastAsia" w:ascii="宋体" w:hAnsi="宋体" w:eastAsia="宋体" w:cs="宋体"/>
                <w:color w:val="auto"/>
                <w:sz w:val="24"/>
                <w:szCs w:val="24"/>
                <w:highlight w:val="none"/>
              </w:rPr>
            </w:pPr>
          </w:p>
        </w:tc>
        <w:tc>
          <w:tcPr>
            <w:tcW w:w="2200" w:type="dxa"/>
            <w:tcBorders>
              <w:top w:val="single" w:color="auto" w:sz="6" w:space="0"/>
              <w:left w:val="single" w:color="auto" w:sz="6" w:space="0"/>
              <w:bottom w:val="single" w:color="auto" w:sz="6" w:space="0"/>
              <w:right w:val="single" w:color="auto" w:sz="6" w:space="0"/>
            </w:tcBorders>
            <w:shd w:val="clear" w:color="auto" w:fill="auto"/>
          </w:tcPr>
          <w:p w14:paraId="4AC87EE8">
            <w:pPr>
              <w:keepNext w:val="0"/>
              <w:keepLines w:val="0"/>
              <w:pageBreakBefore w:val="0"/>
              <w:kinsoku/>
              <w:wordWrap/>
              <w:topLinePunct w:val="0"/>
              <w:autoSpaceDE/>
              <w:autoSpaceDN/>
              <w:bidi w:val="0"/>
              <w:snapToGrid/>
              <w:spacing w:line="288" w:lineRule="auto"/>
              <w:textAlignment w:val="auto"/>
              <w:rPr>
                <w:rFonts w:hint="eastAsia" w:ascii="宋体" w:hAnsi="宋体" w:eastAsia="宋体" w:cs="宋体"/>
                <w:color w:val="auto"/>
                <w:sz w:val="24"/>
                <w:szCs w:val="24"/>
                <w:highlight w:val="none"/>
              </w:rPr>
            </w:pPr>
          </w:p>
        </w:tc>
      </w:tr>
    </w:tbl>
    <w:p w14:paraId="355FF46A">
      <w:pPr>
        <w:keepNext w:val="0"/>
        <w:keepLines w:val="0"/>
        <w:pageBreakBefore w:val="0"/>
        <w:kinsoku/>
        <w:wordWrap/>
        <w:topLinePunct w:val="0"/>
        <w:autoSpaceDE/>
        <w:autoSpaceDN/>
        <w:bidi w:val="0"/>
        <w:snapToGrid/>
        <w:spacing w:before="120" w:beforeLines="50" w:after="120" w:afterLines="50" w:line="288" w:lineRule="auto"/>
        <w:ind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备注：需提供证明资料内容详见</w:t>
      </w:r>
      <w:r>
        <w:rPr>
          <w:rFonts w:hint="eastAsia" w:ascii="宋体" w:hAnsi="宋体" w:eastAsia="宋体" w:cs="宋体"/>
          <w:color w:val="auto"/>
          <w:sz w:val="24"/>
          <w:szCs w:val="24"/>
          <w:highlight w:val="none"/>
          <w:u w:val="single"/>
        </w:rPr>
        <w:t>（评标方法）</w:t>
      </w:r>
      <w:r>
        <w:rPr>
          <w:rFonts w:hint="eastAsia" w:ascii="宋体" w:hAnsi="宋体" w:eastAsia="宋体" w:cs="宋体"/>
          <w:color w:val="auto"/>
          <w:sz w:val="24"/>
          <w:szCs w:val="24"/>
          <w:highlight w:val="none"/>
        </w:rPr>
        <w:t>。</w:t>
      </w:r>
    </w:p>
    <w:p w14:paraId="30B4AA7E">
      <w:pPr>
        <w:keepNext w:val="0"/>
        <w:keepLines w:val="0"/>
        <w:pageBreakBefore w:val="0"/>
        <w:kinsoku/>
        <w:wordWrap/>
        <w:topLinePunct w:val="0"/>
        <w:autoSpaceDE/>
        <w:autoSpaceDN/>
        <w:bidi w:val="0"/>
        <w:snapToGrid/>
        <w:spacing w:before="120" w:beforeLines="50" w:after="360" w:afterLines="150" w:line="288" w:lineRule="auto"/>
        <w:ind w:firstLine="480" w:firstLineChars="200"/>
        <w:textAlignment w:val="auto"/>
        <w:rPr>
          <w:rFonts w:hint="eastAsia" w:ascii="宋体" w:hAnsi="宋体" w:eastAsia="宋体" w:cs="宋体"/>
          <w:color w:val="auto"/>
          <w:sz w:val="24"/>
          <w:szCs w:val="24"/>
          <w:highlight w:val="none"/>
        </w:rPr>
      </w:pPr>
    </w:p>
    <w:p w14:paraId="5B4A8D9F">
      <w:pPr>
        <w:keepNext w:val="0"/>
        <w:keepLines w:val="0"/>
        <w:pageBreakBefore w:val="0"/>
        <w:kinsoku/>
        <w:wordWrap/>
        <w:topLinePunct w:val="0"/>
        <w:autoSpaceDE/>
        <w:autoSpaceDN/>
        <w:bidi w:val="0"/>
        <w:snapToGrid/>
        <w:spacing w:before="120" w:beforeLines="50" w:after="360" w:afterLines="150"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兹证明上述声明是真实、正确的，并提供了全部能提供的资料和数据，我方同意遵照贵方要求出示有关证明文件。</w:t>
      </w:r>
    </w:p>
    <w:tbl>
      <w:tblPr>
        <w:tblStyle w:val="44"/>
        <w:tblW w:w="8528" w:type="dxa"/>
        <w:tblInd w:w="0" w:type="dxa"/>
        <w:tblLayout w:type="fixed"/>
        <w:tblCellMar>
          <w:top w:w="0" w:type="dxa"/>
          <w:left w:w="108" w:type="dxa"/>
          <w:bottom w:w="0" w:type="dxa"/>
          <w:right w:w="108" w:type="dxa"/>
        </w:tblCellMar>
      </w:tblPr>
      <w:tblGrid>
        <w:gridCol w:w="5353"/>
        <w:gridCol w:w="3175"/>
      </w:tblGrid>
      <w:tr w14:paraId="60C3B11B">
        <w:tblPrEx>
          <w:tblCellMar>
            <w:top w:w="0" w:type="dxa"/>
            <w:left w:w="108" w:type="dxa"/>
            <w:bottom w:w="0" w:type="dxa"/>
            <w:right w:w="108" w:type="dxa"/>
          </w:tblCellMar>
        </w:tblPrEx>
        <w:tc>
          <w:tcPr>
            <w:tcW w:w="5353" w:type="dxa"/>
            <w:shd w:val="clear" w:color="auto" w:fill="auto"/>
          </w:tcPr>
          <w:p w14:paraId="5907073C">
            <w:pPr>
              <w:keepNext w:val="0"/>
              <w:keepLines w:val="0"/>
              <w:pageBreakBefore w:val="0"/>
              <w:kinsoku/>
              <w:wordWrap/>
              <w:overflowPunct w:val="0"/>
              <w:topLinePunct w:val="0"/>
              <w:autoSpaceDE/>
              <w:autoSpaceDN/>
              <w:bidi w:val="0"/>
              <w:adjustRightInd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供应商名称（加盖公章）：</w:t>
            </w:r>
          </w:p>
        </w:tc>
        <w:tc>
          <w:tcPr>
            <w:tcW w:w="3175" w:type="dxa"/>
            <w:shd w:val="clear" w:color="auto" w:fill="auto"/>
          </w:tcPr>
          <w:p w14:paraId="6A4B9E9F">
            <w:pPr>
              <w:keepNext w:val="0"/>
              <w:keepLines w:val="0"/>
              <w:pageBreakBefore w:val="0"/>
              <w:kinsoku/>
              <w:wordWrap/>
              <w:topLinePunct w:val="0"/>
              <w:autoSpaceDE/>
              <w:autoSpaceDN/>
              <w:bidi w:val="0"/>
              <w:snapToGrid/>
              <w:spacing w:line="288" w:lineRule="auto"/>
              <w:textAlignment w:val="auto"/>
              <w:rPr>
                <w:rFonts w:hint="eastAsia" w:ascii="宋体" w:hAnsi="宋体" w:eastAsia="宋体" w:cs="宋体"/>
                <w:color w:val="auto"/>
                <w:sz w:val="24"/>
                <w:szCs w:val="24"/>
                <w:highlight w:val="none"/>
              </w:rPr>
            </w:pPr>
          </w:p>
        </w:tc>
      </w:tr>
      <w:tr w14:paraId="1AE0EDCF">
        <w:tblPrEx>
          <w:tblCellMar>
            <w:top w:w="0" w:type="dxa"/>
            <w:left w:w="108" w:type="dxa"/>
            <w:bottom w:w="0" w:type="dxa"/>
            <w:right w:w="108" w:type="dxa"/>
          </w:tblCellMar>
        </w:tblPrEx>
        <w:tc>
          <w:tcPr>
            <w:tcW w:w="5353" w:type="dxa"/>
            <w:shd w:val="clear" w:color="auto" w:fill="auto"/>
          </w:tcPr>
          <w:p w14:paraId="2FFAA0E3">
            <w:pPr>
              <w:keepNext w:val="0"/>
              <w:keepLines w:val="0"/>
              <w:pageBreakBefore w:val="0"/>
              <w:kinsoku/>
              <w:wordWrap/>
              <w:topLinePunct w:val="0"/>
              <w:autoSpaceDE/>
              <w:autoSpaceDN/>
              <w:bidi w:val="0"/>
              <w:snapToGrid/>
              <w:spacing w:line="288" w:lineRule="auto"/>
              <w:textAlignment w:val="auto"/>
              <w:rPr>
                <w:rFonts w:hint="eastAsia" w:ascii="宋体" w:hAnsi="宋体" w:eastAsia="宋体" w:cs="宋体"/>
                <w:color w:val="auto"/>
                <w:sz w:val="24"/>
                <w:szCs w:val="24"/>
                <w:highlight w:val="none"/>
              </w:rPr>
            </w:pPr>
          </w:p>
          <w:p w14:paraId="2EDE89E9">
            <w:pPr>
              <w:keepNext w:val="0"/>
              <w:keepLines w:val="0"/>
              <w:pageBreakBefore w:val="0"/>
              <w:kinsoku/>
              <w:wordWrap/>
              <w:topLinePunct w:val="0"/>
              <w:autoSpaceDE/>
              <w:autoSpaceDN/>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         年          月           日</w:t>
            </w:r>
          </w:p>
        </w:tc>
        <w:tc>
          <w:tcPr>
            <w:tcW w:w="3175" w:type="dxa"/>
            <w:shd w:val="clear" w:color="auto" w:fill="auto"/>
          </w:tcPr>
          <w:p w14:paraId="36A0C2BD">
            <w:pPr>
              <w:keepNext w:val="0"/>
              <w:keepLines w:val="0"/>
              <w:pageBreakBefore w:val="0"/>
              <w:kinsoku/>
              <w:wordWrap/>
              <w:topLinePunct w:val="0"/>
              <w:autoSpaceDE/>
              <w:autoSpaceDN/>
              <w:bidi w:val="0"/>
              <w:snapToGrid/>
              <w:spacing w:line="288" w:lineRule="auto"/>
              <w:textAlignment w:val="auto"/>
              <w:rPr>
                <w:rFonts w:hint="eastAsia" w:ascii="宋体" w:hAnsi="宋体" w:eastAsia="宋体" w:cs="宋体"/>
                <w:color w:val="auto"/>
                <w:sz w:val="24"/>
                <w:szCs w:val="24"/>
                <w:highlight w:val="none"/>
              </w:rPr>
            </w:pPr>
          </w:p>
        </w:tc>
      </w:tr>
    </w:tbl>
    <w:p w14:paraId="4169DE22">
      <w:pPr>
        <w:rPr>
          <w:rFonts w:hint="eastAsia" w:ascii="宋体" w:hAnsi="宋体" w:eastAsia="宋体" w:cs="宋体"/>
          <w:b/>
          <w:color w:val="auto"/>
          <w:spacing w:val="20"/>
          <w:sz w:val="21"/>
          <w:szCs w:val="21"/>
          <w:highlight w:val="none"/>
        </w:rPr>
      </w:pPr>
      <w:r>
        <w:rPr>
          <w:rFonts w:hint="eastAsia" w:ascii="宋体" w:hAnsi="宋体" w:eastAsia="宋体" w:cs="宋体"/>
          <w:b/>
          <w:color w:val="auto"/>
          <w:spacing w:val="20"/>
          <w:sz w:val="21"/>
          <w:szCs w:val="21"/>
          <w:highlight w:val="none"/>
        </w:rPr>
        <w:br w:type="page"/>
      </w:r>
    </w:p>
    <w:p w14:paraId="4BB25728">
      <w:pPr>
        <w:spacing w:line="360" w:lineRule="auto"/>
        <w:jc w:val="center"/>
        <w:rPr>
          <w:rFonts w:hint="eastAsia" w:ascii="宋体" w:hAnsi="宋体" w:eastAsia="宋体" w:cs="宋体"/>
          <w:b/>
          <w:color w:val="auto"/>
          <w:sz w:val="36"/>
          <w:szCs w:val="36"/>
          <w:highlight w:val="none"/>
        </w:rPr>
      </w:pPr>
    </w:p>
    <w:p w14:paraId="640592B3">
      <w:pPr>
        <w:spacing w:line="360" w:lineRule="auto"/>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七、承诺书</w:t>
      </w:r>
    </w:p>
    <w:p w14:paraId="548101E4">
      <w:pPr>
        <w:pStyle w:val="135"/>
        <w:keepNext w:val="0"/>
        <w:keepLines w:val="0"/>
        <w:pageBreakBefore w:val="0"/>
        <w:kinsoku/>
        <w:wordWrap/>
        <w:overflowPunct/>
        <w:topLinePunct w:val="0"/>
        <w:autoSpaceDE/>
        <w:autoSpaceDN/>
        <w:bidi w:val="0"/>
        <w:adjustRightInd/>
        <w:snapToGrid/>
        <w:spacing w:line="288" w:lineRule="auto"/>
        <w:ind w:firstLine="441"/>
        <w:textAlignment w:val="auto"/>
        <w:rPr>
          <w:rFonts w:hint="eastAsia" w:ascii="宋体" w:hAnsi="宋体" w:eastAsia="宋体" w:cs="宋体"/>
          <w:color w:val="auto"/>
          <w:spacing w:val="2"/>
          <w:sz w:val="24"/>
          <w:szCs w:val="24"/>
          <w:highlight w:val="none"/>
        </w:rPr>
      </w:pPr>
      <w:bookmarkStart w:id="44" w:name="_Toc313537922"/>
      <w:r>
        <w:rPr>
          <w:rFonts w:hint="eastAsia" w:ascii="宋体" w:hAnsi="宋体" w:eastAsia="宋体" w:cs="宋体"/>
          <w:color w:val="auto"/>
          <w:spacing w:val="2"/>
          <w:sz w:val="24"/>
          <w:szCs w:val="24"/>
          <w:highlight w:val="none"/>
        </w:rPr>
        <w:t>我方已完整阅读了</w:t>
      </w:r>
      <w:r>
        <w:rPr>
          <w:rFonts w:hint="eastAsia" w:ascii="宋体" w:hAnsi="宋体" w:eastAsia="宋体" w:cs="宋体"/>
          <w:color w:val="auto"/>
          <w:spacing w:val="2"/>
          <w:sz w:val="24"/>
          <w:szCs w:val="24"/>
          <w:highlight w:val="none"/>
          <w:u w:val="single"/>
        </w:rPr>
        <w:t>（</w:t>
      </w:r>
      <w:r>
        <w:rPr>
          <w:rFonts w:hint="eastAsia" w:ascii="宋体" w:hAnsi="宋体" w:eastAsia="宋体" w:cs="宋体"/>
          <w:b/>
          <w:color w:val="auto"/>
          <w:spacing w:val="2"/>
          <w:sz w:val="24"/>
          <w:szCs w:val="24"/>
          <w:highlight w:val="none"/>
          <w:u w:val="single"/>
        </w:rPr>
        <w:t>项目名称</w:t>
      </w:r>
      <w:r>
        <w:rPr>
          <w:rFonts w:hint="eastAsia" w:ascii="宋体" w:hAnsi="宋体" w:eastAsia="宋体" w:cs="宋体"/>
          <w:color w:val="auto"/>
          <w:spacing w:val="2"/>
          <w:sz w:val="24"/>
          <w:szCs w:val="24"/>
          <w:highlight w:val="none"/>
          <w:u w:val="single"/>
        </w:rPr>
        <w:t xml:space="preserve">）     </w:t>
      </w:r>
      <w:r>
        <w:rPr>
          <w:rFonts w:hint="eastAsia" w:ascii="宋体" w:hAnsi="宋体" w:eastAsia="宋体" w:cs="宋体"/>
          <w:color w:val="auto"/>
          <w:spacing w:val="2"/>
          <w:sz w:val="24"/>
          <w:szCs w:val="24"/>
          <w:highlight w:val="none"/>
        </w:rPr>
        <w:t>（项目编号：</w:t>
      </w:r>
      <w:r>
        <w:rPr>
          <w:rFonts w:hint="eastAsia" w:ascii="宋体" w:hAnsi="宋体" w:eastAsia="宋体" w:cs="宋体"/>
          <w:color w:val="auto"/>
          <w:spacing w:val="2"/>
          <w:sz w:val="24"/>
          <w:szCs w:val="24"/>
          <w:highlight w:val="none"/>
          <w:u w:val="single"/>
        </w:rPr>
        <w:t xml:space="preserve">        </w:t>
      </w:r>
      <w:r>
        <w:rPr>
          <w:rFonts w:hint="eastAsia" w:ascii="宋体" w:hAnsi="宋体" w:eastAsia="宋体" w:cs="宋体"/>
          <w:color w:val="auto"/>
          <w:spacing w:val="2"/>
          <w:sz w:val="24"/>
          <w:szCs w:val="24"/>
          <w:highlight w:val="none"/>
        </w:rPr>
        <w:t>）招标文件的所有内容（包括澄清，以及所有已提供的参考资料和有关附件），并完全理解上述文件所表达的意思，该项目递交投标文件时间截止后，我方承诺不再对上述文件内容进行询问或质疑。</w:t>
      </w:r>
      <w:bookmarkEnd w:id="44"/>
      <w:r>
        <w:rPr>
          <w:rFonts w:hint="eastAsia" w:ascii="宋体" w:hAnsi="宋体" w:eastAsia="宋体" w:cs="宋体"/>
          <w:color w:val="auto"/>
          <w:spacing w:val="2"/>
          <w:sz w:val="24"/>
          <w:szCs w:val="24"/>
          <w:highlight w:val="none"/>
        </w:rPr>
        <w:cr/>
      </w:r>
    </w:p>
    <w:p w14:paraId="18147623">
      <w:pPr>
        <w:pStyle w:val="135"/>
        <w:keepNext w:val="0"/>
        <w:keepLines w:val="0"/>
        <w:pageBreakBefore w:val="0"/>
        <w:kinsoku/>
        <w:wordWrap/>
        <w:overflowPunct/>
        <w:topLinePunct w:val="0"/>
        <w:autoSpaceDE/>
        <w:autoSpaceDN/>
        <w:bidi w:val="0"/>
        <w:adjustRightInd/>
        <w:snapToGrid/>
        <w:spacing w:line="288" w:lineRule="auto"/>
        <w:ind w:firstLine="0" w:firstLineChars="0"/>
        <w:textAlignment w:val="auto"/>
        <w:rPr>
          <w:rFonts w:hint="eastAsia" w:ascii="宋体" w:hAnsi="宋体" w:eastAsia="宋体" w:cs="宋体"/>
          <w:color w:val="auto"/>
          <w:spacing w:val="2"/>
          <w:sz w:val="24"/>
          <w:szCs w:val="24"/>
          <w:highlight w:val="none"/>
        </w:rPr>
      </w:pPr>
    </w:p>
    <w:p w14:paraId="46AC6171">
      <w:pPr>
        <w:keepNext w:val="0"/>
        <w:keepLines w:val="0"/>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p>
    <w:tbl>
      <w:tblPr>
        <w:tblStyle w:val="44"/>
        <w:tblW w:w="8528" w:type="dxa"/>
        <w:tblInd w:w="0" w:type="dxa"/>
        <w:tblLayout w:type="fixed"/>
        <w:tblCellMar>
          <w:top w:w="0" w:type="dxa"/>
          <w:left w:w="108" w:type="dxa"/>
          <w:bottom w:w="0" w:type="dxa"/>
          <w:right w:w="108" w:type="dxa"/>
        </w:tblCellMar>
      </w:tblPr>
      <w:tblGrid>
        <w:gridCol w:w="2802"/>
        <w:gridCol w:w="5726"/>
      </w:tblGrid>
      <w:tr w14:paraId="5143CC35">
        <w:tc>
          <w:tcPr>
            <w:tcW w:w="2802" w:type="dxa"/>
            <w:shd w:val="clear" w:color="auto" w:fill="auto"/>
          </w:tcPr>
          <w:p w14:paraId="4FA3C5E4">
            <w:pPr>
              <w:keepNext w:val="0"/>
              <w:keepLines w:val="0"/>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p>
        </w:tc>
        <w:tc>
          <w:tcPr>
            <w:tcW w:w="5726" w:type="dxa"/>
            <w:shd w:val="clear" w:color="auto" w:fill="auto"/>
          </w:tcPr>
          <w:p w14:paraId="4513AC46">
            <w:pPr>
              <w:keepNext w:val="0"/>
              <w:keepLines w:val="0"/>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供应商名称（加盖公章）：</w:t>
            </w:r>
          </w:p>
        </w:tc>
      </w:tr>
      <w:tr w14:paraId="63EDAF8C">
        <w:tc>
          <w:tcPr>
            <w:tcW w:w="2802" w:type="dxa"/>
            <w:shd w:val="clear" w:color="auto" w:fill="auto"/>
          </w:tcPr>
          <w:p w14:paraId="25DFC80E">
            <w:pPr>
              <w:keepNext w:val="0"/>
              <w:keepLines w:val="0"/>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p>
        </w:tc>
        <w:tc>
          <w:tcPr>
            <w:tcW w:w="5726" w:type="dxa"/>
            <w:shd w:val="clear" w:color="auto" w:fill="auto"/>
          </w:tcPr>
          <w:p w14:paraId="56243E92">
            <w:pPr>
              <w:keepNext w:val="0"/>
              <w:keepLines w:val="0"/>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p>
          <w:p w14:paraId="2048833A">
            <w:pPr>
              <w:keepNext w:val="0"/>
              <w:keepLines w:val="0"/>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法定代表人或被授权人（签名或盖章）：</w:t>
            </w:r>
          </w:p>
        </w:tc>
      </w:tr>
      <w:tr w14:paraId="616C01D9">
        <w:tc>
          <w:tcPr>
            <w:tcW w:w="2802" w:type="dxa"/>
            <w:shd w:val="clear" w:color="auto" w:fill="auto"/>
          </w:tcPr>
          <w:p w14:paraId="47EEDDA7">
            <w:pPr>
              <w:keepNext w:val="0"/>
              <w:keepLines w:val="0"/>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p>
        </w:tc>
        <w:tc>
          <w:tcPr>
            <w:tcW w:w="5726" w:type="dxa"/>
            <w:shd w:val="clear" w:color="auto" w:fill="auto"/>
          </w:tcPr>
          <w:p w14:paraId="28F80C10">
            <w:pPr>
              <w:keepNext w:val="0"/>
              <w:keepLines w:val="0"/>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p>
          <w:p w14:paraId="0344D929">
            <w:pPr>
              <w:keepNext w:val="0"/>
              <w:keepLines w:val="0"/>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     年     月       日</w:t>
            </w:r>
          </w:p>
        </w:tc>
      </w:tr>
    </w:tbl>
    <w:p w14:paraId="0B717D9F">
      <w:pPr>
        <w:spacing w:line="360" w:lineRule="auto"/>
        <w:rPr>
          <w:rFonts w:hint="eastAsia" w:ascii="宋体" w:hAnsi="宋体" w:eastAsia="宋体" w:cs="宋体"/>
          <w:color w:val="auto"/>
          <w:szCs w:val="21"/>
          <w:highlight w:val="none"/>
        </w:rPr>
      </w:pPr>
    </w:p>
    <w:p w14:paraId="0AF1EFC1">
      <w:pPr>
        <w:rPr>
          <w:rFonts w:hint="eastAsia" w:ascii="宋体" w:hAnsi="宋体" w:eastAsia="宋体" w:cs="宋体"/>
          <w:b/>
          <w:color w:val="auto"/>
          <w:spacing w:val="20"/>
          <w:sz w:val="30"/>
          <w:szCs w:val="30"/>
          <w:highlight w:val="none"/>
        </w:rPr>
      </w:pPr>
      <w:r>
        <w:rPr>
          <w:rFonts w:hint="eastAsia" w:ascii="宋体" w:hAnsi="宋体" w:eastAsia="宋体" w:cs="宋体"/>
          <w:b/>
          <w:color w:val="auto"/>
          <w:spacing w:val="20"/>
          <w:sz w:val="30"/>
          <w:szCs w:val="30"/>
          <w:highlight w:val="none"/>
        </w:rPr>
        <w:br w:type="page"/>
      </w:r>
    </w:p>
    <w:p w14:paraId="68AEB693">
      <w:pPr>
        <w:spacing w:line="360" w:lineRule="auto"/>
        <w:jc w:val="center"/>
        <w:rPr>
          <w:rFonts w:hint="eastAsia" w:ascii="宋体" w:hAnsi="宋体" w:eastAsia="宋体" w:cs="宋体"/>
          <w:b/>
          <w:color w:val="auto"/>
          <w:sz w:val="36"/>
          <w:szCs w:val="36"/>
          <w:highlight w:val="none"/>
        </w:rPr>
      </w:pPr>
    </w:p>
    <w:p w14:paraId="6B524A95">
      <w:pPr>
        <w:spacing w:line="360" w:lineRule="auto"/>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八、商务偏离表</w:t>
      </w:r>
    </w:p>
    <w:tbl>
      <w:tblPr>
        <w:tblStyle w:val="44"/>
        <w:tblW w:w="9262" w:type="dxa"/>
        <w:tblInd w:w="9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8"/>
        <w:gridCol w:w="2567"/>
        <w:gridCol w:w="2700"/>
        <w:gridCol w:w="1409"/>
        <w:gridCol w:w="1858"/>
      </w:tblGrid>
      <w:tr w14:paraId="3EFBDA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9262" w:type="dxa"/>
            <w:gridSpan w:val="5"/>
            <w:vAlign w:val="center"/>
          </w:tcPr>
          <w:p w14:paraId="0EA0A377">
            <w:pPr>
              <w:keepNext w:val="0"/>
              <w:keepLines w:val="0"/>
              <w:pageBreakBefore w:val="0"/>
              <w:kinsoku/>
              <w:wordWrap/>
              <w:topLinePunct w:val="0"/>
              <w:autoSpaceDE/>
              <w:autoSpaceDN/>
              <w:bidi w:val="0"/>
              <w:snapToGrid/>
              <w:spacing w:line="288" w:lineRule="auto"/>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 xml:space="preserve">项目名称：                              </w:t>
            </w:r>
            <w:r>
              <w:rPr>
                <w:rFonts w:hint="eastAsia" w:ascii="宋体" w:hAnsi="宋体" w:eastAsia="宋体" w:cs="宋体"/>
                <w:b/>
                <w:color w:val="auto"/>
                <w:sz w:val="24"/>
                <w:szCs w:val="24"/>
                <w:highlight w:val="none"/>
              </w:rPr>
              <w:t>项目编号：</w:t>
            </w:r>
          </w:p>
        </w:tc>
      </w:tr>
      <w:tr w14:paraId="7E7CB9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728" w:type="dxa"/>
            <w:vAlign w:val="center"/>
          </w:tcPr>
          <w:p w14:paraId="221D6951">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序号</w:t>
            </w:r>
          </w:p>
        </w:tc>
        <w:tc>
          <w:tcPr>
            <w:tcW w:w="2567" w:type="dxa"/>
            <w:vAlign w:val="center"/>
          </w:tcPr>
          <w:p w14:paraId="0C16D1CC">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招标文件要求</w:t>
            </w:r>
          </w:p>
        </w:tc>
        <w:tc>
          <w:tcPr>
            <w:tcW w:w="2700" w:type="dxa"/>
            <w:vAlign w:val="center"/>
          </w:tcPr>
          <w:p w14:paraId="3BCD5CDC">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投标文件响应内容</w:t>
            </w:r>
          </w:p>
        </w:tc>
        <w:tc>
          <w:tcPr>
            <w:tcW w:w="1409" w:type="dxa"/>
            <w:vAlign w:val="center"/>
          </w:tcPr>
          <w:p w14:paraId="5CBEDCCE">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偏离情况</w:t>
            </w:r>
          </w:p>
        </w:tc>
        <w:tc>
          <w:tcPr>
            <w:tcW w:w="1858" w:type="dxa"/>
            <w:vAlign w:val="center"/>
          </w:tcPr>
          <w:p w14:paraId="12BAC735">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说明</w:t>
            </w:r>
          </w:p>
        </w:tc>
      </w:tr>
      <w:tr w14:paraId="16B7BF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728" w:type="dxa"/>
            <w:vAlign w:val="center"/>
          </w:tcPr>
          <w:p w14:paraId="2FE0803B">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567" w:type="dxa"/>
            <w:vAlign w:val="center"/>
          </w:tcPr>
          <w:p w14:paraId="58688B74">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700" w:type="dxa"/>
            <w:vAlign w:val="center"/>
          </w:tcPr>
          <w:p w14:paraId="60F30CB0">
            <w:pPr>
              <w:pStyle w:val="29"/>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409" w:type="dxa"/>
            <w:vAlign w:val="center"/>
          </w:tcPr>
          <w:p w14:paraId="2F31A1A2">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858" w:type="dxa"/>
            <w:vAlign w:val="center"/>
          </w:tcPr>
          <w:p w14:paraId="749ADD72">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r>
      <w:tr w14:paraId="0500A0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trPr>
        <w:tc>
          <w:tcPr>
            <w:tcW w:w="728" w:type="dxa"/>
            <w:vAlign w:val="center"/>
          </w:tcPr>
          <w:p w14:paraId="14EC969A">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567" w:type="dxa"/>
            <w:vAlign w:val="center"/>
          </w:tcPr>
          <w:p w14:paraId="3E67A63F">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700" w:type="dxa"/>
            <w:vAlign w:val="center"/>
          </w:tcPr>
          <w:p w14:paraId="0556F5ED">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409" w:type="dxa"/>
            <w:vAlign w:val="center"/>
          </w:tcPr>
          <w:p w14:paraId="17A93B4E">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858" w:type="dxa"/>
            <w:vAlign w:val="center"/>
          </w:tcPr>
          <w:p w14:paraId="064FFEC3">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r>
      <w:tr w14:paraId="18807B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728" w:type="dxa"/>
            <w:vAlign w:val="center"/>
          </w:tcPr>
          <w:p w14:paraId="161D027F">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567" w:type="dxa"/>
            <w:vAlign w:val="center"/>
          </w:tcPr>
          <w:p w14:paraId="79077081">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700" w:type="dxa"/>
            <w:vAlign w:val="center"/>
          </w:tcPr>
          <w:p w14:paraId="66263EC6">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409" w:type="dxa"/>
            <w:vAlign w:val="center"/>
          </w:tcPr>
          <w:p w14:paraId="61546194">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858" w:type="dxa"/>
            <w:vAlign w:val="center"/>
          </w:tcPr>
          <w:p w14:paraId="0A30AB7E">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r>
      <w:tr w14:paraId="57E375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728" w:type="dxa"/>
            <w:vAlign w:val="center"/>
          </w:tcPr>
          <w:p w14:paraId="2D3F55FC">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567" w:type="dxa"/>
            <w:vAlign w:val="center"/>
          </w:tcPr>
          <w:p w14:paraId="4128700D">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700" w:type="dxa"/>
            <w:vAlign w:val="center"/>
          </w:tcPr>
          <w:p w14:paraId="63DC3040">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409" w:type="dxa"/>
            <w:vAlign w:val="center"/>
          </w:tcPr>
          <w:p w14:paraId="6253E97E">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858" w:type="dxa"/>
            <w:vAlign w:val="center"/>
          </w:tcPr>
          <w:p w14:paraId="4CF5E45A">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r>
      <w:tr w14:paraId="3953AB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rPr>
        <w:tc>
          <w:tcPr>
            <w:tcW w:w="728" w:type="dxa"/>
            <w:vAlign w:val="center"/>
          </w:tcPr>
          <w:p w14:paraId="2EE4ECA4">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567" w:type="dxa"/>
            <w:vAlign w:val="center"/>
          </w:tcPr>
          <w:p w14:paraId="52D9E28E">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700" w:type="dxa"/>
            <w:vAlign w:val="center"/>
          </w:tcPr>
          <w:p w14:paraId="2A61B127">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409" w:type="dxa"/>
            <w:vAlign w:val="center"/>
          </w:tcPr>
          <w:p w14:paraId="4C2DFD45">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858" w:type="dxa"/>
            <w:vAlign w:val="center"/>
          </w:tcPr>
          <w:p w14:paraId="5349C908">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r>
      <w:tr w14:paraId="40FB8E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728" w:type="dxa"/>
            <w:vAlign w:val="center"/>
          </w:tcPr>
          <w:p w14:paraId="3E2FA228">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567" w:type="dxa"/>
            <w:vAlign w:val="center"/>
          </w:tcPr>
          <w:p w14:paraId="565F5CFD">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700" w:type="dxa"/>
            <w:vAlign w:val="center"/>
          </w:tcPr>
          <w:p w14:paraId="6B690DD8">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409" w:type="dxa"/>
            <w:vAlign w:val="center"/>
          </w:tcPr>
          <w:p w14:paraId="2B2D7677">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858" w:type="dxa"/>
            <w:vAlign w:val="center"/>
          </w:tcPr>
          <w:p w14:paraId="2070E2B7">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r>
    </w:tbl>
    <w:p w14:paraId="386B6BFC">
      <w:pPr>
        <w:keepNext w:val="0"/>
        <w:keepLines w:val="0"/>
        <w:pageBreakBefore w:val="0"/>
        <w:kinsoku/>
        <w:wordWrap/>
        <w:topLinePunct w:val="0"/>
        <w:autoSpaceDE/>
        <w:autoSpaceDN/>
        <w:bidi w:val="0"/>
        <w:snapToGrid/>
        <w:spacing w:before="120" w:beforeLines="50"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注明：</w:t>
      </w:r>
    </w:p>
    <w:p w14:paraId="7868C348">
      <w:pPr>
        <w:pStyle w:val="94"/>
        <w:keepNext w:val="0"/>
        <w:keepLines w:val="0"/>
        <w:pageBreakBefore w:val="0"/>
        <w:numPr>
          <w:ilvl w:val="0"/>
          <w:numId w:val="9"/>
        </w:numPr>
        <w:kinsoku/>
        <w:wordWrap/>
        <w:topLinePunct w:val="0"/>
        <w:autoSpaceDE/>
        <w:autoSpaceDN/>
        <w:bidi w:val="0"/>
        <w:snapToGrid/>
        <w:spacing w:line="288" w:lineRule="auto"/>
        <w:ind w:firstLineChars="0"/>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偏离情况项填写“正”、“负”或“无”，说明项中填写原因。</w:t>
      </w:r>
    </w:p>
    <w:p w14:paraId="59FA0443">
      <w:pPr>
        <w:pStyle w:val="94"/>
        <w:keepNext w:val="0"/>
        <w:keepLines w:val="0"/>
        <w:pageBreakBefore w:val="0"/>
        <w:numPr>
          <w:ilvl w:val="0"/>
          <w:numId w:val="9"/>
        </w:numPr>
        <w:kinsoku/>
        <w:wordWrap/>
        <w:topLinePunct w:val="0"/>
        <w:autoSpaceDE/>
        <w:autoSpaceDN/>
        <w:bidi w:val="0"/>
        <w:snapToGrid/>
        <w:spacing w:line="288" w:lineRule="auto"/>
        <w:ind w:firstLineChars="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供应商应按照招标文件要求，对响应有偏离的，则说明偏离的内容，若有要求提供相关证明资料的，须按要求提供，否则视为负偏离。</w:t>
      </w:r>
    </w:p>
    <w:p w14:paraId="52E7E5EC">
      <w:pPr>
        <w:keepNext w:val="0"/>
        <w:keepLines w:val="0"/>
        <w:pageBreakBefore w:val="0"/>
        <w:kinsoku/>
        <w:wordWrap/>
        <w:topLinePunct w:val="0"/>
        <w:autoSpaceDE/>
        <w:autoSpaceDN/>
        <w:bidi w:val="0"/>
        <w:snapToGrid/>
        <w:spacing w:line="288" w:lineRule="auto"/>
        <w:textAlignment w:val="auto"/>
        <w:rPr>
          <w:rFonts w:hint="eastAsia" w:ascii="宋体" w:hAnsi="宋体" w:eastAsia="宋体" w:cs="宋体"/>
          <w:color w:val="auto"/>
          <w:sz w:val="24"/>
          <w:szCs w:val="24"/>
          <w:highlight w:val="none"/>
        </w:rPr>
      </w:pPr>
    </w:p>
    <w:p w14:paraId="198EE8D2">
      <w:pPr>
        <w:keepNext w:val="0"/>
        <w:keepLines w:val="0"/>
        <w:pageBreakBefore w:val="0"/>
        <w:kinsoku/>
        <w:wordWrap/>
        <w:topLinePunct w:val="0"/>
        <w:autoSpaceDE/>
        <w:autoSpaceDN/>
        <w:bidi w:val="0"/>
        <w:snapToGrid/>
        <w:spacing w:line="288" w:lineRule="auto"/>
        <w:textAlignment w:val="auto"/>
        <w:rPr>
          <w:rFonts w:hint="eastAsia" w:ascii="宋体" w:hAnsi="宋体" w:eastAsia="宋体" w:cs="宋体"/>
          <w:color w:val="auto"/>
          <w:sz w:val="24"/>
          <w:szCs w:val="24"/>
          <w:highlight w:val="none"/>
        </w:rPr>
      </w:pPr>
    </w:p>
    <w:p w14:paraId="501BA3B7">
      <w:pPr>
        <w:keepNext w:val="0"/>
        <w:keepLines w:val="0"/>
        <w:pageBreakBefore w:val="0"/>
        <w:kinsoku/>
        <w:wordWrap/>
        <w:topLinePunct w:val="0"/>
        <w:autoSpaceDE/>
        <w:autoSpaceDN/>
        <w:bidi w:val="0"/>
        <w:snapToGrid/>
        <w:spacing w:line="288" w:lineRule="auto"/>
        <w:textAlignment w:val="auto"/>
        <w:rPr>
          <w:rFonts w:hint="eastAsia" w:ascii="宋体" w:hAnsi="宋体" w:eastAsia="宋体" w:cs="宋体"/>
          <w:color w:val="auto"/>
          <w:sz w:val="24"/>
          <w:szCs w:val="24"/>
          <w:highlight w:val="none"/>
        </w:rPr>
      </w:pPr>
    </w:p>
    <w:tbl>
      <w:tblPr>
        <w:tblStyle w:val="44"/>
        <w:tblW w:w="8528" w:type="dxa"/>
        <w:tblInd w:w="0" w:type="dxa"/>
        <w:tblLayout w:type="fixed"/>
        <w:tblCellMar>
          <w:top w:w="0" w:type="dxa"/>
          <w:left w:w="108" w:type="dxa"/>
          <w:bottom w:w="0" w:type="dxa"/>
          <w:right w:w="108" w:type="dxa"/>
        </w:tblCellMar>
      </w:tblPr>
      <w:tblGrid>
        <w:gridCol w:w="5353"/>
        <w:gridCol w:w="3175"/>
      </w:tblGrid>
      <w:tr w14:paraId="68B86F1A">
        <w:tblPrEx>
          <w:tblCellMar>
            <w:top w:w="0" w:type="dxa"/>
            <w:left w:w="108" w:type="dxa"/>
            <w:bottom w:w="0" w:type="dxa"/>
            <w:right w:w="108" w:type="dxa"/>
          </w:tblCellMar>
        </w:tblPrEx>
        <w:tc>
          <w:tcPr>
            <w:tcW w:w="5353" w:type="dxa"/>
            <w:shd w:val="clear" w:color="auto" w:fill="auto"/>
          </w:tcPr>
          <w:p w14:paraId="357CC303">
            <w:pPr>
              <w:keepNext w:val="0"/>
              <w:keepLines w:val="0"/>
              <w:pageBreakBefore w:val="0"/>
              <w:kinsoku/>
              <w:wordWrap/>
              <w:overflowPunct w:val="0"/>
              <w:topLinePunct w:val="0"/>
              <w:autoSpaceDE/>
              <w:autoSpaceDN/>
              <w:bidi w:val="0"/>
              <w:adjustRightInd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供应商名称（加盖公章）：</w:t>
            </w:r>
          </w:p>
        </w:tc>
        <w:tc>
          <w:tcPr>
            <w:tcW w:w="3175" w:type="dxa"/>
            <w:shd w:val="clear" w:color="auto" w:fill="auto"/>
          </w:tcPr>
          <w:p w14:paraId="0F136877">
            <w:pPr>
              <w:keepNext w:val="0"/>
              <w:keepLines w:val="0"/>
              <w:pageBreakBefore w:val="0"/>
              <w:kinsoku/>
              <w:wordWrap/>
              <w:topLinePunct w:val="0"/>
              <w:autoSpaceDE/>
              <w:autoSpaceDN/>
              <w:bidi w:val="0"/>
              <w:snapToGrid/>
              <w:spacing w:line="288" w:lineRule="auto"/>
              <w:textAlignment w:val="auto"/>
              <w:rPr>
                <w:rFonts w:hint="eastAsia" w:ascii="宋体" w:hAnsi="宋体" w:eastAsia="宋体" w:cs="宋体"/>
                <w:color w:val="auto"/>
                <w:sz w:val="24"/>
                <w:szCs w:val="24"/>
                <w:highlight w:val="none"/>
              </w:rPr>
            </w:pPr>
          </w:p>
        </w:tc>
      </w:tr>
      <w:tr w14:paraId="3C24239E">
        <w:tblPrEx>
          <w:tblCellMar>
            <w:top w:w="0" w:type="dxa"/>
            <w:left w:w="108" w:type="dxa"/>
            <w:bottom w:w="0" w:type="dxa"/>
            <w:right w:w="108" w:type="dxa"/>
          </w:tblCellMar>
        </w:tblPrEx>
        <w:tc>
          <w:tcPr>
            <w:tcW w:w="5353" w:type="dxa"/>
            <w:shd w:val="clear" w:color="auto" w:fill="auto"/>
          </w:tcPr>
          <w:p w14:paraId="5FD06016">
            <w:pPr>
              <w:keepNext w:val="0"/>
              <w:keepLines w:val="0"/>
              <w:pageBreakBefore w:val="0"/>
              <w:kinsoku/>
              <w:wordWrap/>
              <w:topLinePunct w:val="0"/>
              <w:autoSpaceDE/>
              <w:autoSpaceDN/>
              <w:bidi w:val="0"/>
              <w:snapToGrid/>
              <w:spacing w:line="288" w:lineRule="auto"/>
              <w:textAlignment w:val="auto"/>
              <w:rPr>
                <w:rFonts w:hint="eastAsia" w:ascii="宋体" w:hAnsi="宋体" w:eastAsia="宋体" w:cs="宋体"/>
                <w:color w:val="auto"/>
                <w:sz w:val="24"/>
                <w:szCs w:val="24"/>
                <w:highlight w:val="none"/>
              </w:rPr>
            </w:pPr>
          </w:p>
          <w:p w14:paraId="7F6E559F">
            <w:pPr>
              <w:keepNext w:val="0"/>
              <w:keepLines w:val="0"/>
              <w:pageBreakBefore w:val="0"/>
              <w:kinsoku/>
              <w:wordWrap/>
              <w:topLinePunct w:val="0"/>
              <w:autoSpaceDE/>
              <w:autoSpaceDN/>
              <w:bidi w:val="0"/>
              <w:snapToGrid/>
              <w:spacing w:line="288" w:lineRule="auto"/>
              <w:textAlignment w:val="auto"/>
              <w:rPr>
                <w:rFonts w:hint="eastAsia" w:ascii="宋体" w:hAnsi="宋体" w:eastAsia="宋体" w:cs="宋体"/>
                <w:color w:val="auto"/>
                <w:sz w:val="24"/>
                <w:szCs w:val="24"/>
                <w:highlight w:val="none"/>
              </w:rPr>
            </w:pPr>
          </w:p>
          <w:p w14:paraId="0C9CE238">
            <w:pPr>
              <w:keepNext w:val="0"/>
              <w:keepLines w:val="0"/>
              <w:pageBreakBefore w:val="0"/>
              <w:kinsoku/>
              <w:wordWrap/>
              <w:topLinePunct w:val="0"/>
              <w:autoSpaceDE/>
              <w:autoSpaceDN/>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     年       月        日</w:t>
            </w:r>
          </w:p>
        </w:tc>
        <w:tc>
          <w:tcPr>
            <w:tcW w:w="3175" w:type="dxa"/>
            <w:shd w:val="clear" w:color="auto" w:fill="auto"/>
          </w:tcPr>
          <w:p w14:paraId="7423F55F">
            <w:pPr>
              <w:keepNext w:val="0"/>
              <w:keepLines w:val="0"/>
              <w:pageBreakBefore w:val="0"/>
              <w:kinsoku/>
              <w:wordWrap/>
              <w:topLinePunct w:val="0"/>
              <w:autoSpaceDE/>
              <w:autoSpaceDN/>
              <w:bidi w:val="0"/>
              <w:snapToGrid/>
              <w:spacing w:line="288" w:lineRule="auto"/>
              <w:textAlignment w:val="auto"/>
              <w:rPr>
                <w:rFonts w:hint="eastAsia" w:ascii="宋体" w:hAnsi="宋体" w:eastAsia="宋体" w:cs="宋体"/>
                <w:color w:val="auto"/>
                <w:sz w:val="24"/>
                <w:szCs w:val="24"/>
                <w:highlight w:val="none"/>
              </w:rPr>
            </w:pPr>
          </w:p>
        </w:tc>
      </w:tr>
    </w:tbl>
    <w:p w14:paraId="1BBDB8EF">
      <w:pPr>
        <w:spacing w:line="360" w:lineRule="auto"/>
        <w:rPr>
          <w:rFonts w:hint="eastAsia" w:ascii="宋体" w:hAnsi="宋体" w:eastAsia="宋体" w:cs="宋体"/>
          <w:color w:val="auto"/>
          <w:sz w:val="21"/>
          <w:szCs w:val="21"/>
          <w:highlight w:val="none"/>
        </w:rPr>
      </w:pPr>
    </w:p>
    <w:p w14:paraId="6776ECA3">
      <w:pPr>
        <w:rPr>
          <w:rFonts w:hint="eastAsia" w:ascii="宋体" w:hAnsi="宋体" w:eastAsia="宋体" w:cs="宋体"/>
          <w:b/>
          <w:color w:val="auto"/>
          <w:spacing w:val="20"/>
          <w:sz w:val="30"/>
          <w:szCs w:val="30"/>
          <w:highlight w:val="none"/>
        </w:rPr>
      </w:pPr>
      <w:r>
        <w:rPr>
          <w:rFonts w:hint="eastAsia" w:ascii="宋体" w:hAnsi="宋体" w:eastAsia="宋体" w:cs="宋体"/>
          <w:b/>
          <w:color w:val="auto"/>
          <w:spacing w:val="20"/>
          <w:sz w:val="30"/>
          <w:szCs w:val="30"/>
          <w:highlight w:val="none"/>
        </w:rPr>
        <w:br w:type="page"/>
      </w:r>
    </w:p>
    <w:p w14:paraId="68E01099">
      <w:pPr>
        <w:spacing w:line="360" w:lineRule="auto"/>
        <w:jc w:val="center"/>
        <w:rPr>
          <w:rFonts w:hint="eastAsia" w:ascii="宋体" w:hAnsi="宋体" w:eastAsia="宋体" w:cs="宋体"/>
          <w:b/>
          <w:color w:val="auto"/>
          <w:sz w:val="36"/>
          <w:szCs w:val="36"/>
          <w:highlight w:val="none"/>
        </w:rPr>
      </w:pPr>
    </w:p>
    <w:p w14:paraId="24D10DF4">
      <w:pPr>
        <w:pStyle w:val="16"/>
        <w:spacing w:after="0" w:line="360" w:lineRule="auto"/>
        <w:ind w:firstLine="723" w:firstLineChars="400"/>
        <w:rPr>
          <w:rFonts w:hint="eastAsia" w:ascii="宋体" w:hAnsi="宋体"/>
          <w:b/>
          <w:bCs/>
          <w:color w:val="auto"/>
          <w:sz w:val="18"/>
          <w:highlight w:val="none"/>
        </w:rPr>
      </w:pPr>
    </w:p>
    <w:p w14:paraId="0D5392C9">
      <w:pPr>
        <w:spacing w:line="360" w:lineRule="auto"/>
        <w:jc w:val="center"/>
        <w:rPr>
          <w:rFonts w:hint="eastAsia" w:ascii="宋体" w:hAnsi="宋体" w:eastAsia="宋体" w:cs="宋体"/>
          <w:b/>
          <w:color w:val="auto"/>
          <w:sz w:val="36"/>
          <w:szCs w:val="36"/>
          <w:highlight w:val="none"/>
        </w:rPr>
      </w:pPr>
      <w:r>
        <w:rPr>
          <w:rFonts w:hint="eastAsia" w:ascii="宋体" w:hAnsi="宋体" w:cs="宋体"/>
          <w:b/>
          <w:color w:val="auto"/>
          <w:sz w:val="36"/>
          <w:szCs w:val="36"/>
          <w:highlight w:val="none"/>
          <w:lang w:eastAsia="zh-CN"/>
        </w:rPr>
        <w:t>九</w:t>
      </w:r>
      <w:r>
        <w:rPr>
          <w:rFonts w:hint="eastAsia" w:ascii="宋体" w:hAnsi="宋体" w:eastAsia="宋体" w:cs="宋体"/>
          <w:b/>
          <w:color w:val="auto"/>
          <w:sz w:val="36"/>
          <w:szCs w:val="36"/>
          <w:highlight w:val="none"/>
        </w:rPr>
        <w:t>、近三年（</w:t>
      </w:r>
      <w:r>
        <w:rPr>
          <w:rFonts w:hint="eastAsia" w:ascii="宋体" w:hAnsi="宋体" w:eastAsia="宋体" w:cs="宋体"/>
          <w:b/>
          <w:color w:val="auto"/>
          <w:sz w:val="36"/>
          <w:szCs w:val="36"/>
          <w:highlight w:val="none"/>
          <w:lang w:val="en-US" w:eastAsia="zh-CN"/>
        </w:rPr>
        <w:t>202</w:t>
      </w:r>
      <w:r>
        <w:rPr>
          <w:rFonts w:hint="eastAsia" w:ascii="宋体" w:hAnsi="宋体" w:cs="宋体"/>
          <w:b/>
          <w:color w:val="auto"/>
          <w:sz w:val="36"/>
          <w:szCs w:val="36"/>
          <w:highlight w:val="none"/>
          <w:lang w:val="en-US" w:eastAsia="zh-CN"/>
        </w:rPr>
        <w:t>1</w:t>
      </w:r>
      <w:r>
        <w:rPr>
          <w:rFonts w:hint="eastAsia" w:ascii="宋体" w:hAnsi="宋体" w:eastAsia="宋体" w:cs="宋体"/>
          <w:b/>
          <w:color w:val="auto"/>
          <w:sz w:val="36"/>
          <w:szCs w:val="36"/>
          <w:highlight w:val="none"/>
        </w:rPr>
        <w:t>-至今）企业业绩表</w:t>
      </w:r>
    </w:p>
    <w:tbl>
      <w:tblPr>
        <w:tblStyle w:val="44"/>
        <w:tblW w:w="9071" w:type="dxa"/>
        <w:tblInd w:w="12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8"/>
        <w:gridCol w:w="2094"/>
        <w:gridCol w:w="1562"/>
        <w:gridCol w:w="1557"/>
        <w:gridCol w:w="1842"/>
        <w:gridCol w:w="1288"/>
      </w:tblGrid>
      <w:tr w14:paraId="75BAF2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trPr>
        <w:tc>
          <w:tcPr>
            <w:tcW w:w="9071" w:type="dxa"/>
            <w:gridSpan w:val="6"/>
            <w:vAlign w:val="center"/>
          </w:tcPr>
          <w:p w14:paraId="76F4B908">
            <w:pPr>
              <w:keepNext w:val="0"/>
              <w:keepLines w:val="0"/>
              <w:pageBreakBefore w:val="0"/>
              <w:widowControl/>
              <w:kinsoku/>
              <w:wordWrap/>
              <w:topLinePunct w:val="0"/>
              <w:autoSpaceDE/>
              <w:autoSpaceDN/>
              <w:bidi w:val="0"/>
              <w:snapToGrid/>
              <w:spacing w:before="156" w:after="156" w:line="288" w:lineRule="auto"/>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 xml:space="preserve">项目名称：                              </w:t>
            </w:r>
            <w:r>
              <w:rPr>
                <w:rFonts w:hint="eastAsia" w:ascii="宋体" w:hAnsi="宋体" w:eastAsia="宋体" w:cs="宋体"/>
                <w:b/>
                <w:color w:val="auto"/>
                <w:sz w:val="24"/>
                <w:szCs w:val="24"/>
                <w:highlight w:val="none"/>
              </w:rPr>
              <w:t>项目编号：</w:t>
            </w:r>
          </w:p>
        </w:tc>
      </w:tr>
      <w:tr w14:paraId="2BAA76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trPr>
        <w:tc>
          <w:tcPr>
            <w:tcW w:w="728" w:type="dxa"/>
            <w:vAlign w:val="center"/>
          </w:tcPr>
          <w:p w14:paraId="3BE634C4">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序号</w:t>
            </w:r>
          </w:p>
        </w:tc>
        <w:tc>
          <w:tcPr>
            <w:tcW w:w="2094" w:type="dxa"/>
            <w:vAlign w:val="center"/>
          </w:tcPr>
          <w:p w14:paraId="70DB3CA9">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项目名称</w:t>
            </w:r>
          </w:p>
        </w:tc>
        <w:tc>
          <w:tcPr>
            <w:tcW w:w="1562" w:type="dxa"/>
            <w:vAlign w:val="center"/>
          </w:tcPr>
          <w:p w14:paraId="2AD832CF">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合同金额</w:t>
            </w:r>
          </w:p>
        </w:tc>
        <w:tc>
          <w:tcPr>
            <w:tcW w:w="1557" w:type="dxa"/>
            <w:vAlign w:val="center"/>
          </w:tcPr>
          <w:p w14:paraId="0F975B29">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签约时间</w:t>
            </w:r>
          </w:p>
        </w:tc>
        <w:tc>
          <w:tcPr>
            <w:tcW w:w="1842" w:type="dxa"/>
            <w:vAlign w:val="center"/>
          </w:tcPr>
          <w:p w14:paraId="6AE2B91E">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完成情况</w:t>
            </w:r>
          </w:p>
        </w:tc>
        <w:tc>
          <w:tcPr>
            <w:tcW w:w="1288" w:type="dxa"/>
            <w:vAlign w:val="center"/>
          </w:tcPr>
          <w:p w14:paraId="6EC4703B">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备注</w:t>
            </w:r>
          </w:p>
        </w:tc>
      </w:tr>
      <w:tr w14:paraId="2B62C4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8" w:type="dxa"/>
            <w:vAlign w:val="center"/>
          </w:tcPr>
          <w:p w14:paraId="42704497">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color w:val="auto"/>
                <w:sz w:val="24"/>
                <w:szCs w:val="24"/>
                <w:highlight w:val="none"/>
              </w:rPr>
            </w:pPr>
          </w:p>
        </w:tc>
        <w:tc>
          <w:tcPr>
            <w:tcW w:w="2094" w:type="dxa"/>
            <w:vAlign w:val="center"/>
          </w:tcPr>
          <w:p w14:paraId="4F1EE152">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color w:val="auto"/>
                <w:sz w:val="24"/>
                <w:szCs w:val="24"/>
                <w:highlight w:val="none"/>
              </w:rPr>
            </w:pPr>
          </w:p>
        </w:tc>
        <w:tc>
          <w:tcPr>
            <w:tcW w:w="1562" w:type="dxa"/>
            <w:vAlign w:val="center"/>
          </w:tcPr>
          <w:p w14:paraId="073847D5">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color w:val="auto"/>
                <w:sz w:val="24"/>
                <w:szCs w:val="24"/>
                <w:highlight w:val="none"/>
              </w:rPr>
            </w:pPr>
          </w:p>
        </w:tc>
        <w:tc>
          <w:tcPr>
            <w:tcW w:w="1557" w:type="dxa"/>
            <w:vAlign w:val="center"/>
          </w:tcPr>
          <w:p w14:paraId="38033F91">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color w:val="auto"/>
                <w:sz w:val="24"/>
                <w:szCs w:val="24"/>
                <w:highlight w:val="none"/>
              </w:rPr>
            </w:pPr>
          </w:p>
        </w:tc>
        <w:tc>
          <w:tcPr>
            <w:tcW w:w="1842" w:type="dxa"/>
            <w:vAlign w:val="center"/>
          </w:tcPr>
          <w:p w14:paraId="51933D30">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color w:val="auto"/>
                <w:sz w:val="24"/>
                <w:szCs w:val="24"/>
                <w:highlight w:val="none"/>
              </w:rPr>
            </w:pPr>
          </w:p>
        </w:tc>
        <w:tc>
          <w:tcPr>
            <w:tcW w:w="1288" w:type="dxa"/>
            <w:vAlign w:val="center"/>
          </w:tcPr>
          <w:p w14:paraId="5B2E1068">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color w:val="auto"/>
                <w:sz w:val="24"/>
                <w:szCs w:val="24"/>
                <w:highlight w:val="none"/>
              </w:rPr>
            </w:pPr>
          </w:p>
        </w:tc>
      </w:tr>
      <w:tr w14:paraId="08BD31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8" w:type="dxa"/>
            <w:vAlign w:val="center"/>
          </w:tcPr>
          <w:p w14:paraId="7C12744A">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color w:val="auto"/>
                <w:sz w:val="24"/>
                <w:szCs w:val="24"/>
                <w:highlight w:val="none"/>
              </w:rPr>
            </w:pPr>
          </w:p>
        </w:tc>
        <w:tc>
          <w:tcPr>
            <w:tcW w:w="2094" w:type="dxa"/>
            <w:vAlign w:val="center"/>
          </w:tcPr>
          <w:p w14:paraId="35028EB2">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color w:val="auto"/>
                <w:sz w:val="24"/>
                <w:szCs w:val="24"/>
                <w:highlight w:val="none"/>
              </w:rPr>
            </w:pPr>
          </w:p>
        </w:tc>
        <w:tc>
          <w:tcPr>
            <w:tcW w:w="1562" w:type="dxa"/>
            <w:vAlign w:val="center"/>
          </w:tcPr>
          <w:p w14:paraId="799FCA16">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color w:val="auto"/>
                <w:sz w:val="24"/>
                <w:szCs w:val="24"/>
                <w:highlight w:val="none"/>
              </w:rPr>
            </w:pPr>
          </w:p>
        </w:tc>
        <w:tc>
          <w:tcPr>
            <w:tcW w:w="1557" w:type="dxa"/>
            <w:vAlign w:val="center"/>
          </w:tcPr>
          <w:p w14:paraId="067C8087">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color w:val="auto"/>
                <w:sz w:val="24"/>
                <w:szCs w:val="24"/>
                <w:highlight w:val="none"/>
              </w:rPr>
            </w:pPr>
          </w:p>
        </w:tc>
        <w:tc>
          <w:tcPr>
            <w:tcW w:w="1842" w:type="dxa"/>
            <w:vAlign w:val="center"/>
          </w:tcPr>
          <w:p w14:paraId="17DC1903">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color w:val="auto"/>
                <w:sz w:val="24"/>
                <w:szCs w:val="24"/>
                <w:highlight w:val="none"/>
              </w:rPr>
            </w:pPr>
          </w:p>
        </w:tc>
        <w:tc>
          <w:tcPr>
            <w:tcW w:w="1288" w:type="dxa"/>
            <w:vAlign w:val="center"/>
          </w:tcPr>
          <w:p w14:paraId="5B57A4AB">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color w:val="auto"/>
                <w:sz w:val="24"/>
                <w:szCs w:val="24"/>
                <w:highlight w:val="none"/>
              </w:rPr>
            </w:pPr>
          </w:p>
        </w:tc>
      </w:tr>
      <w:tr w14:paraId="15B87B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8" w:type="dxa"/>
            <w:vAlign w:val="center"/>
          </w:tcPr>
          <w:p w14:paraId="19AD974A">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color w:val="auto"/>
                <w:sz w:val="24"/>
                <w:szCs w:val="24"/>
                <w:highlight w:val="none"/>
              </w:rPr>
            </w:pPr>
          </w:p>
        </w:tc>
        <w:tc>
          <w:tcPr>
            <w:tcW w:w="2094" w:type="dxa"/>
            <w:vAlign w:val="center"/>
          </w:tcPr>
          <w:p w14:paraId="0B118A31">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color w:val="auto"/>
                <w:sz w:val="24"/>
                <w:szCs w:val="24"/>
                <w:highlight w:val="none"/>
              </w:rPr>
            </w:pPr>
          </w:p>
        </w:tc>
        <w:tc>
          <w:tcPr>
            <w:tcW w:w="1562" w:type="dxa"/>
            <w:vAlign w:val="center"/>
          </w:tcPr>
          <w:p w14:paraId="5648656F">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color w:val="auto"/>
                <w:sz w:val="24"/>
                <w:szCs w:val="24"/>
                <w:highlight w:val="none"/>
              </w:rPr>
            </w:pPr>
          </w:p>
        </w:tc>
        <w:tc>
          <w:tcPr>
            <w:tcW w:w="1557" w:type="dxa"/>
            <w:vAlign w:val="center"/>
          </w:tcPr>
          <w:p w14:paraId="2E619DFA">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color w:val="auto"/>
                <w:sz w:val="24"/>
                <w:szCs w:val="24"/>
                <w:highlight w:val="none"/>
              </w:rPr>
            </w:pPr>
          </w:p>
        </w:tc>
        <w:tc>
          <w:tcPr>
            <w:tcW w:w="1842" w:type="dxa"/>
            <w:vAlign w:val="center"/>
          </w:tcPr>
          <w:p w14:paraId="0FE8282A">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color w:val="auto"/>
                <w:sz w:val="24"/>
                <w:szCs w:val="24"/>
                <w:highlight w:val="none"/>
              </w:rPr>
            </w:pPr>
          </w:p>
        </w:tc>
        <w:tc>
          <w:tcPr>
            <w:tcW w:w="1288" w:type="dxa"/>
            <w:vAlign w:val="center"/>
          </w:tcPr>
          <w:p w14:paraId="4F883179">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color w:val="auto"/>
                <w:sz w:val="24"/>
                <w:szCs w:val="24"/>
                <w:highlight w:val="none"/>
              </w:rPr>
            </w:pPr>
          </w:p>
        </w:tc>
      </w:tr>
      <w:tr w14:paraId="27DDCA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8" w:type="dxa"/>
            <w:vAlign w:val="center"/>
          </w:tcPr>
          <w:p w14:paraId="169019F2">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color w:val="auto"/>
                <w:sz w:val="24"/>
                <w:szCs w:val="24"/>
                <w:highlight w:val="none"/>
              </w:rPr>
            </w:pPr>
          </w:p>
        </w:tc>
        <w:tc>
          <w:tcPr>
            <w:tcW w:w="2094" w:type="dxa"/>
            <w:vAlign w:val="center"/>
          </w:tcPr>
          <w:p w14:paraId="6A38D4F3">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color w:val="auto"/>
                <w:sz w:val="24"/>
                <w:szCs w:val="24"/>
                <w:highlight w:val="none"/>
              </w:rPr>
            </w:pPr>
          </w:p>
        </w:tc>
        <w:tc>
          <w:tcPr>
            <w:tcW w:w="1562" w:type="dxa"/>
            <w:vAlign w:val="center"/>
          </w:tcPr>
          <w:p w14:paraId="15903862">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color w:val="auto"/>
                <w:sz w:val="24"/>
                <w:szCs w:val="24"/>
                <w:highlight w:val="none"/>
              </w:rPr>
            </w:pPr>
          </w:p>
        </w:tc>
        <w:tc>
          <w:tcPr>
            <w:tcW w:w="1557" w:type="dxa"/>
            <w:vAlign w:val="center"/>
          </w:tcPr>
          <w:p w14:paraId="358426AC">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color w:val="auto"/>
                <w:sz w:val="24"/>
                <w:szCs w:val="24"/>
                <w:highlight w:val="none"/>
              </w:rPr>
            </w:pPr>
          </w:p>
        </w:tc>
        <w:tc>
          <w:tcPr>
            <w:tcW w:w="1842" w:type="dxa"/>
            <w:vAlign w:val="center"/>
          </w:tcPr>
          <w:p w14:paraId="72A846EC">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color w:val="auto"/>
                <w:sz w:val="24"/>
                <w:szCs w:val="24"/>
                <w:highlight w:val="none"/>
              </w:rPr>
            </w:pPr>
          </w:p>
        </w:tc>
        <w:tc>
          <w:tcPr>
            <w:tcW w:w="1288" w:type="dxa"/>
            <w:vAlign w:val="center"/>
          </w:tcPr>
          <w:p w14:paraId="2494420F">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color w:val="auto"/>
                <w:sz w:val="24"/>
                <w:szCs w:val="24"/>
                <w:highlight w:val="none"/>
              </w:rPr>
            </w:pPr>
          </w:p>
        </w:tc>
      </w:tr>
      <w:tr w14:paraId="23D39C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8" w:type="dxa"/>
            <w:vAlign w:val="center"/>
          </w:tcPr>
          <w:p w14:paraId="345126E9">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color w:val="auto"/>
                <w:sz w:val="24"/>
                <w:szCs w:val="24"/>
                <w:highlight w:val="none"/>
              </w:rPr>
            </w:pPr>
          </w:p>
        </w:tc>
        <w:tc>
          <w:tcPr>
            <w:tcW w:w="2094" w:type="dxa"/>
            <w:vAlign w:val="center"/>
          </w:tcPr>
          <w:p w14:paraId="36EAEFE5">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color w:val="auto"/>
                <w:sz w:val="24"/>
                <w:szCs w:val="24"/>
                <w:highlight w:val="none"/>
              </w:rPr>
            </w:pPr>
          </w:p>
        </w:tc>
        <w:tc>
          <w:tcPr>
            <w:tcW w:w="1562" w:type="dxa"/>
            <w:vAlign w:val="center"/>
          </w:tcPr>
          <w:p w14:paraId="23AD2349">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color w:val="auto"/>
                <w:sz w:val="24"/>
                <w:szCs w:val="24"/>
                <w:highlight w:val="none"/>
              </w:rPr>
            </w:pPr>
          </w:p>
        </w:tc>
        <w:tc>
          <w:tcPr>
            <w:tcW w:w="1557" w:type="dxa"/>
            <w:vAlign w:val="center"/>
          </w:tcPr>
          <w:p w14:paraId="10495277">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color w:val="auto"/>
                <w:sz w:val="24"/>
                <w:szCs w:val="24"/>
                <w:highlight w:val="none"/>
              </w:rPr>
            </w:pPr>
          </w:p>
        </w:tc>
        <w:tc>
          <w:tcPr>
            <w:tcW w:w="1842" w:type="dxa"/>
            <w:vAlign w:val="center"/>
          </w:tcPr>
          <w:p w14:paraId="2F07CC9D">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color w:val="auto"/>
                <w:sz w:val="24"/>
                <w:szCs w:val="24"/>
                <w:highlight w:val="none"/>
              </w:rPr>
            </w:pPr>
          </w:p>
        </w:tc>
        <w:tc>
          <w:tcPr>
            <w:tcW w:w="1288" w:type="dxa"/>
            <w:vAlign w:val="center"/>
          </w:tcPr>
          <w:p w14:paraId="39E39138">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color w:val="auto"/>
                <w:sz w:val="24"/>
                <w:szCs w:val="24"/>
                <w:highlight w:val="none"/>
              </w:rPr>
            </w:pPr>
          </w:p>
        </w:tc>
      </w:tr>
      <w:tr w14:paraId="1E7A92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8" w:type="dxa"/>
            <w:vAlign w:val="center"/>
          </w:tcPr>
          <w:p w14:paraId="344037AB">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color w:val="auto"/>
                <w:sz w:val="24"/>
                <w:szCs w:val="24"/>
                <w:highlight w:val="none"/>
              </w:rPr>
            </w:pPr>
          </w:p>
        </w:tc>
        <w:tc>
          <w:tcPr>
            <w:tcW w:w="2094" w:type="dxa"/>
            <w:vAlign w:val="center"/>
          </w:tcPr>
          <w:p w14:paraId="5115DC48">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color w:val="auto"/>
                <w:sz w:val="24"/>
                <w:szCs w:val="24"/>
                <w:highlight w:val="none"/>
              </w:rPr>
            </w:pPr>
          </w:p>
        </w:tc>
        <w:tc>
          <w:tcPr>
            <w:tcW w:w="1562" w:type="dxa"/>
            <w:vAlign w:val="center"/>
          </w:tcPr>
          <w:p w14:paraId="72A8B728">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color w:val="auto"/>
                <w:sz w:val="24"/>
                <w:szCs w:val="24"/>
                <w:highlight w:val="none"/>
              </w:rPr>
            </w:pPr>
          </w:p>
        </w:tc>
        <w:tc>
          <w:tcPr>
            <w:tcW w:w="1557" w:type="dxa"/>
            <w:vAlign w:val="center"/>
          </w:tcPr>
          <w:p w14:paraId="192ED53C">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color w:val="auto"/>
                <w:sz w:val="24"/>
                <w:szCs w:val="24"/>
                <w:highlight w:val="none"/>
              </w:rPr>
            </w:pPr>
          </w:p>
        </w:tc>
        <w:tc>
          <w:tcPr>
            <w:tcW w:w="1842" w:type="dxa"/>
            <w:vAlign w:val="center"/>
          </w:tcPr>
          <w:p w14:paraId="0894492A">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color w:val="auto"/>
                <w:sz w:val="24"/>
                <w:szCs w:val="24"/>
                <w:highlight w:val="none"/>
              </w:rPr>
            </w:pPr>
          </w:p>
        </w:tc>
        <w:tc>
          <w:tcPr>
            <w:tcW w:w="1288" w:type="dxa"/>
            <w:vAlign w:val="center"/>
          </w:tcPr>
          <w:p w14:paraId="0A53EDB6">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color w:val="auto"/>
                <w:sz w:val="24"/>
                <w:szCs w:val="24"/>
                <w:highlight w:val="none"/>
              </w:rPr>
            </w:pPr>
          </w:p>
        </w:tc>
      </w:tr>
      <w:tr w14:paraId="390A24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8" w:type="dxa"/>
            <w:vAlign w:val="center"/>
          </w:tcPr>
          <w:p w14:paraId="28FBBF95">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color w:val="auto"/>
                <w:sz w:val="24"/>
                <w:szCs w:val="24"/>
                <w:highlight w:val="none"/>
              </w:rPr>
            </w:pPr>
          </w:p>
        </w:tc>
        <w:tc>
          <w:tcPr>
            <w:tcW w:w="2094" w:type="dxa"/>
            <w:vAlign w:val="center"/>
          </w:tcPr>
          <w:p w14:paraId="19A64687">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color w:val="auto"/>
                <w:sz w:val="24"/>
                <w:szCs w:val="24"/>
                <w:highlight w:val="none"/>
              </w:rPr>
            </w:pPr>
          </w:p>
        </w:tc>
        <w:tc>
          <w:tcPr>
            <w:tcW w:w="1562" w:type="dxa"/>
            <w:vAlign w:val="center"/>
          </w:tcPr>
          <w:p w14:paraId="00EE387B">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color w:val="auto"/>
                <w:sz w:val="24"/>
                <w:szCs w:val="24"/>
                <w:highlight w:val="none"/>
              </w:rPr>
            </w:pPr>
          </w:p>
        </w:tc>
        <w:tc>
          <w:tcPr>
            <w:tcW w:w="1557" w:type="dxa"/>
            <w:vAlign w:val="center"/>
          </w:tcPr>
          <w:p w14:paraId="50C459FD">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color w:val="auto"/>
                <w:sz w:val="24"/>
                <w:szCs w:val="24"/>
                <w:highlight w:val="none"/>
              </w:rPr>
            </w:pPr>
          </w:p>
        </w:tc>
        <w:tc>
          <w:tcPr>
            <w:tcW w:w="1842" w:type="dxa"/>
            <w:vAlign w:val="center"/>
          </w:tcPr>
          <w:p w14:paraId="3C7C05CA">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color w:val="auto"/>
                <w:sz w:val="24"/>
                <w:szCs w:val="24"/>
                <w:highlight w:val="none"/>
              </w:rPr>
            </w:pPr>
          </w:p>
        </w:tc>
        <w:tc>
          <w:tcPr>
            <w:tcW w:w="1288" w:type="dxa"/>
            <w:vAlign w:val="center"/>
          </w:tcPr>
          <w:p w14:paraId="2F6367B6">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color w:val="auto"/>
                <w:sz w:val="24"/>
                <w:szCs w:val="24"/>
                <w:highlight w:val="none"/>
              </w:rPr>
            </w:pPr>
          </w:p>
        </w:tc>
      </w:tr>
      <w:tr w14:paraId="089223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8" w:type="dxa"/>
            <w:vAlign w:val="center"/>
          </w:tcPr>
          <w:p w14:paraId="0B70DAF9">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color w:val="auto"/>
                <w:sz w:val="24"/>
                <w:szCs w:val="24"/>
                <w:highlight w:val="none"/>
              </w:rPr>
            </w:pPr>
          </w:p>
        </w:tc>
        <w:tc>
          <w:tcPr>
            <w:tcW w:w="2094" w:type="dxa"/>
            <w:vAlign w:val="center"/>
          </w:tcPr>
          <w:p w14:paraId="7ABE3BF7">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color w:val="auto"/>
                <w:sz w:val="24"/>
                <w:szCs w:val="24"/>
                <w:highlight w:val="none"/>
              </w:rPr>
            </w:pPr>
          </w:p>
        </w:tc>
        <w:tc>
          <w:tcPr>
            <w:tcW w:w="1562" w:type="dxa"/>
            <w:vAlign w:val="center"/>
          </w:tcPr>
          <w:p w14:paraId="1EFC5F7A">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color w:val="auto"/>
                <w:sz w:val="24"/>
                <w:szCs w:val="24"/>
                <w:highlight w:val="none"/>
              </w:rPr>
            </w:pPr>
          </w:p>
        </w:tc>
        <w:tc>
          <w:tcPr>
            <w:tcW w:w="1557" w:type="dxa"/>
            <w:vAlign w:val="center"/>
          </w:tcPr>
          <w:p w14:paraId="616EB811">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color w:val="auto"/>
                <w:sz w:val="24"/>
                <w:szCs w:val="24"/>
                <w:highlight w:val="none"/>
              </w:rPr>
            </w:pPr>
          </w:p>
        </w:tc>
        <w:tc>
          <w:tcPr>
            <w:tcW w:w="1842" w:type="dxa"/>
            <w:vAlign w:val="center"/>
          </w:tcPr>
          <w:p w14:paraId="3CD4169E">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color w:val="auto"/>
                <w:sz w:val="24"/>
                <w:szCs w:val="24"/>
                <w:highlight w:val="none"/>
              </w:rPr>
            </w:pPr>
          </w:p>
        </w:tc>
        <w:tc>
          <w:tcPr>
            <w:tcW w:w="1288" w:type="dxa"/>
            <w:vAlign w:val="center"/>
          </w:tcPr>
          <w:p w14:paraId="7F205221">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color w:val="auto"/>
                <w:sz w:val="24"/>
                <w:szCs w:val="24"/>
                <w:highlight w:val="none"/>
              </w:rPr>
            </w:pPr>
          </w:p>
        </w:tc>
      </w:tr>
      <w:tr w14:paraId="33AD5C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8" w:type="dxa"/>
            <w:vAlign w:val="center"/>
          </w:tcPr>
          <w:p w14:paraId="3E7FB2C6">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color w:val="auto"/>
                <w:sz w:val="24"/>
                <w:szCs w:val="24"/>
                <w:highlight w:val="none"/>
              </w:rPr>
            </w:pPr>
          </w:p>
        </w:tc>
        <w:tc>
          <w:tcPr>
            <w:tcW w:w="2094" w:type="dxa"/>
            <w:vAlign w:val="center"/>
          </w:tcPr>
          <w:p w14:paraId="0201B1BA">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color w:val="auto"/>
                <w:sz w:val="24"/>
                <w:szCs w:val="24"/>
                <w:highlight w:val="none"/>
              </w:rPr>
            </w:pPr>
          </w:p>
        </w:tc>
        <w:tc>
          <w:tcPr>
            <w:tcW w:w="1562" w:type="dxa"/>
            <w:vAlign w:val="center"/>
          </w:tcPr>
          <w:p w14:paraId="142A1F6C">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color w:val="auto"/>
                <w:sz w:val="24"/>
                <w:szCs w:val="24"/>
                <w:highlight w:val="none"/>
              </w:rPr>
            </w:pPr>
          </w:p>
        </w:tc>
        <w:tc>
          <w:tcPr>
            <w:tcW w:w="1557" w:type="dxa"/>
            <w:vAlign w:val="center"/>
          </w:tcPr>
          <w:p w14:paraId="383E0DE6">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color w:val="auto"/>
                <w:sz w:val="24"/>
                <w:szCs w:val="24"/>
                <w:highlight w:val="none"/>
              </w:rPr>
            </w:pPr>
          </w:p>
        </w:tc>
        <w:tc>
          <w:tcPr>
            <w:tcW w:w="1842" w:type="dxa"/>
            <w:vAlign w:val="center"/>
          </w:tcPr>
          <w:p w14:paraId="69B764BE">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color w:val="auto"/>
                <w:sz w:val="24"/>
                <w:szCs w:val="24"/>
                <w:highlight w:val="none"/>
              </w:rPr>
            </w:pPr>
          </w:p>
        </w:tc>
        <w:tc>
          <w:tcPr>
            <w:tcW w:w="1288" w:type="dxa"/>
            <w:vAlign w:val="center"/>
          </w:tcPr>
          <w:p w14:paraId="7FBAB2AF">
            <w:pPr>
              <w:keepNext w:val="0"/>
              <w:keepLines w:val="0"/>
              <w:pageBreakBefore w:val="0"/>
              <w:widowControl/>
              <w:kinsoku/>
              <w:wordWrap/>
              <w:topLinePunct w:val="0"/>
              <w:autoSpaceDE/>
              <w:autoSpaceDN/>
              <w:bidi w:val="0"/>
              <w:snapToGrid/>
              <w:spacing w:before="156" w:after="156" w:line="288" w:lineRule="auto"/>
              <w:jc w:val="center"/>
              <w:textAlignment w:val="auto"/>
              <w:rPr>
                <w:rFonts w:hint="eastAsia" w:ascii="宋体" w:hAnsi="宋体" w:eastAsia="宋体" w:cs="宋体"/>
                <w:color w:val="auto"/>
                <w:sz w:val="24"/>
                <w:szCs w:val="24"/>
                <w:highlight w:val="none"/>
              </w:rPr>
            </w:pPr>
          </w:p>
        </w:tc>
      </w:tr>
    </w:tbl>
    <w:p w14:paraId="2DC1C1B5">
      <w:pPr>
        <w:keepNext w:val="0"/>
        <w:keepLines w:val="0"/>
        <w:pageBreakBefore w:val="0"/>
        <w:widowControl/>
        <w:kinsoku/>
        <w:wordWrap/>
        <w:topLinePunct w:val="0"/>
        <w:autoSpaceDE/>
        <w:autoSpaceDN/>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备注：需提供证明资料内容详见</w:t>
      </w:r>
      <w:r>
        <w:rPr>
          <w:rFonts w:hint="eastAsia" w:ascii="宋体" w:hAnsi="宋体" w:eastAsia="宋体" w:cs="宋体"/>
          <w:color w:val="auto"/>
          <w:sz w:val="24"/>
          <w:szCs w:val="24"/>
          <w:highlight w:val="none"/>
          <w:u w:val="single"/>
        </w:rPr>
        <w:t>评标方法</w:t>
      </w:r>
      <w:r>
        <w:rPr>
          <w:rFonts w:hint="eastAsia" w:ascii="宋体" w:hAnsi="宋体" w:cs="宋体"/>
          <w:color w:val="auto"/>
          <w:sz w:val="24"/>
          <w:szCs w:val="24"/>
          <w:highlight w:val="none"/>
          <w:u w:val="single"/>
          <w:lang w:eastAsia="zh-CN"/>
        </w:rPr>
        <w:t>（</w:t>
      </w:r>
      <w:r>
        <w:rPr>
          <w:rFonts w:hint="eastAsia" w:ascii="宋体" w:hAnsi="宋体" w:cs="宋体"/>
          <w:color w:val="auto"/>
          <w:sz w:val="24"/>
          <w:szCs w:val="24"/>
          <w:highlight w:val="none"/>
          <w:u w:val="single"/>
          <w:lang w:val="en-US" w:eastAsia="zh-CN"/>
        </w:rPr>
        <w:t>如有时</w:t>
      </w:r>
      <w:r>
        <w:rPr>
          <w:rFonts w:hint="eastAsia" w:ascii="宋体" w:hAnsi="宋体" w:cs="宋体"/>
          <w:color w:val="auto"/>
          <w:sz w:val="24"/>
          <w:szCs w:val="24"/>
          <w:highlight w:val="none"/>
          <w:u w:val="single"/>
          <w:lang w:eastAsia="zh-CN"/>
        </w:rPr>
        <w:t>）</w:t>
      </w:r>
      <w:r>
        <w:rPr>
          <w:rFonts w:hint="eastAsia" w:ascii="宋体" w:hAnsi="宋体" w:eastAsia="宋体" w:cs="宋体"/>
          <w:color w:val="auto"/>
          <w:sz w:val="24"/>
          <w:szCs w:val="24"/>
          <w:highlight w:val="none"/>
        </w:rPr>
        <w:t>。</w:t>
      </w:r>
    </w:p>
    <w:p w14:paraId="0E67EB96">
      <w:pPr>
        <w:pStyle w:val="2"/>
        <w:rPr>
          <w:rFonts w:hint="eastAsia"/>
        </w:rPr>
      </w:pPr>
    </w:p>
    <w:tbl>
      <w:tblPr>
        <w:tblStyle w:val="44"/>
        <w:tblW w:w="8528" w:type="dxa"/>
        <w:tblInd w:w="0" w:type="dxa"/>
        <w:tblLayout w:type="fixed"/>
        <w:tblCellMar>
          <w:top w:w="0" w:type="dxa"/>
          <w:left w:w="108" w:type="dxa"/>
          <w:bottom w:w="0" w:type="dxa"/>
          <w:right w:w="108" w:type="dxa"/>
        </w:tblCellMar>
      </w:tblPr>
      <w:tblGrid>
        <w:gridCol w:w="5353"/>
        <w:gridCol w:w="3175"/>
      </w:tblGrid>
      <w:tr w14:paraId="493ECF08">
        <w:tblPrEx>
          <w:tblCellMar>
            <w:top w:w="0" w:type="dxa"/>
            <w:left w:w="108" w:type="dxa"/>
            <w:bottom w:w="0" w:type="dxa"/>
            <w:right w:w="108" w:type="dxa"/>
          </w:tblCellMar>
        </w:tblPrEx>
        <w:tc>
          <w:tcPr>
            <w:tcW w:w="5353" w:type="dxa"/>
            <w:shd w:val="clear" w:color="auto" w:fill="auto"/>
          </w:tcPr>
          <w:p w14:paraId="14D694AA">
            <w:pPr>
              <w:keepNext w:val="0"/>
              <w:keepLines w:val="0"/>
              <w:pageBreakBefore w:val="0"/>
              <w:widowControl/>
              <w:kinsoku/>
              <w:wordWrap/>
              <w:overflowPunct w:val="0"/>
              <w:topLinePunct w:val="0"/>
              <w:autoSpaceDE/>
              <w:autoSpaceDN/>
              <w:bidi w:val="0"/>
              <w:adjustRightInd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供应商名称（加盖公章）：</w:t>
            </w:r>
          </w:p>
        </w:tc>
        <w:tc>
          <w:tcPr>
            <w:tcW w:w="3175" w:type="dxa"/>
            <w:shd w:val="clear" w:color="auto" w:fill="auto"/>
          </w:tcPr>
          <w:p w14:paraId="4A3CE33C">
            <w:pPr>
              <w:keepNext w:val="0"/>
              <w:keepLines w:val="0"/>
              <w:pageBreakBefore w:val="0"/>
              <w:widowControl/>
              <w:kinsoku/>
              <w:wordWrap/>
              <w:topLinePunct w:val="0"/>
              <w:autoSpaceDE/>
              <w:autoSpaceDN/>
              <w:bidi w:val="0"/>
              <w:snapToGrid/>
              <w:spacing w:line="288" w:lineRule="auto"/>
              <w:textAlignment w:val="auto"/>
              <w:rPr>
                <w:rFonts w:hint="eastAsia" w:ascii="宋体" w:hAnsi="宋体" w:eastAsia="宋体" w:cs="宋体"/>
                <w:color w:val="auto"/>
                <w:sz w:val="24"/>
                <w:szCs w:val="24"/>
                <w:highlight w:val="none"/>
              </w:rPr>
            </w:pPr>
          </w:p>
        </w:tc>
      </w:tr>
      <w:tr w14:paraId="71DB78B7">
        <w:tblPrEx>
          <w:tblCellMar>
            <w:top w:w="0" w:type="dxa"/>
            <w:left w:w="108" w:type="dxa"/>
            <w:bottom w:w="0" w:type="dxa"/>
            <w:right w:w="108" w:type="dxa"/>
          </w:tblCellMar>
        </w:tblPrEx>
        <w:tc>
          <w:tcPr>
            <w:tcW w:w="5353" w:type="dxa"/>
            <w:shd w:val="clear" w:color="auto" w:fill="auto"/>
          </w:tcPr>
          <w:p w14:paraId="3B6C4B6B">
            <w:pPr>
              <w:keepNext w:val="0"/>
              <w:keepLines w:val="0"/>
              <w:pageBreakBefore w:val="0"/>
              <w:widowControl/>
              <w:kinsoku/>
              <w:wordWrap/>
              <w:topLinePunct w:val="0"/>
              <w:autoSpaceDE/>
              <w:autoSpaceDN/>
              <w:bidi w:val="0"/>
              <w:snapToGrid/>
              <w:spacing w:line="288" w:lineRule="auto"/>
              <w:textAlignment w:val="auto"/>
              <w:rPr>
                <w:rFonts w:hint="eastAsia" w:ascii="宋体" w:hAnsi="宋体" w:eastAsia="宋体" w:cs="宋体"/>
                <w:color w:val="auto"/>
                <w:sz w:val="24"/>
                <w:szCs w:val="24"/>
                <w:highlight w:val="none"/>
              </w:rPr>
            </w:pPr>
          </w:p>
          <w:p w14:paraId="10192252">
            <w:pPr>
              <w:keepNext w:val="0"/>
              <w:keepLines w:val="0"/>
              <w:pageBreakBefore w:val="0"/>
              <w:widowControl/>
              <w:kinsoku/>
              <w:wordWrap/>
              <w:topLinePunct w:val="0"/>
              <w:autoSpaceDE/>
              <w:autoSpaceDN/>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       年       月        日</w:t>
            </w:r>
          </w:p>
        </w:tc>
        <w:tc>
          <w:tcPr>
            <w:tcW w:w="3175" w:type="dxa"/>
            <w:shd w:val="clear" w:color="auto" w:fill="auto"/>
          </w:tcPr>
          <w:p w14:paraId="1421B8C2">
            <w:pPr>
              <w:keepNext w:val="0"/>
              <w:keepLines w:val="0"/>
              <w:pageBreakBefore w:val="0"/>
              <w:widowControl/>
              <w:kinsoku/>
              <w:wordWrap/>
              <w:topLinePunct w:val="0"/>
              <w:autoSpaceDE/>
              <w:autoSpaceDN/>
              <w:bidi w:val="0"/>
              <w:snapToGrid/>
              <w:spacing w:line="288" w:lineRule="auto"/>
              <w:textAlignment w:val="auto"/>
              <w:rPr>
                <w:rFonts w:hint="eastAsia" w:ascii="宋体" w:hAnsi="宋体" w:eastAsia="宋体" w:cs="宋体"/>
                <w:color w:val="auto"/>
                <w:sz w:val="24"/>
                <w:szCs w:val="24"/>
                <w:highlight w:val="none"/>
              </w:rPr>
            </w:pPr>
          </w:p>
        </w:tc>
      </w:tr>
    </w:tbl>
    <w:p w14:paraId="68B17B0B">
      <w:pPr>
        <w:spacing w:line="360" w:lineRule="auto"/>
        <w:rPr>
          <w:rFonts w:hint="eastAsia" w:ascii="宋体" w:hAnsi="宋体" w:eastAsia="宋体" w:cs="宋体"/>
          <w:color w:val="auto"/>
          <w:szCs w:val="21"/>
          <w:highlight w:val="none"/>
        </w:rPr>
      </w:pPr>
    </w:p>
    <w:p w14:paraId="4DCC346C">
      <w:pPr>
        <w:rPr>
          <w:rFonts w:hint="eastAsia" w:ascii="宋体" w:hAnsi="宋体" w:eastAsia="宋体" w:cs="宋体"/>
          <w:b/>
          <w:color w:val="auto"/>
          <w:spacing w:val="20"/>
          <w:sz w:val="30"/>
          <w:szCs w:val="30"/>
          <w:highlight w:val="none"/>
        </w:rPr>
      </w:pPr>
      <w:r>
        <w:rPr>
          <w:rFonts w:hint="eastAsia" w:ascii="宋体" w:hAnsi="宋体" w:eastAsia="宋体" w:cs="宋体"/>
          <w:b/>
          <w:color w:val="auto"/>
          <w:spacing w:val="20"/>
          <w:sz w:val="30"/>
          <w:szCs w:val="30"/>
          <w:highlight w:val="none"/>
        </w:rPr>
        <w:br w:type="page"/>
      </w:r>
    </w:p>
    <w:p w14:paraId="0B191F42">
      <w:pPr>
        <w:spacing w:line="360" w:lineRule="auto"/>
        <w:jc w:val="center"/>
        <w:rPr>
          <w:rFonts w:hint="eastAsia" w:ascii="宋体" w:hAnsi="宋体" w:eastAsia="宋体" w:cs="宋体"/>
          <w:b/>
          <w:color w:val="auto"/>
          <w:sz w:val="36"/>
          <w:szCs w:val="36"/>
          <w:highlight w:val="none"/>
        </w:rPr>
      </w:pPr>
    </w:p>
    <w:p w14:paraId="744D526A">
      <w:pPr>
        <w:spacing w:line="360" w:lineRule="auto"/>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十、资格声明</w:t>
      </w:r>
    </w:p>
    <w:p w14:paraId="6EBE3E9E">
      <w:pPr>
        <w:keepNext w:val="0"/>
        <w:keepLines w:val="0"/>
        <w:pageBreakBefore w:val="0"/>
        <w:kinsoku/>
        <w:wordWrap/>
        <w:overflowPunct/>
        <w:topLinePunct w:val="0"/>
        <w:autoSpaceDE/>
        <w:autoSpaceDN/>
        <w:bidi w:val="0"/>
        <w:adjustRightInd w:val="0"/>
        <w:snapToGrid w:val="0"/>
        <w:spacing w:after="120" w:afterLines="50"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u w:val="single"/>
        </w:rPr>
        <w:t>（采购代理机构）</w:t>
      </w:r>
      <w:r>
        <w:rPr>
          <w:rFonts w:hint="eastAsia" w:ascii="宋体" w:hAnsi="宋体" w:eastAsia="宋体" w:cs="宋体"/>
          <w:b/>
          <w:color w:val="auto"/>
          <w:sz w:val="24"/>
          <w:szCs w:val="24"/>
          <w:highlight w:val="none"/>
        </w:rPr>
        <w:t>：</w:t>
      </w:r>
    </w:p>
    <w:p w14:paraId="1BC76D39">
      <w:pPr>
        <w:keepNext w:val="0"/>
        <w:keepLines w:val="0"/>
        <w:pageBreakBefore w:val="0"/>
        <w:kinsoku/>
        <w:wordWrap/>
        <w:overflowPunct/>
        <w:topLinePunct w:val="0"/>
        <w:autoSpaceDE/>
        <w:autoSpaceDN/>
        <w:bidi w:val="0"/>
        <w:adjustRightInd w:val="0"/>
        <w:snapToGrid w:val="0"/>
        <w:spacing w:line="288" w:lineRule="auto"/>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我方愿响应贵方关于</w:t>
      </w:r>
      <w:r>
        <w:rPr>
          <w:rFonts w:hint="eastAsia" w:ascii="宋体" w:hAnsi="宋体" w:eastAsia="宋体" w:cs="宋体"/>
          <w:b/>
          <w:bCs/>
          <w:color w:val="auto"/>
          <w:sz w:val="24"/>
          <w:szCs w:val="24"/>
          <w:highlight w:val="none"/>
          <w:u w:val="single"/>
        </w:rPr>
        <w:t xml:space="preserve">    （项目名称）    </w:t>
      </w:r>
      <w:r>
        <w:rPr>
          <w:rFonts w:hint="eastAsia" w:ascii="宋体" w:hAnsi="宋体" w:eastAsia="宋体" w:cs="宋体"/>
          <w:b/>
          <w:bCs/>
          <w:color w:val="auto"/>
          <w:sz w:val="24"/>
          <w:szCs w:val="24"/>
          <w:highlight w:val="none"/>
        </w:rPr>
        <w:t>（项目编号：</w:t>
      </w:r>
      <w:r>
        <w:rPr>
          <w:rFonts w:hint="eastAsia" w:ascii="宋体" w:hAnsi="宋体" w:eastAsia="宋体" w:cs="宋体"/>
          <w:b/>
          <w:bCs/>
          <w:color w:val="auto"/>
          <w:sz w:val="24"/>
          <w:szCs w:val="24"/>
          <w:highlight w:val="none"/>
          <w:u w:val="single"/>
        </w:rPr>
        <w:t xml:space="preserve">        </w:t>
      </w:r>
      <w:r>
        <w:rPr>
          <w:rFonts w:hint="eastAsia" w:ascii="宋体" w:hAnsi="宋体" w:eastAsia="宋体" w:cs="宋体"/>
          <w:b/>
          <w:bCs/>
          <w:color w:val="auto"/>
          <w:sz w:val="24"/>
          <w:szCs w:val="24"/>
          <w:highlight w:val="none"/>
        </w:rPr>
        <w:t>）的投标，参与投标，提供用户需求书中规定的货物及相关服务，并按招标文件要求提交所附资格文件且声明和保证如下：</w:t>
      </w:r>
    </w:p>
    <w:p w14:paraId="1037CDF4">
      <w:pPr>
        <w:keepNext w:val="0"/>
        <w:keepLines w:val="0"/>
        <w:pageBreakBefore w:val="0"/>
        <w:kinsoku/>
        <w:wordWrap/>
        <w:overflowPunct/>
        <w:topLinePunct w:val="0"/>
        <w:autoSpaceDE/>
        <w:autoSpaceDN/>
        <w:bidi w:val="0"/>
        <w:adjustRightInd w:val="0"/>
        <w:snapToGrid w:val="0"/>
        <w:spacing w:line="288" w:lineRule="auto"/>
        <w:ind w:firstLine="36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本公司（企业）</w:t>
      </w:r>
      <w:r>
        <w:rPr>
          <w:rFonts w:hint="eastAsia" w:ascii="宋体" w:hAnsi="宋体" w:eastAsia="宋体" w:cs="宋体"/>
          <w:bCs/>
          <w:color w:val="auto"/>
          <w:sz w:val="24"/>
          <w:szCs w:val="24"/>
          <w:highlight w:val="none"/>
        </w:rPr>
        <w:t>具备招标文件中资格要求。</w:t>
      </w:r>
    </w:p>
    <w:p w14:paraId="163F3E5B">
      <w:pPr>
        <w:pStyle w:val="94"/>
        <w:keepNext w:val="0"/>
        <w:keepLines w:val="0"/>
        <w:pageBreakBefore w:val="0"/>
        <w:numPr>
          <w:ilvl w:val="0"/>
          <w:numId w:val="10"/>
        </w:numPr>
        <w:kinsoku/>
        <w:wordWrap/>
        <w:overflowPunct/>
        <w:topLinePunct w:val="0"/>
        <w:autoSpaceDE/>
        <w:autoSpaceDN/>
        <w:bidi w:val="0"/>
        <w:adjustRightInd w:val="0"/>
        <w:snapToGrid w:val="0"/>
        <w:spacing w:line="288" w:lineRule="auto"/>
        <w:ind w:firstLineChars="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根据《中华人民共和国政府采购法实施条例》的规定，本公司（企业）如为招标项目提供整体设计、规范编制或者项目管理、监理、检测等服务的供应商，不再参加该招标项目的其他招标活动。</w:t>
      </w:r>
    </w:p>
    <w:p w14:paraId="6DE0975F">
      <w:pPr>
        <w:pStyle w:val="94"/>
        <w:keepNext w:val="0"/>
        <w:keepLines w:val="0"/>
        <w:pageBreakBefore w:val="0"/>
        <w:numPr>
          <w:ilvl w:val="0"/>
          <w:numId w:val="10"/>
        </w:numPr>
        <w:kinsoku/>
        <w:wordWrap/>
        <w:overflowPunct/>
        <w:topLinePunct w:val="0"/>
        <w:autoSpaceDE/>
        <w:autoSpaceDN/>
        <w:bidi w:val="0"/>
        <w:adjustRightInd w:val="0"/>
        <w:snapToGrid w:val="0"/>
        <w:spacing w:line="288" w:lineRule="auto"/>
        <w:ind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我方承诺单位负责人为同一人或者存在直接控股、管理关系的不同供应商，不得参加同一合同项下的政府采购活动。</w:t>
      </w:r>
    </w:p>
    <w:p w14:paraId="61AF222B">
      <w:pPr>
        <w:keepNext w:val="0"/>
        <w:keepLines w:val="0"/>
        <w:pageBreakBefore w:val="0"/>
        <w:kinsoku/>
        <w:wordWrap/>
        <w:overflowPunct/>
        <w:topLinePunct w:val="0"/>
        <w:autoSpaceDE/>
        <w:autoSpaceDN/>
        <w:bidi w:val="0"/>
        <w:adjustRightInd w:val="0"/>
        <w:snapToGrid w:val="0"/>
        <w:spacing w:line="288" w:lineRule="auto"/>
        <w:ind w:firstLine="484" w:firstLineChars="202"/>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本公司（企业）承诺在本次招标招标活动中，如有违法、违规、弄虚作假行为，所造成的损失、不良后果及法律责任，一律由我公司（企业）承担。</w:t>
      </w:r>
    </w:p>
    <w:p w14:paraId="53BD0E1F">
      <w:pPr>
        <w:keepNext w:val="0"/>
        <w:keepLines w:val="0"/>
        <w:pageBreakBefore w:val="0"/>
        <w:kinsoku/>
        <w:wordWrap/>
        <w:overflowPunct/>
        <w:topLinePunct w:val="0"/>
        <w:autoSpaceDE/>
        <w:autoSpaceDN/>
        <w:bidi w:val="0"/>
        <w:adjustRightInd w:val="0"/>
        <w:snapToGrid w:val="0"/>
        <w:spacing w:line="288" w:lineRule="auto"/>
        <w:ind w:firstLine="42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特此声明！</w:t>
      </w:r>
    </w:p>
    <w:p w14:paraId="3259155D">
      <w:pPr>
        <w:keepNext w:val="0"/>
        <w:keepLines w:val="0"/>
        <w:pageBreakBefore w:val="0"/>
        <w:kinsoku/>
        <w:wordWrap/>
        <w:overflowPunct/>
        <w:topLinePunct w:val="0"/>
        <w:autoSpaceDE/>
        <w:autoSpaceDN/>
        <w:bidi w:val="0"/>
        <w:adjustRightInd w:val="0"/>
        <w:snapToGrid w:val="0"/>
        <w:spacing w:before="240" w:beforeLines="100" w:line="288" w:lineRule="auto"/>
        <w:ind w:firstLine="42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备注：1.本声明函必须提供且内容不得擅自删改，否则视为无效投标。</w:t>
      </w:r>
    </w:p>
    <w:p w14:paraId="32964B6E">
      <w:pPr>
        <w:keepNext w:val="0"/>
        <w:keepLines w:val="0"/>
        <w:pageBreakBefore w:val="0"/>
        <w:kinsoku/>
        <w:wordWrap/>
        <w:overflowPunct/>
        <w:topLinePunct w:val="0"/>
        <w:autoSpaceDE/>
        <w:autoSpaceDN/>
        <w:bidi w:val="0"/>
        <w:adjustRightInd w:val="0"/>
        <w:snapToGrid w:val="0"/>
        <w:spacing w:line="288" w:lineRule="auto"/>
        <w:ind w:firstLine="1301" w:firstLineChars="54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2.本声明函如有虚假或与事实不符的，作无效投标处理。</w:t>
      </w:r>
    </w:p>
    <w:p w14:paraId="7CECE250">
      <w:pPr>
        <w:keepNext w:val="0"/>
        <w:keepLines w:val="0"/>
        <w:pageBreakBefore w:val="0"/>
        <w:kinsoku/>
        <w:wordWrap/>
        <w:overflowPunct/>
        <w:topLinePunct w:val="0"/>
        <w:autoSpaceDE/>
        <w:autoSpaceDN/>
        <w:bidi w:val="0"/>
        <w:adjustRightInd w:val="0"/>
        <w:snapToGrid w:val="0"/>
        <w:spacing w:after="120" w:afterLines="50" w:line="288" w:lineRule="auto"/>
        <w:textAlignment w:val="auto"/>
        <w:rPr>
          <w:rFonts w:hint="eastAsia" w:ascii="宋体" w:hAnsi="宋体" w:eastAsia="宋体" w:cs="宋体"/>
          <w:b/>
          <w:color w:val="auto"/>
          <w:sz w:val="24"/>
          <w:szCs w:val="24"/>
          <w:highlight w:val="none"/>
        </w:rPr>
      </w:pPr>
    </w:p>
    <w:p w14:paraId="13C67E86">
      <w:pPr>
        <w:keepNext w:val="0"/>
        <w:keepLines w:val="0"/>
        <w:pageBreakBefore w:val="0"/>
        <w:kinsoku/>
        <w:wordWrap/>
        <w:overflowPunct/>
        <w:topLinePunct w:val="0"/>
        <w:autoSpaceDE/>
        <w:autoSpaceDN/>
        <w:bidi w:val="0"/>
        <w:adjustRightInd w:val="0"/>
        <w:snapToGrid w:val="0"/>
        <w:spacing w:after="120" w:afterLines="50" w:line="288" w:lineRule="auto"/>
        <w:textAlignment w:val="auto"/>
        <w:rPr>
          <w:rFonts w:hint="eastAsia" w:ascii="宋体" w:hAnsi="宋体" w:eastAsia="宋体" w:cs="宋体"/>
          <w:b/>
          <w:color w:val="auto"/>
          <w:sz w:val="24"/>
          <w:szCs w:val="24"/>
          <w:highlight w:val="none"/>
        </w:rPr>
      </w:pPr>
    </w:p>
    <w:tbl>
      <w:tblPr>
        <w:tblStyle w:val="44"/>
        <w:tblW w:w="8528" w:type="dxa"/>
        <w:tblInd w:w="0" w:type="dxa"/>
        <w:tblLayout w:type="fixed"/>
        <w:tblCellMar>
          <w:top w:w="0" w:type="dxa"/>
          <w:left w:w="108" w:type="dxa"/>
          <w:bottom w:w="0" w:type="dxa"/>
          <w:right w:w="108" w:type="dxa"/>
        </w:tblCellMar>
      </w:tblPr>
      <w:tblGrid>
        <w:gridCol w:w="5353"/>
        <w:gridCol w:w="3175"/>
      </w:tblGrid>
      <w:tr w14:paraId="5BDEDB71">
        <w:tc>
          <w:tcPr>
            <w:tcW w:w="5353" w:type="dxa"/>
            <w:shd w:val="clear" w:color="auto" w:fill="auto"/>
          </w:tcPr>
          <w:p w14:paraId="13B29685">
            <w:pPr>
              <w:keepNext w:val="0"/>
              <w:keepLines w:val="0"/>
              <w:pageBreakBefore w:val="0"/>
              <w:kinsoku/>
              <w:wordWrap/>
              <w:overflowPunct/>
              <w:topLinePunct w:val="0"/>
              <w:autoSpaceDE/>
              <w:autoSpaceDN/>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供应商名称（加盖公章）：</w:t>
            </w:r>
          </w:p>
        </w:tc>
        <w:tc>
          <w:tcPr>
            <w:tcW w:w="3175" w:type="dxa"/>
            <w:shd w:val="clear" w:color="auto" w:fill="auto"/>
          </w:tcPr>
          <w:p w14:paraId="2BFA8BAA">
            <w:pPr>
              <w:keepNext w:val="0"/>
              <w:keepLines w:val="0"/>
              <w:pageBreakBefore w:val="0"/>
              <w:kinsoku/>
              <w:wordWrap/>
              <w:overflowPunct/>
              <w:topLinePunct w:val="0"/>
              <w:autoSpaceDE/>
              <w:autoSpaceDN/>
              <w:bidi w:val="0"/>
              <w:spacing w:line="288" w:lineRule="auto"/>
              <w:textAlignment w:val="auto"/>
              <w:rPr>
                <w:rFonts w:hint="eastAsia" w:ascii="宋体" w:hAnsi="宋体" w:eastAsia="宋体" w:cs="宋体"/>
                <w:color w:val="auto"/>
                <w:sz w:val="24"/>
                <w:szCs w:val="24"/>
                <w:highlight w:val="none"/>
              </w:rPr>
            </w:pPr>
          </w:p>
        </w:tc>
      </w:tr>
      <w:tr w14:paraId="69D7EB68">
        <w:tc>
          <w:tcPr>
            <w:tcW w:w="5353" w:type="dxa"/>
            <w:shd w:val="clear" w:color="auto" w:fill="auto"/>
          </w:tcPr>
          <w:p w14:paraId="5DBB0597">
            <w:pPr>
              <w:keepNext w:val="0"/>
              <w:keepLines w:val="0"/>
              <w:pageBreakBefore w:val="0"/>
              <w:kinsoku/>
              <w:wordWrap/>
              <w:overflowPunct/>
              <w:topLinePunct w:val="0"/>
              <w:autoSpaceDE/>
              <w:autoSpaceDN/>
              <w:bidi w:val="0"/>
              <w:spacing w:line="288" w:lineRule="auto"/>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法定代表人（签字）：</w:t>
            </w:r>
          </w:p>
        </w:tc>
        <w:tc>
          <w:tcPr>
            <w:tcW w:w="3175" w:type="dxa"/>
            <w:shd w:val="clear" w:color="auto" w:fill="auto"/>
          </w:tcPr>
          <w:p w14:paraId="1F9A2D4E">
            <w:pPr>
              <w:keepNext w:val="0"/>
              <w:keepLines w:val="0"/>
              <w:pageBreakBefore w:val="0"/>
              <w:kinsoku/>
              <w:wordWrap/>
              <w:overflowPunct/>
              <w:topLinePunct w:val="0"/>
              <w:autoSpaceDE/>
              <w:autoSpaceDN/>
              <w:bidi w:val="0"/>
              <w:spacing w:line="288" w:lineRule="auto"/>
              <w:textAlignment w:val="auto"/>
              <w:rPr>
                <w:rFonts w:hint="eastAsia" w:ascii="宋体" w:hAnsi="宋体" w:eastAsia="宋体" w:cs="宋体"/>
                <w:color w:val="auto"/>
                <w:sz w:val="24"/>
                <w:szCs w:val="24"/>
                <w:highlight w:val="none"/>
              </w:rPr>
            </w:pPr>
          </w:p>
        </w:tc>
      </w:tr>
      <w:tr w14:paraId="45BF8E23">
        <w:tc>
          <w:tcPr>
            <w:tcW w:w="5353" w:type="dxa"/>
            <w:shd w:val="clear" w:color="auto" w:fill="auto"/>
          </w:tcPr>
          <w:p w14:paraId="12C68844">
            <w:pPr>
              <w:keepNext w:val="0"/>
              <w:keepLines w:val="0"/>
              <w:pageBreakBefore w:val="0"/>
              <w:kinsoku/>
              <w:wordWrap/>
              <w:overflowPunct/>
              <w:topLinePunct w:val="0"/>
              <w:autoSpaceDE/>
              <w:autoSpaceDN/>
              <w:bidi w:val="0"/>
              <w:spacing w:line="288" w:lineRule="auto"/>
              <w:textAlignment w:val="auto"/>
              <w:rPr>
                <w:rFonts w:hint="eastAsia" w:ascii="宋体" w:hAnsi="宋体" w:eastAsia="宋体" w:cs="宋体"/>
                <w:color w:val="auto"/>
                <w:sz w:val="24"/>
                <w:szCs w:val="24"/>
                <w:highlight w:val="none"/>
              </w:rPr>
            </w:pPr>
          </w:p>
          <w:p w14:paraId="3C182DC8">
            <w:pPr>
              <w:keepNext w:val="0"/>
              <w:keepLines w:val="0"/>
              <w:pageBreakBefore w:val="0"/>
              <w:kinsoku/>
              <w:wordWrap/>
              <w:overflowPunct/>
              <w:topLinePunct w:val="0"/>
              <w:autoSpaceDE/>
              <w:autoSpaceDN/>
              <w:bidi w:val="0"/>
              <w:spacing w:line="288" w:lineRule="auto"/>
              <w:textAlignment w:val="auto"/>
              <w:rPr>
                <w:rFonts w:hint="eastAsia" w:ascii="宋体" w:hAnsi="宋体" w:eastAsia="宋体" w:cs="宋体"/>
                <w:color w:val="auto"/>
                <w:sz w:val="24"/>
                <w:szCs w:val="24"/>
                <w:highlight w:val="none"/>
              </w:rPr>
            </w:pPr>
          </w:p>
          <w:p w14:paraId="1D94826F">
            <w:pPr>
              <w:keepNext w:val="0"/>
              <w:keepLines w:val="0"/>
              <w:pageBreakBefore w:val="0"/>
              <w:kinsoku/>
              <w:wordWrap/>
              <w:overflowPunct/>
              <w:topLinePunct w:val="0"/>
              <w:autoSpaceDE/>
              <w:autoSpaceDN/>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    年      月      日</w:t>
            </w:r>
          </w:p>
        </w:tc>
        <w:tc>
          <w:tcPr>
            <w:tcW w:w="3175" w:type="dxa"/>
            <w:shd w:val="clear" w:color="auto" w:fill="auto"/>
          </w:tcPr>
          <w:p w14:paraId="03C13081">
            <w:pPr>
              <w:keepNext w:val="0"/>
              <w:keepLines w:val="0"/>
              <w:pageBreakBefore w:val="0"/>
              <w:kinsoku/>
              <w:wordWrap/>
              <w:overflowPunct/>
              <w:topLinePunct w:val="0"/>
              <w:autoSpaceDE/>
              <w:autoSpaceDN/>
              <w:bidi w:val="0"/>
              <w:spacing w:line="288" w:lineRule="auto"/>
              <w:textAlignment w:val="auto"/>
              <w:rPr>
                <w:rFonts w:hint="eastAsia" w:ascii="宋体" w:hAnsi="宋体" w:eastAsia="宋体" w:cs="宋体"/>
                <w:color w:val="auto"/>
                <w:sz w:val="24"/>
                <w:szCs w:val="24"/>
                <w:highlight w:val="none"/>
              </w:rPr>
            </w:pPr>
          </w:p>
        </w:tc>
      </w:tr>
    </w:tbl>
    <w:p w14:paraId="4C091FFD">
      <w:pPr>
        <w:keepNext w:val="0"/>
        <w:keepLines w:val="0"/>
        <w:pageBreakBefore w:val="0"/>
        <w:kinsoku/>
        <w:wordWrap/>
        <w:overflowPunct/>
        <w:topLinePunct w:val="0"/>
        <w:autoSpaceDE/>
        <w:autoSpaceDN/>
        <w:bidi w:val="0"/>
        <w:spacing w:before="480" w:beforeLines="200" w:after="360" w:afterLines="150" w:line="288" w:lineRule="auto"/>
        <w:jc w:val="center"/>
        <w:textAlignment w:val="auto"/>
        <w:rPr>
          <w:rFonts w:hint="eastAsia" w:ascii="宋体" w:hAnsi="宋体" w:eastAsia="宋体" w:cs="宋体"/>
          <w:b/>
          <w:color w:val="auto"/>
          <w:spacing w:val="20"/>
          <w:sz w:val="24"/>
          <w:szCs w:val="24"/>
          <w:highlight w:val="none"/>
        </w:rPr>
      </w:pPr>
    </w:p>
    <w:p w14:paraId="02906101">
      <w:pPr>
        <w:rPr>
          <w:rFonts w:hint="eastAsia" w:ascii="宋体" w:hAnsi="宋体" w:eastAsia="宋体" w:cs="宋体"/>
          <w:b/>
          <w:color w:val="auto"/>
          <w:spacing w:val="20"/>
          <w:sz w:val="30"/>
          <w:szCs w:val="30"/>
          <w:highlight w:val="none"/>
        </w:rPr>
      </w:pPr>
      <w:r>
        <w:rPr>
          <w:rFonts w:hint="eastAsia" w:ascii="宋体" w:hAnsi="宋体" w:eastAsia="宋体" w:cs="宋体"/>
          <w:b/>
          <w:color w:val="auto"/>
          <w:spacing w:val="20"/>
          <w:sz w:val="30"/>
          <w:szCs w:val="30"/>
          <w:highlight w:val="none"/>
        </w:rPr>
        <w:br w:type="page"/>
      </w:r>
    </w:p>
    <w:p w14:paraId="72A28647">
      <w:pPr>
        <w:spacing w:line="360" w:lineRule="auto"/>
        <w:jc w:val="center"/>
        <w:rPr>
          <w:rFonts w:hint="eastAsia" w:ascii="宋体" w:hAnsi="宋体" w:eastAsia="宋体" w:cs="宋体"/>
          <w:b/>
          <w:color w:val="auto"/>
          <w:sz w:val="36"/>
          <w:szCs w:val="36"/>
          <w:highlight w:val="none"/>
        </w:rPr>
      </w:pPr>
    </w:p>
    <w:p w14:paraId="61D68D8D">
      <w:pPr>
        <w:spacing w:line="360" w:lineRule="auto"/>
        <w:jc w:val="center"/>
        <w:rPr>
          <w:rFonts w:hint="default" w:ascii="宋体" w:hAnsi="宋体" w:eastAsia="宋体" w:cs="宋体"/>
          <w:b/>
          <w:color w:val="FF0000"/>
          <w:sz w:val="36"/>
          <w:szCs w:val="36"/>
          <w:highlight w:val="yellow"/>
          <w:lang w:val="en-US" w:eastAsia="zh-CN"/>
        </w:rPr>
      </w:pPr>
      <w:r>
        <w:rPr>
          <w:rFonts w:hint="eastAsia" w:ascii="宋体" w:hAnsi="宋体" w:eastAsia="宋体" w:cs="宋体"/>
          <w:b/>
          <w:color w:val="auto"/>
          <w:sz w:val="36"/>
          <w:szCs w:val="36"/>
          <w:highlight w:val="none"/>
        </w:rPr>
        <w:t>十</w:t>
      </w:r>
      <w:r>
        <w:rPr>
          <w:rFonts w:hint="eastAsia" w:ascii="宋体" w:hAnsi="宋体" w:cs="宋体"/>
          <w:b/>
          <w:color w:val="auto"/>
          <w:sz w:val="36"/>
          <w:szCs w:val="36"/>
          <w:highlight w:val="none"/>
          <w:lang w:eastAsia="zh-CN"/>
        </w:rPr>
        <w:t>一</w:t>
      </w:r>
      <w:r>
        <w:rPr>
          <w:rFonts w:hint="eastAsia" w:ascii="宋体" w:hAnsi="宋体" w:eastAsia="宋体" w:cs="宋体"/>
          <w:b/>
          <w:color w:val="auto"/>
          <w:sz w:val="36"/>
          <w:szCs w:val="36"/>
          <w:highlight w:val="none"/>
        </w:rPr>
        <w:t>、技术参数偏离表</w:t>
      </w:r>
      <w:r>
        <w:rPr>
          <w:rFonts w:hint="eastAsia" w:ascii="宋体" w:hAnsi="宋体" w:cs="宋体"/>
          <w:b/>
          <w:color w:val="auto"/>
          <w:sz w:val="36"/>
          <w:szCs w:val="36"/>
          <w:highlight w:val="none"/>
          <w:lang w:val="en-US" w:eastAsia="zh-CN"/>
        </w:rPr>
        <w:t xml:space="preserve"> </w:t>
      </w:r>
    </w:p>
    <w:tbl>
      <w:tblPr>
        <w:tblStyle w:val="44"/>
        <w:tblW w:w="920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
        <w:gridCol w:w="2352"/>
        <w:gridCol w:w="2379"/>
        <w:gridCol w:w="1500"/>
        <w:gridCol w:w="2056"/>
      </w:tblGrid>
      <w:tr w14:paraId="7323F7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trPr>
        <w:tc>
          <w:tcPr>
            <w:tcW w:w="9207" w:type="dxa"/>
            <w:gridSpan w:val="5"/>
            <w:vAlign w:val="center"/>
          </w:tcPr>
          <w:p w14:paraId="3D87676F">
            <w:pPr>
              <w:keepNext w:val="0"/>
              <w:keepLines w:val="0"/>
              <w:pageBreakBefore w:val="0"/>
              <w:kinsoku/>
              <w:wordWrap/>
              <w:topLinePunct w:val="0"/>
              <w:autoSpaceDE/>
              <w:autoSpaceDN/>
              <w:bidi w:val="0"/>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bCs/>
                <w:color w:val="auto"/>
                <w:sz w:val="24"/>
                <w:szCs w:val="24"/>
                <w:highlight w:val="none"/>
              </w:rPr>
              <w:t xml:space="preserve">项目名称：                                         </w:t>
            </w:r>
            <w:r>
              <w:rPr>
                <w:rFonts w:hint="eastAsia" w:ascii="宋体" w:hAnsi="宋体" w:eastAsia="宋体" w:cs="宋体"/>
                <w:b/>
                <w:color w:val="auto"/>
                <w:sz w:val="24"/>
                <w:szCs w:val="24"/>
                <w:highlight w:val="none"/>
              </w:rPr>
              <w:t>项目编号：</w:t>
            </w:r>
          </w:p>
        </w:tc>
      </w:tr>
      <w:tr w14:paraId="4FCB0C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trPr>
        <w:tc>
          <w:tcPr>
            <w:tcW w:w="920" w:type="dxa"/>
            <w:vAlign w:val="center"/>
          </w:tcPr>
          <w:p w14:paraId="6B16868B">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序号</w:t>
            </w:r>
          </w:p>
        </w:tc>
        <w:tc>
          <w:tcPr>
            <w:tcW w:w="2352" w:type="dxa"/>
            <w:vAlign w:val="center"/>
          </w:tcPr>
          <w:p w14:paraId="2F97603F">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招标文件要求</w:t>
            </w:r>
          </w:p>
        </w:tc>
        <w:tc>
          <w:tcPr>
            <w:tcW w:w="2379" w:type="dxa"/>
            <w:vAlign w:val="center"/>
          </w:tcPr>
          <w:p w14:paraId="59BEE8A3">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b/>
                <w:color w:val="auto"/>
                <w:sz w:val="24"/>
                <w:szCs w:val="24"/>
                <w:highlight w:val="none"/>
              </w:rPr>
            </w:pPr>
            <w:r>
              <w:rPr>
                <w:rFonts w:hint="eastAsia" w:ascii="宋体" w:hAnsi="宋体" w:eastAsia="宋体" w:cs="宋体"/>
                <w:b/>
                <w:bCs/>
                <w:color w:val="auto"/>
                <w:sz w:val="24"/>
                <w:szCs w:val="24"/>
                <w:highlight w:val="none"/>
              </w:rPr>
              <w:t>投标文件响应内容</w:t>
            </w:r>
          </w:p>
        </w:tc>
        <w:tc>
          <w:tcPr>
            <w:tcW w:w="1500" w:type="dxa"/>
            <w:vAlign w:val="center"/>
          </w:tcPr>
          <w:p w14:paraId="42B5B68A">
            <w:pPr>
              <w:keepNext w:val="0"/>
              <w:keepLines w:val="0"/>
              <w:pageBreakBefore w:val="0"/>
              <w:kinsoku/>
              <w:wordWrap/>
              <w:topLinePunct w:val="0"/>
              <w:autoSpaceDE/>
              <w:autoSpaceDN/>
              <w:bidi w:val="0"/>
              <w:snapToGrid/>
              <w:spacing w:line="288" w:lineRule="auto"/>
              <w:ind w:left="293" w:hanging="335" w:hangingChars="139"/>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偏离情况</w:t>
            </w:r>
          </w:p>
        </w:tc>
        <w:tc>
          <w:tcPr>
            <w:tcW w:w="2056" w:type="dxa"/>
            <w:vAlign w:val="center"/>
          </w:tcPr>
          <w:p w14:paraId="594BF081">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说明</w:t>
            </w:r>
          </w:p>
        </w:tc>
      </w:tr>
      <w:tr w14:paraId="464064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trPr>
        <w:tc>
          <w:tcPr>
            <w:tcW w:w="920" w:type="dxa"/>
            <w:vAlign w:val="center"/>
          </w:tcPr>
          <w:p w14:paraId="709124FA">
            <w:pPr>
              <w:spacing w:line="360" w:lineRule="auto"/>
              <w:rPr>
                <w:rFonts w:hint="eastAsia" w:ascii="等线" w:hAnsi="等线" w:eastAsia="等线" w:cs="等线"/>
                <w:b/>
                <w:bCs/>
              </w:rPr>
            </w:pPr>
            <w:r>
              <w:rPr>
                <w:rFonts w:hint="eastAsia" w:ascii="等线" w:hAnsi="等线" w:eastAsia="等线" w:cs="等线"/>
                <w:b/>
                <w:bCs/>
              </w:rPr>
              <w:t>1.仪器用途</w:t>
            </w:r>
          </w:p>
          <w:p w14:paraId="0F9C46E7">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lang w:val="en-US" w:eastAsia="zh-CN"/>
              </w:rPr>
            </w:pPr>
          </w:p>
        </w:tc>
        <w:tc>
          <w:tcPr>
            <w:tcW w:w="2352" w:type="dxa"/>
            <w:vAlign w:val="center"/>
          </w:tcPr>
          <w:p w14:paraId="0BA7090A">
            <w:pPr>
              <w:spacing w:line="360" w:lineRule="auto"/>
              <w:ind w:firstLine="400" w:firstLineChars="200"/>
              <w:rPr>
                <w:rFonts w:hint="eastAsia" w:ascii="宋体" w:hAnsi="宋体" w:eastAsia="宋体" w:cs="宋体"/>
                <w:color w:val="auto"/>
                <w:sz w:val="24"/>
                <w:szCs w:val="24"/>
                <w:highlight w:val="none"/>
              </w:rPr>
            </w:pPr>
            <w:r>
              <w:rPr>
                <w:rFonts w:hint="eastAsia" w:ascii="等线" w:hAnsi="等线" w:eastAsia="等线" w:cs="等线"/>
              </w:rPr>
              <w:t>用于人体内药物及药物相关代谢物的定量测定、有机残留物的定量测定、其他内源性小分子有机化合物的医学研究及日常分析工作。</w:t>
            </w:r>
          </w:p>
        </w:tc>
        <w:tc>
          <w:tcPr>
            <w:tcW w:w="2379" w:type="dxa"/>
            <w:vAlign w:val="center"/>
          </w:tcPr>
          <w:p w14:paraId="216575F5">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500" w:type="dxa"/>
            <w:vAlign w:val="center"/>
          </w:tcPr>
          <w:p w14:paraId="2DCB73FF">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056" w:type="dxa"/>
            <w:vAlign w:val="center"/>
          </w:tcPr>
          <w:p w14:paraId="08D17BAB">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r>
      <w:tr w14:paraId="0BC702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920" w:type="dxa"/>
            <w:vMerge w:val="restart"/>
            <w:vAlign w:val="center"/>
          </w:tcPr>
          <w:p w14:paraId="511B6079">
            <w:pPr>
              <w:spacing w:line="360" w:lineRule="auto"/>
              <w:rPr>
                <w:rFonts w:hint="eastAsia" w:ascii="等线" w:hAnsi="等线" w:eastAsia="等线" w:cs="等线"/>
                <w:b/>
                <w:bCs/>
              </w:rPr>
            </w:pPr>
            <w:r>
              <w:rPr>
                <w:rFonts w:hint="eastAsia" w:ascii="等线" w:hAnsi="等线" w:eastAsia="等线" w:cs="等线"/>
                <w:b/>
                <w:bCs/>
              </w:rPr>
              <w:t>2.1血药浓度测定种类</w:t>
            </w:r>
          </w:p>
          <w:p w14:paraId="17AEDE74">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lang w:val="en-US" w:eastAsia="zh-CN"/>
              </w:rPr>
            </w:pPr>
          </w:p>
        </w:tc>
        <w:tc>
          <w:tcPr>
            <w:tcW w:w="2352" w:type="dxa"/>
            <w:vAlign w:val="center"/>
          </w:tcPr>
          <w:p w14:paraId="751ABB04">
            <w:pPr>
              <w:spacing w:line="360" w:lineRule="auto"/>
              <w:rPr>
                <w:rFonts w:hint="eastAsia" w:ascii="宋体" w:hAnsi="宋体" w:eastAsia="宋体" w:cs="宋体"/>
                <w:color w:val="auto"/>
                <w:sz w:val="24"/>
                <w:szCs w:val="24"/>
                <w:highlight w:val="none"/>
              </w:rPr>
            </w:pPr>
            <w:r>
              <w:rPr>
                <w:rFonts w:hint="eastAsia" w:ascii="等线" w:hAnsi="等线" w:eastAsia="等线" w:cs="等线"/>
              </w:rPr>
              <w:t>▲2.1.1 可测定</w:t>
            </w:r>
            <w:r>
              <w:rPr>
                <w:rFonts w:hint="eastAsia" w:ascii="等线" w:hAnsi="等线" w:eastAsia="等线" w:cs="等线"/>
                <w:b/>
                <w:bCs/>
                <w:color w:val="0000FF"/>
              </w:rPr>
              <w:t>精神类</w:t>
            </w:r>
            <w:r>
              <w:rPr>
                <w:rFonts w:hint="eastAsia" w:ascii="等线" w:hAnsi="等线" w:eastAsia="等线" w:cs="等线"/>
              </w:rPr>
              <w:t>药物——丙戊酸、卡马西平、苯妥英钠、奥卡西平，奥氮平、氯氮平/去甲氯氮平、喹硫平/去乙基喹硫平、利培酮/帕利哌酮、氯丙嗪、米氮平、西酞普兰/去甲西酞普兰、帕罗西汀、度洛西汀、舍曲林、齐拉西酮、氟伏沙明、多虑平/去甲多虑平、氯丙咪嗪、鲁拉西酮、布南色林、阿戈美他汀等。</w:t>
            </w:r>
          </w:p>
        </w:tc>
        <w:tc>
          <w:tcPr>
            <w:tcW w:w="2379" w:type="dxa"/>
            <w:vAlign w:val="center"/>
          </w:tcPr>
          <w:p w14:paraId="49B92629">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500" w:type="dxa"/>
            <w:vAlign w:val="center"/>
          </w:tcPr>
          <w:p w14:paraId="79133ED6">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056" w:type="dxa"/>
            <w:vAlign w:val="center"/>
          </w:tcPr>
          <w:p w14:paraId="3FE6C6B2">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r>
      <w:tr w14:paraId="560E54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rPr>
        <w:tc>
          <w:tcPr>
            <w:tcW w:w="920" w:type="dxa"/>
            <w:vMerge w:val="continue"/>
            <w:vAlign w:val="center"/>
          </w:tcPr>
          <w:p w14:paraId="4EDFD48E">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352" w:type="dxa"/>
            <w:vAlign w:val="center"/>
          </w:tcPr>
          <w:p w14:paraId="6BCEB9D5">
            <w:pPr>
              <w:spacing w:line="360" w:lineRule="auto"/>
              <w:rPr>
                <w:rFonts w:hint="eastAsia" w:ascii="宋体" w:hAnsi="宋体" w:eastAsia="宋体" w:cs="宋体"/>
                <w:color w:val="auto"/>
                <w:sz w:val="24"/>
                <w:szCs w:val="24"/>
                <w:highlight w:val="none"/>
              </w:rPr>
            </w:pPr>
            <w:r>
              <w:rPr>
                <w:rFonts w:hint="eastAsia" w:ascii="等线" w:hAnsi="等线" w:eastAsia="等线" w:cs="等线"/>
              </w:rPr>
              <w:t>2.1.2可测定</w:t>
            </w:r>
            <w:r>
              <w:rPr>
                <w:rFonts w:hint="eastAsia" w:ascii="等线" w:hAnsi="等线" w:eastAsia="等线" w:cs="等线"/>
                <w:b/>
                <w:bCs/>
                <w:color w:val="0000FF"/>
              </w:rPr>
              <w:t>抗生素类</w:t>
            </w:r>
            <w:r>
              <w:rPr>
                <w:rFonts w:hint="eastAsia" w:ascii="等线" w:hAnsi="等线" w:eastAsia="等线" w:cs="等线"/>
              </w:rPr>
              <w:t>药物——美罗培南、替加环素、万古霉素、伏立康唑、氧氟沙星、利奈唑胺、达托霉素、氟康唑等。</w:t>
            </w:r>
          </w:p>
        </w:tc>
        <w:tc>
          <w:tcPr>
            <w:tcW w:w="2379" w:type="dxa"/>
            <w:vAlign w:val="center"/>
          </w:tcPr>
          <w:p w14:paraId="4C44A4AF">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500" w:type="dxa"/>
            <w:vAlign w:val="center"/>
          </w:tcPr>
          <w:p w14:paraId="00217D58">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056" w:type="dxa"/>
            <w:vAlign w:val="center"/>
          </w:tcPr>
          <w:p w14:paraId="2F3A142B">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r>
      <w:tr w14:paraId="5CCC5F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920" w:type="dxa"/>
            <w:vMerge w:val="continue"/>
            <w:vAlign w:val="center"/>
          </w:tcPr>
          <w:p w14:paraId="23E090F3">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352" w:type="dxa"/>
            <w:vAlign w:val="center"/>
          </w:tcPr>
          <w:p w14:paraId="469FC7A6">
            <w:pPr>
              <w:spacing w:line="360" w:lineRule="auto"/>
              <w:rPr>
                <w:rFonts w:hint="eastAsia" w:ascii="宋体" w:hAnsi="宋体" w:eastAsia="宋体" w:cs="宋体"/>
                <w:color w:val="auto"/>
                <w:sz w:val="24"/>
                <w:szCs w:val="24"/>
                <w:highlight w:val="none"/>
              </w:rPr>
            </w:pPr>
            <w:r>
              <w:rPr>
                <w:rFonts w:hint="eastAsia" w:ascii="等线" w:hAnsi="等线" w:eastAsia="等线" w:cs="等线"/>
              </w:rPr>
              <w:t>▲2.1.3可测定</w:t>
            </w:r>
            <w:r>
              <w:rPr>
                <w:rFonts w:hint="eastAsia" w:ascii="等线" w:hAnsi="等线" w:eastAsia="等线" w:cs="等线"/>
                <w:b/>
                <w:bCs/>
                <w:color w:val="0000FF"/>
              </w:rPr>
              <w:t>其它药物浓度</w:t>
            </w:r>
            <w:r>
              <w:rPr>
                <w:rFonts w:hint="eastAsia" w:ascii="等线" w:hAnsi="等线" w:eastAsia="等线" w:cs="等线"/>
              </w:rPr>
              <w:t>： 免疫抑制剂如环孢霉素与霉酚酸、抗肿瘤药物如伊马替尼与甲氨蝶呤、抗结核药物如异烟肼与利福平等。</w:t>
            </w:r>
          </w:p>
        </w:tc>
        <w:tc>
          <w:tcPr>
            <w:tcW w:w="2379" w:type="dxa"/>
            <w:vAlign w:val="center"/>
          </w:tcPr>
          <w:p w14:paraId="6709589B">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500" w:type="dxa"/>
            <w:vAlign w:val="center"/>
          </w:tcPr>
          <w:p w14:paraId="1E6850CF">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056" w:type="dxa"/>
            <w:vAlign w:val="center"/>
          </w:tcPr>
          <w:p w14:paraId="7D7D897C">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r>
      <w:tr w14:paraId="56D4FA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920" w:type="dxa"/>
            <w:vMerge w:val="continue"/>
            <w:vAlign w:val="center"/>
          </w:tcPr>
          <w:p w14:paraId="3605582E">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352" w:type="dxa"/>
            <w:vAlign w:val="center"/>
          </w:tcPr>
          <w:p w14:paraId="486C4F15">
            <w:pPr>
              <w:spacing w:line="360" w:lineRule="auto"/>
              <w:rPr>
                <w:rFonts w:hint="eastAsia" w:ascii="宋体" w:hAnsi="宋体" w:eastAsia="宋体" w:cs="宋体"/>
                <w:color w:val="auto"/>
                <w:sz w:val="24"/>
                <w:szCs w:val="24"/>
                <w:highlight w:val="none"/>
              </w:rPr>
            </w:pPr>
            <w:r>
              <w:rPr>
                <w:rFonts w:hint="eastAsia" w:ascii="等线" w:hAnsi="等线" w:eastAsia="等线" w:cs="等线"/>
              </w:rPr>
              <w:t>▲2.1.4提供前述精神类、抗生素类至少各</w:t>
            </w:r>
            <w:r>
              <w:rPr>
                <w:rFonts w:hint="eastAsia" w:ascii="等线" w:hAnsi="等线" w:eastAsia="等线" w:cs="等线"/>
                <w:b/>
                <w:bCs/>
                <w:color w:val="0000FF"/>
              </w:rPr>
              <w:t>3种</w:t>
            </w:r>
            <w:r>
              <w:rPr>
                <w:rFonts w:hint="eastAsia" w:ascii="等线" w:hAnsi="等线" w:eastAsia="等线" w:cs="等线"/>
              </w:rPr>
              <w:t>药物的方法验证文件。验证文件指标至少应包括：日内日间精密度、最低检测限、空白血样(人血样)、线性、色谱条件、血样质谱图。要求提取回收率≥80%、工作曲线≥5个点、相关系数≥0.998，并作为装机验收标准(提供加盖技术研究方公章材料)；</w:t>
            </w:r>
          </w:p>
        </w:tc>
        <w:tc>
          <w:tcPr>
            <w:tcW w:w="2379" w:type="dxa"/>
            <w:vAlign w:val="center"/>
          </w:tcPr>
          <w:p w14:paraId="3BFECBB8">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500" w:type="dxa"/>
            <w:vAlign w:val="center"/>
          </w:tcPr>
          <w:p w14:paraId="1BB55F6B">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056" w:type="dxa"/>
            <w:vAlign w:val="center"/>
          </w:tcPr>
          <w:p w14:paraId="465CC42D">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r>
      <w:tr w14:paraId="4E9B67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920" w:type="dxa"/>
            <w:vMerge w:val="restart"/>
            <w:vAlign w:val="center"/>
          </w:tcPr>
          <w:p w14:paraId="668B3FDE">
            <w:pPr>
              <w:spacing w:line="360" w:lineRule="auto"/>
              <w:rPr>
                <w:rFonts w:hint="eastAsia" w:ascii="等线" w:hAnsi="等线" w:eastAsia="等线" w:cs="等线"/>
                <w:b/>
                <w:bCs/>
              </w:rPr>
            </w:pPr>
            <w:r>
              <w:rPr>
                <w:rFonts w:hint="eastAsia" w:ascii="等线" w:hAnsi="等线" w:eastAsia="等线" w:cs="等线"/>
                <w:b/>
                <w:bCs/>
              </w:rPr>
              <w:t>2.2测定速度</w:t>
            </w:r>
          </w:p>
          <w:p w14:paraId="778300EB">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352" w:type="dxa"/>
            <w:vAlign w:val="center"/>
          </w:tcPr>
          <w:p w14:paraId="47EA68F0">
            <w:pPr>
              <w:spacing w:line="360" w:lineRule="auto"/>
              <w:rPr>
                <w:rFonts w:hint="eastAsia" w:ascii="宋体" w:hAnsi="宋体" w:eastAsia="宋体" w:cs="宋体"/>
                <w:color w:val="FF0000"/>
                <w:sz w:val="24"/>
                <w:szCs w:val="24"/>
                <w:highlight w:val="yellow"/>
              </w:rPr>
            </w:pPr>
            <w:r>
              <w:rPr>
                <w:rFonts w:hint="eastAsia" w:ascii="等线" w:hAnsi="等线" w:eastAsia="等线" w:cs="等线"/>
              </w:rPr>
              <w:t>2.2.1 代表性药物：奥氮平、氯氮平、利培酮、美罗培南、伏立康唑等药物测定速度≤3min，8h连续测定通量≥160例次；</w:t>
            </w:r>
          </w:p>
        </w:tc>
        <w:tc>
          <w:tcPr>
            <w:tcW w:w="2379" w:type="dxa"/>
            <w:vAlign w:val="center"/>
          </w:tcPr>
          <w:p w14:paraId="4FE7FBB5">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500" w:type="dxa"/>
            <w:vAlign w:val="center"/>
          </w:tcPr>
          <w:p w14:paraId="2A7AF8F8">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056" w:type="dxa"/>
            <w:vAlign w:val="center"/>
          </w:tcPr>
          <w:p w14:paraId="65EB1F57">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r>
      <w:tr w14:paraId="787EBA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920" w:type="dxa"/>
            <w:vMerge w:val="continue"/>
            <w:vAlign w:val="center"/>
          </w:tcPr>
          <w:p w14:paraId="7D5F92E4">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352" w:type="dxa"/>
            <w:vAlign w:val="center"/>
          </w:tcPr>
          <w:p w14:paraId="60442B81">
            <w:pPr>
              <w:spacing w:line="360" w:lineRule="auto"/>
              <w:rPr>
                <w:rFonts w:hint="eastAsia" w:ascii="宋体" w:hAnsi="宋体" w:eastAsia="宋体" w:cs="宋体"/>
                <w:color w:val="FF0000"/>
                <w:sz w:val="24"/>
                <w:szCs w:val="24"/>
                <w:highlight w:val="yellow"/>
              </w:rPr>
            </w:pPr>
            <w:r>
              <w:rPr>
                <w:rFonts w:hint="eastAsia" w:ascii="等线" w:hAnsi="等线" w:eastAsia="等线" w:cs="等线"/>
              </w:rPr>
              <w:t>2.2.2代表性药物：奥氮平、氯氮平、利培酮、美罗培南、伏立康唑等药物品种间方法切换时间≤10min；</w:t>
            </w:r>
          </w:p>
        </w:tc>
        <w:tc>
          <w:tcPr>
            <w:tcW w:w="2379" w:type="dxa"/>
            <w:vAlign w:val="center"/>
          </w:tcPr>
          <w:p w14:paraId="23FA36CA">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500" w:type="dxa"/>
            <w:vAlign w:val="center"/>
          </w:tcPr>
          <w:p w14:paraId="69D698E4">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056" w:type="dxa"/>
            <w:vAlign w:val="center"/>
          </w:tcPr>
          <w:p w14:paraId="1F252388">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r>
      <w:tr w14:paraId="5A9EBF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920" w:type="dxa"/>
            <w:vMerge w:val="continue"/>
            <w:vAlign w:val="center"/>
          </w:tcPr>
          <w:p w14:paraId="4F49DF40">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352" w:type="dxa"/>
            <w:vAlign w:val="center"/>
          </w:tcPr>
          <w:p w14:paraId="1B97A0CD">
            <w:pPr>
              <w:spacing w:line="360" w:lineRule="auto"/>
              <w:rPr>
                <w:rFonts w:hint="eastAsia" w:ascii="宋体" w:hAnsi="宋体" w:eastAsia="宋体" w:cs="宋体"/>
                <w:color w:val="FF0000"/>
                <w:sz w:val="24"/>
                <w:szCs w:val="24"/>
                <w:highlight w:val="yellow"/>
              </w:rPr>
            </w:pPr>
            <w:r>
              <w:rPr>
                <w:rFonts w:hint="eastAsia" w:ascii="等线" w:hAnsi="等线" w:eastAsia="等线" w:cs="等线"/>
              </w:rPr>
              <w:t>2.2.3代表性药物：奥氮平、氯氮平、利培酮、美罗培南、伏立康唑等药物品种间方法切换后，首次测定偏差≤20%；</w:t>
            </w:r>
          </w:p>
        </w:tc>
        <w:tc>
          <w:tcPr>
            <w:tcW w:w="2379" w:type="dxa"/>
            <w:vAlign w:val="center"/>
          </w:tcPr>
          <w:p w14:paraId="5908F59B">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500" w:type="dxa"/>
            <w:vAlign w:val="center"/>
          </w:tcPr>
          <w:p w14:paraId="1808D97C">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056" w:type="dxa"/>
            <w:vAlign w:val="center"/>
          </w:tcPr>
          <w:p w14:paraId="7FD864DA">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r>
      <w:tr w14:paraId="6BB6FE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920" w:type="dxa"/>
            <w:vMerge w:val="restart"/>
            <w:vAlign w:val="center"/>
          </w:tcPr>
          <w:p w14:paraId="032274C5">
            <w:pPr>
              <w:spacing w:line="360" w:lineRule="auto"/>
              <w:rPr>
                <w:rFonts w:hint="eastAsia" w:ascii="等线" w:hAnsi="等线" w:eastAsia="等线" w:cs="等线"/>
                <w:b/>
                <w:bCs/>
              </w:rPr>
            </w:pPr>
            <w:r>
              <w:rPr>
                <w:rFonts w:hint="eastAsia" w:ascii="等线" w:hAnsi="等线" w:eastAsia="等线" w:cs="等线"/>
                <w:b/>
                <w:bCs/>
              </w:rPr>
              <w:t>2.3测定稳定性</w:t>
            </w:r>
          </w:p>
          <w:p w14:paraId="017D8909">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352" w:type="dxa"/>
            <w:vAlign w:val="center"/>
          </w:tcPr>
          <w:p w14:paraId="64FB9F48">
            <w:pPr>
              <w:spacing w:line="360" w:lineRule="auto"/>
              <w:rPr>
                <w:rFonts w:hint="eastAsia" w:ascii="宋体" w:hAnsi="宋体" w:eastAsia="宋体" w:cs="宋体"/>
                <w:color w:val="FF0000"/>
                <w:sz w:val="24"/>
                <w:szCs w:val="24"/>
                <w:highlight w:val="yellow"/>
              </w:rPr>
            </w:pPr>
            <w:r>
              <w:rPr>
                <w:rFonts w:hint="eastAsia" w:ascii="等线" w:hAnsi="等线" w:eastAsia="等线" w:cs="等线"/>
              </w:rPr>
              <w:t>▲2.3.1以精神类药物奥氮平为例，一次工作曲线定标后，采用同一样品测定，连续15天，不得取舍测定数据，每天测定2次，测定偏差均＜15%；</w:t>
            </w:r>
          </w:p>
        </w:tc>
        <w:tc>
          <w:tcPr>
            <w:tcW w:w="2379" w:type="dxa"/>
            <w:vAlign w:val="center"/>
          </w:tcPr>
          <w:p w14:paraId="543B7E2B">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500" w:type="dxa"/>
            <w:vAlign w:val="center"/>
          </w:tcPr>
          <w:p w14:paraId="71624E1F">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056" w:type="dxa"/>
            <w:vAlign w:val="center"/>
          </w:tcPr>
          <w:p w14:paraId="437FA83E">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r>
      <w:tr w14:paraId="0E2482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920" w:type="dxa"/>
            <w:vMerge w:val="continue"/>
            <w:vAlign w:val="center"/>
          </w:tcPr>
          <w:p w14:paraId="222FCB33">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352" w:type="dxa"/>
            <w:vAlign w:val="center"/>
          </w:tcPr>
          <w:p w14:paraId="3577F816">
            <w:pPr>
              <w:spacing w:line="360" w:lineRule="auto"/>
              <w:rPr>
                <w:rFonts w:hint="eastAsia" w:ascii="宋体" w:hAnsi="宋体" w:eastAsia="宋体" w:cs="宋体"/>
                <w:color w:val="FF0000"/>
                <w:sz w:val="24"/>
                <w:szCs w:val="24"/>
                <w:highlight w:val="yellow"/>
              </w:rPr>
            </w:pPr>
            <w:r>
              <w:rPr>
                <w:rFonts w:hint="eastAsia" w:ascii="等线" w:hAnsi="等线" w:eastAsia="等线" w:cs="等线"/>
              </w:rPr>
              <w:t>▲2.3.2系统关机，30min以后重启，首次测定靶值偏差≤15%；</w:t>
            </w:r>
          </w:p>
        </w:tc>
        <w:tc>
          <w:tcPr>
            <w:tcW w:w="2379" w:type="dxa"/>
            <w:vAlign w:val="center"/>
          </w:tcPr>
          <w:p w14:paraId="50C426E2">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500" w:type="dxa"/>
            <w:vAlign w:val="center"/>
          </w:tcPr>
          <w:p w14:paraId="3CB827A8">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056" w:type="dxa"/>
            <w:vAlign w:val="center"/>
          </w:tcPr>
          <w:p w14:paraId="49E97956">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r>
      <w:tr w14:paraId="0DEFF3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920" w:type="dxa"/>
            <w:vMerge w:val="restart"/>
            <w:vAlign w:val="center"/>
          </w:tcPr>
          <w:p w14:paraId="20267B34">
            <w:pPr>
              <w:spacing w:line="360" w:lineRule="auto"/>
              <w:rPr>
                <w:rFonts w:hint="eastAsia" w:ascii="等线" w:hAnsi="等线" w:eastAsia="等线" w:cs="等线"/>
                <w:b/>
                <w:bCs/>
              </w:rPr>
            </w:pPr>
            <w:r>
              <w:rPr>
                <w:rFonts w:hint="eastAsia" w:ascii="等线" w:hAnsi="等线" w:eastAsia="等线" w:cs="等线"/>
                <w:b/>
                <w:bCs/>
              </w:rPr>
              <w:t>2.4测定简易性</w:t>
            </w:r>
          </w:p>
          <w:p w14:paraId="5166379D">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352" w:type="dxa"/>
            <w:vAlign w:val="center"/>
          </w:tcPr>
          <w:p w14:paraId="2A7CF602">
            <w:pPr>
              <w:spacing w:line="360" w:lineRule="auto"/>
              <w:rPr>
                <w:rFonts w:hint="eastAsia" w:ascii="宋体" w:hAnsi="宋体" w:eastAsia="宋体" w:cs="宋体"/>
                <w:color w:val="FF0000"/>
                <w:sz w:val="24"/>
                <w:szCs w:val="24"/>
                <w:highlight w:val="yellow"/>
              </w:rPr>
            </w:pPr>
            <w:r>
              <w:rPr>
                <w:rFonts w:hint="eastAsia" w:ascii="等线" w:hAnsi="等线" w:eastAsia="等线" w:cs="等线"/>
              </w:rPr>
              <w:t>2.4.1 以上前述所有药物前处理均不需采用液液萃取或者固相萃取方式；</w:t>
            </w:r>
          </w:p>
        </w:tc>
        <w:tc>
          <w:tcPr>
            <w:tcW w:w="2379" w:type="dxa"/>
            <w:vAlign w:val="center"/>
          </w:tcPr>
          <w:p w14:paraId="6D4E55F8">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500" w:type="dxa"/>
            <w:vAlign w:val="center"/>
          </w:tcPr>
          <w:p w14:paraId="794B3A50">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056" w:type="dxa"/>
            <w:vAlign w:val="center"/>
          </w:tcPr>
          <w:p w14:paraId="61549F5D">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r>
      <w:tr w14:paraId="781799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920" w:type="dxa"/>
            <w:vMerge w:val="continue"/>
            <w:vAlign w:val="center"/>
          </w:tcPr>
          <w:p w14:paraId="788051E9">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352" w:type="dxa"/>
            <w:vAlign w:val="center"/>
          </w:tcPr>
          <w:p w14:paraId="3F4CC0CA">
            <w:pPr>
              <w:spacing w:line="360" w:lineRule="auto"/>
              <w:rPr>
                <w:rFonts w:hint="eastAsia" w:ascii="宋体" w:hAnsi="宋体" w:eastAsia="宋体" w:cs="宋体"/>
                <w:color w:val="FF0000"/>
                <w:sz w:val="24"/>
                <w:szCs w:val="24"/>
                <w:highlight w:val="yellow"/>
              </w:rPr>
            </w:pPr>
            <w:r>
              <w:rPr>
                <w:rFonts w:hint="eastAsia" w:ascii="等线" w:hAnsi="等线" w:eastAsia="等线" w:cs="等线"/>
              </w:rPr>
              <w:t>▲2.4.2 药物浓度测定方法要求可以免同位素内标测定，测定日内不精密度＜20%、日间不精密度＜20%。</w:t>
            </w:r>
          </w:p>
        </w:tc>
        <w:tc>
          <w:tcPr>
            <w:tcW w:w="2379" w:type="dxa"/>
            <w:vAlign w:val="center"/>
          </w:tcPr>
          <w:p w14:paraId="7FEEA45A">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500" w:type="dxa"/>
            <w:vAlign w:val="center"/>
          </w:tcPr>
          <w:p w14:paraId="5B23F60C">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056" w:type="dxa"/>
            <w:vAlign w:val="center"/>
          </w:tcPr>
          <w:p w14:paraId="389EE7F6">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r>
      <w:tr w14:paraId="353366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920" w:type="dxa"/>
            <w:vMerge w:val="restart"/>
            <w:vAlign w:val="center"/>
          </w:tcPr>
          <w:p w14:paraId="33C7D476">
            <w:pPr>
              <w:spacing w:line="360" w:lineRule="auto"/>
              <w:rPr>
                <w:rFonts w:ascii="等线" w:hAnsi="等线" w:eastAsia="等线" w:cs="等线"/>
                <w:b/>
                <w:bCs/>
              </w:rPr>
            </w:pPr>
            <w:r>
              <w:rPr>
                <w:rFonts w:hint="eastAsia" w:ascii="等线" w:hAnsi="等线" w:eastAsia="等线" w:cs="等线"/>
                <w:b/>
                <w:bCs/>
              </w:rPr>
              <w:t>2.5 测定规范性</w:t>
            </w:r>
          </w:p>
          <w:p w14:paraId="12FCC65E">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352" w:type="dxa"/>
            <w:vAlign w:val="center"/>
          </w:tcPr>
          <w:p w14:paraId="71FCA9D9">
            <w:pPr>
              <w:spacing w:line="360" w:lineRule="auto"/>
              <w:rPr>
                <w:rFonts w:hint="eastAsia" w:ascii="宋体" w:hAnsi="宋体" w:eastAsia="宋体" w:cs="宋体"/>
                <w:color w:val="FF0000"/>
                <w:sz w:val="24"/>
                <w:szCs w:val="24"/>
                <w:highlight w:val="yellow"/>
              </w:rPr>
            </w:pPr>
            <w:r>
              <w:rPr>
                <w:rFonts w:hint="eastAsia" w:ascii="等线" w:hAnsi="等线" w:eastAsia="等线" w:cs="等线"/>
              </w:rPr>
              <w:t>▲2.5.1要求提供具备II类医疗器械注册资质的医械级色谱柱，并提供相关证明材料；</w:t>
            </w:r>
          </w:p>
        </w:tc>
        <w:tc>
          <w:tcPr>
            <w:tcW w:w="2379" w:type="dxa"/>
            <w:vAlign w:val="center"/>
          </w:tcPr>
          <w:p w14:paraId="2354CE07">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500" w:type="dxa"/>
            <w:vAlign w:val="center"/>
          </w:tcPr>
          <w:p w14:paraId="632F0562">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056" w:type="dxa"/>
            <w:vAlign w:val="center"/>
          </w:tcPr>
          <w:p w14:paraId="61D8F21D">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r>
      <w:tr w14:paraId="77E1EB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920" w:type="dxa"/>
            <w:vMerge w:val="continue"/>
            <w:vAlign w:val="center"/>
          </w:tcPr>
          <w:p w14:paraId="53A79DC5">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352" w:type="dxa"/>
            <w:vAlign w:val="center"/>
          </w:tcPr>
          <w:p w14:paraId="75E5B7C0">
            <w:pPr>
              <w:spacing w:line="360" w:lineRule="auto"/>
              <w:rPr>
                <w:rFonts w:hint="eastAsia" w:ascii="宋体" w:hAnsi="宋体" w:eastAsia="宋体" w:cs="宋体"/>
                <w:color w:val="FF0000"/>
                <w:sz w:val="24"/>
                <w:szCs w:val="24"/>
                <w:highlight w:val="yellow"/>
              </w:rPr>
            </w:pPr>
            <w:r>
              <w:rPr>
                <w:rFonts w:hint="eastAsia" w:ascii="等线" w:hAnsi="等线" w:eastAsia="等线" w:cs="等线"/>
              </w:rPr>
              <w:t>2.5.2要求所提供的配套试剂包装容器为高分子软塑包装，易于日常存取管理；</w:t>
            </w:r>
          </w:p>
        </w:tc>
        <w:tc>
          <w:tcPr>
            <w:tcW w:w="2379" w:type="dxa"/>
            <w:vAlign w:val="center"/>
          </w:tcPr>
          <w:p w14:paraId="3CE1C02B">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500" w:type="dxa"/>
            <w:vAlign w:val="center"/>
          </w:tcPr>
          <w:p w14:paraId="17908CDA">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056" w:type="dxa"/>
            <w:vAlign w:val="center"/>
          </w:tcPr>
          <w:p w14:paraId="02687108">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r>
      <w:tr w14:paraId="560EC3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920" w:type="dxa"/>
            <w:vMerge w:val="continue"/>
            <w:vAlign w:val="center"/>
          </w:tcPr>
          <w:p w14:paraId="2B2B6ADB">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352" w:type="dxa"/>
            <w:vAlign w:val="center"/>
          </w:tcPr>
          <w:p w14:paraId="763C5AA7">
            <w:pPr>
              <w:spacing w:line="360" w:lineRule="auto"/>
              <w:rPr>
                <w:rFonts w:hint="eastAsia" w:ascii="宋体" w:hAnsi="宋体" w:eastAsia="宋体" w:cs="宋体"/>
                <w:color w:val="FF0000"/>
                <w:sz w:val="24"/>
                <w:szCs w:val="24"/>
                <w:highlight w:val="yellow"/>
              </w:rPr>
            </w:pPr>
            <w:r>
              <w:rPr>
                <w:rFonts w:hint="eastAsia" w:ascii="等线" w:hAnsi="等线" w:eastAsia="等线" w:cs="等线"/>
              </w:rPr>
              <w:t>2.5.3要求提供商品化配套试剂，即开即用，在使用时无需另行手工稀释、配置；</w:t>
            </w:r>
          </w:p>
        </w:tc>
        <w:tc>
          <w:tcPr>
            <w:tcW w:w="2379" w:type="dxa"/>
            <w:vAlign w:val="center"/>
          </w:tcPr>
          <w:p w14:paraId="299D706A">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500" w:type="dxa"/>
            <w:vAlign w:val="center"/>
          </w:tcPr>
          <w:p w14:paraId="0CD0ECE5">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056" w:type="dxa"/>
            <w:vAlign w:val="center"/>
          </w:tcPr>
          <w:p w14:paraId="0CE51EB3">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r>
      <w:tr w14:paraId="7E22EC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920" w:type="dxa"/>
            <w:vMerge w:val="restart"/>
            <w:vAlign w:val="center"/>
          </w:tcPr>
          <w:p w14:paraId="7CF911FC">
            <w:pPr>
              <w:spacing w:line="360" w:lineRule="auto"/>
              <w:rPr>
                <w:rFonts w:hint="eastAsia" w:ascii="等线" w:hAnsi="等线" w:eastAsia="等线" w:cs="等线"/>
                <w:b/>
                <w:bCs/>
              </w:rPr>
            </w:pPr>
            <w:r>
              <w:rPr>
                <w:rFonts w:hint="eastAsia" w:ascii="等线" w:hAnsi="等线" w:eastAsia="等线" w:cs="等线"/>
                <w:b/>
                <w:bCs/>
              </w:rPr>
              <w:t>3.1泵系统</w:t>
            </w:r>
          </w:p>
          <w:p w14:paraId="44876726">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352" w:type="dxa"/>
            <w:vAlign w:val="center"/>
          </w:tcPr>
          <w:p w14:paraId="0C59EFF2">
            <w:pPr>
              <w:spacing w:line="360" w:lineRule="auto"/>
              <w:rPr>
                <w:rFonts w:hint="eastAsia" w:ascii="宋体" w:hAnsi="宋体" w:eastAsia="宋体" w:cs="宋体"/>
                <w:color w:val="FF0000"/>
                <w:sz w:val="24"/>
                <w:szCs w:val="24"/>
                <w:highlight w:val="yellow"/>
              </w:rPr>
            </w:pPr>
            <w:r>
              <w:rPr>
                <w:rFonts w:hint="eastAsia" w:ascii="等线" w:hAnsi="等线" w:eastAsia="等线" w:cs="等线"/>
              </w:rPr>
              <w:t>3.1.1溶剂流路数目：四元梯度；</w:t>
            </w:r>
          </w:p>
        </w:tc>
        <w:tc>
          <w:tcPr>
            <w:tcW w:w="2379" w:type="dxa"/>
            <w:vAlign w:val="center"/>
          </w:tcPr>
          <w:p w14:paraId="66D94DAE">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500" w:type="dxa"/>
            <w:vAlign w:val="center"/>
          </w:tcPr>
          <w:p w14:paraId="6E54DCFD">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056" w:type="dxa"/>
            <w:vAlign w:val="center"/>
          </w:tcPr>
          <w:p w14:paraId="3B4FA144">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r>
      <w:tr w14:paraId="585D41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920" w:type="dxa"/>
            <w:vMerge w:val="continue"/>
            <w:vAlign w:val="center"/>
          </w:tcPr>
          <w:p w14:paraId="714BBD0F">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352" w:type="dxa"/>
            <w:vAlign w:val="center"/>
          </w:tcPr>
          <w:p w14:paraId="368BF051">
            <w:pPr>
              <w:spacing w:line="360" w:lineRule="auto"/>
              <w:rPr>
                <w:rFonts w:hint="eastAsia" w:ascii="宋体" w:hAnsi="宋体" w:eastAsia="宋体" w:cs="宋体"/>
                <w:color w:val="FF0000"/>
                <w:sz w:val="24"/>
                <w:szCs w:val="24"/>
                <w:highlight w:val="yellow"/>
              </w:rPr>
            </w:pPr>
            <w:r>
              <w:rPr>
                <w:rFonts w:hint="eastAsia" w:ascii="等线" w:hAnsi="等线" w:eastAsia="等线" w:cs="等线"/>
              </w:rPr>
              <w:t>3.1.2流速范围：最大流速≥5ml/min；步进调节流速精密度≤0.06%；</w:t>
            </w:r>
          </w:p>
        </w:tc>
        <w:tc>
          <w:tcPr>
            <w:tcW w:w="2379" w:type="dxa"/>
            <w:vAlign w:val="center"/>
          </w:tcPr>
          <w:p w14:paraId="7765FDE4">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500" w:type="dxa"/>
            <w:vAlign w:val="center"/>
          </w:tcPr>
          <w:p w14:paraId="34AC5F2A">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056" w:type="dxa"/>
            <w:vAlign w:val="center"/>
          </w:tcPr>
          <w:p w14:paraId="352F8D24">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r>
      <w:tr w14:paraId="2F34C5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920" w:type="dxa"/>
            <w:vMerge w:val="continue"/>
            <w:vAlign w:val="center"/>
          </w:tcPr>
          <w:p w14:paraId="55B369E0">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352" w:type="dxa"/>
            <w:vAlign w:val="center"/>
          </w:tcPr>
          <w:p w14:paraId="0C5B11D0">
            <w:pPr>
              <w:spacing w:line="360" w:lineRule="auto"/>
              <w:rPr>
                <w:rFonts w:hint="eastAsia" w:ascii="宋体" w:hAnsi="宋体" w:eastAsia="宋体" w:cs="宋体"/>
                <w:color w:val="FF0000"/>
                <w:sz w:val="24"/>
                <w:szCs w:val="24"/>
                <w:highlight w:val="yellow"/>
              </w:rPr>
            </w:pPr>
            <w:r>
              <w:rPr>
                <w:rFonts w:hint="eastAsia" w:ascii="等线" w:hAnsi="等线" w:eastAsia="等线" w:cs="等线"/>
              </w:rPr>
              <w:t>3.1.3独立控制面板：可脱离工作站独立操作；</w:t>
            </w:r>
          </w:p>
        </w:tc>
        <w:tc>
          <w:tcPr>
            <w:tcW w:w="2379" w:type="dxa"/>
            <w:vAlign w:val="center"/>
          </w:tcPr>
          <w:p w14:paraId="3324E8C8">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500" w:type="dxa"/>
            <w:vAlign w:val="center"/>
          </w:tcPr>
          <w:p w14:paraId="069ACB09">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056" w:type="dxa"/>
            <w:vAlign w:val="center"/>
          </w:tcPr>
          <w:p w14:paraId="68F57F69">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r>
      <w:tr w14:paraId="596FE5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920" w:type="dxa"/>
            <w:vMerge w:val="continue"/>
            <w:vAlign w:val="center"/>
          </w:tcPr>
          <w:p w14:paraId="40D46C33">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352" w:type="dxa"/>
            <w:vAlign w:val="center"/>
          </w:tcPr>
          <w:p w14:paraId="02CD2DA2">
            <w:pPr>
              <w:spacing w:line="360" w:lineRule="auto"/>
              <w:rPr>
                <w:rFonts w:hint="eastAsia" w:ascii="宋体" w:hAnsi="宋体" w:eastAsia="宋体" w:cs="宋体"/>
                <w:color w:val="FF0000"/>
                <w:sz w:val="24"/>
                <w:szCs w:val="24"/>
                <w:highlight w:val="yellow"/>
              </w:rPr>
            </w:pPr>
            <w:r>
              <w:rPr>
                <w:rFonts w:hint="eastAsia" w:ascii="等线" w:hAnsi="等线" w:eastAsia="等线" w:cs="等线"/>
              </w:rPr>
              <w:t>3.1.4梯度组成范围：0.0-100.0%；0.1%步进；</w:t>
            </w:r>
          </w:p>
        </w:tc>
        <w:tc>
          <w:tcPr>
            <w:tcW w:w="2379" w:type="dxa"/>
            <w:vAlign w:val="center"/>
          </w:tcPr>
          <w:p w14:paraId="7E7F92FA">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500" w:type="dxa"/>
            <w:vAlign w:val="center"/>
          </w:tcPr>
          <w:p w14:paraId="46B4DA77">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056" w:type="dxa"/>
            <w:vAlign w:val="center"/>
          </w:tcPr>
          <w:p w14:paraId="27EFCF9E">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r>
      <w:tr w14:paraId="4C8D72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920" w:type="dxa"/>
            <w:vMerge w:val="restart"/>
            <w:vAlign w:val="center"/>
          </w:tcPr>
          <w:p w14:paraId="156D19AD">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r>
              <w:rPr>
                <w:rFonts w:hint="eastAsia" w:ascii="等线" w:hAnsi="等线" w:eastAsia="等线" w:cs="等线"/>
                <w:b/>
                <w:bCs/>
              </w:rPr>
              <w:t>3.2溶剂管理系统</w:t>
            </w:r>
          </w:p>
        </w:tc>
        <w:tc>
          <w:tcPr>
            <w:tcW w:w="2352" w:type="dxa"/>
            <w:vAlign w:val="center"/>
          </w:tcPr>
          <w:p w14:paraId="323EAA55">
            <w:pPr>
              <w:spacing w:line="360" w:lineRule="auto"/>
              <w:rPr>
                <w:rFonts w:hint="eastAsia" w:ascii="宋体" w:hAnsi="宋体" w:eastAsia="宋体" w:cs="宋体"/>
                <w:color w:val="FF0000"/>
                <w:sz w:val="24"/>
                <w:szCs w:val="24"/>
                <w:highlight w:val="yellow"/>
              </w:rPr>
            </w:pPr>
            <w:r>
              <w:rPr>
                <w:rFonts w:hint="eastAsia" w:ascii="等线" w:hAnsi="等线" w:eastAsia="等线" w:cs="等线"/>
              </w:rPr>
              <w:t>▲3.2.1具备实时抗菌抑菌功能或模块，能有效隔绝溶剂与外界空气，稳定启封溶剂性能；</w:t>
            </w:r>
          </w:p>
        </w:tc>
        <w:tc>
          <w:tcPr>
            <w:tcW w:w="2379" w:type="dxa"/>
            <w:vAlign w:val="center"/>
          </w:tcPr>
          <w:p w14:paraId="3A6CC919">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500" w:type="dxa"/>
            <w:vAlign w:val="center"/>
          </w:tcPr>
          <w:p w14:paraId="08887F16">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056" w:type="dxa"/>
            <w:vAlign w:val="center"/>
          </w:tcPr>
          <w:p w14:paraId="463E1117">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r>
      <w:tr w14:paraId="2CA146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920" w:type="dxa"/>
            <w:vMerge w:val="continue"/>
            <w:vAlign w:val="center"/>
          </w:tcPr>
          <w:p w14:paraId="3FCA9BE8">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352" w:type="dxa"/>
            <w:vAlign w:val="center"/>
          </w:tcPr>
          <w:p w14:paraId="2D610883">
            <w:pPr>
              <w:spacing w:line="360" w:lineRule="auto"/>
              <w:rPr>
                <w:rFonts w:hint="eastAsia" w:ascii="宋体" w:hAnsi="宋体" w:eastAsia="宋体" w:cs="宋体"/>
                <w:color w:val="FF0000"/>
                <w:sz w:val="24"/>
                <w:szCs w:val="24"/>
                <w:highlight w:val="yellow"/>
              </w:rPr>
            </w:pPr>
            <w:r>
              <w:rPr>
                <w:rFonts w:hint="eastAsia" w:ascii="等线" w:hAnsi="等线" w:eastAsia="等线" w:cs="等线"/>
              </w:rPr>
              <w:t>3.2.2具备单向气体防挥发功能或模块，能有效避免溶剂挥发至空气中产生化学污染；</w:t>
            </w:r>
          </w:p>
        </w:tc>
        <w:tc>
          <w:tcPr>
            <w:tcW w:w="2379" w:type="dxa"/>
            <w:vAlign w:val="center"/>
          </w:tcPr>
          <w:p w14:paraId="242D83EA">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500" w:type="dxa"/>
            <w:vAlign w:val="center"/>
          </w:tcPr>
          <w:p w14:paraId="7C14A2E5">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056" w:type="dxa"/>
            <w:vAlign w:val="center"/>
          </w:tcPr>
          <w:p w14:paraId="453BF7E3">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r>
      <w:tr w14:paraId="644C4A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920" w:type="dxa"/>
            <w:vMerge w:val="restart"/>
            <w:vAlign w:val="center"/>
          </w:tcPr>
          <w:p w14:paraId="3CAB859E">
            <w:pPr>
              <w:spacing w:line="360" w:lineRule="auto"/>
              <w:rPr>
                <w:rFonts w:hint="eastAsia" w:ascii="等线" w:hAnsi="等线" w:eastAsia="等线" w:cs="等线"/>
                <w:b/>
                <w:bCs/>
              </w:rPr>
            </w:pPr>
            <w:r>
              <w:rPr>
                <w:rFonts w:hint="eastAsia" w:ascii="等线" w:hAnsi="等线" w:eastAsia="等线" w:cs="等线"/>
                <w:b/>
                <w:bCs/>
              </w:rPr>
              <w:t>3.3液相自动进样器</w:t>
            </w:r>
          </w:p>
          <w:p w14:paraId="0D0FADE1">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352" w:type="dxa"/>
            <w:vAlign w:val="center"/>
          </w:tcPr>
          <w:p w14:paraId="5F12662F">
            <w:pPr>
              <w:spacing w:line="360" w:lineRule="auto"/>
              <w:rPr>
                <w:rFonts w:hint="eastAsia" w:ascii="宋体" w:hAnsi="宋体" w:eastAsia="宋体" w:cs="宋体"/>
                <w:color w:val="FF0000"/>
                <w:sz w:val="24"/>
                <w:szCs w:val="24"/>
                <w:highlight w:val="yellow"/>
              </w:rPr>
            </w:pPr>
            <w:r>
              <w:rPr>
                <w:rFonts w:hint="eastAsia" w:ascii="等线" w:hAnsi="等线" w:eastAsia="等线" w:cs="等线"/>
              </w:rPr>
              <w:t>3.3.1进样精度: &lt;0.25%RSD；</w:t>
            </w:r>
          </w:p>
        </w:tc>
        <w:tc>
          <w:tcPr>
            <w:tcW w:w="2379" w:type="dxa"/>
            <w:vAlign w:val="center"/>
          </w:tcPr>
          <w:p w14:paraId="2F81FC27">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500" w:type="dxa"/>
            <w:vAlign w:val="center"/>
          </w:tcPr>
          <w:p w14:paraId="639D7305">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056" w:type="dxa"/>
            <w:vAlign w:val="center"/>
          </w:tcPr>
          <w:p w14:paraId="728784D9">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r>
      <w:tr w14:paraId="562084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920" w:type="dxa"/>
            <w:vMerge w:val="continue"/>
            <w:vAlign w:val="center"/>
          </w:tcPr>
          <w:p w14:paraId="240E1160">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352" w:type="dxa"/>
            <w:vAlign w:val="center"/>
          </w:tcPr>
          <w:p w14:paraId="328842D7">
            <w:pPr>
              <w:rPr>
                <w:rFonts w:hint="eastAsia" w:ascii="宋体" w:hAnsi="宋体" w:eastAsia="宋体" w:cs="宋体"/>
                <w:color w:val="FF0000"/>
                <w:sz w:val="24"/>
                <w:szCs w:val="24"/>
                <w:highlight w:val="yellow"/>
              </w:rPr>
            </w:pPr>
            <w:r>
              <w:rPr>
                <w:rFonts w:hint="eastAsia" w:ascii="等线" w:hAnsi="等线" w:eastAsia="等线" w:cs="等线"/>
              </w:rPr>
              <w:t>▲3.3.2交叉污染: ≤0.005% (典型值)；</w:t>
            </w:r>
          </w:p>
        </w:tc>
        <w:tc>
          <w:tcPr>
            <w:tcW w:w="2379" w:type="dxa"/>
            <w:vAlign w:val="center"/>
          </w:tcPr>
          <w:p w14:paraId="7379C815">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500" w:type="dxa"/>
            <w:vAlign w:val="center"/>
          </w:tcPr>
          <w:p w14:paraId="77303D15">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056" w:type="dxa"/>
            <w:vAlign w:val="center"/>
          </w:tcPr>
          <w:p w14:paraId="47578EDE">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r>
      <w:tr w14:paraId="0169F6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920" w:type="dxa"/>
            <w:vMerge w:val="continue"/>
            <w:vAlign w:val="center"/>
          </w:tcPr>
          <w:p w14:paraId="674AB33A">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352" w:type="dxa"/>
            <w:vAlign w:val="center"/>
          </w:tcPr>
          <w:p w14:paraId="1610C79C">
            <w:pPr>
              <w:spacing w:line="360" w:lineRule="auto"/>
              <w:rPr>
                <w:rFonts w:hint="eastAsia" w:ascii="宋体" w:hAnsi="宋体" w:eastAsia="宋体" w:cs="宋体"/>
                <w:color w:val="FF0000"/>
                <w:sz w:val="24"/>
                <w:szCs w:val="24"/>
                <w:highlight w:val="yellow"/>
              </w:rPr>
            </w:pPr>
            <w:r>
              <w:rPr>
                <w:rFonts w:hint="eastAsia" w:ascii="等线" w:hAnsi="等线" w:eastAsia="等线" w:cs="等线"/>
              </w:rPr>
              <w:t>3.3.3进样速度：10 uL进样速度＜15秒；</w:t>
            </w:r>
          </w:p>
        </w:tc>
        <w:tc>
          <w:tcPr>
            <w:tcW w:w="2379" w:type="dxa"/>
            <w:vAlign w:val="center"/>
          </w:tcPr>
          <w:p w14:paraId="2A39B295">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500" w:type="dxa"/>
            <w:vAlign w:val="center"/>
          </w:tcPr>
          <w:p w14:paraId="6893CC47">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056" w:type="dxa"/>
            <w:vAlign w:val="center"/>
          </w:tcPr>
          <w:p w14:paraId="2D07C475">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r>
      <w:tr w14:paraId="51D5F7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920" w:type="dxa"/>
            <w:vMerge w:val="continue"/>
            <w:vAlign w:val="center"/>
          </w:tcPr>
          <w:p w14:paraId="4DADBE49">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352" w:type="dxa"/>
            <w:vAlign w:val="center"/>
          </w:tcPr>
          <w:p w14:paraId="626605B3">
            <w:pPr>
              <w:spacing w:line="360" w:lineRule="auto"/>
              <w:rPr>
                <w:rFonts w:hint="eastAsia" w:ascii="宋体" w:hAnsi="宋体" w:eastAsia="宋体" w:cs="宋体"/>
                <w:color w:val="FF0000"/>
                <w:sz w:val="24"/>
                <w:szCs w:val="24"/>
                <w:highlight w:val="yellow"/>
              </w:rPr>
            </w:pPr>
            <w:r>
              <w:rPr>
                <w:rFonts w:hint="eastAsia" w:ascii="等线" w:hAnsi="等线" w:eastAsia="等线" w:cs="等线"/>
              </w:rPr>
              <w:t>3.3.4进样线性：&gt;0.999；</w:t>
            </w:r>
          </w:p>
        </w:tc>
        <w:tc>
          <w:tcPr>
            <w:tcW w:w="2379" w:type="dxa"/>
            <w:vAlign w:val="center"/>
          </w:tcPr>
          <w:p w14:paraId="4E11D219">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500" w:type="dxa"/>
            <w:vAlign w:val="center"/>
          </w:tcPr>
          <w:p w14:paraId="7469C762">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056" w:type="dxa"/>
            <w:vAlign w:val="center"/>
          </w:tcPr>
          <w:p w14:paraId="5CDEA42F">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r>
      <w:tr w14:paraId="182E43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920" w:type="dxa"/>
            <w:vMerge w:val="restart"/>
            <w:vAlign w:val="center"/>
          </w:tcPr>
          <w:p w14:paraId="28DD7CA2">
            <w:pPr>
              <w:spacing w:line="360" w:lineRule="auto"/>
              <w:rPr>
                <w:rFonts w:hint="eastAsia" w:ascii="等线" w:hAnsi="等线" w:eastAsia="等线" w:cs="等线"/>
                <w:b/>
                <w:bCs/>
              </w:rPr>
            </w:pPr>
            <w:r>
              <w:rPr>
                <w:rFonts w:hint="eastAsia" w:ascii="等线" w:hAnsi="等线" w:eastAsia="等线" w:cs="等线"/>
                <w:b/>
                <w:bCs/>
              </w:rPr>
              <w:t>3.4质谱检测器</w:t>
            </w:r>
          </w:p>
          <w:p w14:paraId="2F7501C3">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352" w:type="dxa"/>
            <w:vAlign w:val="center"/>
          </w:tcPr>
          <w:p w14:paraId="7EFBAE94">
            <w:pPr>
              <w:spacing w:line="360" w:lineRule="auto"/>
              <w:rPr>
                <w:rFonts w:hint="eastAsia" w:ascii="宋体" w:hAnsi="宋体" w:eastAsia="宋体" w:cs="宋体"/>
                <w:color w:val="FF0000"/>
                <w:sz w:val="24"/>
                <w:szCs w:val="24"/>
                <w:highlight w:val="yellow"/>
              </w:rPr>
            </w:pPr>
            <w:r>
              <w:rPr>
                <w:rFonts w:hint="eastAsia" w:ascii="等线" w:hAnsi="等线" w:eastAsia="等线" w:cs="等线"/>
              </w:rPr>
              <w:t xml:space="preserve">▲3.4.1质量范围不窄于： </w:t>
            </w:r>
            <w:r>
              <w:rPr>
                <w:rFonts w:hint="eastAsia" w:ascii="等线" w:hAnsi="等线" w:eastAsia="等线" w:cs="等线"/>
                <w:b/>
                <w:bCs/>
              </w:rPr>
              <w:t>40-1200（m/z）</w:t>
            </w:r>
            <w:r>
              <w:rPr>
                <w:rFonts w:hint="eastAsia" w:ascii="等线" w:hAnsi="等线" w:eastAsia="等线" w:cs="等线"/>
              </w:rPr>
              <w:t>；</w:t>
            </w:r>
          </w:p>
        </w:tc>
        <w:tc>
          <w:tcPr>
            <w:tcW w:w="2379" w:type="dxa"/>
            <w:vAlign w:val="center"/>
          </w:tcPr>
          <w:p w14:paraId="3CC0BF1C">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500" w:type="dxa"/>
            <w:vAlign w:val="center"/>
          </w:tcPr>
          <w:p w14:paraId="4D7167FF">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056" w:type="dxa"/>
            <w:vAlign w:val="center"/>
          </w:tcPr>
          <w:p w14:paraId="4C23DC0C">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r>
      <w:tr w14:paraId="0F23FB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920" w:type="dxa"/>
            <w:vMerge w:val="continue"/>
            <w:vAlign w:val="center"/>
          </w:tcPr>
          <w:p w14:paraId="67F1C417">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352" w:type="dxa"/>
            <w:vAlign w:val="center"/>
          </w:tcPr>
          <w:p w14:paraId="03A51C08">
            <w:pPr>
              <w:spacing w:line="360" w:lineRule="auto"/>
              <w:rPr>
                <w:rFonts w:hint="eastAsia" w:ascii="宋体" w:hAnsi="宋体" w:eastAsia="宋体" w:cs="宋体"/>
                <w:color w:val="FF0000"/>
                <w:sz w:val="24"/>
                <w:szCs w:val="24"/>
                <w:highlight w:val="yellow"/>
              </w:rPr>
            </w:pPr>
            <w:r>
              <w:rPr>
                <w:rFonts w:hint="eastAsia" w:ascii="等线" w:hAnsi="等线" w:eastAsia="等线" w:cs="等线"/>
              </w:rPr>
              <w:t>3.4.2</w:t>
            </w:r>
            <w:r>
              <w:rPr>
                <w:rFonts w:ascii="等线" w:hAnsi="等线" w:eastAsia="等线" w:cs="等线"/>
              </w:rPr>
              <w:t>分辨率不低于：R=2M</w:t>
            </w:r>
            <w:r>
              <w:rPr>
                <w:rFonts w:hint="eastAsia" w:ascii="等线" w:hAnsi="等线" w:eastAsia="等线" w:cs="等线"/>
              </w:rPr>
              <w:t>；</w:t>
            </w:r>
          </w:p>
        </w:tc>
        <w:tc>
          <w:tcPr>
            <w:tcW w:w="2379" w:type="dxa"/>
            <w:vAlign w:val="center"/>
          </w:tcPr>
          <w:p w14:paraId="51366BF2">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500" w:type="dxa"/>
            <w:vAlign w:val="center"/>
          </w:tcPr>
          <w:p w14:paraId="2CAFA256">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056" w:type="dxa"/>
            <w:vAlign w:val="center"/>
          </w:tcPr>
          <w:p w14:paraId="62B72EEF">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r>
      <w:tr w14:paraId="24DE2F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920" w:type="dxa"/>
            <w:vMerge w:val="continue"/>
            <w:vAlign w:val="center"/>
          </w:tcPr>
          <w:p w14:paraId="3404A754">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352" w:type="dxa"/>
            <w:vAlign w:val="center"/>
          </w:tcPr>
          <w:p w14:paraId="19BD3078">
            <w:pPr>
              <w:spacing w:line="360" w:lineRule="auto"/>
              <w:rPr>
                <w:rFonts w:hint="eastAsia" w:ascii="宋体" w:hAnsi="宋体" w:eastAsia="宋体" w:cs="宋体"/>
                <w:color w:val="FF0000"/>
                <w:sz w:val="24"/>
                <w:szCs w:val="24"/>
                <w:highlight w:val="yellow"/>
              </w:rPr>
            </w:pPr>
            <w:r>
              <w:rPr>
                <w:rFonts w:hint="eastAsia" w:ascii="等线" w:hAnsi="等线" w:eastAsia="等线" w:cs="等线"/>
              </w:rPr>
              <w:t xml:space="preserve">3.4.3 </w:t>
            </w:r>
            <w:r>
              <w:rPr>
                <w:rFonts w:ascii="等线" w:hAnsi="等线" w:eastAsia="等线" w:cs="等线"/>
              </w:rPr>
              <w:t>SIM模式灵敏度ESI+: 10pg S/N&gt;3500(RMS)</w:t>
            </w:r>
            <w:r>
              <w:rPr>
                <w:rFonts w:hint="eastAsia" w:ascii="等线" w:hAnsi="等线" w:eastAsia="等线" w:cs="等线"/>
              </w:rPr>
              <w:t>；</w:t>
            </w:r>
          </w:p>
        </w:tc>
        <w:tc>
          <w:tcPr>
            <w:tcW w:w="2379" w:type="dxa"/>
            <w:vAlign w:val="center"/>
          </w:tcPr>
          <w:p w14:paraId="389DBAC6">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500" w:type="dxa"/>
            <w:vAlign w:val="center"/>
          </w:tcPr>
          <w:p w14:paraId="6960E3B5">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056" w:type="dxa"/>
            <w:vAlign w:val="center"/>
          </w:tcPr>
          <w:p w14:paraId="0F071F02">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r>
      <w:tr w14:paraId="618AB8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920" w:type="dxa"/>
            <w:vMerge w:val="continue"/>
            <w:vAlign w:val="center"/>
          </w:tcPr>
          <w:p w14:paraId="4168D76F">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352" w:type="dxa"/>
            <w:vAlign w:val="center"/>
          </w:tcPr>
          <w:p w14:paraId="03A9A173">
            <w:pPr>
              <w:spacing w:line="360" w:lineRule="auto"/>
              <w:rPr>
                <w:rFonts w:hint="eastAsia" w:ascii="宋体" w:hAnsi="宋体" w:eastAsia="宋体" w:cs="宋体"/>
                <w:color w:val="FF0000"/>
                <w:sz w:val="24"/>
                <w:szCs w:val="24"/>
                <w:highlight w:val="yellow"/>
              </w:rPr>
            </w:pPr>
            <w:r>
              <w:rPr>
                <w:rFonts w:hint="eastAsia" w:ascii="等线" w:hAnsi="等线" w:eastAsia="等线" w:cs="等线"/>
              </w:rPr>
              <w:t xml:space="preserve">3.4.4 </w:t>
            </w:r>
            <w:r>
              <w:rPr>
                <w:rFonts w:ascii="等线" w:hAnsi="等线" w:eastAsia="等线" w:cs="等线"/>
              </w:rPr>
              <w:t>ESI流量范围不小于： 0.001-2.000 ml/min</w:t>
            </w:r>
            <w:r>
              <w:rPr>
                <w:rFonts w:hint="eastAsia" w:ascii="等线" w:hAnsi="等线" w:eastAsia="等线" w:cs="等线"/>
              </w:rPr>
              <w:t>；</w:t>
            </w:r>
          </w:p>
        </w:tc>
        <w:tc>
          <w:tcPr>
            <w:tcW w:w="2379" w:type="dxa"/>
            <w:vAlign w:val="center"/>
          </w:tcPr>
          <w:p w14:paraId="57718FA0">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500" w:type="dxa"/>
            <w:vAlign w:val="center"/>
          </w:tcPr>
          <w:p w14:paraId="77AB7EDE">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056" w:type="dxa"/>
            <w:vAlign w:val="center"/>
          </w:tcPr>
          <w:p w14:paraId="1358F108">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r>
      <w:tr w14:paraId="3A5573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920" w:type="dxa"/>
            <w:vMerge w:val="restart"/>
            <w:vAlign w:val="center"/>
          </w:tcPr>
          <w:p w14:paraId="6404961B">
            <w:pPr>
              <w:spacing w:line="360" w:lineRule="auto"/>
              <w:rPr>
                <w:rFonts w:hint="eastAsia" w:ascii="等线" w:hAnsi="等线" w:eastAsia="等线" w:cs="等线"/>
                <w:b/>
                <w:bCs/>
              </w:rPr>
            </w:pPr>
            <w:r>
              <w:rPr>
                <w:rFonts w:hint="eastAsia" w:ascii="等线" w:hAnsi="等线" w:eastAsia="等线" w:cs="等线"/>
                <w:b/>
                <w:bCs/>
              </w:rPr>
              <w:t>4.在线抗基质效应模块</w:t>
            </w:r>
          </w:p>
          <w:p w14:paraId="73562E6F">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352" w:type="dxa"/>
            <w:vAlign w:val="center"/>
          </w:tcPr>
          <w:p w14:paraId="3AD5C1BF">
            <w:pPr>
              <w:spacing w:line="360" w:lineRule="auto"/>
              <w:rPr>
                <w:rFonts w:hint="eastAsia" w:ascii="宋体" w:hAnsi="宋体" w:eastAsia="宋体" w:cs="宋体"/>
                <w:color w:val="FF0000"/>
                <w:sz w:val="24"/>
                <w:szCs w:val="24"/>
                <w:highlight w:val="yellow"/>
              </w:rPr>
            </w:pPr>
            <w:r>
              <w:rPr>
                <w:rFonts w:hint="eastAsia" w:ascii="等线" w:hAnsi="等线" w:eastAsia="等线" w:cs="等线"/>
              </w:rPr>
              <w:t>▲4.1要求色谱分离功能或模块：在常规一维液相色谱、正向上样正向洗脱、反向上样正向洗脱色谱模式中可以自动切换。支持在线萃取和在线除盐，可有效保证不受血液中内源性物质干扰并具有良好的分离度；</w:t>
            </w:r>
          </w:p>
        </w:tc>
        <w:tc>
          <w:tcPr>
            <w:tcW w:w="2379" w:type="dxa"/>
            <w:vAlign w:val="center"/>
          </w:tcPr>
          <w:p w14:paraId="6249843D">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500" w:type="dxa"/>
            <w:vAlign w:val="center"/>
          </w:tcPr>
          <w:p w14:paraId="7E2BDBC3">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056" w:type="dxa"/>
            <w:vAlign w:val="center"/>
          </w:tcPr>
          <w:p w14:paraId="46CBA323">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r>
      <w:tr w14:paraId="5EB911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920" w:type="dxa"/>
            <w:vMerge w:val="continue"/>
            <w:vAlign w:val="center"/>
          </w:tcPr>
          <w:p w14:paraId="5757D609">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352" w:type="dxa"/>
            <w:vAlign w:val="center"/>
          </w:tcPr>
          <w:p w14:paraId="3F6B82C8">
            <w:pPr>
              <w:spacing w:line="360" w:lineRule="auto"/>
              <w:rPr>
                <w:rFonts w:hint="eastAsia" w:ascii="宋体" w:hAnsi="宋体" w:eastAsia="宋体" w:cs="宋体"/>
                <w:color w:val="FF0000"/>
                <w:sz w:val="24"/>
                <w:szCs w:val="24"/>
                <w:highlight w:val="yellow"/>
              </w:rPr>
            </w:pPr>
            <w:r>
              <w:rPr>
                <w:rFonts w:hint="eastAsia" w:ascii="等线" w:hAnsi="等线" w:eastAsia="等线" w:cs="等线"/>
              </w:rPr>
              <w:t>▲4.2要求具备在线抗基质效应功能或模块：提供至少一个检测品种的人血样至少连续100次进样的真实数据报告，连续100次测定结果精密度均＜20%；</w:t>
            </w:r>
          </w:p>
        </w:tc>
        <w:tc>
          <w:tcPr>
            <w:tcW w:w="2379" w:type="dxa"/>
            <w:vAlign w:val="center"/>
          </w:tcPr>
          <w:p w14:paraId="6D8CAC17">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500" w:type="dxa"/>
            <w:vAlign w:val="center"/>
          </w:tcPr>
          <w:p w14:paraId="69A017AA">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056" w:type="dxa"/>
            <w:vAlign w:val="center"/>
          </w:tcPr>
          <w:p w14:paraId="1A72D0EF">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r>
      <w:tr w14:paraId="3462C5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920" w:type="dxa"/>
            <w:vMerge w:val="continue"/>
            <w:vAlign w:val="center"/>
          </w:tcPr>
          <w:p w14:paraId="7F4BD5CC">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352" w:type="dxa"/>
            <w:vAlign w:val="center"/>
          </w:tcPr>
          <w:p w14:paraId="5D6BE763">
            <w:pPr>
              <w:spacing w:line="360" w:lineRule="auto"/>
              <w:rPr>
                <w:rFonts w:hint="eastAsia" w:ascii="宋体" w:hAnsi="宋体" w:eastAsia="宋体" w:cs="宋体"/>
                <w:color w:val="FF0000"/>
                <w:sz w:val="24"/>
                <w:szCs w:val="24"/>
                <w:highlight w:val="yellow"/>
              </w:rPr>
            </w:pPr>
            <w:r>
              <w:rPr>
                <w:rFonts w:hint="eastAsia" w:ascii="等线" w:hAnsi="等线" w:eastAsia="等线" w:cs="等线"/>
              </w:rPr>
              <w:t>▲4.3要求具有色谱柱同步在线清洗功能或模块：当一支色谱柱在进行分析工作时，另一支色谱柱同步自动清洗。为保障测定连续性，提供少一个检测品种的色谱柱单次使用与切换使用的验证报告，连续20次测定结果的精密度均＜20%；</w:t>
            </w:r>
          </w:p>
        </w:tc>
        <w:tc>
          <w:tcPr>
            <w:tcW w:w="2379" w:type="dxa"/>
            <w:vAlign w:val="center"/>
          </w:tcPr>
          <w:p w14:paraId="0E427D46">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500" w:type="dxa"/>
            <w:vAlign w:val="center"/>
          </w:tcPr>
          <w:p w14:paraId="383029E2">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056" w:type="dxa"/>
            <w:vAlign w:val="center"/>
          </w:tcPr>
          <w:p w14:paraId="7F1E0A77">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r>
      <w:tr w14:paraId="60ED46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920" w:type="dxa"/>
            <w:vMerge w:val="restart"/>
            <w:vAlign w:val="center"/>
          </w:tcPr>
          <w:p w14:paraId="4F76DF3F">
            <w:pPr>
              <w:spacing w:line="360" w:lineRule="auto"/>
              <w:rPr>
                <w:rFonts w:hint="eastAsia" w:ascii="等线" w:hAnsi="等线" w:eastAsia="等线" w:cs="等线"/>
                <w:b/>
                <w:bCs/>
              </w:rPr>
            </w:pPr>
            <w:r>
              <w:rPr>
                <w:rFonts w:hint="eastAsia" w:ascii="等线" w:hAnsi="等线" w:eastAsia="等线" w:cs="等线"/>
                <w:b/>
                <w:bCs/>
              </w:rPr>
              <w:t>5工作站</w:t>
            </w:r>
          </w:p>
          <w:p w14:paraId="3D644635">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352" w:type="dxa"/>
            <w:vAlign w:val="center"/>
          </w:tcPr>
          <w:p w14:paraId="48CC3919">
            <w:pPr>
              <w:spacing w:line="360" w:lineRule="auto"/>
              <w:rPr>
                <w:rFonts w:hint="eastAsia" w:ascii="宋体" w:hAnsi="宋体" w:eastAsia="宋体" w:cs="宋体"/>
                <w:color w:val="FF0000"/>
                <w:sz w:val="24"/>
                <w:szCs w:val="24"/>
                <w:highlight w:val="yellow"/>
              </w:rPr>
            </w:pPr>
            <w:r>
              <w:rPr>
                <w:rFonts w:hint="eastAsia" w:ascii="等线" w:hAnsi="等线" w:eastAsia="等线" w:cs="等线"/>
              </w:rPr>
              <w:t>5.1液质联用分析软件：要求为全中文界面，可自由添加、修改、提取化合物的信息以及分析和处理方法；</w:t>
            </w:r>
          </w:p>
        </w:tc>
        <w:tc>
          <w:tcPr>
            <w:tcW w:w="2379" w:type="dxa"/>
            <w:vAlign w:val="center"/>
          </w:tcPr>
          <w:p w14:paraId="3425D282">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500" w:type="dxa"/>
            <w:vAlign w:val="center"/>
          </w:tcPr>
          <w:p w14:paraId="0298E515">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056" w:type="dxa"/>
            <w:vAlign w:val="center"/>
          </w:tcPr>
          <w:p w14:paraId="64145428">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r>
      <w:tr w14:paraId="10A289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920" w:type="dxa"/>
            <w:vMerge w:val="continue"/>
            <w:vAlign w:val="center"/>
          </w:tcPr>
          <w:p w14:paraId="41B8F68A">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352" w:type="dxa"/>
            <w:vAlign w:val="center"/>
          </w:tcPr>
          <w:p w14:paraId="1D5D052B">
            <w:pPr>
              <w:spacing w:line="360" w:lineRule="auto"/>
              <w:rPr>
                <w:rFonts w:hint="eastAsia" w:ascii="宋体" w:hAnsi="宋体" w:eastAsia="宋体" w:cs="宋体"/>
                <w:color w:val="FF0000"/>
                <w:sz w:val="24"/>
                <w:szCs w:val="24"/>
                <w:highlight w:val="yellow"/>
              </w:rPr>
            </w:pPr>
            <w:r>
              <w:rPr>
                <w:rFonts w:hint="eastAsia" w:ascii="等线" w:hAnsi="等线" w:eastAsia="等线" w:cs="等线"/>
              </w:rPr>
              <w:t>▲5.2要求可实现与HIS/LIS系统连接；可实现报告通过互联网发送；</w:t>
            </w:r>
          </w:p>
        </w:tc>
        <w:tc>
          <w:tcPr>
            <w:tcW w:w="2379" w:type="dxa"/>
            <w:vAlign w:val="center"/>
          </w:tcPr>
          <w:p w14:paraId="3221E483">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500" w:type="dxa"/>
            <w:vAlign w:val="center"/>
          </w:tcPr>
          <w:p w14:paraId="1616B21A">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056" w:type="dxa"/>
            <w:vAlign w:val="center"/>
          </w:tcPr>
          <w:p w14:paraId="6C8A5930">
            <w:pPr>
              <w:keepNext w:val="0"/>
              <w:keepLines w:val="0"/>
              <w:pageBreakBefore w:val="0"/>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r>
    </w:tbl>
    <w:p w14:paraId="0195E35A">
      <w:pPr>
        <w:keepNext w:val="0"/>
        <w:keepLines w:val="0"/>
        <w:pageBreakBefore w:val="0"/>
        <w:kinsoku/>
        <w:wordWrap/>
        <w:topLinePunct w:val="0"/>
        <w:autoSpaceDE/>
        <w:autoSpaceDN/>
        <w:bidi w:val="0"/>
        <w:snapToGrid/>
        <w:spacing w:before="120" w:beforeLines="50"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注明：</w:t>
      </w:r>
    </w:p>
    <w:p w14:paraId="519F6B90">
      <w:pPr>
        <w:pStyle w:val="94"/>
        <w:keepNext w:val="0"/>
        <w:keepLines w:val="0"/>
        <w:pageBreakBefore w:val="0"/>
        <w:numPr>
          <w:ilvl w:val="0"/>
          <w:numId w:val="11"/>
        </w:numPr>
        <w:kinsoku/>
        <w:wordWrap/>
        <w:topLinePunct w:val="0"/>
        <w:autoSpaceDE/>
        <w:autoSpaceDN/>
        <w:bidi w:val="0"/>
        <w:snapToGrid/>
        <w:spacing w:line="288" w:lineRule="auto"/>
        <w:ind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偏离情况项填写“正”、“负”或“无”，说明项中填写原因。</w:t>
      </w:r>
    </w:p>
    <w:p w14:paraId="180407DE">
      <w:pPr>
        <w:pStyle w:val="94"/>
        <w:keepNext w:val="0"/>
        <w:keepLines w:val="0"/>
        <w:pageBreakBefore w:val="0"/>
        <w:numPr>
          <w:ilvl w:val="0"/>
          <w:numId w:val="11"/>
        </w:numPr>
        <w:kinsoku/>
        <w:wordWrap/>
        <w:topLinePunct w:val="0"/>
        <w:autoSpaceDE/>
        <w:autoSpaceDN/>
        <w:bidi w:val="0"/>
        <w:snapToGrid/>
        <w:spacing w:line="288" w:lineRule="auto"/>
        <w:ind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供应商应按照招标文件要求作出全面响应。对响应有偏离的，则说明偏离的内容。若有要求提供相关证明资料的，须按要求提供，否则视为负偏离。</w:t>
      </w:r>
    </w:p>
    <w:p w14:paraId="4ED0A044">
      <w:pPr>
        <w:keepNext w:val="0"/>
        <w:keepLines w:val="0"/>
        <w:pageBreakBefore w:val="0"/>
        <w:kinsoku/>
        <w:wordWrap/>
        <w:topLinePunct w:val="0"/>
        <w:autoSpaceDE/>
        <w:autoSpaceDN/>
        <w:bidi w:val="0"/>
        <w:snapToGrid/>
        <w:spacing w:line="288" w:lineRule="auto"/>
        <w:textAlignment w:val="auto"/>
        <w:rPr>
          <w:rFonts w:hint="eastAsia" w:ascii="宋体" w:hAnsi="宋体" w:eastAsia="宋体" w:cs="宋体"/>
          <w:color w:val="auto"/>
          <w:sz w:val="24"/>
          <w:szCs w:val="24"/>
          <w:highlight w:val="none"/>
        </w:rPr>
      </w:pPr>
    </w:p>
    <w:tbl>
      <w:tblPr>
        <w:tblStyle w:val="44"/>
        <w:tblW w:w="8528" w:type="dxa"/>
        <w:tblInd w:w="0" w:type="dxa"/>
        <w:tblLayout w:type="fixed"/>
        <w:tblCellMar>
          <w:top w:w="0" w:type="dxa"/>
          <w:left w:w="108" w:type="dxa"/>
          <w:bottom w:w="0" w:type="dxa"/>
          <w:right w:w="108" w:type="dxa"/>
        </w:tblCellMar>
      </w:tblPr>
      <w:tblGrid>
        <w:gridCol w:w="5353"/>
        <w:gridCol w:w="3175"/>
      </w:tblGrid>
      <w:tr w14:paraId="576FD0DA">
        <w:tblPrEx>
          <w:tblCellMar>
            <w:top w:w="0" w:type="dxa"/>
            <w:left w:w="108" w:type="dxa"/>
            <w:bottom w:w="0" w:type="dxa"/>
            <w:right w:w="108" w:type="dxa"/>
          </w:tblCellMar>
        </w:tblPrEx>
        <w:tc>
          <w:tcPr>
            <w:tcW w:w="5353" w:type="dxa"/>
            <w:shd w:val="clear" w:color="auto" w:fill="auto"/>
          </w:tcPr>
          <w:p w14:paraId="6504996D">
            <w:pPr>
              <w:keepNext w:val="0"/>
              <w:keepLines w:val="0"/>
              <w:pageBreakBefore w:val="0"/>
              <w:kinsoku/>
              <w:wordWrap/>
              <w:overflowPunct w:val="0"/>
              <w:topLinePunct w:val="0"/>
              <w:autoSpaceDE/>
              <w:autoSpaceDN/>
              <w:bidi w:val="0"/>
              <w:adjustRightInd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供应商名称（加盖公章）：</w:t>
            </w:r>
          </w:p>
        </w:tc>
        <w:tc>
          <w:tcPr>
            <w:tcW w:w="3175" w:type="dxa"/>
            <w:shd w:val="clear" w:color="auto" w:fill="auto"/>
          </w:tcPr>
          <w:p w14:paraId="3B4502F1">
            <w:pPr>
              <w:keepNext w:val="0"/>
              <w:keepLines w:val="0"/>
              <w:pageBreakBefore w:val="0"/>
              <w:kinsoku/>
              <w:wordWrap/>
              <w:topLinePunct w:val="0"/>
              <w:autoSpaceDE/>
              <w:autoSpaceDN/>
              <w:bidi w:val="0"/>
              <w:snapToGrid/>
              <w:spacing w:line="288" w:lineRule="auto"/>
              <w:textAlignment w:val="auto"/>
              <w:rPr>
                <w:rFonts w:hint="eastAsia" w:ascii="宋体" w:hAnsi="宋体" w:eastAsia="宋体" w:cs="宋体"/>
                <w:color w:val="auto"/>
                <w:sz w:val="24"/>
                <w:szCs w:val="24"/>
                <w:highlight w:val="none"/>
              </w:rPr>
            </w:pPr>
          </w:p>
        </w:tc>
      </w:tr>
      <w:tr w14:paraId="7F4287F9">
        <w:tblPrEx>
          <w:tblCellMar>
            <w:top w:w="0" w:type="dxa"/>
            <w:left w:w="108" w:type="dxa"/>
            <w:bottom w:w="0" w:type="dxa"/>
            <w:right w:w="108" w:type="dxa"/>
          </w:tblCellMar>
        </w:tblPrEx>
        <w:tc>
          <w:tcPr>
            <w:tcW w:w="5353" w:type="dxa"/>
            <w:shd w:val="clear" w:color="auto" w:fill="auto"/>
          </w:tcPr>
          <w:p w14:paraId="24B323D6">
            <w:pPr>
              <w:keepNext w:val="0"/>
              <w:keepLines w:val="0"/>
              <w:pageBreakBefore w:val="0"/>
              <w:kinsoku/>
              <w:wordWrap/>
              <w:topLinePunct w:val="0"/>
              <w:autoSpaceDE/>
              <w:autoSpaceDN/>
              <w:bidi w:val="0"/>
              <w:snapToGrid/>
              <w:spacing w:line="288" w:lineRule="auto"/>
              <w:textAlignment w:val="auto"/>
              <w:rPr>
                <w:rFonts w:hint="eastAsia" w:ascii="宋体" w:hAnsi="宋体" w:eastAsia="宋体" w:cs="宋体"/>
                <w:color w:val="auto"/>
                <w:sz w:val="24"/>
                <w:szCs w:val="24"/>
                <w:highlight w:val="none"/>
              </w:rPr>
            </w:pPr>
          </w:p>
          <w:p w14:paraId="1B5020C5">
            <w:pPr>
              <w:keepNext w:val="0"/>
              <w:keepLines w:val="0"/>
              <w:pageBreakBefore w:val="0"/>
              <w:kinsoku/>
              <w:wordWrap/>
              <w:topLinePunct w:val="0"/>
              <w:autoSpaceDE/>
              <w:autoSpaceDN/>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      年      月        日</w:t>
            </w:r>
          </w:p>
        </w:tc>
        <w:tc>
          <w:tcPr>
            <w:tcW w:w="3175" w:type="dxa"/>
            <w:shd w:val="clear" w:color="auto" w:fill="auto"/>
          </w:tcPr>
          <w:p w14:paraId="21618CE5">
            <w:pPr>
              <w:keepNext w:val="0"/>
              <w:keepLines w:val="0"/>
              <w:pageBreakBefore w:val="0"/>
              <w:kinsoku/>
              <w:wordWrap/>
              <w:topLinePunct w:val="0"/>
              <w:autoSpaceDE/>
              <w:autoSpaceDN/>
              <w:bidi w:val="0"/>
              <w:snapToGrid/>
              <w:spacing w:line="288" w:lineRule="auto"/>
              <w:textAlignment w:val="auto"/>
              <w:rPr>
                <w:rFonts w:hint="eastAsia" w:ascii="宋体" w:hAnsi="宋体" w:eastAsia="宋体" w:cs="宋体"/>
                <w:color w:val="auto"/>
                <w:sz w:val="24"/>
                <w:szCs w:val="24"/>
                <w:highlight w:val="none"/>
              </w:rPr>
            </w:pPr>
          </w:p>
        </w:tc>
      </w:tr>
    </w:tbl>
    <w:p w14:paraId="076DD730">
      <w:pPr>
        <w:spacing w:line="360" w:lineRule="auto"/>
        <w:rPr>
          <w:rFonts w:hint="eastAsia" w:ascii="宋体" w:hAnsi="宋体" w:eastAsia="宋体" w:cs="宋体"/>
          <w:color w:val="auto"/>
          <w:szCs w:val="21"/>
          <w:highlight w:val="none"/>
        </w:rPr>
      </w:pPr>
    </w:p>
    <w:p w14:paraId="0C2C114F">
      <w:pPr>
        <w:rPr>
          <w:rStyle w:val="47"/>
          <w:rFonts w:hint="eastAsia" w:ascii="宋体" w:hAnsi="宋体" w:eastAsia="宋体" w:cs="宋体"/>
          <w:bCs w:val="0"/>
          <w:color w:val="auto"/>
          <w:spacing w:val="12"/>
          <w:highlight w:val="none"/>
        </w:rPr>
      </w:pPr>
      <w:bookmarkStart w:id="45" w:name="_Toc494567328"/>
      <w:bookmarkStart w:id="46" w:name="_Toc3236439"/>
      <w:bookmarkStart w:id="47" w:name="_Toc391627770"/>
      <w:bookmarkStart w:id="48" w:name="_Toc405313974"/>
    </w:p>
    <w:p w14:paraId="5A4B02DC">
      <w:pPr>
        <w:spacing w:line="360" w:lineRule="auto"/>
        <w:jc w:val="center"/>
        <w:rPr>
          <w:rFonts w:hint="eastAsia" w:ascii="宋体" w:hAnsi="宋体" w:eastAsia="宋体" w:cs="宋体"/>
          <w:b/>
          <w:color w:val="auto"/>
          <w:sz w:val="36"/>
          <w:szCs w:val="36"/>
          <w:highlight w:val="none"/>
        </w:rPr>
      </w:pPr>
    </w:p>
    <w:p w14:paraId="260CC33C">
      <w:pP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br w:type="page"/>
      </w:r>
    </w:p>
    <w:p w14:paraId="1DA544A5">
      <w:pPr>
        <w:spacing w:line="360" w:lineRule="auto"/>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十</w:t>
      </w:r>
      <w:r>
        <w:rPr>
          <w:rFonts w:hint="eastAsia" w:ascii="宋体" w:hAnsi="宋体" w:cs="宋体"/>
          <w:b/>
          <w:color w:val="auto"/>
          <w:sz w:val="36"/>
          <w:szCs w:val="36"/>
          <w:highlight w:val="none"/>
          <w:lang w:eastAsia="zh-CN"/>
        </w:rPr>
        <w:t>二</w:t>
      </w:r>
      <w:r>
        <w:rPr>
          <w:rFonts w:hint="eastAsia" w:ascii="宋体" w:hAnsi="宋体" w:eastAsia="宋体" w:cs="宋体"/>
          <w:b/>
          <w:color w:val="auto"/>
          <w:sz w:val="36"/>
          <w:szCs w:val="36"/>
          <w:highlight w:val="none"/>
        </w:rPr>
        <w:t>、技术参数承诺书</w:t>
      </w:r>
    </w:p>
    <w:p w14:paraId="2AE215A0">
      <w:pPr>
        <w:rPr>
          <w:rStyle w:val="47"/>
          <w:rFonts w:hint="eastAsia" w:ascii="宋体" w:hAnsi="宋体" w:eastAsia="宋体" w:cs="宋体"/>
          <w:color w:val="auto"/>
          <w:spacing w:val="12"/>
          <w:highlight w:val="none"/>
        </w:rPr>
      </w:pPr>
    </w:p>
    <w:p w14:paraId="0DA9D006">
      <w:pPr>
        <w:pageBreakBefore w:val="0"/>
        <w:widowControl/>
        <w:kinsoku/>
        <w:overflowPunct/>
        <w:topLinePunct w:val="0"/>
        <w:autoSpaceDE/>
        <w:autoSpaceDN/>
        <w:bidi w:val="0"/>
        <w:adjustRightInd/>
        <w:snapToGrid/>
        <w:spacing w:line="288" w:lineRule="auto"/>
        <w:textAlignment w:val="auto"/>
        <w:rPr>
          <w:rStyle w:val="47"/>
          <w:rFonts w:hint="eastAsia" w:ascii="宋体" w:hAnsi="宋体" w:eastAsia="宋体" w:cs="宋体"/>
          <w:b w:val="0"/>
          <w:color w:val="auto"/>
          <w:spacing w:val="12"/>
          <w:sz w:val="24"/>
          <w:szCs w:val="24"/>
          <w:highlight w:val="none"/>
        </w:rPr>
      </w:pPr>
      <w:r>
        <w:rPr>
          <w:rStyle w:val="47"/>
          <w:rFonts w:hint="eastAsia" w:ascii="宋体" w:hAnsi="宋体" w:eastAsia="宋体" w:cs="宋体"/>
          <w:color w:val="auto"/>
          <w:spacing w:val="12"/>
          <w:sz w:val="24"/>
          <w:szCs w:val="24"/>
          <w:highlight w:val="none"/>
        </w:rPr>
        <w:t>致：（采购人名称）</w:t>
      </w:r>
    </w:p>
    <w:p w14:paraId="5005B580">
      <w:pPr>
        <w:pStyle w:val="2"/>
        <w:pageBreakBefore w:val="0"/>
        <w:widowControl/>
        <w:kinsoku/>
        <w:overflowPunct/>
        <w:topLinePunct w:val="0"/>
        <w:autoSpaceDE/>
        <w:autoSpaceDN/>
        <w:bidi w:val="0"/>
        <w:adjustRightInd/>
        <w:snapToGrid/>
        <w:spacing w:line="288" w:lineRule="auto"/>
        <w:textAlignment w:val="auto"/>
        <w:rPr>
          <w:rStyle w:val="47"/>
          <w:rFonts w:hint="eastAsia" w:ascii="宋体" w:hAnsi="宋体" w:eastAsia="宋体" w:cs="宋体"/>
          <w:b w:val="0"/>
          <w:bCs w:val="0"/>
          <w:color w:val="auto"/>
          <w:spacing w:val="12"/>
          <w:sz w:val="24"/>
          <w:szCs w:val="24"/>
          <w:highlight w:val="none"/>
        </w:rPr>
      </w:pPr>
      <w:r>
        <w:rPr>
          <w:rStyle w:val="47"/>
          <w:rFonts w:hint="eastAsia" w:ascii="宋体" w:hAnsi="宋体" w:eastAsia="宋体" w:cs="宋体"/>
          <w:b w:val="0"/>
          <w:bCs w:val="0"/>
          <w:color w:val="auto"/>
          <w:spacing w:val="12"/>
          <w:sz w:val="24"/>
          <w:szCs w:val="24"/>
          <w:highlight w:val="none"/>
        </w:rPr>
        <w:t xml:space="preserve">    我公司承诺：如我公司在参与</w:t>
      </w:r>
      <w:r>
        <w:rPr>
          <w:rStyle w:val="47"/>
          <w:rFonts w:hint="eastAsia" w:ascii="宋体" w:hAnsi="宋体" w:eastAsia="宋体" w:cs="宋体"/>
          <w:b w:val="0"/>
          <w:bCs w:val="0"/>
          <w:color w:val="auto"/>
          <w:spacing w:val="12"/>
          <w:sz w:val="24"/>
          <w:szCs w:val="24"/>
          <w:highlight w:val="none"/>
          <w:u w:val="single"/>
        </w:rPr>
        <w:t xml:space="preserve">   （项目名称）    </w:t>
      </w:r>
      <w:r>
        <w:rPr>
          <w:rStyle w:val="47"/>
          <w:rFonts w:hint="eastAsia" w:ascii="宋体" w:hAnsi="宋体" w:eastAsia="宋体" w:cs="宋体"/>
          <w:b w:val="0"/>
          <w:bCs w:val="0"/>
          <w:color w:val="auto"/>
          <w:spacing w:val="12"/>
          <w:sz w:val="24"/>
          <w:szCs w:val="24"/>
          <w:highlight w:val="none"/>
        </w:rPr>
        <w:t>中标后，所投货物经采购人验收后若与技术参数偏离表上偏离情况不符合，出现的所有后果由我公司自行承担。</w:t>
      </w:r>
    </w:p>
    <w:p w14:paraId="5D12ACE3">
      <w:pPr>
        <w:pageBreakBefore w:val="0"/>
        <w:widowControl/>
        <w:kinsoku/>
        <w:overflowPunct/>
        <w:topLinePunct w:val="0"/>
        <w:autoSpaceDE/>
        <w:autoSpaceDN/>
        <w:bidi w:val="0"/>
        <w:adjustRightInd/>
        <w:snapToGrid/>
        <w:spacing w:line="288" w:lineRule="auto"/>
        <w:textAlignment w:val="auto"/>
        <w:rPr>
          <w:rStyle w:val="47"/>
          <w:rFonts w:hint="eastAsia" w:ascii="宋体" w:hAnsi="宋体" w:eastAsia="宋体" w:cs="宋体"/>
          <w:b w:val="0"/>
          <w:color w:val="auto"/>
          <w:spacing w:val="12"/>
          <w:sz w:val="24"/>
          <w:szCs w:val="24"/>
          <w:highlight w:val="none"/>
        </w:rPr>
      </w:pPr>
    </w:p>
    <w:p w14:paraId="4DE639DB">
      <w:pPr>
        <w:pStyle w:val="2"/>
        <w:pageBreakBefore w:val="0"/>
        <w:widowControl/>
        <w:kinsoku/>
        <w:overflowPunct/>
        <w:topLinePunct w:val="0"/>
        <w:autoSpaceDE/>
        <w:autoSpaceDN/>
        <w:bidi w:val="0"/>
        <w:adjustRightInd/>
        <w:snapToGrid/>
        <w:spacing w:line="288" w:lineRule="auto"/>
        <w:textAlignment w:val="auto"/>
        <w:rPr>
          <w:rStyle w:val="47"/>
          <w:rFonts w:hint="eastAsia" w:ascii="宋体" w:hAnsi="宋体" w:eastAsia="宋体" w:cs="宋体"/>
          <w:b w:val="0"/>
          <w:bCs w:val="0"/>
          <w:color w:val="auto"/>
          <w:spacing w:val="12"/>
          <w:sz w:val="24"/>
          <w:szCs w:val="24"/>
          <w:highlight w:val="none"/>
        </w:rPr>
      </w:pPr>
    </w:p>
    <w:p w14:paraId="0E77F978">
      <w:pPr>
        <w:pageBreakBefore w:val="0"/>
        <w:widowControl/>
        <w:kinsoku/>
        <w:wordWrap w:val="0"/>
        <w:overflowPunct/>
        <w:topLinePunct w:val="0"/>
        <w:autoSpaceDE/>
        <w:autoSpaceDN/>
        <w:bidi w:val="0"/>
        <w:adjustRightInd/>
        <w:snapToGrid/>
        <w:spacing w:line="288" w:lineRule="auto"/>
        <w:jc w:val="right"/>
        <w:textAlignment w:val="auto"/>
        <w:rPr>
          <w:rStyle w:val="47"/>
          <w:rFonts w:hint="eastAsia" w:ascii="宋体" w:hAnsi="宋体" w:eastAsia="宋体" w:cs="宋体"/>
          <w:b w:val="0"/>
          <w:color w:val="auto"/>
          <w:spacing w:val="12"/>
          <w:sz w:val="24"/>
          <w:szCs w:val="24"/>
          <w:highlight w:val="none"/>
          <w:u w:val="single"/>
        </w:rPr>
      </w:pPr>
      <w:r>
        <w:rPr>
          <w:rStyle w:val="47"/>
          <w:rFonts w:hint="eastAsia" w:ascii="宋体" w:hAnsi="宋体" w:eastAsia="宋体" w:cs="宋体"/>
          <w:b w:val="0"/>
          <w:color w:val="auto"/>
          <w:spacing w:val="12"/>
          <w:sz w:val="24"/>
          <w:szCs w:val="24"/>
          <w:highlight w:val="none"/>
        </w:rPr>
        <w:t>供应商名称：       （盖单位章）</w:t>
      </w:r>
    </w:p>
    <w:p w14:paraId="1E5E80E0">
      <w:pPr>
        <w:pStyle w:val="2"/>
        <w:pageBreakBefore w:val="0"/>
        <w:widowControl/>
        <w:kinsoku/>
        <w:wordWrap w:val="0"/>
        <w:overflowPunct/>
        <w:topLinePunct w:val="0"/>
        <w:autoSpaceDE/>
        <w:autoSpaceDN/>
        <w:bidi w:val="0"/>
        <w:adjustRightInd/>
        <w:snapToGrid/>
        <w:spacing w:line="288" w:lineRule="auto"/>
        <w:ind w:right="-1" w:firstLine="264" w:firstLineChars="100"/>
        <w:jc w:val="right"/>
        <w:textAlignment w:val="auto"/>
        <w:rPr>
          <w:rFonts w:hint="eastAsia" w:ascii="宋体" w:hAnsi="宋体" w:eastAsia="宋体" w:cs="宋体"/>
          <w:b w:val="0"/>
          <w:color w:val="auto"/>
          <w:sz w:val="24"/>
          <w:szCs w:val="24"/>
          <w:highlight w:val="none"/>
        </w:rPr>
      </w:pPr>
      <w:r>
        <w:rPr>
          <w:rStyle w:val="47"/>
          <w:rFonts w:hint="eastAsia" w:ascii="宋体" w:hAnsi="宋体" w:eastAsia="宋体" w:cs="宋体"/>
          <w:b w:val="0"/>
          <w:bCs w:val="0"/>
          <w:color w:val="auto"/>
          <w:spacing w:val="12"/>
          <w:sz w:val="24"/>
          <w:szCs w:val="24"/>
          <w:highlight w:val="none"/>
        </w:rPr>
        <w:t>日     期：     年   月   日</w:t>
      </w:r>
    </w:p>
    <w:bookmarkEnd w:id="45"/>
    <w:bookmarkEnd w:id="46"/>
    <w:p w14:paraId="69F73D08">
      <w:pPr>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br w:type="page"/>
      </w:r>
    </w:p>
    <w:p w14:paraId="2CDB33C8">
      <w:pPr>
        <w:spacing w:line="360" w:lineRule="auto"/>
        <w:jc w:val="center"/>
        <w:rPr>
          <w:rFonts w:hint="eastAsia" w:ascii="宋体" w:hAnsi="宋体" w:eastAsia="宋体" w:cs="宋体"/>
          <w:b/>
          <w:color w:val="auto"/>
          <w:sz w:val="36"/>
          <w:szCs w:val="36"/>
          <w:highlight w:val="none"/>
        </w:rPr>
      </w:pPr>
    </w:p>
    <w:p w14:paraId="6DF2C181">
      <w:pPr>
        <w:spacing w:line="360" w:lineRule="auto"/>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十</w:t>
      </w:r>
      <w:r>
        <w:rPr>
          <w:rFonts w:hint="eastAsia" w:ascii="宋体" w:hAnsi="宋体" w:cs="宋体"/>
          <w:b/>
          <w:color w:val="auto"/>
          <w:sz w:val="36"/>
          <w:szCs w:val="36"/>
          <w:highlight w:val="none"/>
          <w:lang w:eastAsia="zh-CN"/>
        </w:rPr>
        <w:t>三</w:t>
      </w:r>
      <w:r>
        <w:rPr>
          <w:rFonts w:hint="eastAsia" w:ascii="宋体" w:hAnsi="宋体" w:eastAsia="宋体" w:cs="宋体"/>
          <w:b/>
          <w:color w:val="auto"/>
          <w:sz w:val="36"/>
          <w:szCs w:val="36"/>
          <w:highlight w:val="none"/>
        </w:rPr>
        <w:t>、投标货物详细说明</w:t>
      </w:r>
    </w:p>
    <w:tbl>
      <w:tblPr>
        <w:tblStyle w:val="44"/>
        <w:tblW w:w="9113" w:type="dxa"/>
        <w:tblInd w:w="9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3"/>
        <w:gridCol w:w="1701"/>
        <w:gridCol w:w="993"/>
        <w:gridCol w:w="1417"/>
        <w:gridCol w:w="2408"/>
        <w:gridCol w:w="1871"/>
      </w:tblGrid>
      <w:tr w14:paraId="0D79D6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trPr>
        <w:tc>
          <w:tcPr>
            <w:tcW w:w="9113" w:type="dxa"/>
            <w:gridSpan w:val="6"/>
            <w:vAlign w:val="center"/>
          </w:tcPr>
          <w:p w14:paraId="4181489D">
            <w:pPr>
              <w:keepNext w:val="0"/>
              <w:keepLines w:val="0"/>
              <w:pageBreakBefore w:val="0"/>
              <w:widowControl/>
              <w:kinsoku/>
              <w:wordWrap/>
              <w:topLinePunct w:val="0"/>
              <w:autoSpaceDE/>
              <w:autoSpaceDN/>
              <w:bidi w:val="0"/>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bCs/>
                <w:color w:val="auto"/>
                <w:sz w:val="24"/>
                <w:szCs w:val="24"/>
                <w:highlight w:val="none"/>
              </w:rPr>
              <w:t xml:space="preserve">项目名称：                                              </w:t>
            </w:r>
            <w:r>
              <w:rPr>
                <w:rFonts w:hint="eastAsia" w:ascii="宋体" w:hAnsi="宋体" w:eastAsia="宋体" w:cs="宋体"/>
                <w:b/>
                <w:color w:val="auto"/>
                <w:sz w:val="24"/>
                <w:szCs w:val="24"/>
                <w:highlight w:val="none"/>
              </w:rPr>
              <w:t>项目编号：</w:t>
            </w:r>
          </w:p>
        </w:tc>
      </w:tr>
      <w:tr w14:paraId="0E6E60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trPr>
        <w:tc>
          <w:tcPr>
            <w:tcW w:w="723" w:type="dxa"/>
            <w:vAlign w:val="center"/>
          </w:tcPr>
          <w:p w14:paraId="4B889A42">
            <w:pPr>
              <w:keepNext w:val="0"/>
              <w:keepLines w:val="0"/>
              <w:pageBreakBefore w:val="0"/>
              <w:widowControl/>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1701" w:type="dxa"/>
            <w:vAlign w:val="center"/>
          </w:tcPr>
          <w:p w14:paraId="10110A06">
            <w:pPr>
              <w:keepNext w:val="0"/>
              <w:keepLines w:val="0"/>
              <w:pageBreakBefore w:val="0"/>
              <w:widowControl/>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货物名称</w:t>
            </w:r>
          </w:p>
        </w:tc>
        <w:tc>
          <w:tcPr>
            <w:tcW w:w="993" w:type="dxa"/>
            <w:vAlign w:val="center"/>
          </w:tcPr>
          <w:p w14:paraId="4AAB7D04">
            <w:pPr>
              <w:keepNext w:val="0"/>
              <w:keepLines w:val="0"/>
              <w:pageBreakBefore w:val="0"/>
              <w:widowControl/>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数量</w:t>
            </w:r>
          </w:p>
        </w:tc>
        <w:tc>
          <w:tcPr>
            <w:tcW w:w="1417" w:type="dxa"/>
            <w:vAlign w:val="center"/>
          </w:tcPr>
          <w:p w14:paraId="46536277">
            <w:pPr>
              <w:keepNext w:val="0"/>
              <w:keepLines w:val="0"/>
              <w:pageBreakBefore w:val="0"/>
              <w:widowControl/>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品牌型号</w:t>
            </w:r>
          </w:p>
        </w:tc>
        <w:tc>
          <w:tcPr>
            <w:tcW w:w="2408" w:type="dxa"/>
            <w:vAlign w:val="center"/>
          </w:tcPr>
          <w:p w14:paraId="6264FB3B">
            <w:pPr>
              <w:keepNext w:val="0"/>
              <w:keepLines w:val="0"/>
              <w:pageBreakBefore w:val="0"/>
              <w:widowControl/>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性能及技术参数</w:t>
            </w:r>
          </w:p>
        </w:tc>
        <w:tc>
          <w:tcPr>
            <w:tcW w:w="1871" w:type="dxa"/>
            <w:vAlign w:val="center"/>
          </w:tcPr>
          <w:p w14:paraId="03EC2C03">
            <w:pPr>
              <w:keepNext w:val="0"/>
              <w:keepLines w:val="0"/>
              <w:pageBreakBefore w:val="0"/>
              <w:widowControl/>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备注</w:t>
            </w:r>
          </w:p>
        </w:tc>
      </w:tr>
      <w:tr w14:paraId="71FFFF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723" w:type="dxa"/>
            <w:vAlign w:val="center"/>
          </w:tcPr>
          <w:p w14:paraId="025F002D">
            <w:pPr>
              <w:keepNext w:val="0"/>
              <w:keepLines w:val="0"/>
              <w:pageBreakBefore w:val="0"/>
              <w:widowControl/>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701" w:type="dxa"/>
            <w:vAlign w:val="center"/>
          </w:tcPr>
          <w:p w14:paraId="370D1776">
            <w:pPr>
              <w:keepNext w:val="0"/>
              <w:keepLines w:val="0"/>
              <w:pageBreakBefore w:val="0"/>
              <w:widowControl/>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993" w:type="dxa"/>
            <w:vAlign w:val="center"/>
          </w:tcPr>
          <w:p w14:paraId="3FCA78A7">
            <w:pPr>
              <w:keepNext w:val="0"/>
              <w:keepLines w:val="0"/>
              <w:pageBreakBefore w:val="0"/>
              <w:widowControl/>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417" w:type="dxa"/>
            <w:vAlign w:val="center"/>
          </w:tcPr>
          <w:p w14:paraId="480F1F05">
            <w:pPr>
              <w:keepNext w:val="0"/>
              <w:keepLines w:val="0"/>
              <w:pageBreakBefore w:val="0"/>
              <w:widowControl/>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408" w:type="dxa"/>
            <w:vAlign w:val="center"/>
          </w:tcPr>
          <w:p w14:paraId="5CD11421">
            <w:pPr>
              <w:keepNext w:val="0"/>
              <w:keepLines w:val="0"/>
              <w:pageBreakBefore w:val="0"/>
              <w:widowControl/>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871" w:type="dxa"/>
            <w:vAlign w:val="center"/>
          </w:tcPr>
          <w:p w14:paraId="0946C1A8">
            <w:pPr>
              <w:keepNext w:val="0"/>
              <w:keepLines w:val="0"/>
              <w:pageBreakBefore w:val="0"/>
              <w:widowControl/>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r>
      <w:tr w14:paraId="496C23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723" w:type="dxa"/>
            <w:vAlign w:val="center"/>
          </w:tcPr>
          <w:p w14:paraId="7D3D564D">
            <w:pPr>
              <w:keepNext w:val="0"/>
              <w:keepLines w:val="0"/>
              <w:pageBreakBefore w:val="0"/>
              <w:widowControl/>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701" w:type="dxa"/>
            <w:vAlign w:val="center"/>
          </w:tcPr>
          <w:p w14:paraId="7823ED00">
            <w:pPr>
              <w:keepNext w:val="0"/>
              <w:keepLines w:val="0"/>
              <w:pageBreakBefore w:val="0"/>
              <w:widowControl/>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993" w:type="dxa"/>
            <w:vAlign w:val="center"/>
          </w:tcPr>
          <w:p w14:paraId="33139A4A">
            <w:pPr>
              <w:keepNext w:val="0"/>
              <w:keepLines w:val="0"/>
              <w:pageBreakBefore w:val="0"/>
              <w:widowControl/>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417" w:type="dxa"/>
            <w:vAlign w:val="center"/>
          </w:tcPr>
          <w:p w14:paraId="37824676">
            <w:pPr>
              <w:keepNext w:val="0"/>
              <w:keepLines w:val="0"/>
              <w:pageBreakBefore w:val="0"/>
              <w:widowControl/>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408" w:type="dxa"/>
            <w:vAlign w:val="center"/>
          </w:tcPr>
          <w:p w14:paraId="31DBFA14">
            <w:pPr>
              <w:keepNext w:val="0"/>
              <w:keepLines w:val="0"/>
              <w:pageBreakBefore w:val="0"/>
              <w:widowControl/>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871" w:type="dxa"/>
            <w:vAlign w:val="center"/>
          </w:tcPr>
          <w:p w14:paraId="1583E3ED">
            <w:pPr>
              <w:keepNext w:val="0"/>
              <w:keepLines w:val="0"/>
              <w:pageBreakBefore w:val="0"/>
              <w:widowControl/>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r>
      <w:tr w14:paraId="2AB4C0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723" w:type="dxa"/>
            <w:vAlign w:val="center"/>
          </w:tcPr>
          <w:p w14:paraId="6B17AB55">
            <w:pPr>
              <w:keepNext w:val="0"/>
              <w:keepLines w:val="0"/>
              <w:pageBreakBefore w:val="0"/>
              <w:widowControl/>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701" w:type="dxa"/>
            <w:vAlign w:val="center"/>
          </w:tcPr>
          <w:p w14:paraId="7E17EC36">
            <w:pPr>
              <w:keepNext w:val="0"/>
              <w:keepLines w:val="0"/>
              <w:pageBreakBefore w:val="0"/>
              <w:widowControl/>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993" w:type="dxa"/>
            <w:vAlign w:val="center"/>
          </w:tcPr>
          <w:p w14:paraId="651B4CA2">
            <w:pPr>
              <w:keepNext w:val="0"/>
              <w:keepLines w:val="0"/>
              <w:pageBreakBefore w:val="0"/>
              <w:widowControl/>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417" w:type="dxa"/>
            <w:vAlign w:val="center"/>
          </w:tcPr>
          <w:p w14:paraId="1F7987A6">
            <w:pPr>
              <w:keepNext w:val="0"/>
              <w:keepLines w:val="0"/>
              <w:pageBreakBefore w:val="0"/>
              <w:widowControl/>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408" w:type="dxa"/>
            <w:vAlign w:val="center"/>
          </w:tcPr>
          <w:p w14:paraId="4C38BF9F">
            <w:pPr>
              <w:keepNext w:val="0"/>
              <w:keepLines w:val="0"/>
              <w:pageBreakBefore w:val="0"/>
              <w:widowControl/>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871" w:type="dxa"/>
            <w:vAlign w:val="center"/>
          </w:tcPr>
          <w:p w14:paraId="0988A504">
            <w:pPr>
              <w:keepNext w:val="0"/>
              <w:keepLines w:val="0"/>
              <w:pageBreakBefore w:val="0"/>
              <w:widowControl/>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r>
      <w:tr w14:paraId="2F1F65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723" w:type="dxa"/>
            <w:vAlign w:val="center"/>
          </w:tcPr>
          <w:p w14:paraId="71D098BC">
            <w:pPr>
              <w:keepNext w:val="0"/>
              <w:keepLines w:val="0"/>
              <w:pageBreakBefore w:val="0"/>
              <w:widowControl/>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701" w:type="dxa"/>
            <w:vAlign w:val="center"/>
          </w:tcPr>
          <w:p w14:paraId="5841A737">
            <w:pPr>
              <w:keepNext w:val="0"/>
              <w:keepLines w:val="0"/>
              <w:pageBreakBefore w:val="0"/>
              <w:widowControl/>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993" w:type="dxa"/>
            <w:vAlign w:val="center"/>
          </w:tcPr>
          <w:p w14:paraId="77D922DA">
            <w:pPr>
              <w:keepNext w:val="0"/>
              <w:keepLines w:val="0"/>
              <w:pageBreakBefore w:val="0"/>
              <w:widowControl/>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417" w:type="dxa"/>
            <w:vAlign w:val="center"/>
          </w:tcPr>
          <w:p w14:paraId="5405EA32">
            <w:pPr>
              <w:keepNext w:val="0"/>
              <w:keepLines w:val="0"/>
              <w:pageBreakBefore w:val="0"/>
              <w:widowControl/>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408" w:type="dxa"/>
            <w:vAlign w:val="center"/>
          </w:tcPr>
          <w:p w14:paraId="2C355715">
            <w:pPr>
              <w:keepNext w:val="0"/>
              <w:keepLines w:val="0"/>
              <w:pageBreakBefore w:val="0"/>
              <w:widowControl/>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871" w:type="dxa"/>
            <w:vAlign w:val="center"/>
          </w:tcPr>
          <w:p w14:paraId="59A95D09">
            <w:pPr>
              <w:keepNext w:val="0"/>
              <w:keepLines w:val="0"/>
              <w:pageBreakBefore w:val="0"/>
              <w:widowControl/>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r>
      <w:tr w14:paraId="0A989C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723" w:type="dxa"/>
            <w:vAlign w:val="center"/>
          </w:tcPr>
          <w:p w14:paraId="091C310B">
            <w:pPr>
              <w:keepNext w:val="0"/>
              <w:keepLines w:val="0"/>
              <w:pageBreakBefore w:val="0"/>
              <w:widowControl/>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701" w:type="dxa"/>
            <w:vAlign w:val="center"/>
          </w:tcPr>
          <w:p w14:paraId="7F61CDDD">
            <w:pPr>
              <w:keepNext w:val="0"/>
              <w:keepLines w:val="0"/>
              <w:pageBreakBefore w:val="0"/>
              <w:widowControl/>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993" w:type="dxa"/>
            <w:vAlign w:val="center"/>
          </w:tcPr>
          <w:p w14:paraId="472A9A87">
            <w:pPr>
              <w:keepNext w:val="0"/>
              <w:keepLines w:val="0"/>
              <w:pageBreakBefore w:val="0"/>
              <w:widowControl/>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417" w:type="dxa"/>
            <w:vAlign w:val="center"/>
          </w:tcPr>
          <w:p w14:paraId="00ED072F">
            <w:pPr>
              <w:keepNext w:val="0"/>
              <w:keepLines w:val="0"/>
              <w:pageBreakBefore w:val="0"/>
              <w:widowControl/>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408" w:type="dxa"/>
            <w:vAlign w:val="center"/>
          </w:tcPr>
          <w:p w14:paraId="790860A5">
            <w:pPr>
              <w:keepNext w:val="0"/>
              <w:keepLines w:val="0"/>
              <w:pageBreakBefore w:val="0"/>
              <w:widowControl/>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871" w:type="dxa"/>
            <w:vAlign w:val="center"/>
          </w:tcPr>
          <w:p w14:paraId="0026F619">
            <w:pPr>
              <w:keepNext w:val="0"/>
              <w:keepLines w:val="0"/>
              <w:pageBreakBefore w:val="0"/>
              <w:widowControl/>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r>
      <w:tr w14:paraId="60213E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723" w:type="dxa"/>
            <w:vAlign w:val="center"/>
          </w:tcPr>
          <w:p w14:paraId="3FE2A794">
            <w:pPr>
              <w:keepNext w:val="0"/>
              <w:keepLines w:val="0"/>
              <w:pageBreakBefore w:val="0"/>
              <w:widowControl/>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701" w:type="dxa"/>
            <w:vAlign w:val="center"/>
          </w:tcPr>
          <w:p w14:paraId="0A07545D">
            <w:pPr>
              <w:keepNext w:val="0"/>
              <w:keepLines w:val="0"/>
              <w:pageBreakBefore w:val="0"/>
              <w:widowControl/>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993" w:type="dxa"/>
            <w:vAlign w:val="center"/>
          </w:tcPr>
          <w:p w14:paraId="608D9F48">
            <w:pPr>
              <w:keepNext w:val="0"/>
              <w:keepLines w:val="0"/>
              <w:pageBreakBefore w:val="0"/>
              <w:widowControl/>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417" w:type="dxa"/>
            <w:vAlign w:val="center"/>
          </w:tcPr>
          <w:p w14:paraId="631D52F4">
            <w:pPr>
              <w:keepNext w:val="0"/>
              <w:keepLines w:val="0"/>
              <w:pageBreakBefore w:val="0"/>
              <w:widowControl/>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408" w:type="dxa"/>
            <w:vAlign w:val="center"/>
          </w:tcPr>
          <w:p w14:paraId="0938BC2C">
            <w:pPr>
              <w:keepNext w:val="0"/>
              <w:keepLines w:val="0"/>
              <w:pageBreakBefore w:val="0"/>
              <w:widowControl/>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871" w:type="dxa"/>
            <w:vAlign w:val="center"/>
          </w:tcPr>
          <w:p w14:paraId="663A42F0">
            <w:pPr>
              <w:keepNext w:val="0"/>
              <w:keepLines w:val="0"/>
              <w:pageBreakBefore w:val="0"/>
              <w:widowControl/>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r>
      <w:tr w14:paraId="15D974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723" w:type="dxa"/>
            <w:vAlign w:val="center"/>
          </w:tcPr>
          <w:p w14:paraId="58A5C98A">
            <w:pPr>
              <w:keepNext w:val="0"/>
              <w:keepLines w:val="0"/>
              <w:pageBreakBefore w:val="0"/>
              <w:widowControl/>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701" w:type="dxa"/>
            <w:vAlign w:val="center"/>
          </w:tcPr>
          <w:p w14:paraId="4FB86BF7">
            <w:pPr>
              <w:keepNext w:val="0"/>
              <w:keepLines w:val="0"/>
              <w:pageBreakBefore w:val="0"/>
              <w:widowControl/>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993" w:type="dxa"/>
            <w:vAlign w:val="center"/>
          </w:tcPr>
          <w:p w14:paraId="521A16E0">
            <w:pPr>
              <w:keepNext w:val="0"/>
              <w:keepLines w:val="0"/>
              <w:pageBreakBefore w:val="0"/>
              <w:widowControl/>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417" w:type="dxa"/>
            <w:vAlign w:val="center"/>
          </w:tcPr>
          <w:p w14:paraId="689CC147">
            <w:pPr>
              <w:keepNext w:val="0"/>
              <w:keepLines w:val="0"/>
              <w:pageBreakBefore w:val="0"/>
              <w:widowControl/>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408" w:type="dxa"/>
            <w:vAlign w:val="center"/>
          </w:tcPr>
          <w:p w14:paraId="605C323B">
            <w:pPr>
              <w:keepNext w:val="0"/>
              <w:keepLines w:val="0"/>
              <w:pageBreakBefore w:val="0"/>
              <w:widowControl/>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871" w:type="dxa"/>
            <w:vAlign w:val="center"/>
          </w:tcPr>
          <w:p w14:paraId="72A834C0">
            <w:pPr>
              <w:keepNext w:val="0"/>
              <w:keepLines w:val="0"/>
              <w:pageBreakBefore w:val="0"/>
              <w:widowControl/>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r>
      <w:tr w14:paraId="2E0A3A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723" w:type="dxa"/>
            <w:vAlign w:val="center"/>
          </w:tcPr>
          <w:p w14:paraId="40B92FC0">
            <w:pPr>
              <w:keepNext w:val="0"/>
              <w:keepLines w:val="0"/>
              <w:pageBreakBefore w:val="0"/>
              <w:widowControl/>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701" w:type="dxa"/>
            <w:vAlign w:val="center"/>
          </w:tcPr>
          <w:p w14:paraId="6D28F998">
            <w:pPr>
              <w:keepNext w:val="0"/>
              <w:keepLines w:val="0"/>
              <w:pageBreakBefore w:val="0"/>
              <w:widowControl/>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993" w:type="dxa"/>
            <w:vAlign w:val="center"/>
          </w:tcPr>
          <w:p w14:paraId="127EB774">
            <w:pPr>
              <w:keepNext w:val="0"/>
              <w:keepLines w:val="0"/>
              <w:pageBreakBefore w:val="0"/>
              <w:widowControl/>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417" w:type="dxa"/>
            <w:vAlign w:val="center"/>
          </w:tcPr>
          <w:p w14:paraId="7934BDDD">
            <w:pPr>
              <w:keepNext w:val="0"/>
              <w:keepLines w:val="0"/>
              <w:pageBreakBefore w:val="0"/>
              <w:widowControl/>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2408" w:type="dxa"/>
            <w:vAlign w:val="center"/>
          </w:tcPr>
          <w:p w14:paraId="4554BB1F">
            <w:pPr>
              <w:keepNext w:val="0"/>
              <w:keepLines w:val="0"/>
              <w:pageBreakBefore w:val="0"/>
              <w:widowControl/>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c>
          <w:tcPr>
            <w:tcW w:w="1871" w:type="dxa"/>
            <w:vAlign w:val="center"/>
          </w:tcPr>
          <w:p w14:paraId="02304A6A">
            <w:pPr>
              <w:keepNext w:val="0"/>
              <w:keepLines w:val="0"/>
              <w:pageBreakBefore w:val="0"/>
              <w:widowControl/>
              <w:kinsoku/>
              <w:wordWrap/>
              <w:topLinePunct w:val="0"/>
              <w:autoSpaceDE/>
              <w:autoSpaceDN/>
              <w:bidi w:val="0"/>
              <w:snapToGrid/>
              <w:spacing w:line="288" w:lineRule="auto"/>
              <w:jc w:val="center"/>
              <w:textAlignment w:val="auto"/>
              <w:rPr>
                <w:rFonts w:hint="eastAsia" w:ascii="宋体" w:hAnsi="宋体" w:eastAsia="宋体" w:cs="宋体"/>
                <w:color w:val="auto"/>
                <w:sz w:val="24"/>
                <w:szCs w:val="24"/>
                <w:highlight w:val="none"/>
              </w:rPr>
            </w:pPr>
          </w:p>
        </w:tc>
      </w:tr>
    </w:tbl>
    <w:p w14:paraId="6BB63A73">
      <w:pPr>
        <w:pStyle w:val="16"/>
        <w:keepNext w:val="0"/>
        <w:keepLines w:val="0"/>
        <w:pageBreakBefore w:val="0"/>
        <w:widowControl/>
        <w:kinsoku/>
        <w:wordWrap/>
        <w:overflowPunct w:val="0"/>
        <w:topLinePunct w:val="0"/>
        <w:autoSpaceDE/>
        <w:autoSpaceDN/>
        <w:bidi w:val="0"/>
        <w:snapToGrid/>
        <w:spacing w:before="120" w:beforeLines="50" w:after="0"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注明：供应商应按招标文件要求，根据“采购需求”详细列出产品的各项技术要求、技术措施或处理（须提供“采购需求”中要求提交的证明资料）</w:t>
      </w:r>
    </w:p>
    <w:p w14:paraId="6FD60483">
      <w:pPr>
        <w:keepNext w:val="0"/>
        <w:keepLines w:val="0"/>
        <w:pageBreakBefore w:val="0"/>
        <w:widowControl/>
        <w:kinsoku/>
        <w:wordWrap/>
        <w:topLinePunct w:val="0"/>
        <w:autoSpaceDE/>
        <w:autoSpaceDN/>
        <w:bidi w:val="0"/>
        <w:snapToGrid/>
        <w:spacing w:line="288" w:lineRule="auto"/>
        <w:textAlignment w:val="auto"/>
        <w:rPr>
          <w:rFonts w:hint="eastAsia" w:ascii="宋体" w:hAnsi="宋体" w:eastAsia="宋体" w:cs="宋体"/>
          <w:color w:val="auto"/>
          <w:sz w:val="24"/>
          <w:szCs w:val="24"/>
          <w:highlight w:val="none"/>
        </w:rPr>
      </w:pPr>
    </w:p>
    <w:p w14:paraId="5D5F029F">
      <w:pPr>
        <w:keepNext w:val="0"/>
        <w:keepLines w:val="0"/>
        <w:pageBreakBefore w:val="0"/>
        <w:widowControl/>
        <w:kinsoku/>
        <w:wordWrap/>
        <w:topLinePunct w:val="0"/>
        <w:autoSpaceDE/>
        <w:autoSpaceDN/>
        <w:bidi w:val="0"/>
        <w:snapToGrid/>
        <w:spacing w:line="288" w:lineRule="auto"/>
        <w:textAlignment w:val="auto"/>
        <w:rPr>
          <w:rFonts w:hint="eastAsia" w:ascii="宋体" w:hAnsi="宋体" w:eastAsia="宋体" w:cs="宋体"/>
          <w:color w:val="auto"/>
          <w:sz w:val="24"/>
          <w:szCs w:val="24"/>
          <w:highlight w:val="none"/>
        </w:rPr>
      </w:pPr>
    </w:p>
    <w:p w14:paraId="666D7615">
      <w:pPr>
        <w:keepNext w:val="0"/>
        <w:keepLines w:val="0"/>
        <w:pageBreakBefore w:val="0"/>
        <w:widowControl/>
        <w:kinsoku/>
        <w:wordWrap/>
        <w:topLinePunct w:val="0"/>
        <w:autoSpaceDE/>
        <w:autoSpaceDN/>
        <w:bidi w:val="0"/>
        <w:snapToGrid/>
        <w:spacing w:line="288" w:lineRule="auto"/>
        <w:textAlignment w:val="auto"/>
        <w:rPr>
          <w:rFonts w:hint="eastAsia" w:ascii="宋体" w:hAnsi="宋体" w:eastAsia="宋体" w:cs="宋体"/>
          <w:color w:val="auto"/>
          <w:sz w:val="24"/>
          <w:szCs w:val="24"/>
          <w:highlight w:val="none"/>
        </w:rPr>
      </w:pPr>
    </w:p>
    <w:tbl>
      <w:tblPr>
        <w:tblStyle w:val="44"/>
        <w:tblW w:w="5353" w:type="dxa"/>
        <w:tblInd w:w="0" w:type="dxa"/>
        <w:tblLayout w:type="fixed"/>
        <w:tblCellMar>
          <w:top w:w="0" w:type="dxa"/>
          <w:left w:w="108" w:type="dxa"/>
          <w:bottom w:w="0" w:type="dxa"/>
          <w:right w:w="108" w:type="dxa"/>
        </w:tblCellMar>
      </w:tblPr>
      <w:tblGrid>
        <w:gridCol w:w="5353"/>
      </w:tblGrid>
      <w:tr w14:paraId="4144FA8B">
        <w:tblPrEx>
          <w:tblCellMar>
            <w:top w:w="0" w:type="dxa"/>
            <w:left w:w="108" w:type="dxa"/>
            <w:bottom w:w="0" w:type="dxa"/>
            <w:right w:w="108" w:type="dxa"/>
          </w:tblCellMar>
        </w:tblPrEx>
        <w:tc>
          <w:tcPr>
            <w:tcW w:w="5353" w:type="dxa"/>
            <w:shd w:val="clear" w:color="auto" w:fill="auto"/>
          </w:tcPr>
          <w:p w14:paraId="061A0AB7">
            <w:pPr>
              <w:keepNext w:val="0"/>
              <w:keepLines w:val="0"/>
              <w:pageBreakBefore w:val="0"/>
              <w:widowControl/>
              <w:kinsoku/>
              <w:wordWrap/>
              <w:overflowPunct w:val="0"/>
              <w:topLinePunct w:val="0"/>
              <w:autoSpaceDE/>
              <w:autoSpaceDN/>
              <w:bidi w:val="0"/>
              <w:adjustRightInd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供应商名称（加盖公章）：</w:t>
            </w:r>
          </w:p>
        </w:tc>
      </w:tr>
      <w:tr w14:paraId="31715030">
        <w:tblPrEx>
          <w:tblCellMar>
            <w:top w:w="0" w:type="dxa"/>
            <w:left w:w="108" w:type="dxa"/>
            <w:bottom w:w="0" w:type="dxa"/>
            <w:right w:w="108" w:type="dxa"/>
          </w:tblCellMar>
        </w:tblPrEx>
        <w:tc>
          <w:tcPr>
            <w:tcW w:w="5353" w:type="dxa"/>
            <w:shd w:val="clear" w:color="auto" w:fill="auto"/>
          </w:tcPr>
          <w:p w14:paraId="721BB129">
            <w:pPr>
              <w:keepNext w:val="0"/>
              <w:keepLines w:val="0"/>
              <w:pageBreakBefore w:val="0"/>
              <w:widowControl/>
              <w:kinsoku/>
              <w:wordWrap/>
              <w:topLinePunct w:val="0"/>
              <w:autoSpaceDE/>
              <w:autoSpaceDN/>
              <w:bidi w:val="0"/>
              <w:snapToGrid/>
              <w:spacing w:line="288" w:lineRule="auto"/>
              <w:textAlignment w:val="auto"/>
              <w:rPr>
                <w:rFonts w:hint="eastAsia" w:ascii="宋体" w:hAnsi="宋体" w:eastAsia="宋体" w:cs="宋体"/>
                <w:color w:val="auto"/>
                <w:sz w:val="24"/>
                <w:szCs w:val="24"/>
                <w:highlight w:val="none"/>
              </w:rPr>
            </w:pPr>
          </w:p>
          <w:p w14:paraId="4C4F9E56">
            <w:pPr>
              <w:keepNext w:val="0"/>
              <w:keepLines w:val="0"/>
              <w:pageBreakBefore w:val="0"/>
              <w:widowControl/>
              <w:kinsoku/>
              <w:wordWrap/>
              <w:topLinePunct w:val="0"/>
              <w:autoSpaceDE/>
              <w:autoSpaceDN/>
              <w:bidi w:val="0"/>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     期：     年      月       日</w:t>
            </w:r>
          </w:p>
        </w:tc>
      </w:tr>
    </w:tbl>
    <w:p w14:paraId="476DAB02">
      <w:pPr>
        <w:keepNext w:val="0"/>
        <w:keepLines w:val="0"/>
        <w:pageBreakBefore w:val="0"/>
        <w:widowControl/>
        <w:kinsoku/>
        <w:wordWrap/>
        <w:topLinePunct w:val="0"/>
        <w:autoSpaceDE/>
        <w:autoSpaceDN/>
        <w:bidi w:val="0"/>
        <w:snapToGrid/>
        <w:spacing w:line="288" w:lineRule="auto"/>
        <w:textAlignment w:val="auto"/>
        <w:rPr>
          <w:rFonts w:hint="eastAsia" w:ascii="宋体" w:hAnsi="宋体" w:eastAsia="宋体" w:cs="宋体"/>
          <w:color w:val="auto"/>
          <w:sz w:val="24"/>
          <w:szCs w:val="24"/>
          <w:highlight w:val="none"/>
        </w:rPr>
      </w:pPr>
    </w:p>
    <w:bookmarkEnd w:id="47"/>
    <w:bookmarkEnd w:id="48"/>
    <w:p w14:paraId="7899DC3D">
      <w:pPr>
        <w:rPr>
          <w:rFonts w:hint="eastAsia" w:ascii="宋体" w:hAnsi="宋体" w:eastAsia="宋体" w:cs="宋体"/>
          <w:bCs/>
          <w:color w:val="auto"/>
          <w:sz w:val="32"/>
          <w:szCs w:val="32"/>
          <w:highlight w:val="none"/>
        </w:rPr>
      </w:pPr>
      <w:r>
        <w:rPr>
          <w:rFonts w:hint="eastAsia" w:ascii="宋体" w:hAnsi="宋体" w:eastAsia="宋体" w:cs="宋体"/>
          <w:bCs/>
          <w:color w:val="auto"/>
          <w:sz w:val="32"/>
          <w:szCs w:val="32"/>
          <w:highlight w:val="none"/>
        </w:rPr>
        <w:br w:type="page"/>
      </w:r>
    </w:p>
    <w:p w14:paraId="35E7296F">
      <w:pPr>
        <w:spacing w:line="360" w:lineRule="auto"/>
        <w:jc w:val="center"/>
        <w:rPr>
          <w:rFonts w:hint="eastAsia" w:ascii="宋体" w:hAnsi="宋体" w:eastAsia="宋体" w:cs="宋体"/>
          <w:b/>
          <w:color w:val="auto"/>
          <w:sz w:val="36"/>
          <w:szCs w:val="36"/>
          <w:highlight w:val="none"/>
        </w:rPr>
      </w:pPr>
    </w:p>
    <w:p w14:paraId="6C76FE38">
      <w:pPr>
        <w:spacing w:line="360" w:lineRule="auto"/>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十</w:t>
      </w:r>
      <w:r>
        <w:rPr>
          <w:rFonts w:hint="eastAsia" w:ascii="宋体" w:hAnsi="宋体" w:cs="宋体"/>
          <w:b/>
          <w:color w:val="auto"/>
          <w:sz w:val="36"/>
          <w:szCs w:val="36"/>
          <w:highlight w:val="none"/>
          <w:lang w:eastAsia="zh-CN"/>
        </w:rPr>
        <w:t>四</w:t>
      </w:r>
      <w:r>
        <w:rPr>
          <w:rFonts w:hint="eastAsia" w:ascii="宋体" w:hAnsi="宋体" w:eastAsia="宋体" w:cs="宋体"/>
          <w:b/>
          <w:color w:val="auto"/>
          <w:sz w:val="36"/>
          <w:szCs w:val="36"/>
          <w:highlight w:val="none"/>
        </w:rPr>
        <w:t>、具备履行合同所必需设备和专业技术能力承诺书</w:t>
      </w:r>
    </w:p>
    <w:p w14:paraId="2F60249C">
      <w:pPr>
        <w:keepNext w:val="0"/>
        <w:keepLines w:val="0"/>
        <w:pageBreakBefore w:val="0"/>
        <w:widowControl/>
        <w:kinsoku/>
        <w:wordWrap/>
        <w:topLinePunct w:val="0"/>
        <w:autoSpaceDE w:val="0"/>
        <w:autoSpaceDN w:val="0"/>
        <w:bidi w:val="0"/>
        <w:adjustRightInd w:val="0"/>
        <w:snapToGrid/>
        <w:spacing w:before="120" w:beforeLines="50" w:after="120" w:afterLines="50" w:line="288" w:lineRule="auto"/>
        <w:jc w:val="center"/>
        <w:textAlignment w:val="auto"/>
        <w:rPr>
          <w:rFonts w:hint="eastAsia" w:ascii="宋体" w:hAnsi="宋体" w:eastAsia="宋体" w:cs="宋体"/>
          <w:b/>
          <w:color w:val="auto"/>
          <w:sz w:val="24"/>
          <w:szCs w:val="24"/>
          <w:highlight w:val="none"/>
        </w:rPr>
      </w:pPr>
    </w:p>
    <w:p w14:paraId="0302A0AD">
      <w:pPr>
        <w:pStyle w:val="16"/>
        <w:keepNext w:val="0"/>
        <w:keepLines w:val="0"/>
        <w:pageBreakBefore w:val="0"/>
        <w:widowControl/>
        <w:kinsoku/>
        <w:wordWrap/>
        <w:overflowPunct w:val="0"/>
        <w:topLinePunct w:val="0"/>
        <w:bidi w:val="0"/>
        <w:snapToGrid/>
        <w:spacing w:before="120" w:beforeLines="50" w:after="0" w:line="288" w:lineRule="auto"/>
        <w:textAlignment w:val="auto"/>
        <w:rPr>
          <w:rFonts w:hint="eastAsia" w:ascii="宋体" w:hAnsi="宋体" w:eastAsia="宋体" w:cs="宋体"/>
          <w:b/>
          <w:color w:val="auto"/>
          <w:spacing w:val="10"/>
          <w:sz w:val="24"/>
          <w:szCs w:val="24"/>
          <w:highlight w:val="none"/>
        </w:rPr>
      </w:pPr>
    </w:p>
    <w:p w14:paraId="48EEDD53">
      <w:pPr>
        <w:pStyle w:val="16"/>
        <w:keepNext w:val="0"/>
        <w:keepLines w:val="0"/>
        <w:pageBreakBefore w:val="0"/>
        <w:widowControl/>
        <w:kinsoku/>
        <w:wordWrap/>
        <w:overflowPunct w:val="0"/>
        <w:topLinePunct w:val="0"/>
        <w:bidi w:val="0"/>
        <w:snapToGrid/>
        <w:spacing w:before="120" w:beforeLines="50" w:after="0"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b/>
          <w:color w:val="auto"/>
          <w:spacing w:val="10"/>
          <w:sz w:val="24"/>
          <w:szCs w:val="24"/>
          <w:highlight w:val="none"/>
        </w:rPr>
        <w:t>供应商需提供承诺书，格式自拟。</w:t>
      </w:r>
    </w:p>
    <w:p w14:paraId="78455F96">
      <w:pPr>
        <w:pStyle w:val="16"/>
        <w:keepNext w:val="0"/>
        <w:keepLines w:val="0"/>
        <w:pageBreakBefore w:val="0"/>
        <w:widowControl/>
        <w:kinsoku/>
        <w:wordWrap/>
        <w:overflowPunct w:val="0"/>
        <w:topLinePunct w:val="0"/>
        <w:bidi w:val="0"/>
        <w:snapToGrid/>
        <w:spacing w:before="120" w:beforeLines="50" w:after="0" w:line="288" w:lineRule="auto"/>
        <w:textAlignment w:val="auto"/>
        <w:rPr>
          <w:rFonts w:hint="eastAsia" w:ascii="宋体" w:hAnsi="宋体" w:eastAsia="宋体" w:cs="宋体"/>
          <w:color w:val="auto"/>
          <w:sz w:val="24"/>
          <w:szCs w:val="24"/>
          <w:highlight w:val="none"/>
        </w:rPr>
      </w:pPr>
    </w:p>
    <w:p w14:paraId="46071A7B">
      <w:pPr>
        <w:pStyle w:val="16"/>
        <w:keepNext w:val="0"/>
        <w:keepLines w:val="0"/>
        <w:pageBreakBefore w:val="0"/>
        <w:widowControl/>
        <w:kinsoku/>
        <w:wordWrap/>
        <w:overflowPunct w:val="0"/>
        <w:topLinePunct w:val="0"/>
        <w:bidi w:val="0"/>
        <w:snapToGrid/>
        <w:spacing w:before="120" w:beforeLines="50" w:after="0" w:line="288" w:lineRule="auto"/>
        <w:textAlignment w:val="auto"/>
        <w:rPr>
          <w:rFonts w:hint="eastAsia" w:ascii="宋体" w:hAnsi="宋体" w:eastAsia="宋体" w:cs="宋体"/>
          <w:color w:val="auto"/>
          <w:sz w:val="24"/>
          <w:szCs w:val="24"/>
          <w:highlight w:val="none"/>
        </w:rPr>
      </w:pPr>
    </w:p>
    <w:p w14:paraId="777CAFCD">
      <w:pPr>
        <w:keepNext w:val="0"/>
        <w:keepLines w:val="0"/>
        <w:pageBreakBefore w:val="0"/>
        <w:widowControl/>
        <w:kinsoku/>
        <w:wordWrap/>
        <w:topLinePunct w:val="0"/>
        <w:bidi w:val="0"/>
        <w:snapToGrid/>
        <w:spacing w:line="288" w:lineRule="auto"/>
        <w:textAlignment w:val="auto"/>
        <w:rPr>
          <w:rFonts w:hint="eastAsia" w:ascii="宋体" w:hAnsi="宋体" w:eastAsia="宋体" w:cs="宋体"/>
          <w:color w:val="auto"/>
          <w:sz w:val="24"/>
          <w:szCs w:val="24"/>
          <w:highlight w:val="none"/>
        </w:rPr>
      </w:pPr>
    </w:p>
    <w:p w14:paraId="01E0A0F7">
      <w:pPr>
        <w:keepNext w:val="0"/>
        <w:keepLines w:val="0"/>
        <w:pageBreakBefore w:val="0"/>
        <w:widowControl/>
        <w:kinsoku/>
        <w:wordWrap/>
        <w:topLinePunct w:val="0"/>
        <w:bidi w:val="0"/>
        <w:snapToGrid/>
        <w:spacing w:line="288" w:lineRule="auto"/>
        <w:textAlignment w:val="auto"/>
        <w:rPr>
          <w:rFonts w:hint="eastAsia" w:ascii="宋体" w:hAnsi="宋体" w:eastAsia="宋体" w:cs="宋体"/>
          <w:color w:val="auto"/>
          <w:sz w:val="24"/>
          <w:szCs w:val="24"/>
          <w:highlight w:val="none"/>
        </w:rPr>
      </w:pPr>
    </w:p>
    <w:p w14:paraId="1C294852">
      <w:pPr>
        <w:keepNext w:val="0"/>
        <w:keepLines w:val="0"/>
        <w:pageBreakBefore w:val="0"/>
        <w:widowControl/>
        <w:kinsoku/>
        <w:wordWrap/>
        <w:topLinePunct w:val="0"/>
        <w:bidi w:val="0"/>
        <w:snapToGrid/>
        <w:spacing w:line="288" w:lineRule="auto"/>
        <w:textAlignment w:val="auto"/>
        <w:rPr>
          <w:rFonts w:hint="eastAsia" w:ascii="宋体" w:hAnsi="宋体" w:eastAsia="宋体" w:cs="宋体"/>
          <w:color w:val="auto"/>
          <w:sz w:val="24"/>
          <w:szCs w:val="24"/>
          <w:highlight w:val="none"/>
        </w:rPr>
      </w:pPr>
    </w:p>
    <w:p w14:paraId="37A2D05F">
      <w:pPr>
        <w:keepNext w:val="0"/>
        <w:keepLines w:val="0"/>
        <w:pageBreakBefore w:val="0"/>
        <w:widowControl/>
        <w:kinsoku/>
        <w:wordWrap/>
        <w:topLinePunct w:val="0"/>
        <w:bidi w:val="0"/>
        <w:snapToGrid/>
        <w:spacing w:line="288" w:lineRule="auto"/>
        <w:textAlignment w:val="auto"/>
        <w:rPr>
          <w:rFonts w:hint="eastAsia" w:ascii="宋体" w:hAnsi="宋体" w:eastAsia="宋体" w:cs="宋体"/>
          <w:color w:val="auto"/>
          <w:sz w:val="24"/>
          <w:szCs w:val="24"/>
          <w:highlight w:val="none"/>
        </w:rPr>
      </w:pPr>
    </w:p>
    <w:p w14:paraId="1740D352">
      <w:pPr>
        <w:spacing w:line="360" w:lineRule="auto"/>
        <w:rPr>
          <w:rFonts w:hint="eastAsia" w:ascii="宋体" w:hAnsi="宋体" w:eastAsia="宋体" w:cs="宋体"/>
          <w:color w:val="auto"/>
          <w:szCs w:val="21"/>
          <w:highlight w:val="none"/>
        </w:rPr>
      </w:pPr>
    </w:p>
    <w:tbl>
      <w:tblPr>
        <w:tblStyle w:val="44"/>
        <w:tblW w:w="5738" w:type="dxa"/>
        <w:tblInd w:w="0" w:type="dxa"/>
        <w:tblLayout w:type="fixed"/>
        <w:tblCellMar>
          <w:top w:w="0" w:type="dxa"/>
          <w:left w:w="108" w:type="dxa"/>
          <w:bottom w:w="0" w:type="dxa"/>
          <w:right w:w="108" w:type="dxa"/>
        </w:tblCellMar>
      </w:tblPr>
      <w:tblGrid>
        <w:gridCol w:w="5738"/>
      </w:tblGrid>
      <w:tr w14:paraId="2D00245E">
        <w:tblPrEx>
          <w:tblCellMar>
            <w:top w:w="0" w:type="dxa"/>
            <w:left w:w="108" w:type="dxa"/>
            <w:bottom w:w="0" w:type="dxa"/>
            <w:right w:w="108" w:type="dxa"/>
          </w:tblCellMar>
        </w:tblPrEx>
        <w:tc>
          <w:tcPr>
            <w:tcW w:w="5738" w:type="dxa"/>
            <w:shd w:val="clear" w:color="auto" w:fill="auto"/>
          </w:tcPr>
          <w:p w14:paraId="2627AD6D">
            <w:pPr>
              <w:keepNext w:val="0"/>
              <w:keepLines w:val="0"/>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供应商名称（加盖公章）：</w:t>
            </w:r>
          </w:p>
        </w:tc>
      </w:tr>
      <w:tr w14:paraId="6DE352C0">
        <w:tblPrEx>
          <w:tblCellMar>
            <w:top w:w="0" w:type="dxa"/>
            <w:left w:w="108" w:type="dxa"/>
            <w:bottom w:w="0" w:type="dxa"/>
            <w:right w:w="108" w:type="dxa"/>
          </w:tblCellMar>
        </w:tblPrEx>
        <w:tc>
          <w:tcPr>
            <w:tcW w:w="5738" w:type="dxa"/>
            <w:shd w:val="clear" w:color="auto" w:fill="auto"/>
          </w:tcPr>
          <w:p w14:paraId="18C35684">
            <w:pPr>
              <w:keepNext w:val="0"/>
              <w:keepLines w:val="0"/>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p>
          <w:p w14:paraId="26282887">
            <w:pPr>
              <w:keepNext w:val="0"/>
              <w:keepLines w:val="0"/>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法定代表人或被授权人（签名或盖章）：</w:t>
            </w:r>
          </w:p>
        </w:tc>
      </w:tr>
      <w:tr w14:paraId="3E45EAEE">
        <w:tblPrEx>
          <w:tblCellMar>
            <w:top w:w="0" w:type="dxa"/>
            <w:left w:w="108" w:type="dxa"/>
            <w:bottom w:w="0" w:type="dxa"/>
            <w:right w:w="108" w:type="dxa"/>
          </w:tblCellMar>
        </w:tblPrEx>
        <w:tc>
          <w:tcPr>
            <w:tcW w:w="5738" w:type="dxa"/>
            <w:shd w:val="clear" w:color="auto" w:fill="auto"/>
          </w:tcPr>
          <w:p w14:paraId="0ED75AB6">
            <w:pPr>
              <w:keepNext w:val="0"/>
              <w:keepLines w:val="0"/>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p>
          <w:p w14:paraId="5487259D">
            <w:pPr>
              <w:keepNext w:val="0"/>
              <w:keepLines w:val="0"/>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     年     月       日</w:t>
            </w:r>
          </w:p>
        </w:tc>
      </w:tr>
    </w:tbl>
    <w:p w14:paraId="5CAFD311">
      <w:pPr>
        <w:spacing w:line="360" w:lineRule="auto"/>
        <w:rPr>
          <w:rFonts w:hint="eastAsia" w:ascii="宋体" w:hAnsi="宋体" w:eastAsia="宋体" w:cs="宋体"/>
          <w:color w:val="auto"/>
          <w:szCs w:val="21"/>
          <w:highlight w:val="none"/>
        </w:rPr>
      </w:pPr>
    </w:p>
    <w:p w14:paraId="7F35F503">
      <w:pP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br w:type="page"/>
      </w:r>
    </w:p>
    <w:p w14:paraId="41A28E85">
      <w:pPr>
        <w:spacing w:line="360" w:lineRule="auto"/>
        <w:jc w:val="center"/>
        <w:rPr>
          <w:rFonts w:hint="eastAsia" w:ascii="宋体" w:hAnsi="宋体" w:eastAsia="宋体" w:cs="宋体"/>
          <w:b/>
          <w:color w:val="auto"/>
          <w:sz w:val="36"/>
          <w:szCs w:val="36"/>
          <w:highlight w:val="none"/>
        </w:rPr>
      </w:pPr>
    </w:p>
    <w:p w14:paraId="5CFBD30B">
      <w:pPr>
        <w:spacing w:line="360" w:lineRule="auto"/>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十</w:t>
      </w:r>
      <w:r>
        <w:rPr>
          <w:rFonts w:hint="eastAsia" w:ascii="宋体" w:hAnsi="宋体" w:cs="宋体"/>
          <w:b/>
          <w:color w:val="auto"/>
          <w:sz w:val="36"/>
          <w:szCs w:val="36"/>
          <w:highlight w:val="none"/>
          <w:lang w:eastAsia="zh-CN"/>
        </w:rPr>
        <w:t>五</w:t>
      </w:r>
      <w:r>
        <w:rPr>
          <w:rFonts w:hint="eastAsia" w:ascii="宋体" w:hAnsi="宋体" w:eastAsia="宋体" w:cs="宋体"/>
          <w:b/>
          <w:color w:val="auto"/>
          <w:sz w:val="36"/>
          <w:szCs w:val="36"/>
          <w:highlight w:val="none"/>
        </w:rPr>
        <w:t>、项目实施方案</w:t>
      </w:r>
    </w:p>
    <w:p w14:paraId="084AD5D3">
      <w:pPr>
        <w:rPr>
          <w:rFonts w:hint="eastAsia" w:ascii="宋体" w:hAnsi="宋体" w:eastAsia="宋体" w:cs="宋体"/>
          <w:color w:val="auto"/>
          <w:sz w:val="32"/>
          <w:szCs w:val="32"/>
          <w:highlight w:val="none"/>
        </w:rPr>
      </w:pPr>
    </w:p>
    <w:p w14:paraId="0F6A0E5A">
      <w:pPr>
        <w:keepNext w:val="0"/>
        <w:keepLines w:val="0"/>
        <w:pageBreakBefore w:val="0"/>
        <w:widowControl/>
        <w:tabs>
          <w:tab w:val="left" w:pos="3780"/>
        </w:tabs>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供应商根据“评标办法”自行编写</w:t>
      </w:r>
    </w:p>
    <w:p w14:paraId="32372224">
      <w:pPr>
        <w:rPr>
          <w:rFonts w:hint="eastAsia" w:ascii="宋体" w:hAnsi="宋体" w:eastAsia="宋体" w:cs="宋体"/>
          <w:b/>
          <w:color w:val="auto"/>
          <w:spacing w:val="20"/>
          <w:sz w:val="30"/>
          <w:szCs w:val="30"/>
          <w:highlight w:val="none"/>
        </w:rPr>
      </w:pPr>
      <w:r>
        <w:rPr>
          <w:rFonts w:hint="eastAsia" w:ascii="宋体" w:hAnsi="宋体" w:eastAsia="宋体" w:cs="宋体"/>
          <w:b/>
          <w:color w:val="auto"/>
          <w:spacing w:val="20"/>
          <w:sz w:val="30"/>
          <w:szCs w:val="30"/>
          <w:highlight w:val="none"/>
        </w:rPr>
        <w:br w:type="page"/>
      </w:r>
    </w:p>
    <w:p w14:paraId="79E33E0E">
      <w:pPr>
        <w:spacing w:line="360" w:lineRule="auto"/>
        <w:jc w:val="center"/>
        <w:rPr>
          <w:rFonts w:hint="eastAsia" w:ascii="宋体" w:hAnsi="宋体" w:eastAsia="宋体" w:cs="宋体"/>
          <w:b/>
          <w:color w:val="auto"/>
          <w:sz w:val="36"/>
          <w:szCs w:val="36"/>
          <w:highlight w:val="none"/>
        </w:rPr>
      </w:pPr>
    </w:p>
    <w:p w14:paraId="1BB36100">
      <w:pPr>
        <w:spacing w:line="360" w:lineRule="auto"/>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十</w:t>
      </w:r>
      <w:r>
        <w:rPr>
          <w:rFonts w:hint="eastAsia" w:ascii="宋体" w:hAnsi="宋体" w:cs="宋体"/>
          <w:b/>
          <w:color w:val="auto"/>
          <w:sz w:val="36"/>
          <w:szCs w:val="36"/>
          <w:highlight w:val="none"/>
          <w:lang w:eastAsia="zh-CN"/>
        </w:rPr>
        <w:t>六</w:t>
      </w:r>
      <w:r>
        <w:rPr>
          <w:rFonts w:hint="eastAsia" w:ascii="宋体" w:hAnsi="宋体" w:eastAsia="宋体" w:cs="宋体"/>
          <w:b/>
          <w:color w:val="auto"/>
          <w:sz w:val="36"/>
          <w:szCs w:val="36"/>
          <w:highlight w:val="none"/>
        </w:rPr>
        <w:t>、投标保证金汇入情况说明</w:t>
      </w:r>
    </w:p>
    <w:p w14:paraId="00FA1DE0">
      <w:pPr>
        <w:keepNext w:val="0"/>
        <w:keepLines w:val="0"/>
        <w:pageBreakBefore w:val="0"/>
        <w:widowControl/>
        <w:kinsoku/>
        <w:overflowPunct/>
        <w:topLinePunct w:val="0"/>
        <w:autoSpaceDE/>
        <w:autoSpaceDN/>
        <w:bidi w:val="0"/>
        <w:adjustRightInd/>
        <w:snapToGrid/>
        <w:spacing w:before="360" w:beforeLines="150" w:after="240" w:afterLines="100"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致：采购代理机构名称</w:t>
      </w:r>
    </w:p>
    <w:p w14:paraId="0047FEF5">
      <w:pPr>
        <w:keepNext w:val="0"/>
        <w:keepLines w:val="0"/>
        <w:pageBreakBefore w:val="0"/>
        <w:widowControl/>
        <w:kinsoku/>
        <w:overflowPunct/>
        <w:topLinePunct w:val="0"/>
        <w:autoSpaceDE/>
        <w:autoSpaceDN/>
        <w:bidi w:val="0"/>
        <w:adjustRightInd/>
        <w:snapToGrid/>
        <w:spacing w:line="288" w:lineRule="auto"/>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本单位已按</w:t>
      </w:r>
      <w:r>
        <w:rPr>
          <w:rFonts w:hint="eastAsia" w:ascii="宋体" w:hAnsi="宋体" w:eastAsia="宋体" w:cs="宋体"/>
          <w:b/>
          <w:bCs/>
          <w:color w:val="auto"/>
          <w:sz w:val="24"/>
          <w:szCs w:val="24"/>
          <w:highlight w:val="none"/>
          <w:u w:val="single"/>
        </w:rPr>
        <w:t xml:space="preserve">     （项目名称）</w:t>
      </w:r>
      <w:r>
        <w:rPr>
          <w:rFonts w:hint="eastAsia" w:ascii="宋体" w:hAnsi="宋体" w:eastAsia="宋体" w:cs="宋体"/>
          <w:b/>
          <w:bCs/>
          <w:color w:val="auto"/>
          <w:sz w:val="24"/>
          <w:szCs w:val="24"/>
          <w:highlight w:val="none"/>
        </w:rPr>
        <w:t>（项目编号：）的招标文件要求，于  年  月  日前以（付款形式）方式汇入指定帐户（帐户名称：，帐号：，开户银行：）。</w:t>
      </w:r>
    </w:p>
    <w:p w14:paraId="7205B1D0">
      <w:pPr>
        <w:keepNext w:val="0"/>
        <w:keepLines w:val="0"/>
        <w:pageBreakBefore w:val="0"/>
        <w:widowControl/>
        <w:kinsoku/>
        <w:overflowPunct/>
        <w:topLinePunct w:val="0"/>
        <w:autoSpaceDE/>
        <w:autoSpaceDN/>
        <w:bidi w:val="0"/>
        <w:adjustRightInd/>
        <w:snapToGrid/>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本单位投标保证金的汇款情况：（详见附件－投标保证金汇款凭证）</w:t>
      </w:r>
    </w:p>
    <w:p w14:paraId="2074A713">
      <w:pPr>
        <w:keepNext w:val="0"/>
        <w:keepLines w:val="0"/>
        <w:pageBreakBefore w:val="0"/>
        <w:widowControl/>
        <w:kinsoku/>
        <w:overflowPunct/>
        <w:topLinePunct w:val="0"/>
        <w:autoSpaceDE/>
        <w:autoSpaceDN/>
        <w:bidi w:val="0"/>
        <w:adjustRightInd/>
        <w:snapToGrid/>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汇出时间：年月日；</w:t>
      </w:r>
    </w:p>
    <w:p w14:paraId="7BC6245B">
      <w:pPr>
        <w:keepNext w:val="0"/>
        <w:keepLines w:val="0"/>
        <w:pageBreakBefore w:val="0"/>
        <w:widowControl/>
        <w:kinsoku/>
        <w:overflowPunct/>
        <w:topLinePunct w:val="0"/>
        <w:autoSpaceDE/>
        <w:autoSpaceDN/>
        <w:bidi w:val="0"/>
        <w:adjustRightInd/>
        <w:snapToGrid/>
        <w:spacing w:line="288" w:lineRule="auto"/>
        <w:ind w:firstLine="480" w:firstLineChars="200"/>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汇款金额：（大写）人民币元（小写：￥元），</w:t>
      </w:r>
    </w:p>
    <w:p w14:paraId="216D5525">
      <w:pPr>
        <w:keepNext w:val="0"/>
        <w:keepLines w:val="0"/>
        <w:pageBreakBefore w:val="0"/>
        <w:widowControl/>
        <w:kinsoku/>
        <w:overflowPunct/>
        <w:topLinePunct w:val="0"/>
        <w:autoSpaceDE/>
        <w:autoSpaceDN/>
        <w:bidi w:val="0"/>
        <w:adjustRightInd/>
        <w:snapToGrid/>
        <w:spacing w:line="288" w:lineRule="auto"/>
        <w:ind w:firstLine="480" w:firstLineChars="200"/>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汇款帐户名称：</w:t>
      </w:r>
      <w:r>
        <w:rPr>
          <w:rFonts w:hint="eastAsia" w:ascii="宋体" w:hAnsi="宋体" w:eastAsia="宋体" w:cs="宋体"/>
          <w:color w:val="auto"/>
          <w:sz w:val="24"/>
          <w:szCs w:val="24"/>
          <w:highlight w:val="none"/>
          <w:u w:val="single"/>
        </w:rPr>
        <w:t xml:space="preserve">         （必须是投标时使用的帐户名          </w:t>
      </w:r>
    </w:p>
    <w:p w14:paraId="4B92EA29">
      <w:pPr>
        <w:keepNext w:val="0"/>
        <w:keepLines w:val="0"/>
        <w:pageBreakBefore w:val="0"/>
        <w:widowControl/>
        <w:kinsoku/>
        <w:overflowPunct/>
        <w:topLinePunct w:val="0"/>
        <w:autoSpaceDE/>
        <w:autoSpaceDN/>
        <w:bidi w:val="0"/>
        <w:adjustRightInd/>
        <w:snapToGrid/>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帐号：</w:t>
      </w:r>
      <w:r>
        <w:rPr>
          <w:rFonts w:hint="eastAsia" w:ascii="宋体" w:hAnsi="宋体" w:eastAsia="宋体" w:cs="宋体"/>
          <w:color w:val="auto"/>
          <w:sz w:val="24"/>
          <w:szCs w:val="24"/>
          <w:highlight w:val="none"/>
          <w:u w:val="single"/>
        </w:rPr>
        <w:t xml:space="preserve">        （必须是投标时使用的帐号）                   </w:t>
      </w:r>
    </w:p>
    <w:p w14:paraId="05DC2BB8">
      <w:pPr>
        <w:keepNext w:val="0"/>
        <w:keepLines w:val="0"/>
        <w:pageBreakBefore w:val="0"/>
        <w:widowControl/>
        <w:kinsoku/>
        <w:overflowPunct/>
        <w:topLinePunct w:val="0"/>
        <w:autoSpaceDE/>
        <w:autoSpaceDN/>
        <w:bidi w:val="0"/>
        <w:adjustRightInd/>
        <w:snapToGrid/>
        <w:spacing w:line="288" w:lineRule="auto"/>
        <w:ind w:firstLine="480" w:firstLineChars="200"/>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开户银行：</w:t>
      </w:r>
      <w:r>
        <w:rPr>
          <w:rFonts w:hint="eastAsia" w:ascii="宋体" w:hAnsi="宋体" w:eastAsia="宋体" w:cs="宋体"/>
          <w:color w:val="auto"/>
          <w:sz w:val="24"/>
          <w:szCs w:val="24"/>
          <w:highlight w:val="none"/>
          <w:u w:val="single"/>
        </w:rPr>
        <w:t xml:space="preserve">                                                 </w:t>
      </w:r>
    </w:p>
    <w:p w14:paraId="112E749F">
      <w:pPr>
        <w:keepNext w:val="0"/>
        <w:keepLines w:val="0"/>
        <w:pageBreakBefore w:val="0"/>
        <w:widowControl/>
        <w:kinsoku/>
        <w:overflowPunct/>
        <w:topLinePunct w:val="0"/>
        <w:autoSpaceDE/>
        <w:autoSpaceDN/>
        <w:bidi w:val="0"/>
        <w:adjustRightInd/>
        <w:snapToGrid/>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本单位谨承诺上述资料是正确、真实的，如因上述证明与事实不符导致的一切损失，本单位保证承担赔偿等一切法律责任。</w:t>
      </w:r>
    </w:p>
    <w:p w14:paraId="15A6A591">
      <w:pPr>
        <w:keepNext w:val="0"/>
        <w:keepLines w:val="0"/>
        <w:pageBreakBefore w:val="0"/>
        <w:widowControl/>
        <w:kinsoku/>
        <w:overflowPunct/>
        <w:topLinePunct w:val="0"/>
        <w:autoSpaceDE/>
        <w:autoSpaceDN/>
        <w:bidi w:val="0"/>
        <w:adjustRightInd/>
        <w:snapToGrid/>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投标保证金退回时，请按上述资料退回。</w:t>
      </w:r>
    </w:p>
    <w:p w14:paraId="47A594D7">
      <w:pPr>
        <w:keepNext w:val="0"/>
        <w:keepLines w:val="0"/>
        <w:pageBreakBefore w:val="0"/>
        <w:widowControl/>
        <w:kinsoku/>
        <w:overflowPunct/>
        <w:topLinePunct w:val="0"/>
        <w:autoSpaceDE/>
        <w:autoSpaceDN/>
        <w:bidi w:val="0"/>
        <w:adjustRightInd/>
        <w:snapToGrid/>
        <w:spacing w:line="288" w:lineRule="auto"/>
        <w:ind w:right="804" w:rightChars="402"/>
        <w:jc w:val="righ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（单位公章）</w:t>
      </w:r>
    </w:p>
    <w:p w14:paraId="5F13AF21">
      <w:pPr>
        <w:keepNext w:val="0"/>
        <w:keepLines w:val="0"/>
        <w:pageBreakBefore w:val="0"/>
        <w:widowControl/>
        <w:kinsoku/>
        <w:wordWrap w:val="0"/>
        <w:overflowPunct/>
        <w:topLinePunct w:val="0"/>
        <w:autoSpaceDE/>
        <w:autoSpaceDN/>
        <w:bidi w:val="0"/>
        <w:adjustRightInd/>
        <w:snapToGrid/>
        <w:spacing w:line="288" w:lineRule="auto"/>
        <w:ind w:right="598" w:rightChars="299"/>
        <w:jc w:val="righ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年     月       日</w:t>
      </w:r>
    </w:p>
    <w:p w14:paraId="568E0378">
      <w:pPr>
        <w:keepNext w:val="0"/>
        <w:keepLines w:val="0"/>
        <w:pageBreakBefore w:val="0"/>
        <w:widowControl/>
        <w:kinsoku/>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单位名称：</w:t>
      </w:r>
    </w:p>
    <w:p w14:paraId="449FDF77">
      <w:pPr>
        <w:keepNext w:val="0"/>
        <w:keepLines w:val="0"/>
        <w:pageBreakBefore w:val="0"/>
        <w:widowControl/>
        <w:kinsoku/>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单位地址：</w:t>
      </w:r>
    </w:p>
    <w:p w14:paraId="1CFA8D06">
      <w:pPr>
        <w:keepNext w:val="0"/>
        <w:keepLines w:val="0"/>
        <w:pageBreakBefore w:val="0"/>
        <w:widowControl/>
        <w:kinsoku/>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联系人：</w:t>
      </w:r>
      <w:r>
        <w:rPr>
          <w:rFonts w:hint="eastAsia" w:ascii="宋体" w:hAnsi="宋体" w:eastAsia="宋体" w:cs="宋体"/>
          <w:i/>
          <w:color w:val="auto"/>
          <w:sz w:val="24"/>
          <w:szCs w:val="24"/>
          <w:highlight w:val="none"/>
          <w:u w:val="single"/>
        </w:rPr>
        <w:t>（投标单位财务）</w:t>
      </w:r>
    </w:p>
    <w:p w14:paraId="32255ABC">
      <w:pPr>
        <w:keepNext w:val="0"/>
        <w:keepLines w:val="0"/>
        <w:pageBreakBefore w:val="0"/>
        <w:widowControl/>
        <w:kinsoku/>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单位电话：      联系人手机：</w:t>
      </w:r>
    </w:p>
    <w:tbl>
      <w:tblPr>
        <w:tblStyle w:val="44"/>
        <w:tblW w:w="9145" w:type="dxa"/>
        <w:jc w:val="center"/>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Layout w:type="fixed"/>
        <w:tblCellMar>
          <w:top w:w="0" w:type="dxa"/>
          <w:left w:w="108" w:type="dxa"/>
          <w:bottom w:w="0" w:type="dxa"/>
          <w:right w:w="108" w:type="dxa"/>
        </w:tblCellMar>
      </w:tblPr>
      <w:tblGrid>
        <w:gridCol w:w="9145"/>
      </w:tblGrid>
      <w:tr w14:paraId="17C83CA8">
        <w:tblPrEx>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CellMar>
            <w:top w:w="0" w:type="dxa"/>
            <w:left w:w="108" w:type="dxa"/>
            <w:bottom w:w="0" w:type="dxa"/>
            <w:right w:w="108" w:type="dxa"/>
          </w:tblCellMar>
        </w:tblPrEx>
        <w:trPr>
          <w:trHeight w:val="2310" w:hRule="atLeast"/>
          <w:jc w:val="center"/>
        </w:trPr>
        <w:tc>
          <w:tcPr>
            <w:tcW w:w="9145" w:type="dxa"/>
            <w:vAlign w:val="center"/>
          </w:tcPr>
          <w:p w14:paraId="7FE27FF6">
            <w:pPr>
              <w:keepNext w:val="0"/>
              <w:keepLines w:val="0"/>
              <w:pageBreakBefore w:val="0"/>
              <w:widowControl/>
              <w:kinsoku/>
              <w:overflowPunct/>
              <w:topLinePunct w:val="0"/>
              <w:autoSpaceDE/>
              <w:autoSpaceDN/>
              <w:bidi w:val="0"/>
              <w:adjustRightInd/>
              <w:snapToGrid/>
              <w:spacing w:line="288"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附件一：我方投标保证金汇款凭证（复印件加盖供应商公章）</w:t>
            </w:r>
          </w:p>
        </w:tc>
      </w:tr>
    </w:tbl>
    <w:p w14:paraId="57AF1689">
      <w:pPr>
        <w:keepNext w:val="0"/>
        <w:keepLines w:val="0"/>
        <w:pageBreakBefore w:val="0"/>
        <w:widowControl/>
        <w:kinsoku/>
        <w:overflowPunct/>
        <w:topLinePunct w:val="0"/>
        <w:autoSpaceDE/>
        <w:autoSpaceDN/>
        <w:bidi w:val="0"/>
        <w:adjustRightInd/>
        <w:snapToGrid/>
        <w:spacing w:line="288" w:lineRule="auto"/>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注：</w:t>
      </w:r>
      <w:r>
        <w:rPr>
          <w:rFonts w:hint="eastAsia" w:ascii="宋体" w:hAnsi="宋体" w:eastAsia="宋体" w:cs="宋体"/>
          <w:b/>
          <w:bCs w:val="0"/>
          <w:color w:val="auto"/>
          <w:sz w:val="24"/>
          <w:szCs w:val="24"/>
          <w:highlight w:val="none"/>
          <w:lang w:val="zh-CN"/>
        </w:rPr>
        <w:t>本情况说明手写无效</w:t>
      </w:r>
      <w:r>
        <w:rPr>
          <w:rFonts w:hint="eastAsia" w:ascii="宋体" w:hAnsi="宋体" w:cs="宋体"/>
          <w:b/>
          <w:bCs w:val="0"/>
          <w:color w:val="auto"/>
          <w:sz w:val="24"/>
          <w:szCs w:val="24"/>
          <w:highlight w:val="none"/>
          <w:lang w:val="zh-CN"/>
        </w:rPr>
        <w:t>，后附开户许可或开户证明</w:t>
      </w:r>
      <w:r>
        <w:rPr>
          <w:rFonts w:hint="eastAsia" w:ascii="宋体" w:hAnsi="宋体" w:cs="宋体"/>
          <w:bCs/>
          <w:color w:val="auto"/>
          <w:sz w:val="24"/>
          <w:szCs w:val="24"/>
          <w:highlight w:val="none"/>
          <w:lang w:val="zh-CN"/>
        </w:rPr>
        <w:t>。</w:t>
      </w:r>
    </w:p>
    <w:p w14:paraId="2EFC3959">
      <w:pPr>
        <w:autoSpaceDE w:val="0"/>
        <w:autoSpaceDN w:val="0"/>
        <w:adjustRightInd w:val="0"/>
        <w:spacing w:before="120" w:beforeLines="50" w:after="120" w:afterLines="50" w:line="400" w:lineRule="exact"/>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br w:type="page"/>
      </w:r>
    </w:p>
    <w:p w14:paraId="3CEFB575">
      <w:pPr>
        <w:spacing w:line="360" w:lineRule="auto"/>
        <w:jc w:val="center"/>
        <w:rPr>
          <w:rFonts w:hint="eastAsia" w:ascii="宋体" w:hAnsi="宋体" w:eastAsia="宋体" w:cs="宋体"/>
          <w:b/>
          <w:color w:val="auto"/>
          <w:sz w:val="36"/>
          <w:szCs w:val="36"/>
          <w:highlight w:val="none"/>
        </w:rPr>
      </w:pPr>
    </w:p>
    <w:p w14:paraId="586A7F76">
      <w:pPr>
        <w:spacing w:line="360" w:lineRule="auto"/>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十</w:t>
      </w:r>
      <w:r>
        <w:rPr>
          <w:rFonts w:hint="eastAsia" w:ascii="宋体" w:hAnsi="宋体" w:cs="宋体"/>
          <w:b/>
          <w:color w:val="auto"/>
          <w:sz w:val="36"/>
          <w:szCs w:val="36"/>
          <w:highlight w:val="none"/>
          <w:lang w:eastAsia="zh-CN"/>
        </w:rPr>
        <w:t>七</w:t>
      </w:r>
      <w:r>
        <w:rPr>
          <w:rFonts w:hint="eastAsia" w:ascii="宋体" w:hAnsi="宋体" w:eastAsia="宋体" w:cs="宋体"/>
          <w:b/>
          <w:color w:val="auto"/>
          <w:sz w:val="36"/>
          <w:szCs w:val="36"/>
          <w:highlight w:val="none"/>
        </w:rPr>
        <w:t>、供应商认为有必要提供的其他材料</w:t>
      </w:r>
    </w:p>
    <w:p w14:paraId="5EBCEB4B">
      <w:pPr>
        <w:rPr>
          <w:rFonts w:hint="eastAsia" w:ascii="宋体" w:hAnsi="宋体" w:eastAsia="宋体" w:cs="宋体"/>
          <w:b/>
          <w:color w:val="auto"/>
          <w:szCs w:val="21"/>
          <w:highlight w:val="none"/>
        </w:rPr>
      </w:pPr>
    </w:p>
    <w:p w14:paraId="001B0268">
      <w:pPr>
        <w:jc w:val="center"/>
        <w:rPr>
          <w:rFonts w:hint="eastAsia" w:ascii="宋体" w:hAnsi="宋体" w:eastAsia="宋体" w:cs="宋体"/>
          <w:b/>
          <w:color w:val="auto"/>
          <w:szCs w:val="21"/>
          <w:highlight w:val="none"/>
        </w:rPr>
      </w:pPr>
    </w:p>
    <w:p w14:paraId="3CA625CD">
      <w:pPr>
        <w:keepNext w:val="0"/>
        <w:keepLines w:val="0"/>
        <w:pageBreakBefore w:val="0"/>
        <w:widowControl/>
        <w:kinsoku/>
        <w:wordWrap/>
        <w:overflowPunct/>
        <w:topLinePunct w:val="0"/>
        <w:autoSpaceDE/>
        <w:autoSpaceDN/>
        <w:bidi w:val="0"/>
        <w:adjustRightInd/>
        <w:snapToGrid/>
        <w:spacing w:line="288" w:lineRule="auto"/>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供应商按招标文件要求自行填写，不作统一格式要求。</w:t>
      </w:r>
      <w:r>
        <w:rPr>
          <w:rFonts w:hint="eastAsia" w:ascii="宋体" w:hAnsi="宋体" w:eastAsia="宋体" w:cs="宋体"/>
          <w:b/>
          <w:color w:val="auto"/>
          <w:sz w:val="24"/>
          <w:szCs w:val="24"/>
          <w:highlight w:val="none"/>
        </w:rPr>
        <w:br w:type="page"/>
      </w:r>
    </w:p>
    <w:p w14:paraId="630995E5">
      <w:pPr>
        <w:spacing w:line="360" w:lineRule="auto"/>
        <w:jc w:val="center"/>
        <w:rPr>
          <w:rFonts w:hint="eastAsia" w:ascii="宋体" w:hAnsi="宋体" w:eastAsia="宋体" w:cs="宋体"/>
          <w:b/>
          <w:color w:val="auto"/>
          <w:sz w:val="36"/>
          <w:szCs w:val="36"/>
          <w:highlight w:val="none"/>
        </w:rPr>
      </w:pPr>
    </w:p>
    <w:p w14:paraId="55799399">
      <w:pPr>
        <w:spacing w:line="360" w:lineRule="auto"/>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评标办法目录索引表</w:t>
      </w:r>
    </w:p>
    <w:p w14:paraId="5E169424">
      <w:pPr>
        <w:rPr>
          <w:rFonts w:hint="eastAsia" w:ascii="宋体" w:hAnsi="宋体" w:eastAsia="宋体" w:cs="宋体"/>
          <w:color w:val="auto"/>
          <w:highlight w:val="none"/>
        </w:rPr>
      </w:pPr>
    </w:p>
    <w:p w14:paraId="2A98F164">
      <w:pPr>
        <w:rPr>
          <w:rFonts w:hint="eastAsia" w:ascii="宋体" w:hAnsi="宋体" w:eastAsia="宋体" w:cs="宋体"/>
          <w:color w:val="auto"/>
          <w:highlight w:val="none"/>
        </w:rPr>
      </w:pPr>
    </w:p>
    <w:p w14:paraId="0B897A2C">
      <w:pPr>
        <w:keepNext w:val="0"/>
        <w:keepLines w:val="0"/>
        <w:pageBreakBefore w:val="0"/>
        <w:widowControl/>
        <w:kinsoku/>
        <w:wordWrap/>
        <w:overflowPunct/>
        <w:topLinePunct w:val="0"/>
        <w:autoSpaceDE/>
        <w:autoSpaceDN/>
        <w:bidi w:val="0"/>
        <w:adjustRightInd/>
        <w:snapToGrid/>
        <w:spacing w:line="288" w:lineRule="auto"/>
        <w:ind w:firstLine="480"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按招标文件中评标方法、步骤、标准相对应条款填写</w:t>
      </w:r>
      <w:r>
        <w:rPr>
          <w:rFonts w:hint="eastAsia" w:ascii="宋体" w:hAnsi="宋体" w:eastAsia="宋体" w:cs="宋体"/>
          <w:b/>
          <w:bCs/>
          <w:color w:val="auto"/>
          <w:sz w:val="24"/>
          <w:szCs w:val="24"/>
          <w:highlight w:val="none"/>
        </w:rPr>
        <w:t>（此表格必须放置在目录处）</w:t>
      </w:r>
    </w:p>
    <w:p w14:paraId="3D4B1E97">
      <w:pP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br w:type="page"/>
      </w:r>
    </w:p>
    <w:p w14:paraId="5A8EB666">
      <w:pPr>
        <w:jc w:val="center"/>
        <w:rPr>
          <w:rFonts w:hint="eastAsia"/>
          <w:b/>
          <w:bCs/>
          <w:color w:val="auto"/>
          <w:sz w:val="44"/>
          <w:szCs w:val="44"/>
        </w:rPr>
      </w:pPr>
      <w:r>
        <w:rPr>
          <w:rFonts w:hint="eastAsia"/>
          <w:b/>
          <w:bCs/>
          <w:color w:val="auto"/>
          <w:sz w:val="44"/>
          <w:szCs w:val="44"/>
        </w:rPr>
        <w:t>中小企业声明函（货物）</w:t>
      </w:r>
    </w:p>
    <w:p w14:paraId="40430AEE">
      <w:pPr>
        <w:ind w:firstLine="640" w:firstLineChars="200"/>
        <w:rPr>
          <w:rFonts w:hint="eastAsia"/>
          <w:color w:val="auto"/>
          <w:sz w:val="32"/>
          <w:szCs w:val="32"/>
        </w:rPr>
      </w:pPr>
    </w:p>
    <w:p w14:paraId="395EA388">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color w:val="auto"/>
          <w:sz w:val="32"/>
          <w:szCs w:val="32"/>
        </w:rPr>
      </w:pPr>
      <w:r>
        <w:rPr>
          <w:rFonts w:hint="eastAsia"/>
          <w:color w:val="auto"/>
          <w:sz w:val="32"/>
          <w:szCs w:val="32"/>
        </w:rPr>
        <w:t>本公司郑重声明，根据《政府采购促进中小企业发展管理办法》（财库﹝2020﹞46 号）的规定，本公司参加</w:t>
      </w:r>
      <w:r>
        <w:rPr>
          <w:rFonts w:hint="eastAsia" w:eastAsia="宋体"/>
          <w:i/>
          <w:color w:val="auto"/>
          <w:sz w:val="32"/>
          <w:szCs w:val="32"/>
          <w:u w:val="words"/>
        </w:rPr>
        <w:t>（单位名称）</w:t>
      </w:r>
      <w:r>
        <w:rPr>
          <w:rFonts w:hint="eastAsia"/>
          <w:color w:val="auto"/>
          <w:sz w:val="32"/>
          <w:szCs w:val="32"/>
        </w:rPr>
        <w:t>的</w:t>
      </w:r>
      <w:r>
        <w:rPr>
          <w:rFonts w:hint="eastAsia" w:eastAsia="宋体"/>
          <w:i/>
          <w:color w:val="auto"/>
          <w:sz w:val="32"/>
          <w:szCs w:val="32"/>
          <w:u w:val="words"/>
        </w:rPr>
        <w:t>（项目名称）</w:t>
      </w:r>
      <w:r>
        <w:rPr>
          <w:rFonts w:hint="eastAsia"/>
          <w:color w:val="auto"/>
          <w:sz w:val="32"/>
          <w:szCs w:val="32"/>
        </w:rPr>
        <w:t>采购活动，提供的货物全部由符合政策要求的中小企业制造。相关企业的具体情况如下：</w:t>
      </w:r>
    </w:p>
    <w:p w14:paraId="3E8C0A2E">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color w:val="auto"/>
          <w:sz w:val="32"/>
          <w:szCs w:val="32"/>
        </w:rPr>
      </w:pPr>
      <w:r>
        <w:rPr>
          <w:rFonts w:hint="eastAsia"/>
          <w:color w:val="auto"/>
          <w:sz w:val="32"/>
          <w:szCs w:val="32"/>
        </w:rPr>
        <w:t xml:space="preserve">1. </w:t>
      </w:r>
      <w:r>
        <w:rPr>
          <w:rFonts w:hint="eastAsia" w:eastAsia="宋体"/>
          <w:i/>
          <w:color w:val="auto"/>
          <w:sz w:val="32"/>
          <w:szCs w:val="32"/>
          <w:u w:val="words"/>
        </w:rPr>
        <w:t>（标的名称）</w:t>
      </w:r>
      <w:r>
        <w:rPr>
          <w:rFonts w:hint="eastAsia"/>
          <w:color w:val="auto"/>
          <w:sz w:val="32"/>
          <w:szCs w:val="32"/>
        </w:rPr>
        <w:t>，属于</w:t>
      </w:r>
      <w:r>
        <w:rPr>
          <w:rFonts w:hint="eastAsia" w:eastAsia="宋体"/>
          <w:i/>
          <w:color w:val="auto"/>
          <w:sz w:val="32"/>
          <w:szCs w:val="32"/>
          <w:u w:val="words"/>
        </w:rPr>
        <w:t>（</w:t>
      </w:r>
      <w:r>
        <w:rPr>
          <w:rFonts w:hint="eastAsia"/>
          <w:i/>
          <w:color w:val="auto"/>
          <w:sz w:val="32"/>
          <w:szCs w:val="32"/>
          <w:u w:val="words"/>
          <w:lang w:eastAsia="zh-CN"/>
        </w:rPr>
        <w:t>对照“中小企业声明函附件”中</w:t>
      </w:r>
      <w:r>
        <w:rPr>
          <w:rFonts w:hint="eastAsia" w:eastAsia="宋体"/>
          <w:i/>
          <w:color w:val="auto"/>
          <w:sz w:val="32"/>
          <w:szCs w:val="32"/>
          <w:u w:val="words"/>
        </w:rPr>
        <w:t>的所属行业</w:t>
      </w:r>
      <w:r>
        <w:rPr>
          <w:rFonts w:hint="eastAsia"/>
          <w:i/>
          <w:color w:val="auto"/>
          <w:sz w:val="32"/>
          <w:szCs w:val="32"/>
          <w:u w:val="words"/>
          <w:lang w:eastAsia="zh-CN"/>
        </w:rPr>
        <w:t>及划型标准填写</w:t>
      </w:r>
      <w:r>
        <w:rPr>
          <w:rFonts w:hint="eastAsia" w:eastAsia="宋体"/>
          <w:i/>
          <w:color w:val="auto"/>
          <w:sz w:val="32"/>
          <w:szCs w:val="32"/>
          <w:u w:val="words"/>
        </w:rPr>
        <w:t>）行业</w:t>
      </w:r>
      <w:r>
        <w:rPr>
          <w:rFonts w:hint="eastAsia"/>
          <w:color w:val="auto"/>
          <w:sz w:val="32"/>
          <w:szCs w:val="32"/>
        </w:rPr>
        <w:t>；制造商为</w:t>
      </w:r>
      <w:r>
        <w:rPr>
          <w:rFonts w:hint="eastAsia" w:eastAsia="宋体"/>
          <w:i/>
          <w:color w:val="auto"/>
          <w:sz w:val="32"/>
          <w:szCs w:val="32"/>
          <w:u w:val="words"/>
        </w:rPr>
        <w:t>（企业名称）</w:t>
      </w:r>
      <w:r>
        <w:rPr>
          <w:rFonts w:hint="eastAsia"/>
          <w:color w:val="auto"/>
          <w:sz w:val="32"/>
          <w:szCs w:val="32"/>
        </w:rPr>
        <w:t>，从业人员</w:t>
      </w:r>
      <w:r>
        <w:rPr>
          <w:rFonts w:hint="eastAsia" w:eastAsia="宋体"/>
          <w:color w:val="auto"/>
          <w:sz w:val="32"/>
          <w:szCs w:val="32"/>
          <w:u w:val="single"/>
        </w:rPr>
        <w:t xml:space="preserve"> </w:t>
      </w:r>
      <w:r>
        <w:rPr>
          <w:rFonts w:hint="eastAsia" w:eastAsia="宋体"/>
          <w:color w:val="auto"/>
          <w:sz w:val="32"/>
          <w:szCs w:val="32"/>
          <w:u w:val="single"/>
          <w:lang w:val="en-US" w:eastAsia="zh-CN"/>
        </w:rPr>
        <w:t xml:space="preserve">    </w:t>
      </w:r>
      <w:r>
        <w:rPr>
          <w:rFonts w:hint="eastAsia"/>
          <w:color w:val="auto"/>
          <w:sz w:val="32"/>
          <w:szCs w:val="32"/>
        </w:rPr>
        <w:t>人，营业收入为</w:t>
      </w:r>
      <w:r>
        <w:rPr>
          <w:rFonts w:hint="eastAsia" w:eastAsia="宋体"/>
          <w:color w:val="auto"/>
          <w:sz w:val="32"/>
          <w:szCs w:val="32"/>
          <w:u w:val="single"/>
          <w:lang w:val="en-US" w:eastAsia="zh-CN"/>
        </w:rPr>
        <w:t xml:space="preserve">      </w:t>
      </w:r>
      <w:r>
        <w:rPr>
          <w:rFonts w:hint="eastAsia"/>
          <w:color w:val="auto"/>
          <w:sz w:val="32"/>
          <w:szCs w:val="32"/>
        </w:rPr>
        <w:t>万元，资产总额为</w:t>
      </w:r>
      <w:r>
        <w:rPr>
          <w:rFonts w:hint="eastAsia" w:eastAsia="宋体"/>
          <w:color w:val="auto"/>
          <w:sz w:val="32"/>
          <w:szCs w:val="32"/>
          <w:u w:val="single"/>
          <w:lang w:val="en-US" w:eastAsia="zh-CN"/>
        </w:rPr>
        <w:t xml:space="preserve">      </w:t>
      </w:r>
      <w:r>
        <w:rPr>
          <w:rFonts w:hint="eastAsia"/>
          <w:color w:val="auto"/>
          <w:sz w:val="32"/>
          <w:szCs w:val="32"/>
        </w:rPr>
        <w:t>万元，属于</w:t>
      </w:r>
      <w:r>
        <w:rPr>
          <w:rFonts w:hint="eastAsia" w:eastAsia="宋体"/>
          <w:i/>
          <w:color w:val="auto"/>
          <w:sz w:val="32"/>
          <w:szCs w:val="32"/>
          <w:u w:val="words"/>
        </w:rPr>
        <w:t>（中型企业、小型企业、微型企业）</w:t>
      </w:r>
      <w:r>
        <w:rPr>
          <w:rFonts w:hint="eastAsia"/>
          <w:color w:val="auto"/>
          <w:sz w:val="32"/>
          <w:szCs w:val="32"/>
        </w:rPr>
        <w:t>；</w:t>
      </w:r>
    </w:p>
    <w:p w14:paraId="04843241">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color w:val="auto"/>
          <w:sz w:val="32"/>
          <w:szCs w:val="32"/>
        </w:rPr>
      </w:pPr>
      <w:r>
        <w:rPr>
          <w:rFonts w:hint="eastAsia"/>
          <w:color w:val="auto"/>
          <w:sz w:val="32"/>
          <w:szCs w:val="32"/>
        </w:rPr>
        <w:t xml:space="preserve">2. </w:t>
      </w:r>
      <w:r>
        <w:rPr>
          <w:rFonts w:hint="eastAsia" w:eastAsia="宋体"/>
          <w:i/>
          <w:color w:val="auto"/>
          <w:sz w:val="32"/>
          <w:szCs w:val="32"/>
          <w:u w:val="words"/>
        </w:rPr>
        <w:t>（标的名称）</w:t>
      </w:r>
      <w:r>
        <w:rPr>
          <w:rFonts w:hint="eastAsia"/>
          <w:color w:val="auto"/>
          <w:sz w:val="32"/>
          <w:szCs w:val="32"/>
        </w:rPr>
        <w:t>，属于</w:t>
      </w:r>
      <w:r>
        <w:rPr>
          <w:rFonts w:hint="eastAsia" w:eastAsia="宋体"/>
          <w:i/>
          <w:color w:val="auto"/>
          <w:sz w:val="32"/>
          <w:szCs w:val="32"/>
          <w:u w:val="words"/>
        </w:rPr>
        <w:t>（</w:t>
      </w:r>
      <w:r>
        <w:rPr>
          <w:rFonts w:hint="eastAsia"/>
          <w:i/>
          <w:color w:val="auto"/>
          <w:sz w:val="32"/>
          <w:szCs w:val="32"/>
          <w:u w:val="words"/>
          <w:lang w:eastAsia="zh-CN"/>
        </w:rPr>
        <w:t>对照“中小企业声明函附件”中</w:t>
      </w:r>
      <w:r>
        <w:rPr>
          <w:rFonts w:hint="eastAsia" w:eastAsia="宋体"/>
          <w:i/>
          <w:color w:val="auto"/>
          <w:sz w:val="32"/>
          <w:szCs w:val="32"/>
          <w:u w:val="words"/>
        </w:rPr>
        <w:t>的所属行业</w:t>
      </w:r>
      <w:r>
        <w:rPr>
          <w:rFonts w:hint="eastAsia"/>
          <w:i/>
          <w:color w:val="auto"/>
          <w:sz w:val="32"/>
          <w:szCs w:val="32"/>
          <w:u w:val="words"/>
          <w:lang w:eastAsia="zh-CN"/>
        </w:rPr>
        <w:t>及划型标准填写</w:t>
      </w:r>
      <w:r>
        <w:rPr>
          <w:rFonts w:hint="eastAsia" w:eastAsia="宋体"/>
          <w:i/>
          <w:color w:val="auto"/>
          <w:sz w:val="32"/>
          <w:szCs w:val="32"/>
          <w:u w:val="words"/>
        </w:rPr>
        <w:t>）行业</w:t>
      </w:r>
      <w:r>
        <w:rPr>
          <w:rFonts w:hint="eastAsia"/>
          <w:color w:val="auto"/>
          <w:sz w:val="32"/>
          <w:szCs w:val="32"/>
        </w:rPr>
        <w:t>；制造商为</w:t>
      </w:r>
      <w:r>
        <w:rPr>
          <w:rFonts w:hint="eastAsia" w:eastAsia="宋体"/>
          <w:i/>
          <w:color w:val="auto"/>
          <w:sz w:val="32"/>
          <w:szCs w:val="32"/>
          <w:u w:val="words"/>
        </w:rPr>
        <w:t>（企业名称）</w:t>
      </w:r>
      <w:r>
        <w:rPr>
          <w:rFonts w:hint="eastAsia"/>
          <w:color w:val="auto"/>
          <w:sz w:val="32"/>
          <w:szCs w:val="32"/>
        </w:rPr>
        <w:t>，从业人员</w:t>
      </w:r>
      <w:r>
        <w:rPr>
          <w:rFonts w:hint="eastAsia" w:eastAsia="宋体"/>
          <w:color w:val="auto"/>
          <w:sz w:val="32"/>
          <w:szCs w:val="32"/>
          <w:u w:val="single"/>
        </w:rPr>
        <w:t xml:space="preserve"> </w:t>
      </w:r>
      <w:r>
        <w:rPr>
          <w:rFonts w:hint="eastAsia" w:eastAsia="宋体"/>
          <w:color w:val="auto"/>
          <w:sz w:val="32"/>
          <w:szCs w:val="32"/>
          <w:u w:val="single"/>
          <w:lang w:val="en-US" w:eastAsia="zh-CN"/>
        </w:rPr>
        <w:t xml:space="preserve">    </w:t>
      </w:r>
      <w:r>
        <w:rPr>
          <w:rFonts w:hint="eastAsia"/>
          <w:color w:val="auto"/>
          <w:sz w:val="32"/>
          <w:szCs w:val="32"/>
        </w:rPr>
        <w:t>人，营业收入为</w:t>
      </w:r>
      <w:r>
        <w:rPr>
          <w:rFonts w:hint="eastAsia" w:eastAsia="宋体"/>
          <w:color w:val="auto"/>
          <w:sz w:val="32"/>
          <w:szCs w:val="32"/>
          <w:u w:val="single"/>
          <w:lang w:val="en-US" w:eastAsia="zh-CN"/>
        </w:rPr>
        <w:t xml:space="preserve">      </w:t>
      </w:r>
      <w:r>
        <w:rPr>
          <w:rFonts w:hint="eastAsia"/>
          <w:color w:val="auto"/>
          <w:sz w:val="32"/>
          <w:szCs w:val="32"/>
        </w:rPr>
        <w:t>万元，资产总额为</w:t>
      </w:r>
      <w:r>
        <w:rPr>
          <w:rFonts w:hint="eastAsia" w:eastAsia="宋体"/>
          <w:color w:val="auto"/>
          <w:sz w:val="32"/>
          <w:szCs w:val="32"/>
          <w:u w:val="single"/>
          <w:lang w:val="en-US" w:eastAsia="zh-CN"/>
        </w:rPr>
        <w:t xml:space="preserve">      </w:t>
      </w:r>
      <w:r>
        <w:rPr>
          <w:rFonts w:hint="eastAsia"/>
          <w:color w:val="auto"/>
          <w:sz w:val="32"/>
          <w:szCs w:val="32"/>
        </w:rPr>
        <w:t>万元，属于</w:t>
      </w:r>
      <w:r>
        <w:rPr>
          <w:rFonts w:hint="eastAsia" w:eastAsia="宋体"/>
          <w:i/>
          <w:color w:val="auto"/>
          <w:sz w:val="32"/>
          <w:szCs w:val="32"/>
          <w:u w:val="words"/>
        </w:rPr>
        <w:t>（中型企业、小型企业、微型企业）</w:t>
      </w:r>
      <w:r>
        <w:rPr>
          <w:rFonts w:hint="eastAsia"/>
          <w:color w:val="auto"/>
          <w:sz w:val="32"/>
          <w:szCs w:val="32"/>
        </w:rPr>
        <w:t>；</w:t>
      </w:r>
    </w:p>
    <w:p w14:paraId="76932820">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color w:val="auto"/>
          <w:sz w:val="32"/>
          <w:szCs w:val="32"/>
        </w:rPr>
      </w:pPr>
      <w:r>
        <w:rPr>
          <w:rFonts w:hint="eastAsia"/>
          <w:color w:val="auto"/>
          <w:sz w:val="32"/>
          <w:szCs w:val="32"/>
        </w:rPr>
        <w:t>……</w:t>
      </w:r>
    </w:p>
    <w:p w14:paraId="115CE53D">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color w:val="auto"/>
          <w:sz w:val="32"/>
          <w:szCs w:val="32"/>
        </w:rPr>
      </w:pPr>
      <w:r>
        <w:rPr>
          <w:rFonts w:hint="eastAsia"/>
          <w:color w:val="auto"/>
          <w:sz w:val="32"/>
          <w:szCs w:val="32"/>
        </w:rPr>
        <w:t>以上企业，不属于大企业的分支机构，不存在控股股东为大企业的情形，也不存在与大企业的负责人为同一人的情形。</w:t>
      </w:r>
    </w:p>
    <w:p w14:paraId="0FDC6B01">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color w:val="auto"/>
          <w:sz w:val="32"/>
          <w:szCs w:val="32"/>
        </w:rPr>
      </w:pPr>
      <w:r>
        <w:rPr>
          <w:rFonts w:hint="eastAsia"/>
          <w:color w:val="auto"/>
          <w:sz w:val="32"/>
          <w:szCs w:val="32"/>
        </w:rPr>
        <w:t>本企业对上述声明内容的真实性负责。如有虚假，将依法承担相应责任。</w:t>
      </w:r>
    </w:p>
    <w:p w14:paraId="1C3337EF">
      <w:pPr>
        <w:ind w:firstLine="4160" w:firstLineChars="1300"/>
        <w:rPr>
          <w:rFonts w:hint="eastAsia"/>
          <w:color w:val="auto"/>
          <w:sz w:val="32"/>
          <w:szCs w:val="32"/>
        </w:rPr>
      </w:pPr>
      <w:r>
        <w:rPr>
          <w:rFonts w:hint="eastAsia"/>
          <w:color w:val="auto"/>
          <w:sz w:val="32"/>
          <w:szCs w:val="32"/>
        </w:rPr>
        <w:t>企业名称（盖章）：</w:t>
      </w:r>
    </w:p>
    <w:p w14:paraId="3376D153">
      <w:pPr>
        <w:ind w:firstLine="4160" w:firstLineChars="1300"/>
        <w:rPr>
          <w:rFonts w:hint="eastAsia"/>
          <w:color w:val="auto"/>
          <w:sz w:val="32"/>
          <w:szCs w:val="32"/>
        </w:rPr>
      </w:pPr>
      <w:r>
        <w:rPr>
          <w:rFonts w:hint="eastAsia"/>
          <w:color w:val="auto"/>
          <w:sz w:val="32"/>
          <w:szCs w:val="32"/>
        </w:rPr>
        <w:t>日 期：</w:t>
      </w:r>
    </w:p>
    <w:p w14:paraId="222B45F9">
      <w:pPr>
        <w:rPr>
          <w:rFonts w:hint="eastAsia"/>
          <w:b/>
          <w:bCs/>
          <w:color w:val="auto"/>
          <w:sz w:val="21"/>
          <w:szCs w:val="21"/>
          <w:lang w:eastAsia="zh-CN"/>
        </w:rPr>
      </w:pPr>
      <w:r>
        <w:rPr>
          <w:rFonts w:hint="eastAsia"/>
          <w:b/>
          <w:bCs/>
          <w:color w:val="auto"/>
          <w:sz w:val="21"/>
          <w:szCs w:val="21"/>
          <w:lang w:eastAsia="zh-CN"/>
        </w:rPr>
        <w:t>备注：</w:t>
      </w:r>
    </w:p>
    <w:p w14:paraId="1B557568">
      <w:pPr>
        <w:rPr>
          <w:rFonts w:hint="default"/>
          <w:b/>
          <w:bCs/>
          <w:color w:val="auto"/>
          <w:sz w:val="21"/>
          <w:szCs w:val="21"/>
          <w:lang w:val="en-US" w:eastAsia="zh-CN"/>
        </w:rPr>
      </w:pPr>
      <w:r>
        <w:rPr>
          <w:rFonts w:hint="eastAsia"/>
          <w:b/>
          <w:bCs/>
          <w:color w:val="auto"/>
          <w:sz w:val="21"/>
          <w:szCs w:val="21"/>
          <w:lang w:val="en-US" w:eastAsia="zh-CN"/>
        </w:rPr>
        <w:t>1、</w:t>
      </w:r>
      <w:r>
        <w:rPr>
          <w:rFonts w:hint="eastAsia" w:ascii="新宋体" w:hAnsi="新宋体" w:eastAsia="新宋体"/>
          <w:b/>
          <w:color w:val="auto"/>
          <w:sz w:val="21"/>
          <w:szCs w:val="21"/>
          <w:highlight w:val="none"/>
        </w:rPr>
        <w:t>如</w:t>
      </w:r>
      <w:r>
        <w:rPr>
          <w:rFonts w:hint="eastAsia" w:ascii="新宋体" w:hAnsi="新宋体" w:eastAsia="新宋体"/>
          <w:b/>
          <w:color w:val="auto"/>
          <w:sz w:val="21"/>
          <w:szCs w:val="21"/>
          <w:highlight w:val="none"/>
          <w:lang w:eastAsia="zh-CN"/>
        </w:rPr>
        <w:t>货物制造商</w:t>
      </w:r>
      <w:r>
        <w:rPr>
          <w:rFonts w:hint="eastAsia" w:ascii="新宋体" w:hAnsi="新宋体" w:eastAsia="新宋体"/>
          <w:b/>
          <w:color w:val="auto"/>
          <w:sz w:val="21"/>
          <w:szCs w:val="21"/>
          <w:highlight w:val="none"/>
        </w:rPr>
        <w:t>非小微企业，本声明函无需填写。</w:t>
      </w:r>
    </w:p>
    <w:p w14:paraId="21C788D6">
      <w:pPr>
        <w:numPr>
          <w:ilvl w:val="0"/>
          <w:numId w:val="0"/>
        </w:numPr>
        <w:rPr>
          <w:rFonts w:hint="eastAsia"/>
          <w:b/>
          <w:bCs/>
          <w:color w:val="auto"/>
          <w:sz w:val="21"/>
          <w:szCs w:val="21"/>
          <w:lang w:eastAsia="zh-CN"/>
        </w:rPr>
      </w:pPr>
      <w:r>
        <w:rPr>
          <w:rFonts w:hint="eastAsia"/>
          <w:b/>
          <w:bCs/>
          <w:color w:val="auto"/>
          <w:sz w:val="21"/>
          <w:szCs w:val="21"/>
          <w:lang w:val="en-US" w:eastAsia="zh-CN"/>
        </w:rPr>
        <w:t>2、</w:t>
      </w:r>
      <w:r>
        <w:rPr>
          <w:rFonts w:hint="eastAsia"/>
          <w:b/>
          <w:bCs/>
          <w:color w:val="auto"/>
          <w:sz w:val="21"/>
          <w:szCs w:val="21"/>
        </w:rPr>
        <w:t>从业人员、营业收入、资产总额填报上一年度数据，无上一年度数据的新成立企业可不填报</w:t>
      </w:r>
      <w:r>
        <w:rPr>
          <w:rFonts w:hint="eastAsia"/>
          <w:b/>
          <w:bCs/>
          <w:color w:val="auto"/>
          <w:sz w:val="21"/>
          <w:szCs w:val="21"/>
          <w:lang w:eastAsia="zh-CN"/>
        </w:rPr>
        <w:t>。</w:t>
      </w:r>
    </w:p>
    <w:p w14:paraId="5A6D74EC">
      <w:pPr>
        <w:numPr>
          <w:ilvl w:val="0"/>
          <w:numId w:val="0"/>
        </w:numPr>
        <w:rPr>
          <w:rFonts w:hint="eastAsia"/>
          <w:b/>
          <w:color w:val="auto"/>
          <w:sz w:val="32"/>
          <w:szCs w:val="32"/>
          <w:highlight w:val="none"/>
        </w:rPr>
      </w:pPr>
      <w:r>
        <w:rPr>
          <w:rFonts w:hint="eastAsia"/>
          <w:b/>
          <w:bCs/>
          <w:color w:val="auto"/>
          <w:sz w:val="21"/>
          <w:szCs w:val="21"/>
          <w:lang w:val="en-US" w:eastAsia="zh-CN"/>
        </w:rPr>
        <w:t>3、</w:t>
      </w:r>
      <w:r>
        <w:rPr>
          <w:rFonts w:hint="eastAsia"/>
          <w:b/>
          <w:bCs/>
          <w:color w:val="auto"/>
          <w:sz w:val="21"/>
          <w:szCs w:val="21"/>
          <w:lang w:eastAsia="zh-CN"/>
        </w:rPr>
        <w:t>中小企业划分标准所属行业详见“中小企业声明函附件”。</w:t>
      </w:r>
    </w:p>
    <w:p w14:paraId="025B9B6E">
      <w:pPr>
        <w:jc w:val="center"/>
        <w:rPr>
          <w:color w:val="auto"/>
          <w:sz w:val="36"/>
          <w:szCs w:val="36"/>
          <w:highlight w:val="none"/>
        </w:rPr>
      </w:pPr>
      <w:bookmarkStart w:id="49" w:name="OLE_LINK13"/>
      <w:bookmarkStart w:id="50" w:name="OLE_LINK14"/>
      <w:r>
        <w:rPr>
          <w:rFonts w:hint="eastAsia"/>
          <w:color w:val="auto"/>
          <w:sz w:val="36"/>
          <w:szCs w:val="36"/>
          <w:highlight w:val="none"/>
        </w:rPr>
        <w:br w:type="page"/>
      </w:r>
      <w:r>
        <w:rPr>
          <w:rFonts w:hint="eastAsia"/>
          <w:color w:val="auto"/>
          <w:sz w:val="36"/>
          <w:szCs w:val="36"/>
          <w:highlight w:val="none"/>
        </w:rPr>
        <w:t>残疾人福利性单位声明函</w:t>
      </w:r>
    </w:p>
    <w:bookmarkEnd w:id="49"/>
    <w:bookmarkEnd w:id="50"/>
    <w:p w14:paraId="0EC2E18B">
      <w:pPr>
        <w:spacing w:line="588" w:lineRule="exact"/>
        <w:rPr>
          <w:rFonts w:ascii="仿宋_GB2312" w:eastAsia="仿宋_GB2312"/>
          <w:b/>
          <w:color w:val="auto"/>
          <w:spacing w:val="6"/>
          <w:sz w:val="30"/>
          <w:szCs w:val="30"/>
          <w:highlight w:val="none"/>
        </w:rPr>
      </w:pPr>
    </w:p>
    <w:p w14:paraId="49DB429C">
      <w:pPr>
        <w:spacing w:line="588" w:lineRule="exact"/>
        <w:ind w:firstLine="640" w:firstLineChars="200"/>
        <w:rPr>
          <w:color w:val="auto"/>
          <w:sz w:val="32"/>
          <w:szCs w:val="32"/>
          <w:highlight w:val="none"/>
        </w:rPr>
      </w:pPr>
      <w:r>
        <w:rPr>
          <w:rFonts w:hint="eastAsia"/>
          <w:color w:val="auto"/>
          <w:sz w:val="32"/>
          <w:szCs w:val="32"/>
          <w:highlight w:val="none"/>
        </w:rPr>
        <w:t>本单位郑重声明，根据《财政部</w:t>
      </w:r>
      <w:r>
        <w:rPr>
          <w:color w:val="auto"/>
          <w:sz w:val="32"/>
          <w:szCs w:val="32"/>
          <w:highlight w:val="none"/>
        </w:rPr>
        <w:t xml:space="preserve"> </w:t>
      </w:r>
      <w:r>
        <w:rPr>
          <w:rFonts w:hint="eastAsia"/>
          <w:color w:val="auto"/>
          <w:sz w:val="32"/>
          <w:szCs w:val="32"/>
          <w:highlight w:val="none"/>
        </w:rPr>
        <w:t>民政部</w:t>
      </w:r>
      <w:r>
        <w:rPr>
          <w:color w:val="auto"/>
          <w:sz w:val="32"/>
          <w:szCs w:val="32"/>
          <w:highlight w:val="none"/>
        </w:rPr>
        <w:t xml:space="preserve"> </w:t>
      </w:r>
      <w:r>
        <w:rPr>
          <w:rFonts w:hint="eastAsia"/>
          <w:color w:val="auto"/>
          <w:sz w:val="32"/>
          <w:szCs w:val="32"/>
          <w:highlight w:val="none"/>
        </w:rPr>
        <w:t>中国残疾人联合会关于促进残疾人就业政府采购政策的通知》（财库〔</w:t>
      </w:r>
      <w:r>
        <w:rPr>
          <w:color w:val="auto"/>
          <w:sz w:val="32"/>
          <w:szCs w:val="32"/>
          <w:highlight w:val="none"/>
        </w:rPr>
        <w:t>2017</w:t>
      </w:r>
      <w:r>
        <w:rPr>
          <w:rFonts w:hint="eastAsia"/>
          <w:color w:val="auto"/>
          <w:sz w:val="32"/>
          <w:szCs w:val="32"/>
          <w:highlight w:val="none"/>
        </w:rPr>
        <w:t>〕</w:t>
      </w:r>
      <w:r>
        <w:rPr>
          <w:color w:val="auto"/>
          <w:sz w:val="32"/>
          <w:szCs w:val="32"/>
          <w:highlight w:val="none"/>
        </w:rPr>
        <w:t xml:space="preserve"> 141</w:t>
      </w:r>
      <w:r>
        <w:rPr>
          <w:rFonts w:hint="eastAsia"/>
          <w:color w:val="auto"/>
          <w:sz w:val="32"/>
          <w:szCs w:val="32"/>
          <w:highlight w:val="none"/>
        </w:rPr>
        <w:t>号）的规定，本单位为符合条件的残疾人福利性单位，且本单位参加</w:t>
      </w:r>
      <w:r>
        <w:rPr>
          <w:color w:val="auto"/>
          <w:sz w:val="32"/>
          <w:szCs w:val="32"/>
          <w:highlight w:val="none"/>
        </w:rPr>
        <w:t>______</w:t>
      </w:r>
      <w:r>
        <w:rPr>
          <w:rFonts w:hint="eastAsia"/>
          <w:color w:val="auto"/>
          <w:sz w:val="32"/>
          <w:szCs w:val="32"/>
          <w:highlight w:val="none"/>
        </w:rPr>
        <w:t>单位的</w:t>
      </w:r>
      <w:r>
        <w:rPr>
          <w:color w:val="auto"/>
          <w:sz w:val="32"/>
          <w:szCs w:val="32"/>
          <w:highlight w:val="none"/>
        </w:rPr>
        <w:t>______</w:t>
      </w:r>
      <w:r>
        <w:rPr>
          <w:rFonts w:hint="eastAsia"/>
          <w:color w:val="auto"/>
          <w:sz w:val="32"/>
          <w:szCs w:val="32"/>
          <w:highlight w:val="none"/>
        </w:rPr>
        <w:t>项目采购活动提供本单位制造的货物（由本单位承担工程</w:t>
      </w:r>
      <w:r>
        <w:rPr>
          <w:color w:val="auto"/>
          <w:sz w:val="32"/>
          <w:szCs w:val="32"/>
          <w:highlight w:val="none"/>
        </w:rPr>
        <w:t>/</w:t>
      </w:r>
      <w:r>
        <w:rPr>
          <w:rFonts w:hint="eastAsia"/>
          <w:color w:val="auto"/>
          <w:sz w:val="32"/>
          <w:szCs w:val="32"/>
          <w:highlight w:val="none"/>
        </w:rPr>
        <w:t>提供服务），或者提供其他残疾人福利性单位制造的货物（不包括使用非残疾人福利性单位注册商标的货物）。</w:t>
      </w:r>
    </w:p>
    <w:p w14:paraId="524C5518">
      <w:pPr>
        <w:spacing w:line="588" w:lineRule="exact"/>
        <w:ind w:firstLine="640" w:firstLineChars="200"/>
        <w:rPr>
          <w:color w:val="auto"/>
          <w:sz w:val="32"/>
          <w:szCs w:val="32"/>
          <w:highlight w:val="none"/>
        </w:rPr>
      </w:pPr>
      <w:r>
        <w:rPr>
          <w:rFonts w:hint="eastAsia"/>
          <w:color w:val="auto"/>
          <w:sz w:val="32"/>
          <w:szCs w:val="32"/>
          <w:highlight w:val="none"/>
        </w:rPr>
        <w:t>本单位对上述声明的真实性负责。如有虚假，将依法承担相应责任。</w:t>
      </w:r>
    </w:p>
    <w:p w14:paraId="7F307CAA">
      <w:pPr>
        <w:spacing w:line="588" w:lineRule="exact"/>
        <w:ind w:firstLine="640" w:firstLineChars="200"/>
        <w:rPr>
          <w:color w:val="auto"/>
          <w:sz w:val="32"/>
          <w:szCs w:val="32"/>
          <w:highlight w:val="none"/>
        </w:rPr>
      </w:pPr>
    </w:p>
    <w:p w14:paraId="32F8333C">
      <w:pPr>
        <w:spacing w:line="588" w:lineRule="exact"/>
        <w:ind w:firstLine="640" w:firstLineChars="200"/>
        <w:rPr>
          <w:color w:val="auto"/>
          <w:sz w:val="32"/>
          <w:szCs w:val="32"/>
          <w:highlight w:val="none"/>
        </w:rPr>
      </w:pPr>
    </w:p>
    <w:p w14:paraId="1351C295">
      <w:pPr>
        <w:tabs>
          <w:tab w:val="left" w:pos="4860"/>
        </w:tabs>
        <w:spacing w:line="588" w:lineRule="exact"/>
        <w:ind w:right="1560" w:firstLine="640" w:firstLineChars="200"/>
        <w:jc w:val="center"/>
        <w:rPr>
          <w:rFonts w:hint="eastAsia"/>
          <w:color w:val="auto"/>
          <w:sz w:val="32"/>
          <w:szCs w:val="32"/>
          <w:highlight w:val="none"/>
        </w:rPr>
      </w:pPr>
      <w:r>
        <w:rPr>
          <w:color w:val="auto"/>
          <w:sz w:val="32"/>
          <w:szCs w:val="32"/>
          <w:highlight w:val="none"/>
        </w:rPr>
        <w:t xml:space="preserve">              </w:t>
      </w:r>
    </w:p>
    <w:p w14:paraId="54A99C11">
      <w:pPr>
        <w:tabs>
          <w:tab w:val="left" w:pos="4860"/>
        </w:tabs>
        <w:spacing w:line="588" w:lineRule="exact"/>
        <w:ind w:right="1560" w:firstLine="640" w:firstLineChars="200"/>
        <w:jc w:val="center"/>
        <w:rPr>
          <w:rFonts w:hint="eastAsia"/>
          <w:color w:val="auto"/>
          <w:sz w:val="32"/>
          <w:szCs w:val="32"/>
          <w:highlight w:val="none"/>
        </w:rPr>
      </w:pPr>
    </w:p>
    <w:p w14:paraId="3A6F0BF5">
      <w:pPr>
        <w:tabs>
          <w:tab w:val="left" w:pos="4860"/>
        </w:tabs>
        <w:spacing w:line="588" w:lineRule="exact"/>
        <w:ind w:right="1560" w:firstLine="640" w:firstLineChars="200"/>
        <w:jc w:val="center"/>
        <w:rPr>
          <w:rFonts w:hint="eastAsia"/>
          <w:color w:val="auto"/>
          <w:sz w:val="32"/>
          <w:szCs w:val="32"/>
          <w:highlight w:val="none"/>
        </w:rPr>
      </w:pPr>
    </w:p>
    <w:p w14:paraId="1EB7ABA6">
      <w:pPr>
        <w:tabs>
          <w:tab w:val="left" w:pos="4860"/>
        </w:tabs>
        <w:spacing w:line="588" w:lineRule="exact"/>
        <w:ind w:right="1560" w:firstLine="640" w:firstLineChars="200"/>
        <w:jc w:val="center"/>
        <w:rPr>
          <w:color w:val="auto"/>
          <w:sz w:val="32"/>
          <w:szCs w:val="32"/>
          <w:highlight w:val="none"/>
        </w:rPr>
      </w:pPr>
      <w:r>
        <w:rPr>
          <w:color w:val="auto"/>
          <w:sz w:val="32"/>
          <w:szCs w:val="32"/>
          <w:highlight w:val="none"/>
        </w:rPr>
        <w:t xml:space="preserve"> </w:t>
      </w:r>
      <w:r>
        <w:rPr>
          <w:rFonts w:hint="eastAsia"/>
          <w:color w:val="auto"/>
          <w:sz w:val="32"/>
          <w:szCs w:val="32"/>
          <w:highlight w:val="none"/>
        </w:rPr>
        <w:t>单位名称（盖章）：</w:t>
      </w:r>
    </w:p>
    <w:p w14:paraId="152D97C2">
      <w:pPr>
        <w:tabs>
          <w:tab w:val="left" w:pos="4860"/>
        </w:tabs>
        <w:spacing w:line="588" w:lineRule="exact"/>
        <w:ind w:right="1560" w:firstLine="640" w:firstLineChars="200"/>
        <w:jc w:val="center"/>
        <w:rPr>
          <w:color w:val="auto"/>
          <w:sz w:val="32"/>
          <w:szCs w:val="32"/>
          <w:highlight w:val="none"/>
        </w:rPr>
      </w:pPr>
      <w:r>
        <w:rPr>
          <w:color w:val="auto"/>
          <w:sz w:val="32"/>
          <w:szCs w:val="32"/>
          <w:highlight w:val="none"/>
        </w:rPr>
        <w:t xml:space="preserve">       </w:t>
      </w:r>
      <w:r>
        <w:rPr>
          <w:rFonts w:hint="eastAsia"/>
          <w:color w:val="auto"/>
          <w:sz w:val="32"/>
          <w:szCs w:val="32"/>
          <w:highlight w:val="none"/>
        </w:rPr>
        <w:t>日</w:t>
      </w:r>
      <w:r>
        <w:rPr>
          <w:color w:val="auto"/>
          <w:sz w:val="32"/>
          <w:szCs w:val="32"/>
          <w:highlight w:val="none"/>
        </w:rPr>
        <w:t xml:space="preserve">  </w:t>
      </w:r>
      <w:r>
        <w:rPr>
          <w:rFonts w:hint="eastAsia"/>
          <w:color w:val="auto"/>
          <w:sz w:val="32"/>
          <w:szCs w:val="32"/>
          <w:highlight w:val="none"/>
        </w:rPr>
        <w:t>期：</w:t>
      </w:r>
    </w:p>
    <w:p w14:paraId="723D88FC">
      <w:pPr>
        <w:rPr>
          <w:rFonts w:hint="eastAsia"/>
          <w:b/>
          <w:color w:val="auto"/>
          <w:sz w:val="32"/>
          <w:szCs w:val="32"/>
          <w:highlight w:val="none"/>
        </w:rPr>
      </w:pPr>
    </w:p>
    <w:p w14:paraId="12EE0329">
      <w:pPr>
        <w:rPr>
          <w:rFonts w:hint="eastAsia"/>
          <w:b/>
          <w:color w:val="auto"/>
          <w:sz w:val="32"/>
          <w:szCs w:val="32"/>
          <w:highlight w:val="none"/>
        </w:rPr>
      </w:pPr>
    </w:p>
    <w:p w14:paraId="3F923E68">
      <w:pPr>
        <w:rPr>
          <w:rFonts w:hint="eastAsia"/>
          <w:b/>
          <w:color w:val="auto"/>
          <w:sz w:val="32"/>
          <w:szCs w:val="32"/>
          <w:highlight w:val="none"/>
        </w:rPr>
      </w:pPr>
    </w:p>
    <w:p w14:paraId="784F6A7E">
      <w:pPr>
        <w:rPr>
          <w:rFonts w:hint="eastAsia"/>
          <w:b/>
          <w:color w:val="auto"/>
          <w:sz w:val="32"/>
          <w:szCs w:val="32"/>
          <w:highlight w:val="none"/>
        </w:rPr>
      </w:pPr>
    </w:p>
    <w:p w14:paraId="778234D2">
      <w:pPr>
        <w:rPr>
          <w:rFonts w:hint="eastAsia"/>
          <w:b/>
          <w:color w:val="auto"/>
          <w:sz w:val="32"/>
          <w:szCs w:val="32"/>
          <w:highlight w:val="none"/>
        </w:rPr>
      </w:pPr>
    </w:p>
    <w:p w14:paraId="21651298">
      <w:pPr>
        <w:rPr>
          <w:rFonts w:hint="eastAsia"/>
          <w:b/>
          <w:color w:val="auto"/>
          <w:sz w:val="32"/>
          <w:szCs w:val="32"/>
          <w:highlight w:val="none"/>
        </w:rPr>
      </w:pPr>
      <w:r>
        <w:rPr>
          <w:rFonts w:hint="eastAsia"/>
          <w:b/>
          <w:color w:val="auto"/>
          <w:sz w:val="32"/>
          <w:szCs w:val="32"/>
          <w:highlight w:val="none"/>
        </w:rPr>
        <w:t>注：如非残疾人福利性单位，本声明函无需填写。</w:t>
      </w:r>
    </w:p>
    <w:p w14:paraId="7253CEB9">
      <w:pPr>
        <w:jc w:val="center"/>
        <w:rPr>
          <w:rFonts w:hint="eastAsia"/>
          <w:color w:val="auto"/>
          <w:sz w:val="36"/>
          <w:szCs w:val="36"/>
          <w:highlight w:val="none"/>
        </w:rPr>
      </w:pPr>
    </w:p>
    <w:p w14:paraId="0B3380F2">
      <w:pPr>
        <w:jc w:val="center"/>
        <w:rPr>
          <w:rFonts w:hint="eastAsia"/>
          <w:color w:val="auto"/>
          <w:sz w:val="36"/>
          <w:szCs w:val="36"/>
          <w:highlight w:val="none"/>
        </w:rPr>
      </w:pPr>
    </w:p>
    <w:p w14:paraId="302F3B03">
      <w:pPr>
        <w:jc w:val="center"/>
        <w:rPr>
          <w:rFonts w:hint="eastAsia"/>
          <w:color w:val="auto"/>
          <w:sz w:val="36"/>
          <w:szCs w:val="36"/>
          <w:highlight w:val="none"/>
        </w:rPr>
      </w:pPr>
    </w:p>
    <w:p w14:paraId="3511AD60">
      <w:pPr>
        <w:jc w:val="center"/>
        <w:rPr>
          <w:rFonts w:hint="eastAsia"/>
          <w:color w:val="auto"/>
          <w:sz w:val="36"/>
          <w:szCs w:val="36"/>
          <w:highlight w:val="none"/>
        </w:rPr>
      </w:pPr>
    </w:p>
    <w:p w14:paraId="2AADDB00">
      <w:pPr>
        <w:jc w:val="center"/>
        <w:rPr>
          <w:rFonts w:hint="eastAsia"/>
          <w:color w:val="auto"/>
          <w:sz w:val="36"/>
          <w:szCs w:val="36"/>
          <w:highlight w:val="none"/>
        </w:rPr>
      </w:pPr>
    </w:p>
    <w:p w14:paraId="2CF876E5">
      <w:pPr>
        <w:jc w:val="center"/>
        <w:rPr>
          <w:rFonts w:hint="eastAsia"/>
          <w:color w:val="auto"/>
          <w:sz w:val="36"/>
          <w:szCs w:val="36"/>
          <w:highlight w:val="none"/>
        </w:rPr>
      </w:pPr>
      <w:r>
        <w:rPr>
          <w:rFonts w:hint="eastAsia"/>
          <w:color w:val="auto"/>
          <w:sz w:val="36"/>
          <w:szCs w:val="36"/>
          <w:highlight w:val="none"/>
        </w:rPr>
        <w:t>监狱企业证明文件</w:t>
      </w:r>
    </w:p>
    <w:p w14:paraId="51A92774">
      <w:pPr>
        <w:jc w:val="center"/>
        <w:rPr>
          <w:rFonts w:hint="eastAsia"/>
          <w:color w:val="auto"/>
          <w:sz w:val="32"/>
          <w:szCs w:val="32"/>
          <w:highlight w:val="none"/>
        </w:rPr>
      </w:pPr>
    </w:p>
    <w:p w14:paraId="0A500CAF">
      <w:pPr>
        <w:spacing w:line="360" w:lineRule="auto"/>
        <w:jc w:val="center"/>
        <w:rPr>
          <w:rFonts w:hint="eastAsia" w:ascii="新宋体" w:hAnsi="新宋体" w:eastAsia="新宋体"/>
          <w:color w:val="auto"/>
          <w:sz w:val="32"/>
          <w:szCs w:val="32"/>
          <w:highlight w:val="none"/>
        </w:rPr>
      </w:pPr>
      <w:r>
        <w:rPr>
          <w:rFonts w:hint="eastAsia" w:ascii="新宋体" w:hAnsi="新宋体" w:eastAsia="新宋体"/>
          <w:color w:val="auto"/>
          <w:sz w:val="32"/>
          <w:szCs w:val="32"/>
          <w:highlight w:val="none"/>
        </w:rPr>
        <w:t>提供由省级以上监狱管理局、戒毒管理局（含新疆生产建设兵团）出具的属于监狱企业的证明文件。</w:t>
      </w:r>
    </w:p>
    <w:p w14:paraId="58B7B421">
      <w:pPr>
        <w:spacing w:line="360" w:lineRule="auto"/>
        <w:jc w:val="center"/>
        <w:rPr>
          <w:rFonts w:hint="eastAsia" w:ascii="新宋体" w:hAnsi="新宋体" w:eastAsia="新宋体"/>
          <w:color w:val="auto"/>
          <w:sz w:val="32"/>
          <w:szCs w:val="32"/>
          <w:highlight w:val="none"/>
        </w:rPr>
      </w:pPr>
    </w:p>
    <w:p w14:paraId="56B82F3E">
      <w:pPr>
        <w:spacing w:line="360" w:lineRule="auto"/>
        <w:jc w:val="center"/>
        <w:rPr>
          <w:rFonts w:hint="eastAsia" w:ascii="新宋体" w:hAnsi="新宋体" w:eastAsia="新宋体"/>
          <w:color w:val="auto"/>
          <w:sz w:val="32"/>
          <w:szCs w:val="32"/>
          <w:highlight w:val="none"/>
        </w:rPr>
      </w:pPr>
    </w:p>
    <w:p w14:paraId="790E7612">
      <w:pPr>
        <w:spacing w:line="360" w:lineRule="auto"/>
        <w:jc w:val="center"/>
        <w:rPr>
          <w:rFonts w:hint="eastAsia" w:ascii="新宋体" w:hAnsi="新宋体" w:eastAsia="新宋体"/>
          <w:color w:val="auto"/>
          <w:sz w:val="32"/>
          <w:szCs w:val="32"/>
          <w:highlight w:val="none"/>
        </w:rPr>
      </w:pPr>
    </w:p>
    <w:p w14:paraId="6DCE68B6">
      <w:pPr>
        <w:spacing w:line="360" w:lineRule="auto"/>
        <w:jc w:val="center"/>
        <w:rPr>
          <w:rFonts w:hint="eastAsia" w:ascii="新宋体" w:hAnsi="新宋体" w:eastAsia="新宋体"/>
          <w:color w:val="auto"/>
          <w:sz w:val="32"/>
          <w:szCs w:val="32"/>
          <w:highlight w:val="none"/>
        </w:rPr>
      </w:pPr>
    </w:p>
    <w:p w14:paraId="0353E820">
      <w:pPr>
        <w:spacing w:line="360" w:lineRule="auto"/>
        <w:jc w:val="center"/>
        <w:rPr>
          <w:rFonts w:hint="eastAsia" w:ascii="新宋体" w:hAnsi="新宋体" w:eastAsia="新宋体"/>
          <w:color w:val="auto"/>
          <w:sz w:val="32"/>
          <w:szCs w:val="32"/>
          <w:highlight w:val="none"/>
        </w:rPr>
      </w:pPr>
    </w:p>
    <w:p w14:paraId="38E6C917">
      <w:pPr>
        <w:pStyle w:val="29"/>
        <w:rPr>
          <w:rFonts w:hint="eastAsia" w:ascii="新宋体" w:hAnsi="新宋体" w:eastAsia="新宋体"/>
          <w:color w:val="auto"/>
          <w:sz w:val="32"/>
          <w:szCs w:val="32"/>
          <w:highlight w:val="none"/>
        </w:rPr>
      </w:pPr>
    </w:p>
    <w:p w14:paraId="655888C0">
      <w:pPr>
        <w:rPr>
          <w:rFonts w:hint="eastAsia" w:ascii="新宋体" w:hAnsi="新宋体" w:eastAsia="新宋体"/>
          <w:color w:val="auto"/>
          <w:sz w:val="32"/>
          <w:szCs w:val="32"/>
          <w:highlight w:val="none"/>
        </w:rPr>
      </w:pPr>
    </w:p>
    <w:p w14:paraId="438FB790">
      <w:pPr>
        <w:pStyle w:val="29"/>
        <w:rPr>
          <w:rFonts w:hint="eastAsia" w:ascii="新宋体" w:hAnsi="新宋体" w:eastAsia="新宋体"/>
          <w:color w:val="auto"/>
          <w:sz w:val="32"/>
          <w:szCs w:val="32"/>
          <w:highlight w:val="none"/>
        </w:rPr>
      </w:pPr>
    </w:p>
    <w:p w14:paraId="25627D61">
      <w:pPr>
        <w:rPr>
          <w:rFonts w:hint="eastAsia" w:ascii="新宋体" w:hAnsi="新宋体" w:eastAsia="新宋体"/>
          <w:color w:val="auto"/>
          <w:sz w:val="32"/>
          <w:szCs w:val="32"/>
          <w:highlight w:val="none"/>
        </w:rPr>
      </w:pPr>
    </w:p>
    <w:p w14:paraId="69B3F0AD">
      <w:pPr>
        <w:pStyle w:val="29"/>
        <w:rPr>
          <w:rFonts w:hint="eastAsia" w:ascii="新宋体" w:hAnsi="新宋体" w:eastAsia="新宋体"/>
          <w:color w:val="auto"/>
          <w:sz w:val="32"/>
          <w:szCs w:val="32"/>
          <w:highlight w:val="none"/>
        </w:rPr>
      </w:pPr>
    </w:p>
    <w:p w14:paraId="2D7DF84B">
      <w:pPr>
        <w:rPr>
          <w:rFonts w:hint="eastAsia" w:ascii="新宋体" w:hAnsi="新宋体" w:eastAsia="新宋体"/>
          <w:color w:val="auto"/>
          <w:sz w:val="32"/>
          <w:szCs w:val="32"/>
          <w:highlight w:val="none"/>
        </w:rPr>
      </w:pPr>
    </w:p>
    <w:p w14:paraId="6C3F2F0B">
      <w:pPr>
        <w:pStyle w:val="29"/>
        <w:rPr>
          <w:rFonts w:hint="eastAsia" w:ascii="新宋体" w:hAnsi="新宋体" w:eastAsia="新宋体"/>
          <w:color w:val="auto"/>
          <w:sz w:val="32"/>
          <w:szCs w:val="32"/>
          <w:highlight w:val="none"/>
        </w:rPr>
      </w:pPr>
    </w:p>
    <w:p w14:paraId="5F08FB40">
      <w:pPr>
        <w:rPr>
          <w:rFonts w:hint="eastAsia" w:ascii="新宋体" w:hAnsi="新宋体" w:eastAsia="新宋体"/>
          <w:color w:val="auto"/>
          <w:sz w:val="32"/>
          <w:szCs w:val="32"/>
          <w:highlight w:val="none"/>
        </w:rPr>
      </w:pPr>
    </w:p>
    <w:p w14:paraId="4D3EF22C">
      <w:pPr>
        <w:pStyle w:val="29"/>
        <w:rPr>
          <w:rFonts w:hint="eastAsia" w:ascii="新宋体" w:hAnsi="新宋体" w:eastAsia="新宋体"/>
          <w:color w:val="auto"/>
          <w:sz w:val="32"/>
          <w:szCs w:val="32"/>
          <w:highlight w:val="none"/>
        </w:rPr>
      </w:pPr>
    </w:p>
    <w:p w14:paraId="39FE1EF0">
      <w:pPr>
        <w:rPr>
          <w:rFonts w:hint="eastAsia" w:ascii="新宋体" w:hAnsi="新宋体" w:eastAsia="新宋体"/>
          <w:color w:val="auto"/>
          <w:sz w:val="32"/>
          <w:szCs w:val="32"/>
          <w:highlight w:val="none"/>
        </w:rPr>
      </w:pPr>
    </w:p>
    <w:p w14:paraId="0A5991F1">
      <w:pPr>
        <w:pStyle w:val="29"/>
        <w:rPr>
          <w:rFonts w:hint="eastAsia"/>
        </w:rPr>
      </w:pPr>
    </w:p>
    <w:p w14:paraId="22D4406C">
      <w:pPr>
        <w:spacing w:line="360" w:lineRule="auto"/>
        <w:jc w:val="center"/>
        <w:rPr>
          <w:rFonts w:hint="eastAsia" w:ascii="新宋体" w:hAnsi="新宋体" w:eastAsia="新宋体"/>
          <w:color w:val="auto"/>
          <w:sz w:val="32"/>
          <w:szCs w:val="32"/>
          <w:highlight w:val="none"/>
        </w:rPr>
      </w:pPr>
    </w:p>
    <w:p w14:paraId="70C67364">
      <w:pPr>
        <w:spacing w:line="360" w:lineRule="auto"/>
        <w:jc w:val="center"/>
        <w:rPr>
          <w:rFonts w:hint="eastAsia" w:ascii="新宋体" w:hAnsi="新宋体" w:eastAsia="新宋体"/>
          <w:color w:val="auto"/>
          <w:sz w:val="32"/>
          <w:szCs w:val="32"/>
          <w:highlight w:val="none"/>
        </w:rPr>
      </w:pPr>
    </w:p>
    <w:p w14:paraId="15276308">
      <w:pPr>
        <w:spacing w:line="360" w:lineRule="auto"/>
        <w:jc w:val="center"/>
        <w:rPr>
          <w:rFonts w:hint="eastAsia" w:ascii="新宋体" w:hAnsi="新宋体" w:eastAsia="新宋体"/>
          <w:color w:val="auto"/>
          <w:sz w:val="32"/>
          <w:szCs w:val="32"/>
          <w:highlight w:val="none"/>
        </w:rPr>
      </w:pPr>
    </w:p>
    <w:p w14:paraId="38FF0F4B">
      <w:pPr>
        <w:spacing w:line="360" w:lineRule="auto"/>
        <w:jc w:val="center"/>
        <w:rPr>
          <w:rFonts w:hint="eastAsia" w:ascii="新宋体" w:hAnsi="新宋体" w:eastAsia="新宋体"/>
          <w:color w:val="auto"/>
          <w:sz w:val="32"/>
          <w:szCs w:val="32"/>
          <w:highlight w:val="none"/>
        </w:rPr>
      </w:pPr>
    </w:p>
    <w:p w14:paraId="7ACDA56C">
      <w:pPr>
        <w:spacing w:line="360" w:lineRule="auto"/>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lang w:val="en-US" w:eastAsia="zh-CN"/>
        </w:rPr>
        <w:t>政府采购促进中小企业发展管理办法</w:t>
      </w:r>
    </w:p>
    <w:p w14:paraId="1FEF8F94">
      <w:pPr>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1" w:line="288" w:lineRule="auto"/>
        <w:ind w:left="0" w:right="0"/>
        <w:jc w:val="center"/>
        <w:textAlignment w:val="auto"/>
        <w:rPr>
          <w:rFonts w:hint="eastAsia" w:ascii="宋体" w:hAnsi="宋体" w:eastAsia="宋体" w:cs="宋体"/>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财库〔2020〕46号</w:t>
      </w:r>
    </w:p>
    <w:p w14:paraId="63F5E582">
      <w:pPr>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1" w:line="288" w:lineRule="auto"/>
        <w:ind w:left="0" w:right="0"/>
        <w:jc w:val="left"/>
        <w:textAlignment w:val="auto"/>
        <w:rPr>
          <w:rFonts w:hint="eastAsia" w:ascii="宋体" w:hAnsi="宋体" w:eastAsia="宋体" w:cs="宋体"/>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 xml:space="preserve">    </w:t>
      </w:r>
      <w:r>
        <w:rPr>
          <w:rStyle w:val="47"/>
          <w:rFonts w:hint="eastAsia" w:ascii="宋体" w:hAnsi="宋体" w:eastAsia="宋体" w:cs="宋体"/>
          <w:bCs w:val="0"/>
          <w:color w:val="auto"/>
          <w:kern w:val="0"/>
          <w:sz w:val="24"/>
          <w:szCs w:val="24"/>
          <w:highlight w:val="none"/>
          <w:lang w:val="en-US" w:eastAsia="zh-CN" w:bidi="ar"/>
        </w:rPr>
        <w:t>第一条</w:t>
      </w:r>
      <w:r>
        <w:rPr>
          <w:rFonts w:hint="eastAsia" w:ascii="宋体" w:hAnsi="宋体" w:eastAsia="宋体" w:cs="宋体"/>
          <w:b w:val="0"/>
          <w:bCs w:val="0"/>
          <w:color w:val="auto"/>
          <w:kern w:val="0"/>
          <w:sz w:val="24"/>
          <w:szCs w:val="24"/>
          <w:highlight w:val="none"/>
          <w:lang w:val="en-US" w:eastAsia="zh-CN" w:bidi="ar"/>
        </w:rPr>
        <w:t xml:space="preserve">  为了发挥政府采购的政策功能，促进中小企业健康发展，根据《中华人民共和国政府采购法》、《中华人民共和国中小企业促进法》等有关法律法规，制定本办法。</w:t>
      </w:r>
    </w:p>
    <w:p w14:paraId="523DE553">
      <w:pPr>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1" w:line="288" w:lineRule="auto"/>
        <w:ind w:left="0" w:right="0" w:firstLine="482" w:firstLineChars="200"/>
        <w:jc w:val="left"/>
        <w:textAlignment w:val="auto"/>
        <w:rPr>
          <w:rFonts w:hint="eastAsia" w:ascii="宋体" w:hAnsi="宋体" w:eastAsia="宋体" w:cs="宋体"/>
          <w:color w:val="auto"/>
          <w:sz w:val="24"/>
          <w:szCs w:val="24"/>
          <w:highlight w:val="none"/>
        </w:rPr>
      </w:pPr>
      <w:r>
        <w:rPr>
          <w:rStyle w:val="47"/>
          <w:rFonts w:hint="eastAsia" w:ascii="宋体" w:hAnsi="宋体" w:eastAsia="宋体" w:cs="宋体"/>
          <w:bCs w:val="0"/>
          <w:color w:val="auto"/>
          <w:kern w:val="0"/>
          <w:sz w:val="24"/>
          <w:szCs w:val="24"/>
          <w:highlight w:val="none"/>
          <w:lang w:val="en-US" w:eastAsia="zh-CN" w:bidi="ar"/>
        </w:rPr>
        <w:t>第二条</w:t>
      </w:r>
      <w:r>
        <w:rPr>
          <w:rFonts w:hint="eastAsia" w:ascii="宋体" w:hAnsi="宋体" w:eastAsia="宋体" w:cs="宋体"/>
          <w:b w:val="0"/>
          <w:bCs w:val="0"/>
          <w:color w:val="auto"/>
          <w:kern w:val="0"/>
          <w:sz w:val="24"/>
          <w:szCs w:val="24"/>
          <w:highlight w:val="none"/>
          <w:lang w:val="en-US" w:eastAsia="zh-CN" w:bidi="ar"/>
        </w:rPr>
        <w:t xml:space="preserve">  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38548BB8">
      <w:pPr>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1" w:line="288" w:lineRule="auto"/>
        <w:ind w:left="0" w:right="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符合中小企业划分标准的个体工商户，在政府采购活动中视同中小企业。</w:t>
      </w:r>
    </w:p>
    <w:p w14:paraId="7412A228">
      <w:pPr>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1" w:line="288" w:lineRule="auto"/>
        <w:ind w:left="0" w:right="0"/>
        <w:jc w:val="left"/>
        <w:textAlignment w:val="auto"/>
        <w:rPr>
          <w:rFonts w:hint="eastAsia" w:ascii="宋体" w:hAnsi="宋体" w:eastAsia="宋体" w:cs="宋体"/>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 xml:space="preserve">   </w:t>
      </w:r>
      <w:r>
        <w:rPr>
          <w:rStyle w:val="47"/>
          <w:rFonts w:hint="eastAsia" w:ascii="宋体" w:hAnsi="宋体" w:eastAsia="宋体" w:cs="宋体"/>
          <w:bCs w:val="0"/>
          <w:color w:val="auto"/>
          <w:kern w:val="0"/>
          <w:sz w:val="24"/>
          <w:szCs w:val="24"/>
          <w:highlight w:val="none"/>
          <w:lang w:val="en-US" w:eastAsia="zh-CN" w:bidi="ar"/>
        </w:rPr>
        <w:t xml:space="preserve"> 第三条</w:t>
      </w:r>
      <w:r>
        <w:rPr>
          <w:rFonts w:hint="eastAsia" w:ascii="宋体" w:hAnsi="宋体" w:eastAsia="宋体" w:cs="宋体"/>
          <w:b w:val="0"/>
          <w:bCs w:val="0"/>
          <w:color w:val="auto"/>
          <w:kern w:val="0"/>
          <w:sz w:val="24"/>
          <w:szCs w:val="24"/>
          <w:highlight w:val="none"/>
          <w:lang w:val="en-US" w:eastAsia="zh-CN" w:bidi="ar"/>
        </w:rPr>
        <w:t xml:space="preserve">  采购人在政府采购活动中应当通过加强采购需求管理，落实预留采购份额、价格评审优惠、优先采购等措施，提高中小企业在政府采购中的份额，支持中小企业发展。</w:t>
      </w:r>
    </w:p>
    <w:p w14:paraId="28F5A0D4">
      <w:pPr>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1" w:line="288" w:lineRule="auto"/>
        <w:ind w:left="0" w:right="0" w:firstLine="482" w:firstLineChars="200"/>
        <w:jc w:val="left"/>
        <w:textAlignment w:val="auto"/>
        <w:rPr>
          <w:rFonts w:hint="eastAsia" w:ascii="宋体" w:hAnsi="宋体" w:eastAsia="宋体" w:cs="宋体"/>
          <w:color w:val="auto"/>
          <w:sz w:val="24"/>
          <w:szCs w:val="24"/>
          <w:highlight w:val="none"/>
        </w:rPr>
      </w:pPr>
      <w:r>
        <w:rPr>
          <w:rStyle w:val="47"/>
          <w:rFonts w:hint="eastAsia" w:ascii="宋体" w:hAnsi="宋体" w:eastAsia="宋体" w:cs="宋体"/>
          <w:bCs w:val="0"/>
          <w:color w:val="auto"/>
          <w:kern w:val="0"/>
          <w:sz w:val="24"/>
          <w:szCs w:val="24"/>
          <w:highlight w:val="none"/>
          <w:lang w:val="en-US" w:eastAsia="zh-CN" w:bidi="ar"/>
        </w:rPr>
        <w:t>第四条</w:t>
      </w:r>
      <w:r>
        <w:rPr>
          <w:rFonts w:hint="eastAsia" w:ascii="宋体" w:hAnsi="宋体" w:eastAsia="宋体" w:cs="宋体"/>
          <w:b w:val="0"/>
          <w:bCs w:val="0"/>
          <w:color w:val="auto"/>
          <w:kern w:val="0"/>
          <w:sz w:val="24"/>
          <w:szCs w:val="24"/>
          <w:highlight w:val="none"/>
          <w:lang w:val="en-US" w:eastAsia="zh-CN" w:bidi="ar"/>
        </w:rPr>
        <w:t xml:space="preserve">  在政府采购活动中，供应商提供的货物、工程或者服务符合下列情形的，享受本办法规定的中小企业扶持政策：</w:t>
      </w:r>
    </w:p>
    <w:p w14:paraId="311B1790">
      <w:pPr>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1" w:line="288" w:lineRule="auto"/>
        <w:ind w:left="0" w:right="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（一）在货物采购项目中，货物由中小企业制造，即货物由中小企业生产且使用该中小企业商号或者注册商标；</w:t>
      </w:r>
    </w:p>
    <w:p w14:paraId="27ABA723">
      <w:pPr>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1" w:line="288" w:lineRule="auto"/>
        <w:ind w:left="0" w:right="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（二）在工程采购项目中，工程由中小企业承建，即工程施工单位为中小企业；</w:t>
      </w:r>
    </w:p>
    <w:p w14:paraId="13B11ABD">
      <w:pPr>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1" w:line="288" w:lineRule="auto"/>
        <w:ind w:left="0" w:right="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（三）在服务采购项目中，服务由中小企业承接，即提供服务的人员为中小企业依照《中华人民共和国劳动合同法》订立劳动合同的从业人员。</w:t>
      </w:r>
    </w:p>
    <w:p w14:paraId="38DDFC59">
      <w:pPr>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1" w:line="288" w:lineRule="auto"/>
        <w:ind w:left="0" w:right="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在货物采购项目中，供应商提供的货物既有中小企业制造货物，也有大型企业制造货物的，不享受本办法规定的中小企业扶持政策。</w:t>
      </w:r>
    </w:p>
    <w:p w14:paraId="74D81554">
      <w:pPr>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1" w:line="288" w:lineRule="auto"/>
        <w:ind w:left="0" w:right="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以联合体形式参加政府采购活动，联合体各方均为中小企业的，联合体视同中小企业。其中，联合体各方均为小微企业的，联合体视同小微企业。</w:t>
      </w:r>
    </w:p>
    <w:p w14:paraId="25DC6A5C">
      <w:pPr>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1" w:line="288" w:lineRule="auto"/>
        <w:ind w:left="0" w:right="0" w:firstLine="482" w:firstLineChars="200"/>
        <w:jc w:val="left"/>
        <w:textAlignment w:val="auto"/>
        <w:rPr>
          <w:rFonts w:hint="eastAsia" w:ascii="宋体" w:hAnsi="宋体" w:eastAsia="宋体" w:cs="宋体"/>
          <w:color w:val="auto"/>
          <w:sz w:val="24"/>
          <w:szCs w:val="24"/>
          <w:highlight w:val="none"/>
        </w:rPr>
      </w:pPr>
      <w:r>
        <w:rPr>
          <w:rStyle w:val="47"/>
          <w:rFonts w:hint="eastAsia" w:ascii="宋体" w:hAnsi="宋体" w:eastAsia="宋体" w:cs="宋体"/>
          <w:bCs w:val="0"/>
          <w:color w:val="auto"/>
          <w:kern w:val="0"/>
          <w:sz w:val="24"/>
          <w:szCs w:val="24"/>
          <w:highlight w:val="none"/>
          <w:lang w:val="en-US" w:eastAsia="zh-CN" w:bidi="ar"/>
        </w:rPr>
        <w:t>第五条</w:t>
      </w:r>
      <w:r>
        <w:rPr>
          <w:rFonts w:hint="eastAsia" w:ascii="宋体" w:hAnsi="宋体" w:eastAsia="宋体" w:cs="宋体"/>
          <w:b w:val="0"/>
          <w:bCs w:val="0"/>
          <w:color w:val="auto"/>
          <w:kern w:val="0"/>
          <w:sz w:val="24"/>
          <w:szCs w:val="24"/>
          <w:highlight w:val="none"/>
          <w:lang w:val="en-US" w:eastAsia="zh-CN" w:bidi="ar"/>
        </w:rPr>
        <w:t xml:space="preserve">  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2C951BD7">
      <w:pPr>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1" w:line="288" w:lineRule="auto"/>
        <w:ind w:left="0" w:right="0" w:firstLine="482" w:firstLineChars="200"/>
        <w:jc w:val="left"/>
        <w:textAlignment w:val="auto"/>
        <w:rPr>
          <w:rFonts w:hint="eastAsia" w:ascii="宋体" w:hAnsi="宋体" w:eastAsia="宋体" w:cs="宋体"/>
          <w:color w:val="auto"/>
          <w:sz w:val="24"/>
          <w:szCs w:val="24"/>
          <w:highlight w:val="none"/>
        </w:rPr>
      </w:pPr>
      <w:r>
        <w:rPr>
          <w:rStyle w:val="47"/>
          <w:rFonts w:hint="eastAsia" w:ascii="宋体" w:hAnsi="宋体" w:eastAsia="宋体" w:cs="宋体"/>
          <w:bCs w:val="0"/>
          <w:color w:val="auto"/>
          <w:kern w:val="0"/>
          <w:sz w:val="24"/>
          <w:szCs w:val="24"/>
          <w:highlight w:val="none"/>
          <w:lang w:val="en-US" w:eastAsia="zh-CN" w:bidi="ar"/>
        </w:rPr>
        <w:t>第六条</w:t>
      </w:r>
      <w:r>
        <w:rPr>
          <w:rFonts w:hint="eastAsia" w:ascii="宋体" w:hAnsi="宋体" w:eastAsia="宋体" w:cs="宋体"/>
          <w:b w:val="0"/>
          <w:bCs w:val="0"/>
          <w:color w:val="auto"/>
          <w:kern w:val="0"/>
          <w:sz w:val="24"/>
          <w:szCs w:val="24"/>
          <w:highlight w:val="none"/>
          <w:lang w:val="en-US" w:eastAsia="zh-CN" w:bidi="ar"/>
        </w:rPr>
        <w:t xml:space="preserve">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47DA7E1E">
      <w:pPr>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1" w:line="288" w:lineRule="auto"/>
        <w:ind w:left="0" w:right="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符合下列情形之一的，可不专门面向中小企业预留采购份额：</w:t>
      </w:r>
    </w:p>
    <w:p w14:paraId="6BDFFFF5">
      <w:pPr>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1" w:line="288" w:lineRule="auto"/>
        <w:ind w:left="0" w:right="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（一）法律法规和国家有关政策明确规定优先或者应当面向事业单位、社会组织等非企业主体采购的；</w:t>
      </w:r>
    </w:p>
    <w:p w14:paraId="21F11A4C">
      <w:pPr>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1" w:line="288" w:lineRule="auto"/>
        <w:ind w:left="0" w:right="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（二）因确需使用不可替代的专利、专有技术，基础设施限制，或者提供特定公共服务等原因，只能从中小企业之外的供应商处采购的；</w:t>
      </w:r>
    </w:p>
    <w:p w14:paraId="7464133C">
      <w:pPr>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1" w:line="288" w:lineRule="auto"/>
        <w:ind w:left="0" w:right="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（三）按照本办法规定预留采购份额无法确保充分供应、充分竞争，或者存在可能影响政府采购目标实现的情形；</w:t>
      </w:r>
    </w:p>
    <w:p w14:paraId="037B3E3C">
      <w:pPr>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1" w:line="288" w:lineRule="auto"/>
        <w:ind w:left="0" w:right="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（四）框架协议采购项目；</w:t>
      </w:r>
    </w:p>
    <w:p w14:paraId="6E5A658D">
      <w:pPr>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1" w:line="288" w:lineRule="auto"/>
        <w:ind w:left="0" w:right="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（五）省级以上人民政府财政部门规定的其他情形。</w:t>
      </w:r>
    </w:p>
    <w:p w14:paraId="23C29ADA">
      <w:pPr>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1" w:line="288" w:lineRule="auto"/>
        <w:ind w:left="0" w:right="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除上述情形外，其他均为适宜由中小企业提供的情形。</w:t>
      </w:r>
    </w:p>
    <w:p w14:paraId="6CC3C96D">
      <w:pPr>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1" w:line="288" w:lineRule="auto"/>
        <w:ind w:left="0" w:right="0" w:firstLine="482" w:firstLineChars="200"/>
        <w:jc w:val="left"/>
        <w:textAlignment w:val="auto"/>
        <w:rPr>
          <w:rFonts w:hint="eastAsia" w:ascii="宋体" w:hAnsi="宋体" w:eastAsia="宋体" w:cs="宋体"/>
          <w:color w:val="auto"/>
          <w:sz w:val="24"/>
          <w:szCs w:val="24"/>
          <w:highlight w:val="none"/>
        </w:rPr>
      </w:pPr>
      <w:r>
        <w:rPr>
          <w:rStyle w:val="47"/>
          <w:rFonts w:hint="eastAsia" w:ascii="宋体" w:hAnsi="宋体" w:eastAsia="宋体" w:cs="宋体"/>
          <w:bCs w:val="0"/>
          <w:color w:val="auto"/>
          <w:kern w:val="0"/>
          <w:sz w:val="24"/>
          <w:szCs w:val="24"/>
          <w:highlight w:val="none"/>
          <w:lang w:val="en-US" w:eastAsia="zh-CN" w:bidi="ar"/>
        </w:rPr>
        <w:t>第七条</w:t>
      </w:r>
      <w:r>
        <w:rPr>
          <w:rFonts w:hint="eastAsia" w:ascii="宋体" w:hAnsi="宋体" w:eastAsia="宋体" w:cs="宋体"/>
          <w:b w:val="0"/>
          <w:bCs w:val="0"/>
          <w:color w:val="auto"/>
          <w:kern w:val="0"/>
          <w:sz w:val="24"/>
          <w:szCs w:val="24"/>
          <w:highlight w:val="none"/>
          <w:lang w:val="en-US" w:eastAsia="zh-CN" w:bidi="ar"/>
        </w:rPr>
        <w:t xml:space="preserve">  采购限额标准以上，200 万元以下的货物和服务采购项目、400 万元以下的工程采购项目，适宜由中小企业提供的，采购人应当专门面向中小企业采购。</w:t>
      </w:r>
    </w:p>
    <w:p w14:paraId="58554E43">
      <w:pPr>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1" w:line="288" w:lineRule="auto"/>
        <w:ind w:left="0" w:right="0" w:firstLine="482" w:firstLineChars="200"/>
        <w:jc w:val="left"/>
        <w:textAlignment w:val="auto"/>
        <w:rPr>
          <w:rFonts w:hint="eastAsia" w:ascii="宋体" w:hAnsi="宋体" w:eastAsia="宋体" w:cs="宋体"/>
          <w:color w:val="auto"/>
          <w:sz w:val="24"/>
          <w:szCs w:val="24"/>
          <w:highlight w:val="none"/>
        </w:rPr>
      </w:pPr>
      <w:r>
        <w:rPr>
          <w:rStyle w:val="47"/>
          <w:rFonts w:hint="eastAsia" w:ascii="宋体" w:hAnsi="宋体" w:eastAsia="宋体" w:cs="宋体"/>
          <w:bCs w:val="0"/>
          <w:color w:val="auto"/>
          <w:kern w:val="0"/>
          <w:sz w:val="24"/>
          <w:szCs w:val="24"/>
          <w:highlight w:val="none"/>
          <w:lang w:val="en-US" w:eastAsia="zh-CN" w:bidi="ar"/>
        </w:rPr>
        <w:t>第八条</w:t>
      </w:r>
      <w:r>
        <w:rPr>
          <w:rFonts w:hint="eastAsia" w:ascii="宋体" w:hAnsi="宋体" w:eastAsia="宋体" w:cs="宋体"/>
          <w:b w:val="0"/>
          <w:bCs w:val="0"/>
          <w:color w:val="auto"/>
          <w:kern w:val="0"/>
          <w:sz w:val="24"/>
          <w:szCs w:val="24"/>
          <w:highlight w:val="none"/>
          <w:lang w:val="en-US" w:eastAsia="zh-CN" w:bidi="ar"/>
        </w:rPr>
        <w:t xml:space="preserve">  超过 200 万元的货物和服务采购项目、超过400 万元的工程采购项目中适宜由中小企业提供的，预留该部分采购项目预算总额的 30%以上专门面向中小企业采购，其中预留给小微企业的比例不低于 60%。预留份额通过下列措施进行：</w:t>
      </w:r>
    </w:p>
    <w:p w14:paraId="537C883C">
      <w:pPr>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1" w:line="288" w:lineRule="auto"/>
        <w:ind w:left="0" w:right="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（一）将采购项目整体或者设置采购包专门面向中小企业采购；</w:t>
      </w:r>
    </w:p>
    <w:p w14:paraId="00676276">
      <w:pPr>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1" w:line="288" w:lineRule="auto"/>
        <w:ind w:left="0" w:right="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（二）要求供应商以联合体形式参加采购活动，且联合体中中小企业承担的部分达到一定比例；</w:t>
      </w:r>
    </w:p>
    <w:p w14:paraId="4FB6E903">
      <w:pPr>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1" w:line="288" w:lineRule="auto"/>
        <w:ind w:left="0" w:right="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（三）要求获得采购合同的供应商将采购项目中的一定比例分包给一家或者多家中小企业。</w:t>
      </w:r>
    </w:p>
    <w:p w14:paraId="362C089C">
      <w:pPr>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1" w:line="288" w:lineRule="auto"/>
        <w:ind w:left="0" w:right="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组成联合体或者接受分包合同的中小企业与联合体内其他企业、分包企业之间不得存在直接控股、管理关系。</w:t>
      </w:r>
    </w:p>
    <w:p w14:paraId="47E0E654">
      <w:pPr>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1" w:line="288" w:lineRule="auto"/>
        <w:ind w:left="0" w:right="0" w:firstLine="482" w:firstLineChars="200"/>
        <w:jc w:val="left"/>
        <w:textAlignment w:val="auto"/>
        <w:rPr>
          <w:rFonts w:hint="eastAsia" w:ascii="宋体" w:hAnsi="宋体" w:eastAsia="宋体" w:cs="宋体"/>
          <w:color w:val="auto"/>
          <w:sz w:val="24"/>
          <w:szCs w:val="24"/>
          <w:highlight w:val="none"/>
        </w:rPr>
      </w:pPr>
      <w:r>
        <w:rPr>
          <w:rStyle w:val="47"/>
          <w:rFonts w:hint="eastAsia" w:ascii="宋体" w:hAnsi="宋体" w:eastAsia="宋体" w:cs="宋体"/>
          <w:bCs w:val="0"/>
          <w:color w:val="auto"/>
          <w:kern w:val="0"/>
          <w:sz w:val="24"/>
          <w:szCs w:val="24"/>
          <w:highlight w:val="none"/>
          <w:lang w:val="en-US" w:eastAsia="zh-CN" w:bidi="ar"/>
        </w:rPr>
        <w:t>第九条</w:t>
      </w:r>
      <w:r>
        <w:rPr>
          <w:rFonts w:hint="eastAsia" w:ascii="宋体" w:hAnsi="宋体" w:eastAsia="宋体" w:cs="宋体"/>
          <w:b w:val="0"/>
          <w:bCs w:val="0"/>
          <w:color w:val="auto"/>
          <w:kern w:val="0"/>
          <w:sz w:val="24"/>
          <w:szCs w:val="24"/>
          <w:highlight w:val="none"/>
          <w:lang w:val="en-US" w:eastAsia="zh-CN" w:bidi="ar"/>
        </w:rPr>
        <w:t xml:space="preserve">  对于经主管预算单位统筹后未预留份额专门面向中小企业采购的采购项目，以及预留份额项目中的非预留部分采购包，采购人、采购代理机构应当对符合本办法规定的小微企业报价给予 6%—10%（工程项目为 3%—5%）的扣除，用扣除后的价格参加评审。适用招标投标法的政府采购工程建设项目，采用综合评估法但未采用低价优先法计算价格分的，评标时应当在采用原报价进行评分的基础上增加其价格得分的 3%—5%作为其价格分。</w:t>
      </w:r>
    </w:p>
    <w:p w14:paraId="046DD5D6">
      <w:pPr>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1" w:line="288" w:lineRule="auto"/>
        <w:ind w:left="0" w:right="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接受大中型企业与小微企业组成联合体或者允许大中型企业向一家或者多家小微企业分包的采购项目，对于联合协议或者分包意向协议约定小微企业的合同份额占到合同总金额 30%以上的，采购人、采购代理机构应当对联合体或者大中型企业的报价给予 2%-3%（工程项目为 1%—2%）的扣除，用扣除后的价格参加评审。适用招标投标法的政府采购工程建设项目，采用综合评估法但未采用低价优先法计算价格分的，评标时应当在采用原报价进行评分的基础上增加其价格得分的 1%—2%作为其价格分。组成联合体或者接受分包的小微企业与联合体内其他企业、分包企业之间存在直接控股、管理关系的，不享受价格扣除优惠政策。</w:t>
      </w:r>
    </w:p>
    <w:p w14:paraId="02020A8B">
      <w:pPr>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1" w:line="288" w:lineRule="auto"/>
        <w:ind w:left="0" w:right="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5B852D9A">
      <w:pPr>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1" w:line="288" w:lineRule="auto"/>
        <w:ind w:left="0" w:right="0" w:firstLine="482" w:firstLineChars="200"/>
        <w:jc w:val="left"/>
        <w:textAlignment w:val="auto"/>
        <w:rPr>
          <w:rFonts w:hint="eastAsia" w:ascii="宋体" w:hAnsi="宋体" w:eastAsia="宋体" w:cs="宋体"/>
          <w:color w:val="auto"/>
          <w:sz w:val="24"/>
          <w:szCs w:val="24"/>
          <w:highlight w:val="none"/>
        </w:rPr>
      </w:pPr>
      <w:r>
        <w:rPr>
          <w:rStyle w:val="47"/>
          <w:rFonts w:hint="eastAsia" w:ascii="宋体" w:hAnsi="宋体" w:eastAsia="宋体" w:cs="宋体"/>
          <w:bCs w:val="0"/>
          <w:color w:val="auto"/>
          <w:kern w:val="0"/>
          <w:sz w:val="24"/>
          <w:szCs w:val="24"/>
          <w:highlight w:val="none"/>
          <w:lang w:val="en-US" w:eastAsia="zh-CN" w:bidi="ar"/>
        </w:rPr>
        <w:t>第十条</w:t>
      </w:r>
      <w:r>
        <w:rPr>
          <w:rFonts w:hint="eastAsia" w:ascii="宋体" w:hAnsi="宋体" w:eastAsia="宋体" w:cs="宋体"/>
          <w:b w:val="0"/>
          <w:bCs w:val="0"/>
          <w:color w:val="auto"/>
          <w:kern w:val="0"/>
          <w:sz w:val="24"/>
          <w:szCs w:val="24"/>
          <w:highlight w:val="none"/>
          <w:lang w:val="en-US" w:eastAsia="zh-CN" w:bidi="ar"/>
        </w:rPr>
        <w:t xml:space="preserve">  采购人应当严格按照本办法规定和主管预算单位制定的预留采购份额具体方案开展采购活动。预留份额的采购项目或者采购包，通过发布公告方式邀请供应商后，符合资格条件的中小企业数量不足 3 家的，应当中止采购活动，视同未预留份额的采购项目或者采购包，按照本办法第九条有关规定重新组织采购活动。</w:t>
      </w:r>
    </w:p>
    <w:p w14:paraId="0D4AB017">
      <w:pPr>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1" w:line="288" w:lineRule="auto"/>
        <w:ind w:left="0" w:right="0" w:firstLine="482" w:firstLineChars="200"/>
        <w:jc w:val="left"/>
        <w:textAlignment w:val="auto"/>
        <w:rPr>
          <w:rFonts w:hint="eastAsia" w:ascii="宋体" w:hAnsi="宋体" w:eastAsia="宋体" w:cs="宋体"/>
          <w:color w:val="auto"/>
          <w:sz w:val="24"/>
          <w:szCs w:val="24"/>
          <w:highlight w:val="none"/>
        </w:rPr>
      </w:pPr>
      <w:r>
        <w:rPr>
          <w:rStyle w:val="47"/>
          <w:rFonts w:hint="eastAsia" w:ascii="宋体" w:hAnsi="宋体" w:eastAsia="宋体" w:cs="宋体"/>
          <w:bCs w:val="0"/>
          <w:color w:val="auto"/>
          <w:kern w:val="0"/>
          <w:sz w:val="24"/>
          <w:szCs w:val="24"/>
          <w:highlight w:val="none"/>
          <w:lang w:val="en-US" w:eastAsia="zh-CN" w:bidi="ar"/>
        </w:rPr>
        <w:t>第十一条</w:t>
      </w:r>
      <w:r>
        <w:rPr>
          <w:rFonts w:hint="eastAsia" w:ascii="宋体" w:hAnsi="宋体" w:eastAsia="宋体" w:cs="宋体"/>
          <w:b w:val="0"/>
          <w:bCs w:val="0"/>
          <w:color w:val="auto"/>
          <w:kern w:val="0"/>
          <w:sz w:val="24"/>
          <w:szCs w:val="24"/>
          <w:highlight w:val="none"/>
          <w:lang w:val="en-US" w:eastAsia="zh-CN" w:bidi="ar"/>
        </w:rPr>
        <w:t xml:space="preserve">  中小企业参加政府采购活动，应当出具本办法规定的《中小企业声明函》（附 1），否则不得享受相关中小企业扶持政策。任何单位和个人不得要求供应商提供《中小企业声明函》之外的中小企业身份证明文件。</w:t>
      </w:r>
    </w:p>
    <w:p w14:paraId="12B644B8">
      <w:pPr>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1" w:line="288" w:lineRule="auto"/>
        <w:ind w:left="0" w:right="0" w:firstLine="482" w:firstLineChars="200"/>
        <w:jc w:val="left"/>
        <w:textAlignment w:val="auto"/>
        <w:rPr>
          <w:rFonts w:hint="eastAsia" w:ascii="宋体" w:hAnsi="宋体" w:eastAsia="宋体" w:cs="宋体"/>
          <w:color w:val="auto"/>
          <w:sz w:val="24"/>
          <w:szCs w:val="24"/>
          <w:highlight w:val="none"/>
        </w:rPr>
      </w:pPr>
      <w:r>
        <w:rPr>
          <w:rStyle w:val="47"/>
          <w:rFonts w:hint="eastAsia" w:ascii="宋体" w:hAnsi="宋体" w:eastAsia="宋体" w:cs="宋体"/>
          <w:bCs w:val="0"/>
          <w:color w:val="auto"/>
          <w:kern w:val="0"/>
          <w:sz w:val="24"/>
          <w:szCs w:val="24"/>
          <w:highlight w:val="none"/>
          <w:lang w:val="en-US" w:eastAsia="zh-CN" w:bidi="ar"/>
        </w:rPr>
        <w:t>第十二条</w:t>
      </w:r>
      <w:r>
        <w:rPr>
          <w:rFonts w:hint="eastAsia" w:ascii="宋体" w:hAnsi="宋体" w:eastAsia="宋体" w:cs="宋体"/>
          <w:b w:val="0"/>
          <w:bCs w:val="0"/>
          <w:color w:val="auto"/>
          <w:kern w:val="0"/>
          <w:sz w:val="24"/>
          <w:szCs w:val="24"/>
          <w:highlight w:val="none"/>
          <w:lang w:val="en-US" w:eastAsia="zh-CN" w:bidi="ar"/>
        </w:rPr>
        <w:t xml:space="preserve">  采购项目涉及中小企业采购的，采购文件应当明确以下内容：</w:t>
      </w:r>
    </w:p>
    <w:p w14:paraId="59B19384">
      <w:pPr>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1" w:line="288" w:lineRule="auto"/>
        <w:ind w:left="0" w:right="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（一）预留份额的采购项目或者采购包，明确该项目或相关采购包专门面向中小企业采购，以及相关标的及预算金额；</w:t>
      </w:r>
    </w:p>
    <w:p w14:paraId="0E40DFB5">
      <w:pPr>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1" w:line="288" w:lineRule="auto"/>
        <w:ind w:left="0" w:right="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（二）要求以联合体形式参加或者合同分包的，明确联合协议或者分包意向协议中中小企业合同金额应当达到的比例，并作为供应商资格条件；</w:t>
      </w:r>
    </w:p>
    <w:p w14:paraId="59CAE0EA">
      <w:pPr>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1" w:line="288" w:lineRule="auto"/>
        <w:ind w:left="0" w:right="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（三）非预留份额的采购项目或者采购包，明确有关价格扣除比例或者价格分加分比例；</w:t>
      </w:r>
    </w:p>
    <w:p w14:paraId="37CFE87A">
      <w:pPr>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1" w:line="288" w:lineRule="auto"/>
        <w:ind w:left="0" w:right="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（四）规定依据本办法规定享受扶持政策获得政府采购合同的，小微企业不得将合同分包给大中型企业，中型企业不得将合同分包给大型企业；</w:t>
      </w:r>
    </w:p>
    <w:p w14:paraId="5594EDF5">
      <w:pPr>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1" w:line="288" w:lineRule="auto"/>
        <w:ind w:left="0" w:right="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（五）采购人认为具备相关条件的，明确对中小企业在资金支付期限、预付款比例等方面的优惠措施；</w:t>
      </w:r>
    </w:p>
    <w:p w14:paraId="35CD4349">
      <w:pPr>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1" w:line="288" w:lineRule="auto"/>
        <w:ind w:left="0" w:right="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（六）明确采购标的对应的中小企业划分标准所属行业；</w:t>
      </w:r>
    </w:p>
    <w:p w14:paraId="3AF432DF">
      <w:pPr>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1" w:line="288" w:lineRule="auto"/>
        <w:ind w:left="0" w:right="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（七）法律法规和省级以上人民政府财政部门规定的其他事项。</w:t>
      </w:r>
    </w:p>
    <w:p w14:paraId="0136ACE2">
      <w:pPr>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1" w:line="288" w:lineRule="auto"/>
        <w:ind w:left="0" w:right="0" w:firstLine="482" w:firstLineChars="200"/>
        <w:jc w:val="left"/>
        <w:textAlignment w:val="auto"/>
        <w:rPr>
          <w:rFonts w:hint="eastAsia" w:ascii="宋体" w:hAnsi="宋体" w:eastAsia="宋体" w:cs="宋体"/>
          <w:color w:val="auto"/>
          <w:sz w:val="24"/>
          <w:szCs w:val="24"/>
          <w:highlight w:val="none"/>
        </w:rPr>
      </w:pPr>
      <w:r>
        <w:rPr>
          <w:rStyle w:val="47"/>
          <w:rFonts w:hint="eastAsia" w:ascii="宋体" w:hAnsi="宋体" w:eastAsia="宋体" w:cs="宋体"/>
          <w:bCs w:val="0"/>
          <w:color w:val="auto"/>
          <w:kern w:val="0"/>
          <w:sz w:val="24"/>
          <w:szCs w:val="24"/>
          <w:highlight w:val="none"/>
          <w:lang w:val="en-US" w:eastAsia="zh-CN" w:bidi="ar"/>
        </w:rPr>
        <w:t>第十三条</w:t>
      </w:r>
      <w:r>
        <w:rPr>
          <w:rFonts w:hint="eastAsia" w:ascii="宋体" w:hAnsi="宋体" w:eastAsia="宋体" w:cs="宋体"/>
          <w:b w:val="0"/>
          <w:bCs w:val="0"/>
          <w:color w:val="auto"/>
          <w:kern w:val="0"/>
          <w:sz w:val="24"/>
          <w:szCs w:val="24"/>
          <w:highlight w:val="none"/>
          <w:lang w:val="en-US" w:eastAsia="zh-CN" w:bidi="ar"/>
        </w:rPr>
        <w:t xml:space="preserve">  中标、成交供应商享受本办法规定的中小企业扶持政策的，采购人、采购代理机构应当随中标、成交结果公开中标、成交供应商的《中小企业声明函》。</w:t>
      </w:r>
    </w:p>
    <w:p w14:paraId="6E70DCB2">
      <w:pPr>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1" w:line="288" w:lineRule="auto"/>
        <w:ind w:left="0" w:right="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适用招标投标法的政府采购工程建设项目，应当在公示中标候选人时公开中标候选人的《中小企业声明函》。</w:t>
      </w:r>
    </w:p>
    <w:p w14:paraId="0E3177CB">
      <w:pPr>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1" w:line="288" w:lineRule="auto"/>
        <w:ind w:left="0" w:right="0" w:firstLine="482" w:firstLineChars="200"/>
        <w:jc w:val="left"/>
        <w:textAlignment w:val="auto"/>
        <w:rPr>
          <w:rFonts w:hint="eastAsia" w:ascii="宋体" w:hAnsi="宋体" w:eastAsia="宋体" w:cs="宋体"/>
          <w:color w:val="auto"/>
          <w:sz w:val="24"/>
          <w:szCs w:val="24"/>
          <w:highlight w:val="none"/>
        </w:rPr>
      </w:pPr>
      <w:r>
        <w:rPr>
          <w:rStyle w:val="47"/>
          <w:rFonts w:hint="eastAsia" w:ascii="宋体" w:hAnsi="宋体" w:eastAsia="宋体" w:cs="宋体"/>
          <w:bCs w:val="0"/>
          <w:color w:val="auto"/>
          <w:kern w:val="0"/>
          <w:sz w:val="24"/>
          <w:szCs w:val="24"/>
          <w:highlight w:val="none"/>
          <w:lang w:val="en-US" w:eastAsia="zh-CN" w:bidi="ar"/>
        </w:rPr>
        <w:t>第十四条</w:t>
      </w:r>
      <w:r>
        <w:rPr>
          <w:rFonts w:hint="eastAsia" w:ascii="宋体" w:hAnsi="宋体" w:eastAsia="宋体" w:cs="宋体"/>
          <w:b w:val="0"/>
          <w:bCs w:val="0"/>
          <w:color w:val="auto"/>
          <w:kern w:val="0"/>
          <w:sz w:val="24"/>
          <w:szCs w:val="24"/>
          <w:highlight w:val="none"/>
          <w:lang w:val="en-US" w:eastAsia="zh-CN" w:bidi="ar"/>
        </w:rPr>
        <w:t xml:space="preserve">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07F27754">
      <w:pPr>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1" w:line="288" w:lineRule="auto"/>
        <w:ind w:left="0" w:right="0" w:firstLine="482" w:firstLineChars="200"/>
        <w:jc w:val="left"/>
        <w:textAlignment w:val="auto"/>
        <w:rPr>
          <w:rFonts w:hint="eastAsia" w:ascii="宋体" w:hAnsi="宋体" w:eastAsia="宋体" w:cs="宋体"/>
          <w:color w:val="auto"/>
          <w:sz w:val="24"/>
          <w:szCs w:val="24"/>
          <w:highlight w:val="none"/>
        </w:rPr>
      </w:pPr>
      <w:r>
        <w:rPr>
          <w:rStyle w:val="47"/>
          <w:rFonts w:hint="eastAsia" w:ascii="宋体" w:hAnsi="宋体" w:eastAsia="宋体" w:cs="宋体"/>
          <w:bCs w:val="0"/>
          <w:color w:val="auto"/>
          <w:kern w:val="0"/>
          <w:sz w:val="24"/>
          <w:szCs w:val="24"/>
          <w:highlight w:val="none"/>
          <w:lang w:val="en-US" w:eastAsia="zh-CN" w:bidi="ar"/>
        </w:rPr>
        <w:t>第十五条</w:t>
      </w:r>
      <w:r>
        <w:rPr>
          <w:rFonts w:hint="eastAsia" w:ascii="宋体" w:hAnsi="宋体" w:eastAsia="宋体" w:cs="宋体"/>
          <w:b w:val="0"/>
          <w:bCs w:val="0"/>
          <w:color w:val="auto"/>
          <w:kern w:val="0"/>
          <w:sz w:val="24"/>
          <w:szCs w:val="24"/>
          <w:highlight w:val="none"/>
          <w:lang w:val="en-US" w:eastAsia="zh-CN" w:bidi="ar"/>
        </w:rPr>
        <w:t xml:space="preserve">  鼓励各地区、各部门在采购活动中允许中小企业引入信用担保手段，为中小企业在投标（响应）保证、履约保证等方面提供专业化服务。鼓励中小企业依法合规通过政府采购合同融资。</w:t>
      </w:r>
    </w:p>
    <w:p w14:paraId="44CB030B">
      <w:pPr>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1" w:line="288" w:lineRule="auto"/>
        <w:ind w:left="0" w:right="0" w:firstLine="482" w:firstLineChars="200"/>
        <w:jc w:val="left"/>
        <w:textAlignment w:val="auto"/>
        <w:rPr>
          <w:rFonts w:hint="eastAsia" w:ascii="宋体" w:hAnsi="宋体" w:eastAsia="宋体" w:cs="宋体"/>
          <w:color w:val="auto"/>
          <w:sz w:val="24"/>
          <w:szCs w:val="24"/>
          <w:highlight w:val="none"/>
        </w:rPr>
      </w:pPr>
      <w:r>
        <w:rPr>
          <w:rStyle w:val="47"/>
          <w:rFonts w:hint="eastAsia" w:ascii="宋体" w:hAnsi="宋体" w:eastAsia="宋体" w:cs="宋体"/>
          <w:bCs w:val="0"/>
          <w:color w:val="auto"/>
          <w:kern w:val="0"/>
          <w:sz w:val="24"/>
          <w:szCs w:val="24"/>
          <w:highlight w:val="none"/>
          <w:lang w:val="en-US" w:eastAsia="zh-CN" w:bidi="ar"/>
        </w:rPr>
        <w:t>第十六条</w:t>
      </w:r>
      <w:r>
        <w:rPr>
          <w:rFonts w:hint="eastAsia" w:ascii="宋体" w:hAnsi="宋体" w:eastAsia="宋体" w:cs="宋体"/>
          <w:b w:val="0"/>
          <w:bCs w:val="0"/>
          <w:color w:val="auto"/>
          <w:kern w:val="0"/>
          <w:sz w:val="24"/>
          <w:szCs w:val="24"/>
          <w:highlight w:val="none"/>
          <w:lang w:val="en-US" w:eastAsia="zh-CN" w:bidi="ar"/>
        </w:rPr>
        <w:t xml:space="preserve">  政府采购监督检查、投诉处理及政府采购行政处罚中对中小企业的认定，由货物制造商或者工程、服务供应商注册登记所在地的县级以上人民政府中小企业主管部门负责。</w:t>
      </w:r>
    </w:p>
    <w:p w14:paraId="59F7D622">
      <w:pPr>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1" w:line="288" w:lineRule="auto"/>
        <w:ind w:left="0" w:right="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中小企业主管部门应当在收到财政部门或者有关招标投标行政监督部门关于协助开展中小企业认定函后 10 个工作日内做出书面答复。</w:t>
      </w:r>
    </w:p>
    <w:p w14:paraId="182B99CF">
      <w:pPr>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1" w:line="288" w:lineRule="auto"/>
        <w:ind w:left="0" w:right="0" w:firstLine="482" w:firstLineChars="200"/>
        <w:jc w:val="left"/>
        <w:textAlignment w:val="auto"/>
        <w:rPr>
          <w:rFonts w:hint="eastAsia" w:ascii="宋体" w:hAnsi="宋体" w:eastAsia="宋体" w:cs="宋体"/>
          <w:color w:val="auto"/>
          <w:sz w:val="24"/>
          <w:szCs w:val="24"/>
          <w:highlight w:val="none"/>
        </w:rPr>
      </w:pPr>
      <w:r>
        <w:rPr>
          <w:rStyle w:val="47"/>
          <w:rFonts w:hint="eastAsia" w:ascii="宋体" w:hAnsi="宋体" w:eastAsia="宋体" w:cs="宋体"/>
          <w:bCs w:val="0"/>
          <w:color w:val="auto"/>
          <w:kern w:val="0"/>
          <w:sz w:val="24"/>
          <w:szCs w:val="24"/>
          <w:highlight w:val="none"/>
          <w:lang w:val="en-US" w:eastAsia="zh-CN" w:bidi="ar"/>
        </w:rPr>
        <w:t>第十七条</w:t>
      </w:r>
      <w:r>
        <w:rPr>
          <w:rFonts w:hint="eastAsia" w:ascii="宋体" w:hAnsi="宋体" w:eastAsia="宋体" w:cs="宋体"/>
          <w:b w:val="0"/>
          <w:bCs w:val="0"/>
          <w:color w:val="auto"/>
          <w:kern w:val="0"/>
          <w:sz w:val="24"/>
          <w:szCs w:val="24"/>
          <w:highlight w:val="none"/>
          <w:lang w:val="en-US" w:eastAsia="zh-CN" w:bidi="ar"/>
        </w:rPr>
        <w:t xml:space="preserve">  各地区、各部门应当对涉及中小企业采购的预算项目实施全过程绩效管理，合理设置绩效目标和指标，落实扶持中小企业有关政策要求，定期开展绩效监控和评价，强化绩效评价结果应用。</w:t>
      </w:r>
    </w:p>
    <w:p w14:paraId="24B6ADBE">
      <w:pPr>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1" w:line="288" w:lineRule="auto"/>
        <w:ind w:left="0" w:right="0" w:firstLine="482" w:firstLineChars="200"/>
        <w:jc w:val="left"/>
        <w:textAlignment w:val="auto"/>
        <w:rPr>
          <w:rFonts w:hint="eastAsia" w:ascii="宋体" w:hAnsi="宋体" w:eastAsia="宋体" w:cs="宋体"/>
          <w:color w:val="auto"/>
          <w:sz w:val="24"/>
          <w:szCs w:val="24"/>
          <w:highlight w:val="none"/>
        </w:rPr>
      </w:pPr>
      <w:r>
        <w:rPr>
          <w:rStyle w:val="47"/>
          <w:rFonts w:hint="eastAsia" w:ascii="宋体" w:hAnsi="宋体" w:eastAsia="宋体" w:cs="宋体"/>
          <w:bCs w:val="0"/>
          <w:color w:val="auto"/>
          <w:kern w:val="0"/>
          <w:sz w:val="24"/>
          <w:szCs w:val="24"/>
          <w:highlight w:val="none"/>
          <w:lang w:val="en-US" w:eastAsia="zh-CN" w:bidi="ar"/>
        </w:rPr>
        <w:t>第十八条</w:t>
      </w:r>
      <w:r>
        <w:rPr>
          <w:rFonts w:hint="eastAsia" w:ascii="宋体" w:hAnsi="宋体" w:eastAsia="宋体" w:cs="宋体"/>
          <w:b w:val="0"/>
          <w:bCs w:val="0"/>
          <w:color w:val="auto"/>
          <w:kern w:val="0"/>
          <w:sz w:val="24"/>
          <w:szCs w:val="24"/>
          <w:highlight w:val="none"/>
          <w:lang w:val="en-US" w:eastAsia="zh-CN" w:bidi="ar"/>
        </w:rPr>
        <w:t xml:space="preserve">  主管预算单位应当自 2022 年起向同级财政部门报告本部门上一年度面向中小企业预留份额和采购的具体情况，并在中国政府采购网公开预留项目执行情况(附2)。未达到本办法规定的预留份额比例的，应当作出说明。</w:t>
      </w:r>
    </w:p>
    <w:p w14:paraId="76B2626E">
      <w:pPr>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1" w:line="288" w:lineRule="auto"/>
        <w:ind w:left="0" w:right="0" w:firstLine="482" w:firstLineChars="200"/>
        <w:jc w:val="left"/>
        <w:textAlignment w:val="auto"/>
        <w:rPr>
          <w:rFonts w:hint="eastAsia" w:ascii="宋体" w:hAnsi="宋体" w:eastAsia="宋体" w:cs="宋体"/>
          <w:color w:val="auto"/>
          <w:sz w:val="24"/>
          <w:szCs w:val="24"/>
          <w:highlight w:val="none"/>
        </w:rPr>
      </w:pPr>
      <w:r>
        <w:rPr>
          <w:rStyle w:val="47"/>
          <w:rFonts w:hint="eastAsia" w:ascii="宋体" w:hAnsi="宋体" w:eastAsia="宋体" w:cs="宋体"/>
          <w:bCs w:val="0"/>
          <w:color w:val="auto"/>
          <w:kern w:val="0"/>
          <w:sz w:val="24"/>
          <w:szCs w:val="24"/>
          <w:highlight w:val="none"/>
          <w:lang w:val="en-US" w:eastAsia="zh-CN" w:bidi="ar"/>
        </w:rPr>
        <w:t>第十九条</w:t>
      </w:r>
      <w:r>
        <w:rPr>
          <w:rFonts w:hint="eastAsia" w:ascii="宋体" w:hAnsi="宋体" w:eastAsia="宋体" w:cs="宋体"/>
          <w:b w:val="0"/>
          <w:bCs w:val="0"/>
          <w:color w:val="auto"/>
          <w:kern w:val="0"/>
          <w:sz w:val="24"/>
          <w:szCs w:val="24"/>
          <w:highlight w:val="none"/>
          <w:lang w:val="en-US" w:eastAsia="zh-CN" w:bidi="ar"/>
        </w:rPr>
        <w:t xml:space="preserve">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0532BDD6">
      <w:pPr>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1" w:line="288" w:lineRule="auto"/>
        <w:ind w:left="0" w:right="0" w:firstLine="482" w:firstLineChars="200"/>
        <w:jc w:val="left"/>
        <w:textAlignment w:val="auto"/>
        <w:rPr>
          <w:rFonts w:hint="eastAsia" w:ascii="宋体" w:hAnsi="宋体" w:eastAsia="宋体" w:cs="宋体"/>
          <w:color w:val="auto"/>
          <w:sz w:val="24"/>
          <w:szCs w:val="24"/>
          <w:highlight w:val="none"/>
        </w:rPr>
      </w:pPr>
      <w:r>
        <w:rPr>
          <w:rStyle w:val="47"/>
          <w:rFonts w:hint="eastAsia" w:ascii="宋体" w:hAnsi="宋体" w:eastAsia="宋体" w:cs="宋体"/>
          <w:bCs w:val="0"/>
          <w:color w:val="auto"/>
          <w:kern w:val="0"/>
          <w:sz w:val="24"/>
          <w:szCs w:val="24"/>
          <w:highlight w:val="none"/>
          <w:lang w:val="en-US" w:eastAsia="zh-CN" w:bidi="ar"/>
        </w:rPr>
        <w:t>第二十条</w:t>
      </w:r>
      <w:r>
        <w:rPr>
          <w:rFonts w:hint="eastAsia" w:ascii="宋体" w:hAnsi="宋体" w:eastAsia="宋体" w:cs="宋体"/>
          <w:b w:val="0"/>
          <w:bCs w:val="0"/>
          <w:color w:val="auto"/>
          <w:kern w:val="0"/>
          <w:sz w:val="24"/>
          <w:szCs w:val="24"/>
          <w:highlight w:val="none"/>
          <w:lang w:val="en-US" w:eastAsia="zh-CN" w:bidi="ar"/>
        </w:rPr>
        <w:t xml:space="preserve">  供应商按照本办法规定提供声明函内容不实的，属于提供虚假材料谋取中标、成交，依照《中华人民共和国政府采购法》等国家有关规定追究相应责任。</w:t>
      </w:r>
    </w:p>
    <w:p w14:paraId="2E64B7D7">
      <w:pPr>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1" w:line="288" w:lineRule="auto"/>
        <w:ind w:left="0" w:right="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适用招标投标法的政府采购工程建设项目，</w:t>
      </w:r>
      <w:r>
        <w:rPr>
          <w:rFonts w:hint="eastAsia" w:ascii="宋体" w:hAnsi="宋体" w:cs="宋体"/>
          <w:b w:val="0"/>
          <w:bCs w:val="0"/>
          <w:color w:val="auto"/>
          <w:kern w:val="0"/>
          <w:sz w:val="24"/>
          <w:szCs w:val="24"/>
          <w:highlight w:val="none"/>
          <w:lang w:val="en-US" w:eastAsia="zh-CN" w:bidi="ar"/>
        </w:rPr>
        <w:t>供应商</w:t>
      </w:r>
      <w:r>
        <w:rPr>
          <w:rFonts w:hint="eastAsia" w:ascii="宋体" w:hAnsi="宋体" w:eastAsia="宋体" w:cs="宋体"/>
          <w:b w:val="0"/>
          <w:bCs w:val="0"/>
          <w:color w:val="auto"/>
          <w:kern w:val="0"/>
          <w:sz w:val="24"/>
          <w:szCs w:val="24"/>
          <w:highlight w:val="none"/>
          <w:lang w:val="en-US" w:eastAsia="zh-CN" w:bidi="ar"/>
        </w:rPr>
        <w:t>按照本办法规定提供声明函内容不实的，属于弄虚作假骗取中标，依照《中华人民共和国招标投标法》等国家有关规定追究相应责任。</w:t>
      </w:r>
    </w:p>
    <w:p w14:paraId="6F3B824E">
      <w:pPr>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1" w:line="288" w:lineRule="auto"/>
        <w:ind w:left="0" w:right="0" w:firstLine="482" w:firstLineChars="200"/>
        <w:jc w:val="left"/>
        <w:textAlignment w:val="auto"/>
        <w:rPr>
          <w:rFonts w:hint="eastAsia" w:ascii="宋体" w:hAnsi="宋体" w:eastAsia="宋体" w:cs="宋体"/>
          <w:color w:val="auto"/>
          <w:sz w:val="24"/>
          <w:szCs w:val="24"/>
          <w:highlight w:val="none"/>
        </w:rPr>
      </w:pPr>
      <w:r>
        <w:rPr>
          <w:rStyle w:val="47"/>
          <w:rFonts w:hint="eastAsia" w:ascii="宋体" w:hAnsi="宋体" w:eastAsia="宋体" w:cs="宋体"/>
          <w:bCs w:val="0"/>
          <w:color w:val="auto"/>
          <w:kern w:val="0"/>
          <w:sz w:val="24"/>
          <w:szCs w:val="24"/>
          <w:highlight w:val="none"/>
          <w:lang w:val="en-US" w:eastAsia="zh-CN" w:bidi="ar"/>
        </w:rPr>
        <w:t>第二十一条</w:t>
      </w:r>
      <w:r>
        <w:rPr>
          <w:rFonts w:hint="eastAsia" w:ascii="宋体" w:hAnsi="宋体" w:eastAsia="宋体" w:cs="宋体"/>
          <w:b w:val="0"/>
          <w:bCs w:val="0"/>
          <w:color w:val="auto"/>
          <w:kern w:val="0"/>
          <w:sz w:val="24"/>
          <w:szCs w:val="24"/>
          <w:highlight w:val="none"/>
          <w:lang w:val="en-US" w:eastAsia="zh-CN" w:bidi="ar"/>
        </w:rPr>
        <w:t xml:space="preserve">  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14:paraId="54263B17">
      <w:pPr>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1" w:line="288" w:lineRule="auto"/>
        <w:ind w:left="0" w:right="0" w:firstLine="482" w:firstLineChars="200"/>
        <w:jc w:val="left"/>
        <w:textAlignment w:val="auto"/>
        <w:rPr>
          <w:rFonts w:hint="eastAsia" w:ascii="宋体" w:hAnsi="宋体" w:eastAsia="宋体" w:cs="宋体"/>
          <w:color w:val="auto"/>
          <w:sz w:val="24"/>
          <w:szCs w:val="24"/>
          <w:highlight w:val="none"/>
        </w:rPr>
      </w:pPr>
      <w:r>
        <w:rPr>
          <w:rStyle w:val="47"/>
          <w:rFonts w:hint="eastAsia" w:ascii="宋体" w:hAnsi="宋体" w:eastAsia="宋体" w:cs="宋体"/>
          <w:bCs w:val="0"/>
          <w:color w:val="auto"/>
          <w:kern w:val="0"/>
          <w:sz w:val="24"/>
          <w:szCs w:val="24"/>
          <w:highlight w:val="none"/>
          <w:lang w:val="en-US" w:eastAsia="zh-CN" w:bidi="ar"/>
        </w:rPr>
        <w:t>第二十二条</w:t>
      </w:r>
      <w:r>
        <w:rPr>
          <w:rFonts w:hint="eastAsia" w:ascii="宋体" w:hAnsi="宋体" w:eastAsia="宋体" w:cs="宋体"/>
          <w:b w:val="0"/>
          <w:bCs w:val="0"/>
          <w:color w:val="auto"/>
          <w:kern w:val="0"/>
          <w:sz w:val="24"/>
          <w:szCs w:val="24"/>
          <w:highlight w:val="none"/>
          <w:lang w:val="en-US" w:eastAsia="zh-CN" w:bidi="ar"/>
        </w:rPr>
        <w:t xml:space="preserve">  对外援助项目、国家相关资格或者资质管理制度另有规定的项目，不适用本办法。</w:t>
      </w:r>
    </w:p>
    <w:p w14:paraId="0AB220B3">
      <w:pPr>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1" w:line="288" w:lineRule="auto"/>
        <w:ind w:left="0" w:right="0" w:firstLine="482" w:firstLineChars="200"/>
        <w:jc w:val="left"/>
        <w:textAlignment w:val="auto"/>
        <w:rPr>
          <w:rFonts w:hint="eastAsia" w:ascii="宋体" w:hAnsi="宋体" w:eastAsia="宋体" w:cs="宋体"/>
          <w:color w:val="auto"/>
          <w:sz w:val="24"/>
          <w:szCs w:val="24"/>
          <w:highlight w:val="none"/>
        </w:rPr>
      </w:pPr>
      <w:r>
        <w:rPr>
          <w:rStyle w:val="47"/>
          <w:rFonts w:hint="eastAsia" w:ascii="宋体" w:hAnsi="宋体" w:eastAsia="宋体" w:cs="宋体"/>
          <w:bCs w:val="0"/>
          <w:color w:val="auto"/>
          <w:kern w:val="0"/>
          <w:sz w:val="24"/>
          <w:szCs w:val="24"/>
          <w:highlight w:val="none"/>
          <w:lang w:val="en-US" w:eastAsia="zh-CN" w:bidi="ar"/>
        </w:rPr>
        <w:t>第二十三条</w:t>
      </w:r>
      <w:r>
        <w:rPr>
          <w:rFonts w:hint="eastAsia" w:ascii="宋体" w:hAnsi="宋体" w:eastAsia="宋体" w:cs="宋体"/>
          <w:b w:val="0"/>
          <w:bCs w:val="0"/>
          <w:color w:val="auto"/>
          <w:kern w:val="0"/>
          <w:sz w:val="24"/>
          <w:szCs w:val="24"/>
          <w:highlight w:val="none"/>
          <w:lang w:val="en-US" w:eastAsia="zh-CN" w:bidi="ar"/>
        </w:rPr>
        <w:t xml:space="preserve">  关于视同中小企业的其他主体的政府采购扶持政策，由财政部会同有关部门另行规定。</w:t>
      </w:r>
    </w:p>
    <w:p w14:paraId="23C1C14F">
      <w:pPr>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1" w:line="288" w:lineRule="auto"/>
        <w:ind w:left="0" w:right="0" w:firstLine="482" w:firstLineChars="200"/>
        <w:jc w:val="left"/>
        <w:textAlignment w:val="auto"/>
        <w:rPr>
          <w:rFonts w:hint="eastAsia" w:ascii="宋体" w:hAnsi="宋体" w:eastAsia="宋体" w:cs="宋体"/>
          <w:color w:val="auto"/>
          <w:sz w:val="24"/>
          <w:szCs w:val="24"/>
          <w:highlight w:val="none"/>
        </w:rPr>
      </w:pPr>
      <w:r>
        <w:rPr>
          <w:rStyle w:val="47"/>
          <w:rFonts w:hint="eastAsia" w:ascii="宋体" w:hAnsi="宋体" w:eastAsia="宋体" w:cs="宋体"/>
          <w:bCs w:val="0"/>
          <w:color w:val="auto"/>
          <w:kern w:val="0"/>
          <w:sz w:val="24"/>
          <w:szCs w:val="24"/>
          <w:highlight w:val="none"/>
          <w:lang w:val="en-US" w:eastAsia="zh-CN" w:bidi="ar"/>
        </w:rPr>
        <w:t>第二十四条</w:t>
      </w:r>
      <w:r>
        <w:rPr>
          <w:rFonts w:hint="eastAsia" w:ascii="宋体" w:hAnsi="宋体" w:eastAsia="宋体" w:cs="宋体"/>
          <w:b w:val="0"/>
          <w:bCs w:val="0"/>
          <w:color w:val="auto"/>
          <w:kern w:val="0"/>
          <w:sz w:val="24"/>
          <w:szCs w:val="24"/>
          <w:highlight w:val="none"/>
          <w:lang w:val="en-US" w:eastAsia="zh-CN" w:bidi="ar"/>
        </w:rPr>
        <w:t xml:space="preserve">  省级财政部门可以会同中小企业主管部门根据本办法的规定制定具体实施办法。</w:t>
      </w:r>
    </w:p>
    <w:p w14:paraId="0B3089EC">
      <w:pPr>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1" w:line="288" w:lineRule="auto"/>
        <w:ind w:left="0" w:right="0" w:firstLine="482" w:firstLineChars="200"/>
        <w:jc w:val="left"/>
        <w:textAlignment w:val="auto"/>
        <w:rPr>
          <w:rFonts w:hint="eastAsia" w:ascii="宋体" w:hAnsi="宋体" w:eastAsia="宋体" w:cs="宋体"/>
          <w:color w:val="auto"/>
          <w:sz w:val="24"/>
          <w:szCs w:val="24"/>
          <w:highlight w:val="none"/>
        </w:rPr>
      </w:pPr>
      <w:r>
        <w:rPr>
          <w:rStyle w:val="47"/>
          <w:rFonts w:hint="eastAsia" w:ascii="宋体" w:hAnsi="宋体" w:eastAsia="宋体" w:cs="宋体"/>
          <w:bCs w:val="0"/>
          <w:color w:val="auto"/>
          <w:kern w:val="0"/>
          <w:sz w:val="24"/>
          <w:szCs w:val="24"/>
          <w:highlight w:val="none"/>
          <w:lang w:val="en-US" w:eastAsia="zh-CN" w:bidi="ar"/>
        </w:rPr>
        <w:t>第二十五条</w:t>
      </w:r>
      <w:r>
        <w:rPr>
          <w:rFonts w:hint="eastAsia" w:ascii="宋体" w:hAnsi="宋体" w:eastAsia="宋体" w:cs="宋体"/>
          <w:b w:val="0"/>
          <w:bCs w:val="0"/>
          <w:color w:val="auto"/>
          <w:kern w:val="0"/>
          <w:sz w:val="24"/>
          <w:szCs w:val="24"/>
          <w:highlight w:val="none"/>
          <w:lang w:val="en-US" w:eastAsia="zh-CN" w:bidi="ar"/>
        </w:rPr>
        <w:t xml:space="preserve">  本办法自 2021 年 1 月 1 日起施行。 财政部 工业和信息化部关于印发〈政府采购促进中小企业发展暂行办法〉的通知》（财库﹝2011﹞181 号）同时废止。</w:t>
      </w:r>
    </w:p>
    <w:p w14:paraId="0FC5F38D">
      <w:pPr>
        <w:keepNext w:val="0"/>
        <w:keepLines w:val="0"/>
        <w:pageBreakBefore w:val="0"/>
        <w:widowControl/>
        <w:suppressLineNumbers w:val="0"/>
        <w:kinsoku/>
        <w:wordWrap/>
        <w:overflowPunct/>
        <w:topLinePunct w:val="0"/>
        <w:autoSpaceDE/>
        <w:autoSpaceDN/>
        <w:bidi w:val="0"/>
        <w:adjustRightInd/>
        <w:snapToGrid/>
        <w:spacing w:before="0" w:beforeAutospacing="1" w:after="0" w:afterAutospacing="1" w:line="288" w:lineRule="auto"/>
        <w:ind w:left="0" w:right="0"/>
        <w:jc w:val="left"/>
        <w:textAlignment w:val="auto"/>
        <w:rPr>
          <w:rFonts w:hint="eastAsia" w:ascii="宋体" w:hAnsi="宋体" w:eastAsia="宋体" w:cs="宋体"/>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 </w:t>
      </w:r>
    </w:p>
    <w:p w14:paraId="537ECD69">
      <w:pPr>
        <w:keepNext w:val="0"/>
        <w:keepLines w:val="0"/>
        <w:pageBreakBefore w:val="0"/>
        <w:widowControl/>
        <w:suppressLineNumbers w:val="0"/>
        <w:shd w:val="clear" w:color="auto" w:fill="FFFFFF"/>
        <w:kinsoku/>
        <w:wordWrap/>
        <w:overflowPunct/>
        <w:topLinePunct w:val="0"/>
        <w:autoSpaceDE/>
        <w:autoSpaceDN/>
        <w:bidi w:val="0"/>
        <w:adjustRightInd/>
        <w:snapToGrid/>
        <w:spacing w:before="157" w:beforeLines="50" w:beforeAutospacing="0" w:after="157" w:afterLines="50" w:afterAutospacing="0" w:line="400" w:lineRule="exact"/>
        <w:ind w:left="0" w:right="0" w:firstLine="0"/>
        <w:jc w:val="center"/>
        <w:textAlignment w:val="auto"/>
        <w:rPr>
          <w:rFonts w:hint="eastAsia" w:ascii="宋体" w:hAnsi="宋体" w:eastAsia="宋体" w:cs="宋体"/>
          <w:b/>
          <w:bCs/>
          <w:i w:val="0"/>
          <w:iCs w:val="0"/>
          <w:caps w:val="0"/>
          <w:color w:val="auto"/>
          <w:spacing w:val="0"/>
          <w:sz w:val="30"/>
          <w:szCs w:val="30"/>
          <w:highlight w:val="none"/>
        </w:rPr>
      </w:pPr>
      <w:r>
        <w:rPr>
          <w:rFonts w:hint="eastAsia" w:ascii="宋体" w:hAnsi="宋体" w:eastAsia="宋体" w:cs="宋体"/>
          <w:b/>
          <w:bCs/>
          <w:color w:val="auto"/>
          <w:sz w:val="21"/>
          <w:szCs w:val="21"/>
          <w:highlight w:val="none"/>
        </w:rPr>
        <w:br w:type="page"/>
      </w:r>
      <w:r>
        <w:rPr>
          <w:rFonts w:hint="eastAsia" w:ascii="宋体" w:hAnsi="宋体" w:eastAsia="宋体" w:cs="宋体"/>
          <w:b/>
          <w:bCs/>
          <w:i w:val="0"/>
          <w:iCs w:val="0"/>
          <w:caps w:val="0"/>
          <w:color w:val="auto"/>
          <w:spacing w:val="0"/>
          <w:kern w:val="0"/>
          <w:sz w:val="30"/>
          <w:szCs w:val="30"/>
          <w:highlight w:val="none"/>
          <w:shd w:val="clear" w:color="auto" w:fill="FFFFFF"/>
          <w:lang w:val="en-US" w:eastAsia="zh-CN" w:bidi="ar"/>
        </w:rPr>
        <w:t>财政部关于进一步加大政府采购支持中小企业力度的通知</w:t>
      </w:r>
    </w:p>
    <w:p w14:paraId="0E2FD3B6">
      <w:pPr>
        <w:keepNext w:val="0"/>
        <w:keepLines w:val="0"/>
        <w:pageBreakBefore w:val="0"/>
        <w:widowControl/>
        <w:suppressLineNumbers w:val="0"/>
        <w:shd w:val="clear" w:color="auto" w:fill="FFFFFF"/>
        <w:kinsoku/>
        <w:wordWrap/>
        <w:overflowPunct/>
        <w:topLinePunct w:val="0"/>
        <w:autoSpaceDE/>
        <w:autoSpaceDN/>
        <w:bidi w:val="0"/>
        <w:adjustRightInd/>
        <w:snapToGrid/>
        <w:spacing w:beforeAutospacing="0" w:afterAutospacing="0" w:line="400" w:lineRule="exact"/>
        <w:ind w:left="0" w:right="0" w:firstLine="0"/>
        <w:jc w:val="center"/>
        <w:textAlignment w:val="auto"/>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i w:val="0"/>
          <w:iCs w:val="0"/>
          <w:caps w:val="0"/>
          <w:color w:val="auto"/>
          <w:spacing w:val="0"/>
          <w:kern w:val="0"/>
          <w:sz w:val="24"/>
          <w:szCs w:val="24"/>
          <w:highlight w:val="none"/>
          <w:shd w:val="clear" w:color="auto" w:fill="FFFFFF"/>
          <w:lang w:val="en-US" w:eastAsia="zh-CN" w:bidi="ar"/>
        </w:rPr>
        <w:t>（财库〔2022〕19号）</w:t>
      </w:r>
    </w:p>
    <w:p w14:paraId="11A810EF">
      <w:pPr>
        <w:pStyle w:val="16"/>
        <w:spacing w:after="0" w:line="340" w:lineRule="exact"/>
        <w:ind w:firstLine="480" w:firstLineChars="200"/>
        <w:rPr>
          <w:rFonts w:hint="eastAsia" w:ascii="宋体" w:hAnsi="宋体" w:cs="宋体"/>
          <w:bCs/>
          <w:color w:val="auto"/>
          <w:sz w:val="21"/>
          <w:szCs w:val="21"/>
          <w:highlight w:val="none"/>
        </w:rPr>
      </w:pPr>
      <w:r>
        <w:rPr>
          <w:rFonts w:hint="eastAsia" w:ascii="宋体" w:hAnsi="宋体" w:eastAsia="宋体" w:cs="宋体"/>
          <w:i w:val="0"/>
          <w:iCs w:val="0"/>
          <w:caps w:val="0"/>
          <w:color w:val="auto"/>
          <w:spacing w:val="0"/>
          <w:kern w:val="0"/>
          <w:sz w:val="24"/>
          <w:szCs w:val="24"/>
          <w:highlight w:val="none"/>
          <w:shd w:val="clear" w:color="auto" w:fill="FFFFFF"/>
          <w:lang w:val="en-US" w:eastAsia="zh-CN" w:bidi="ar"/>
        </w:rPr>
        <w:t> </w:t>
      </w:r>
      <w:r>
        <w:rPr>
          <w:rFonts w:hint="eastAsia" w:ascii="宋体" w:hAnsi="宋体" w:cs="宋体"/>
          <w:bCs/>
          <w:color w:val="auto"/>
          <w:sz w:val="21"/>
          <w:szCs w:val="21"/>
          <w:highlight w:val="none"/>
          <w:lang w:val="en-US" w:eastAsia="zh-CN"/>
        </w:rPr>
        <w:t>各中央预算单位，各省、自治区、直辖市、计划单列市财政厅（局），新疆生产建设兵团财政局：</w:t>
      </w:r>
    </w:p>
    <w:p w14:paraId="4BD0F6B6">
      <w:pPr>
        <w:pStyle w:val="16"/>
        <w:spacing w:after="0" w:line="340" w:lineRule="exact"/>
        <w:ind w:firstLine="420" w:firstLineChars="200"/>
        <w:rPr>
          <w:rFonts w:hint="eastAsia" w:ascii="宋体" w:hAnsi="宋体" w:cs="宋体"/>
          <w:bCs/>
          <w:color w:val="auto"/>
          <w:sz w:val="21"/>
          <w:szCs w:val="21"/>
          <w:highlight w:val="none"/>
        </w:rPr>
      </w:pPr>
      <w:r>
        <w:rPr>
          <w:rFonts w:hint="eastAsia" w:ascii="宋体" w:hAnsi="宋体" w:cs="宋体"/>
          <w:bCs/>
          <w:color w:val="auto"/>
          <w:sz w:val="21"/>
          <w:szCs w:val="21"/>
          <w:highlight w:val="none"/>
          <w:lang w:val="en-US" w:eastAsia="zh-CN"/>
        </w:rPr>
        <w:t>为贯彻落实《国务院关于印发扎实稳住经济一揽子政策措施的通知》（国发〔2022〕12号）有关要求，做好财政政策支持中小企业纾困解难工作，助力经济平稳健康发展，现就加大政府采购支持中小企业力度有关事项通知如下：</w:t>
      </w:r>
    </w:p>
    <w:p w14:paraId="22086AED">
      <w:pPr>
        <w:pStyle w:val="16"/>
        <w:spacing w:after="0" w:line="340" w:lineRule="exact"/>
        <w:ind w:firstLine="420" w:firstLineChars="200"/>
        <w:rPr>
          <w:rFonts w:hint="eastAsia" w:ascii="宋体" w:hAnsi="宋体" w:cs="宋体"/>
          <w:bCs/>
          <w:color w:val="auto"/>
          <w:sz w:val="21"/>
          <w:szCs w:val="21"/>
          <w:highlight w:val="none"/>
        </w:rPr>
      </w:pPr>
      <w:r>
        <w:rPr>
          <w:rFonts w:hint="eastAsia" w:ascii="宋体" w:hAnsi="宋体" w:cs="宋体"/>
          <w:bCs/>
          <w:color w:val="auto"/>
          <w:sz w:val="21"/>
          <w:szCs w:val="21"/>
          <w:highlight w:val="none"/>
          <w:lang w:val="en-US" w:eastAsia="zh-CN"/>
        </w:rPr>
        <w:t>一、严格落实支持中小企业政府采购政策。各地区、各部门要按照国务院的统一部署，认真落实《政府采购促进中小企业发展管理办法》（财库〔2020〕46号）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14:paraId="06E20991">
      <w:pPr>
        <w:pStyle w:val="16"/>
        <w:spacing w:after="0" w:line="340" w:lineRule="exact"/>
        <w:ind w:firstLine="420" w:firstLineChars="200"/>
        <w:rPr>
          <w:rFonts w:hint="eastAsia" w:ascii="宋体" w:hAnsi="宋体" w:cs="宋体"/>
          <w:bCs/>
          <w:color w:val="auto"/>
          <w:sz w:val="21"/>
          <w:szCs w:val="21"/>
          <w:highlight w:val="none"/>
        </w:rPr>
      </w:pPr>
      <w:r>
        <w:rPr>
          <w:rFonts w:hint="eastAsia" w:ascii="宋体" w:hAnsi="宋体" w:cs="宋体"/>
          <w:bCs/>
          <w:color w:val="auto"/>
          <w:sz w:val="21"/>
          <w:szCs w:val="21"/>
          <w:highlight w:val="none"/>
          <w:lang w:val="en-US" w:eastAsia="zh-CN"/>
        </w:rPr>
        <w:t>二、调整对小微企业的价格评审优惠幅度。货物服务采购项目给予小微企业的价格扣除优惠，由财库〔2020〕46号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14:paraId="746E0C7A">
      <w:pPr>
        <w:pStyle w:val="16"/>
        <w:spacing w:after="0" w:line="340" w:lineRule="exact"/>
        <w:ind w:firstLine="420" w:firstLineChars="200"/>
        <w:rPr>
          <w:rFonts w:hint="eastAsia" w:ascii="宋体" w:hAnsi="宋体" w:cs="宋体"/>
          <w:bCs/>
          <w:color w:val="auto"/>
          <w:sz w:val="21"/>
          <w:szCs w:val="21"/>
          <w:highlight w:val="none"/>
        </w:rPr>
      </w:pPr>
      <w:r>
        <w:rPr>
          <w:rFonts w:hint="eastAsia" w:ascii="宋体" w:hAnsi="宋体" w:cs="宋体"/>
          <w:bCs/>
          <w:color w:val="auto"/>
          <w:sz w:val="21"/>
          <w:szCs w:val="21"/>
          <w:highlight w:val="none"/>
          <w:lang w:val="en-US" w:eastAsia="zh-CN"/>
        </w:rPr>
        <w:t>三、提高政府采购工程面向中小企业预留份额。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w:t>
      </w:r>
    </w:p>
    <w:p w14:paraId="48669E71">
      <w:pPr>
        <w:pStyle w:val="16"/>
        <w:spacing w:after="0" w:line="340" w:lineRule="exact"/>
        <w:ind w:firstLine="420" w:firstLineChars="200"/>
        <w:rPr>
          <w:rFonts w:hint="eastAsia" w:ascii="宋体" w:hAnsi="宋体" w:cs="宋体"/>
          <w:bCs/>
          <w:color w:val="auto"/>
          <w:sz w:val="21"/>
          <w:szCs w:val="21"/>
          <w:highlight w:val="none"/>
        </w:rPr>
      </w:pPr>
      <w:r>
        <w:rPr>
          <w:rFonts w:hint="eastAsia" w:ascii="宋体" w:hAnsi="宋体" w:cs="宋体"/>
          <w:bCs/>
          <w:color w:val="auto"/>
          <w:sz w:val="21"/>
          <w:szCs w:val="21"/>
          <w:highlight w:val="none"/>
          <w:lang w:val="en-US" w:eastAsia="zh-CN"/>
        </w:rPr>
        <w:t>四、认真做好组织实施。各地区、各部门应当加强组织领导，明确工作责任，细化执行要求，强化监督检查，确保国务院部署落实到位，对通知执行中出现的问题要及时向财政部报告。</w:t>
      </w:r>
    </w:p>
    <w:p w14:paraId="6AFE0BD1">
      <w:pPr>
        <w:pStyle w:val="16"/>
        <w:spacing w:after="0" w:line="340" w:lineRule="exact"/>
        <w:ind w:firstLine="420" w:firstLineChars="200"/>
        <w:rPr>
          <w:rFonts w:hint="eastAsia" w:ascii="宋体" w:hAnsi="宋体" w:cs="宋体"/>
          <w:bCs/>
          <w:color w:val="auto"/>
          <w:sz w:val="21"/>
          <w:szCs w:val="21"/>
          <w:highlight w:val="none"/>
        </w:rPr>
      </w:pPr>
      <w:r>
        <w:rPr>
          <w:rFonts w:hint="eastAsia" w:ascii="宋体" w:hAnsi="宋体" w:cs="宋体"/>
          <w:bCs/>
          <w:color w:val="auto"/>
          <w:sz w:val="21"/>
          <w:szCs w:val="21"/>
          <w:highlight w:val="none"/>
          <w:lang w:val="en-US" w:eastAsia="zh-CN"/>
        </w:rPr>
        <w:t>本通知自2022年7月1日起执行。</w:t>
      </w:r>
    </w:p>
    <w:p w14:paraId="767B2971">
      <w:pPr>
        <w:pStyle w:val="16"/>
        <w:spacing w:after="0" w:line="340" w:lineRule="exact"/>
        <w:ind w:firstLine="420" w:firstLineChars="200"/>
        <w:rPr>
          <w:rFonts w:hint="eastAsia" w:ascii="宋体" w:hAnsi="宋体" w:cs="宋体"/>
          <w:bCs/>
          <w:color w:val="auto"/>
          <w:sz w:val="21"/>
          <w:szCs w:val="21"/>
          <w:highlight w:val="none"/>
        </w:rPr>
      </w:pPr>
      <w:r>
        <w:rPr>
          <w:rFonts w:hint="eastAsia" w:ascii="宋体" w:hAnsi="宋体" w:cs="宋体"/>
          <w:bCs/>
          <w:color w:val="auto"/>
          <w:sz w:val="21"/>
          <w:szCs w:val="21"/>
          <w:highlight w:val="none"/>
          <w:lang w:val="en-US" w:eastAsia="zh-CN"/>
        </w:rPr>
        <w:t xml:space="preserve">                                                                        财政部</w:t>
      </w:r>
    </w:p>
    <w:p w14:paraId="29552178">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黑体" w:hAnsi="黑体" w:eastAsia="黑体" w:cs="宋体"/>
          <w:bCs/>
          <w:color w:val="auto"/>
          <w:sz w:val="28"/>
          <w:szCs w:val="28"/>
          <w:highlight w:val="none"/>
          <w:shd w:val="clear" w:color="auto" w:fill="FFFFFF"/>
        </w:rPr>
      </w:pPr>
      <w:r>
        <w:rPr>
          <w:rFonts w:hint="eastAsia" w:ascii="宋体" w:hAnsi="宋体" w:cs="宋体"/>
          <w:bCs/>
          <w:color w:val="auto"/>
          <w:sz w:val="21"/>
          <w:szCs w:val="21"/>
          <w:highlight w:val="none"/>
          <w:lang w:val="en-US" w:eastAsia="zh-CN"/>
        </w:rPr>
        <w:t>2022年5月30日</w:t>
      </w:r>
      <w:r>
        <w:rPr>
          <w:rFonts w:hint="eastAsia" w:ascii="宋体" w:hAnsi="宋体" w:eastAsia="宋体" w:cs="宋体"/>
          <w:b/>
          <w:bCs/>
          <w:color w:val="auto"/>
          <w:sz w:val="21"/>
          <w:szCs w:val="21"/>
          <w:highlight w:val="none"/>
        </w:rPr>
        <w:br w:type="page"/>
      </w:r>
      <w:r>
        <w:rPr>
          <w:rFonts w:hint="eastAsia" w:ascii="黑体" w:hAnsi="黑体" w:eastAsia="黑体" w:cs="宋体"/>
          <w:bCs/>
          <w:color w:val="auto"/>
          <w:sz w:val="28"/>
          <w:szCs w:val="28"/>
          <w:highlight w:val="none"/>
          <w:shd w:val="clear" w:color="auto" w:fill="FFFFFF"/>
          <w:lang w:val="en-US" w:eastAsia="zh-CN"/>
        </w:rPr>
        <w:t>关于印发《吉林省强化政府采购政策支持中小企业发展落实举措》的通知</w:t>
      </w:r>
    </w:p>
    <w:p w14:paraId="5339CDC2">
      <w:pPr>
        <w:pStyle w:val="38"/>
        <w:keepNext w:val="0"/>
        <w:keepLines w:val="0"/>
        <w:pageBreakBefore w:val="0"/>
        <w:widowControl/>
        <w:suppressLineNumbers w:val="0"/>
        <w:kinsoku/>
        <w:wordWrap/>
        <w:overflowPunct/>
        <w:topLinePunct w:val="0"/>
        <w:autoSpaceDE/>
        <w:autoSpaceDN/>
        <w:bidi w:val="0"/>
        <w:adjustRightInd/>
        <w:snapToGrid/>
        <w:spacing w:before="157" w:beforeLines="50" w:beforeAutospacing="0" w:after="157" w:afterLines="50" w:afterAutospacing="0" w:line="400" w:lineRule="exact"/>
        <w:ind w:left="0" w:right="0"/>
        <w:jc w:val="center"/>
        <w:textAlignment w:val="auto"/>
        <w:rPr>
          <w:color w:val="auto"/>
          <w:sz w:val="24"/>
          <w:szCs w:val="24"/>
          <w:highlight w:val="none"/>
        </w:rPr>
      </w:pPr>
      <w:r>
        <w:rPr>
          <w:rFonts w:ascii="宋体" w:hAnsi="宋体" w:eastAsia="宋体" w:cs="宋体"/>
          <w:color w:val="auto"/>
          <w:sz w:val="24"/>
          <w:szCs w:val="24"/>
          <w:highlight w:val="none"/>
        </w:rPr>
        <w:t>吉财采购〔2022〕478号</w:t>
      </w:r>
      <w:r>
        <w:rPr>
          <w:color w:val="auto"/>
          <w:sz w:val="24"/>
          <w:szCs w:val="24"/>
          <w:highlight w:val="none"/>
        </w:rPr>
        <w:t xml:space="preserve"> </w:t>
      </w:r>
    </w:p>
    <w:p w14:paraId="72EF3814">
      <w:pPr>
        <w:pStyle w:val="3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textAlignment w:val="auto"/>
        <w:rPr>
          <w:color w:val="auto"/>
          <w:sz w:val="24"/>
          <w:szCs w:val="24"/>
          <w:highlight w:val="none"/>
        </w:rPr>
      </w:pPr>
      <w:r>
        <w:rPr>
          <w:rFonts w:hint="eastAsia" w:ascii="宋体" w:hAnsi="宋体" w:eastAsia="宋体" w:cs="宋体"/>
          <w:color w:val="auto"/>
          <w:sz w:val="24"/>
          <w:szCs w:val="24"/>
          <w:highlight w:val="none"/>
        </w:rPr>
        <w:t>各省级主管预算单位，各市（州）、县（市、区）财政局，长白山管委会、长春新区、中韩（长春）国际合作示范区管委会财政局，各政府采购代理机构：</w:t>
      </w:r>
      <w:r>
        <w:rPr>
          <w:color w:val="auto"/>
          <w:sz w:val="24"/>
          <w:szCs w:val="24"/>
          <w:highlight w:val="none"/>
        </w:rPr>
        <w:t xml:space="preserve"> </w:t>
      </w:r>
    </w:p>
    <w:p w14:paraId="28B88DC1">
      <w:pPr>
        <w:pStyle w:val="3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right="0" w:firstLine="480" w:firstLineChars="200"/>
        <w:textAlignment w:val="auto"/>
        <w:rPr>
          <w:color w:val="auto"/>
          <w:sz w:val="24"/>
          <w:szCs w:val="24"/>
          <w:highlight w:val="none"/>
        </w:rPr>
      </w:pPr>
      <w:r>
        <w:rPr>
          <w:rFonts w:hint="eastAsia" w:ascii="宋体" w:hAnsi="宋体" w:eastAsia="宋体" w:cs="宋体"/>
          <w:color w:val="auto"/>
          <w:sz w:val="24"/>
          <w:szCs w:val="24"/>
          <w:highlight w:val="none"/>
        </w:rPr>
        <w:t>现将《吉林省强化政府采购政策支持中小企业发展落实举措》印发给你们，请遵照执行。</w:t>
      </w:r>
      <w:r>
        <w:rPr>
          <w:color w:val="auto"/>
          <w:sz w:val="24"/>
          <w:szCs w:val="24"/>
          <w:highlight w:val="none"/>
        </w:rPr>
        <w:t xml:space="preserve"> </w:t>
      </w:r>
    </w:p>
    <w:p w14:paraId="5BE58FF3">
      <w:pPr>
        <w:pStyle w:val="3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right="0" w:firstLine="480" w:firstLineChars="200"/>
        <w:textAlignment w:val="auto"/>
        <w:rPr>
          <w:color w:val="auto"/>
          <w:sz w:val="24"/>
          <w:szCs w:val="24"/>
          <w:highlight w:val="none"/>
        </w:rPr>
      </w:pPr>
      <w:r>
        <w:rPr>
          <w:rFonts w:hint="eastAsia" w:ascii="宋体" w:hAnsi="宋体" w:eastAsia="宋体" w:cs="宋体"/>
          <w:color w:val="auto"/>
          <w:sz w:val="24"/>
          <w:szCs w:val="24"/>
          <w:highlight w:val="none"/>
        </w:rPr>
        <w:t>附件：吉林省强化政府采购政策支持中小企业发展落实举措</w:t>
      </w:r>
      <w:r>
        <w:rPr>
          <w:color w:val="auto"/>
          <w:sz w:val="24"/>
          <w:szCs w:val="24"/>
          <w:highlight w:val="none"/>
        </w:rPr>
        <w:t xml:space="preserve"> </w:t>
      </w:r>
    </w:p>
    <w:p w14:paraId="0EE2AC02">
      <w:pPr>
        <w:pStyle w:val="3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645"/>
        <w:jc w:val="right"/>
        <w:textAlignment w:val="auto"/>
        <w:rPr>
          <w:color w:val="auto"/>
          <w:sz w:val="24"/>
          <w:szCs w:val="24"/>
          <w:highlight w:val="none"/>
        </w:rPr>
      </w:pPr>
      <w:r>
        <w:rPr>
          <w:rFonts w:hint="eastAsia" w:ascii="宋体" w:hAnsi="宋体" w:eastAsia="宋体" w:cs="宋体"/>
          <w:color w:val="auto"/>
          <w:sz w:val="24"/>
          <w:szCs w:val="24"/>
          <w:highlight w:val="none"/>
        </w:rPr>
        <w:t>吉林省财政厅</w:t>
      </w:r>
      <w:r>
        <w:rPr>
          <w:color w:val="auto"/>
          <w:sz w:val="24"/>
          <w:szCs w:val="24"/>
          <w:highlight w:val="none"/>
        </w:rPr>
        <w:t xml:space="preserve"> </w:t>
      </w:r>
    </w:p>
    <w:p w14:paraId="51C0AEE7">
      <w:pPr>
        <w:pStyle w:val="3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645"/>
        <w:jc w:val="right"/>
        <w:textAlignment w:val="auto"/>
        <w:rPr>
          <w:color w:val="auto"/>
          <w:sz w:val="24"/>
          <w:szCs w:val="24"/>
          <w:highlight w:val="none"/>
        </w:rPr>
      </w:pPr>
      <w:r>
        <w:rPr>
          <w:rFonts w:ascii="宋体" w:hAnsi="宋体" w:eastAsia="宋体" w:cs="宋体"/>
          <w:color w:val="auto"/>
          <w:sz w:val="24"/>
          <w:szCs w:val="24"/>
          <w:highlight w:val="none"/>
        </w:rPr>
        <w:t>2022年6月6日</w:t>
      </w:r>
      <w:r>
        <w:rPr>
          <w:color w:val="auto"/>
          <w:sz w:val="24"/>
          <w:szCs w:val="24"/>
          <w:highlight w:val="none"/>
        </w:rPr>
        <w:t xml:space="preserve"> </w:t>
      </w:r>
    </w:p>
    <w:p w14:paraId="7E0271E9">
      <w:pPr>
        <w:pStyle w:val="3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right="0"/>
        <w:textAlignment w:val="auto"/>
        <w:rPr>
          <w:color w:val="auto"/>
          <w:sz w:val="24"/>
          <w:szCs w:val="24"/>
          <w:highlight w:val="none"/>
        </w:rPr>
      </w:pPr>
      <w:r>
        <w:rPr>
          <w:rFonts w:hint="eastAsia" w:ascii="宋体" w:hAnsi="宋体" w:eastAsia="宋体" w:cs="宋体"/>
          <w:color w:val="auto"/>
          <w:sz w:val="24"/>
          <w:szCs w:val="24"/>
          <w:highlight w:val="none"/>
        </w:rPr>
        <w:t>附件：</w:t>
      </w:r>
      <w:r>
        <w:rPr>
          <w:color w:val="auto"/>
          <w:sz w:val="24"/>
          <w:szCs w:val="24"/>
          <w:highlight w:val="none"/>
        </w:rPr>
        <w:t xml:space="preserve"> </w:t>
      </w:r>
    </w:p>
    <w:p w14:paraId="0B878EFC">
      <w:pPr>
        <w:pStyle w:val="3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645"/>
        <w:textAlignment w:val="auto"/>
        <w:rPr>
          <w:color w:val="auto"/>
          <w:sz w:val="24"/>
          <w:szCs w:val="24"/>
          <w:highlight w:val="none"/>
        </w:rPr>
      </w:pPr>
      <w:r>
        <w:rPr>
          <w:rFonts w:hint="eastAsia" w:ascii="宋体" w:hAnsi="宋体" w:eastAsia="宋体" w:cs="宋体"/>
          <w:color w:val="auto"/>
          <w:sz w:val="24"/>
          <w:szCs w:val="24"/>
          <w:highlight w:val="none"/>
        </w:rPr>
        <w:t> </w:t>
      </w:r>
      <w:r>
        <w:rPr>
          <w:color w:val="auto"/>
          <w:sz w:val="24"/>
          <w:szCs w:val="24"/>
          <w:highlight w:val="none"/>
        </w:rPr>
        <w:t xml:space="preserve"> </w:t>
      </w:r>
    </w:p>
    <w:p w14:paraId="562496A0">
      <w:pPr>
        <w:pStyle w:val="3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center"/>
        <w:textAlignment w:val="auto"/>
        <w:rPr>
          <w:color w:val="auto"/>
          <w:sz w:val="28"/>
          <w:szCs w:val="28"/>
          <w:highlight w:val="none"/>
        </w:rPr>
      </w:pPr>
      <w:r>
        <w:rPr>
          <w:rFonts w:hint="eastAsia" w:ascii="宋体" w:hAnsi="宋体" w:eastAsia="宋体" w:cs="宋体"/>
          <w:color w:val="auto"/>
          <w:sz w:val="28"/>
          <w:szCs w:val="28"/>
          <w:highlight w:val="none"/>
        </w:rPr>
        <w:t>吉林省强化政府采购政策支持中小企业发展落实举措</w:t>
      </w:r>
      <w:r>
        <w:rPr>
          <w:color w:val="auto"/>
          <w:sz w:val="28"/>
          <w:szCs w:val="28"/>
          <w:highlight w:val="none"/>
        </w:rPr>
        <w:t xml:space="preserve"> </w:t>
      </w:r>
    </w:p>
    <w:p w14:paraId="0B445985">
      <w:pPr>
        <w:pStyle w:val="3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645"/>
        <w:textAlignment w:val="auto"/>
        <w:rPr>
          <w:color w:val="auto"/>
          <w:sz w:val="24"/>
          <w:szCs w:val="24"/>
          <w:highlight w:val="none"/>
        </w:rPr>
      </w:pPr>
      <w:r>
        <w:rPr>
          <w:rFonts w:hint="eastAsia" w:ascii="宋体" w:hAnsi="宋体" w:eastAsia="宋体" w:cs="宋体"/>
          <w:color w:val="auto"/>
          <w:sz w:val="24"/>
          <w:szCs w:val="24"/>
          <w:highlight w:val="none"/>
        </w:rPr>
        <w:t> </w:t>
      </w:r>
      <w:r>
        <w:rPr>
          <w:color w:val="auto"/>
          <w:sz w:val="24"/>
          <w:szCs w:val="24"/>
          <w:highlight w:val="none"/>
        </w:rPr>
        <w:t xml:space="preserve"> </w:t>
      </w:r>
    </w:p>
    <w:p w14:paraId="0797A679">
      <w:pPr>
        <w:pStyle w:val="3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645"/>
        <w:textAlignment w:val="auto"/>
        <w:rPr>
          <w:color w:val="auto"/>
          <w:sz w:val="21"/>
          <w:szCs w:val="21"/>
          <w:highlight w:val="none"/>
        </w:rPr>
      </w:pPr>
      <w:r>
        <w:rPr>
          <w:rFonts w:ascii="宋体" w:hAnsi="宋体" w:eastAsia="宋体" w:cs="宋体"/>
          <w:color w:val="auto"/>
          <w:sz w:val="21"/>
          <w:szCs w:val="21"/>
          <w:highlight w:val="none"/>
        </w:rPr>
        <w:t>为贯彻落实《国务院关于印发扎实稳住经济一揽子政策措施的通知》（国发〔2022〕12号）和省政府《稳定全省经济若干措施》要求，积极应对突发疫情对我省经济社会影响，做好财政政策支持中小企业纾困解难工作，助力全省经济平稳健康发展，按照财政部《关于进一步加大政府采购支持中小企业力度的通知》（财库〔2022〕19号）规定，提出如下落实措施：</w:t>
      </w:r>
      <w:r>
        <w:rPr>
          <w:color w:val="auto"/>
          <w:sz w:val="21"/>
          <w:szCs w:val="21"/>
          <w:highlight w:val="none"/>
        </w:rPr>
        <w:t xml:space="preserve"> </w:t>
      </w:r>
    </w:p>
    <w:p w14:paraId="1642343A">
      <w:pPr>
        <w:pStyle w:val="3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645"/>
        <w:textAlignment w:val="auto"/>
        <w:rPr>
          <w:b/>
          <w:bCs/>
          <w:color w:val="auto"/>
          <w:sz w:val="21"/>
          <w:szCs w:val="21"/>
          <w:highlight w:val="none"/>
        </w:rPr>
      </w:pPr>
      <w:r>
        <w:rPr>
          <w:rFonts w:hint="eastAsia" w:ascii="宋体" w:hAnsi="宋体" w:eastAsia="宋体" w:cs="宋体"/>
          <w:b/>
          <w:bCs/>
          <w:color w:val="auto"/>
          <w:sz w:val="21"/>
          <w:szCs w:val="21"/>
          <w:highlight w:val="none"/>
        </w:rPr>
        <w:t>一、强化政策落实支持中小企业发展</w:t>
      </w:r>
      <w:r>
        <w:rPr>
          <w:b/>
          <w:bCs/>
          <w:color w:val="auto"/>
          <w:sz w:val="21"/>
          <w:szCs w:val="21"/>
          <w:highlight w:val="none"/>
        </w:rPr>
        <w:t xml:space="preserve"> </w:t>
      </w:r>
    </w:p>
    <w:p w14:paraId="7FF26F8F">
      <w:pPr>
        <w:pStyle w:val="3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645"/>
        <w:textAlignment w:val="auto"/>
        <w:rPr>
          <w:color w:val="auto"/>
          <w:sz w:val="21"/>
          <w:szCs w:val="21"/>
          <w:highlight w:val="none"/>
        </w:rPr>
      </w:pPr>
      <w:r>
        <w:rPr>
          <w:rFonts w:ascii="宋体" w:hAnsi="宋体" w:eastAsia="宋体" w:cs="宋体"/>
          <w:color w:val="auto"/>
          <w:sz w:val="21"/>
          <w:szCs w:val="21"/>
          <w:highlight w:val="none"/>
        </w:rPr>
        <w:t>各级预算单位要认真落实《政府采购促进中小企业发展管理办法》（财库〔2020〕46号，以下简称《办法》）的规定，加强采购需求管理，规范资格条件设置，降低中小企业参加政府采购活动门槛 。科学编制政府采购预算，提高中小企业预留份额。结合采购项目的实际情况，灵活采取项目整体预留、合理预留采购包、要求大企业与中小企业组成联合体或向中小企业分包等形式，确保中小企业合同份额。适用招标投标法的政府采购工程项目应严格落实政府采购支持中小企业政策。</w:t>
      </w:r>
      <w:r>
        <w:rPr>
          <w:color w:val="auto"/>
          <w:sz w:val="21"/>
          <w:szCs w:val="21"/>
          <w:highlight w:val="none"/>
        </w:rPr>
        <w:t xml:space="preserve"> </w:t>
      </w:r>
    </w:p>
    <w:p w14:paraId="79DBC2E3">
      <w:pPr>
        <w:pStyle w:val="3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645"/>
        <w:textAlignment w:val="auto"/>
        <w:rPr>
          <w:b/>
          <w:bCs/>
          <w:color w:val="auto"/>
          <w:sz w:val="21"/>
          <w:szCs w:val="21"/>
          <w:highlight w:val="none"/>
        </w:rPr>
      </w:pPr>
      <w:r>
        <w:rPr>
          <w:rFonts w:hint="eastAsia" w:ascii="宋体" w:hAnsi="宋体" w:eastAsia="宋体" w:cs="宋体"/>
          <w:b/>
          <w:bCs/>
          <w:color w:val="auto"/>
          <w:sz w:val="21"/>
          <w:szCs w:val="21"/>
          <w:highlight w:val="none"/>
        </w:rPr>
        <w:t>二、提高政府采购项目价格评审优惠幅度</w:t>
      </w:r>
      <w:r>
        <w:rPr>
          <w:b/>
          <w:bCs/>
          <w:color w:val="auto"/>
          <w:sz w:val="21"/>
          <w:szCs w:val="21"/>
          <w:highlight w:val="none"/>
        </w:rPr>
        <w:t xml:space="preserve"> </w:t>
      </w:r>
    </w:p>
    <w:p w14:paraId="08D5C575">
      <w:pPr>
        <w:pStyle w:val="3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645"/>
        <w:textAlignment w:val="auto"/>
        <w:rPr>
          <w:color w:val="auto"/>
          <w:sz w:val="21"/>
          <w:szCs w:val="21"/>
          <w:highlight w:val="none"/>
        </w:rPr>
      </w:pPr>
      <w:r>
        <w:rPr>
          <w:rFonts w:ascii="宋体" w:hAnsi="宋体" w:eastAsia="宋体" w:cs="宋体"/>
          <w:color w:val="auto"/>
          <w:sz w:val="21"/>
          <w:szCs w:val="21"/>
          <w:highlight w:val="none"/>
        </w:rPr>
        <w:t>自2022年7月1日起发布采购公告或者发出采购邀请，未预留份额专门面向中小企业采购的货物、服务项目，给予小微企业的价格扣除优惠由《办法》规定的6%-10%提高至10%-20%；大中型企业与小微企业组成联合体或者大中型企业向小微企业分包的，评审优惠幅度由2%—3%提高至4%—6%。政府采购工程的价格评审优惠按照《办法》的规定执行。</w:t>
      </w:r>
      <w:r>
        <w:rPr>
          <w:color w:val="auto"/>
          <w:sz w:val="21"/>
          <w:szCs w:val="21"/>
          <w:highlight w:val="none"/>
        </w:rPr>
        <w:t xml:space="preserve"> </w:t>
      </w:r>
    </w:p>
    <w:p w14:paraId="16F81255">
      <w:pPr>
        <w:pStyle w:val="3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645"/>
        <w:textAlignment w:val="auto"/>
        <w:rPr>
          <w:b/>
          <w:bCs/>
          <w:color w:val="auto"/>
          <w:sz w:val="21"/>
          <w:szCs w:val="21"/>
          <w:highlight w:val="none"/>
        </w:rPr>
      </w:pPr>
      <w:r>
        <w:rPr>
          <w:rFonts w:hint="eastAsia" w:ascii="宋体" w:hAnsi="宋体" w:eastAsia="宋体" w:cs="宋体"/>
          <w:b/>
          <w:bCs/>
          <w:color w:val="auto"/>
          <w:sz w:val="21"/>
          <w:szCs w:val="21"/>
          <w:highlight w:val="none"/>
        </w:rPr>
        <w:t>三、提高政府采购工程项目预留份额比例</w:t>
      </w:r>
      <w:r>
        <w:rPr>
          <w:b/>
          <w:bCs/>
          <w:color w:val="auto"/>
          <w:sz w:val="21"/>
          <w:szCs w:val="21"/>
          <w:highlight w:val="none"/>
        </w:rPr>
        <w:t xml:space="preserve"> </w:t>
      </w:r>
    </w:p>
    <w:p w14:paraId="6363392E">
      <w:pPr>
        <w:pStyle w:val="3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645"/>
        <w:textAlignment w:val="auto"/>
        <w:rPr>
          <w:color w:val="auto"/>
          <w:sz w:val="21"/>
          <w:szCs w:val="21"/>
          <w:highlight w:val="none"/>
        </w:rPr>
      </w:pPr>
      <w:r>
        <w:rPr>
          <w:rFonts w:ascii="宋体" w:hAnsi="宋体" w:eastAsia="宋体" w:cs="宋体"/>
          <w:color w:val="auto"/>
          <w:sz w:val="21"/>
          <w:szCs w:val="21"/>
          <w:highlight w:val="none"/>
        </w:rPr>
        <w:t>400万元以下的工程采购项目适宜由中小企业提供的，采购人应当专门面向中小企业采购。达到或超过400万元的工程采购项目中适宜由中小企业提供的，在坚持公开、公正、公平竞争和统一质量标准的前提下，2022年下半年面向中小企业的预留份额由30%以上提高至40%以上。省财政厅将协调发改、工信、住建、交通、水利、商务等部门，按照国家相关工程招投标行政监督部门对工程招投标领域落实政府采购支持中小企业的政策要求，及时调整完善工程招投标领域有关标准文本、评标制度等，支持督促各预算单位严格落实政府采购政策。</w:t>
      </w:r>
      <w:r>
        <w:rPr>
          <w:color w:val="auto"/>
          <w:sz w:val="21"/>
          <w:szCs w:val="21"/>
          <w:highlight w:val="none"/>
        </w:rPr>
        <w:t xml:space="preserve"> </w:t>
      </w:r>
    </w:p>
    <w:p w14:paraId="717DA698">
      <w:pPr>
        <w:pStyle w:val="3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645"/>
        <w:textAlignment w:val="auto"/>
        <w:rPr>
          <w:b/>
          <w:bCs/>
          <w:color w:val="auto"/>
          <w:sz w:val="21"/>
          <w:szCs w:val="21"/>
          <w:highlight w:val="none"/>
        </w:rPr>
      </w:pPr>
      <w:r>
        <w:rPr>
          <w:rFonts w:hint="eastAsia" w:ascii="宋体" w:hAnsi="宋体" w:eastAsia="宋体" w:cs="宋体"/>
          <w:b/>
          <w:bCs/>
          <w:color w:val="auto"/>
          <w:sz w:val="21"/>
          <w:szCs w:val="21"/>
          <w:highlight w:val="none"/>
        </w:rPr>
        <w:t>四、降低经营成本提高履约能力</w:t>
      </w:r>
      <w:r>
        <w:rPr>
          <w:b/>
          <w:bCs/>
          <w:color w:val="auto"/>
          <w:sz w:val="21"/>
          <w:szCs w:val="21"/>
          <w:highlight w:val="none"/>
        </w:rPr>
        <w:t xml:space="preserve"> </w:t>
      </w:r>
    </w:p>
    <w:p w14:paraId="19A80B6E">
      <w:pPr>
        <w:pStyle w:val="3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645"/>
        <w:textAlignment w:val="auto"/>
        <w:rPr>
          <w:color w:val="auto"/>
          <w:sz w:val="21"/>
          <w:szCs w:val="21"/>
          <w:highlight w:val="none"/>
        </w:rPr>
      </w:pPr>
      <w:r>
        <w:rPr>
          <w:rFonts w:ascii="宋体" w:hAnsi="宋体" w:eastAsia="宋体" w:cs="宋体"/>
          <w:color w:val="auto"/>
          <w:sz w:val="21"/>
          <w:szCs w:val="21"/>
          <w:highlight w:val="none"/>
        </w:rPr>
        <w:t>鼓励采购人、采购代理机构在政府采购活动中免收中小企业保证金或降低收取比例。对确需依法收取保证金的，应明确收取标准、缴纳方式和退还时限等要求，允许中小企业自主选择以支票、汇票、本票、保函等非现金形式缴纳或提交，降低经营成本。采购人、采购代理机构应对2022年5月前实施完成的政府采购项目投标（响应）或履约保证金进行核查清理，对符合法定或合同约定退还条件的应及时退还，切实减轻中小企业资金压力。采购人在编制采购文件时可结合项目实际，明确中小企业获得合同后可采取分期付款的方式，最大限度的确定首期预付款比例，并尽量缩短资金支付期限。</w:t>
      </w:r>
      <w:r>
        <w:rPr>
          <w:color w:val="auto"/>
          <w:sz w:val="21"/>
          <w:szCs w:val="21"/>
          <w:highlight w:val="none"/>
        </w:rPr>
        <w:t xml:space="preserve"> </w:t>
      </w:r>
    </w:p>
    <w:p w14:paraId="5AAFA0F8">
      <w:pPr>
        <w:pStyle w:val="3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645"/>
        <w:textAlignment w:val="auto"/>
        <w:rPr>
          <w:b/>
          <w:bCs/>
          <w:color w:val="auto"/>
          <w:sz w:val="21"/>
          <w:szCs w:val="21"/>
          <w:highlight w:val="none"/>
        </w:rPr>
      </w:pPr>
      <w:r>
        <w:rPr>
          <w:rFonts w:hint="eastAsia" w:ascii="宋体" w:hAnsi="宋体" w:eastAsia="宋体" w:cs="宋体"/>
          <w:b/>
          <w:bCs/>
          <w:color w:val="auto"/>
          <w:sz w:val="21"/>
          <w:szCs w:val="21"/>
          <w:highlight w:val="none"/>
        </w:rPr>
        <w:t>五、优化政府采购程序推进全流程电子化</w:t>
      </w:r>
      <w:r>
        <w:rPr>
          <w:b/>
          <w:bCs/>
          <w:color w:val="auto"/>
          <w:sz w:val="21"/>
          <w:szCs w:val="21"/>
          <w:highlight w:val="none"/>
        </w:rPr>
        <w:t xml:space="preserve"> </w:t>
      </w:r>
    </w:p>
    <w:p w14:paraId="5B46F1B5">
      <w:pPr>
        <w:pStyle w:val="3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645"/>
        <w:textAlignment w:val="auto"/>
        <w:rPr>
          <w:color w:val="auto"/>
          <w:sz w:val="21"/>
          <w:szCs w:val="21"/>
          <w:highlight w:val="none"/>
        </w:rPr>
      </w:pPr>
      <w:r>
        <w:rPr>
          <w:rFonts w:hint="eastAsia" w:ascii="宋体" w:hAnsi="宋体" w:eastAsia="宋体" w:cs="宋体"/>
          <w:color w:val="auto"/>
          <w:sz w:val="21"/>
          <w:szCs w:val="21"/>
          <w:highlight w:val="none"/>
        </w:rPr>
        <w:t>中小企业参加政府采购活动，对于出具《中小企业声明函》的，任何单位和个人不得另行要求提供《中小企业声明函》之外的中小企业身份证明文件。对于法人代表已经出具委托书的，不得要求法人代表亲自领购采购文件或者到场参加开标、谈判等。加快推进全省政府采购全流程电子化建设，实现在线发布采购公告、提供采购文件、提交投标（响应）文件，实行电子开标、电子评审，提升中小企业参与政府采购活动的便利度。</w:t>
      </w:r>
      <w:r>
        <w:rPr>
          <w:color w:val="auto"/>
          <w:sz w:val="21"/>
          <w:szCs w:val="21"/>
          <w:highlight w:val="none"/>
        </w:rPr>
        <w:t xml:space="preserve"> </w:t>
      </w:r>
    </w:p>
    <w:p w14:paraId="745B18B0">
      <w:pPr>
        <w:pStyle w:val="3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645"/>
        <w:textAlignment w:val="auto"/>
        <w:rPr>
          <w:b/>
          <w:bCs/>
          <w:color w:val="auto"/>
          <w:sz w:val="21"/>
          <w:szCs w:val="21"/>
          <w:highlight w:val="none"/>
        </w:rPr>
      </w:pPr>
      <w:r>
        <w:rPr>
          <w:rFonts w:hint="eastAsia" w:ascii="宋体" w:hAnsi="宋体" w:eastAsia="宋体" w:cs="宋体"/>
          <w:b/>
          <w:bCs/>
          <w:color w:val="auto"/>
          <w:sz w:val="21"/>
          <w:szCs w:val="21"/>
          <w:highlight w:val="none"/>
        </w:rPr>
        <w:t>六、加强项目执行管理提升政府采购透明度</w:t>
      </w:r>
      <w:r>
        <w:rPr>
          <w:b/>
          <w:bCs/>
          <w:color w:val="auto"/>
          <w:sz w:val="21"/>
          <w:szCs w:val="21"/>
          <w:highlight w:val="none"/>
        </w:rPr>
        <w:t xml:space="preserve"> </w:t>
      </w:r>
    </w:p>
    <w:p w14:paraId="78CF7E39">
      <w:pPr>
        <w:pStyle w:val="3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645"/>
        <w:textAlignment w:val="auto"/>
        <w:rPr>
          <w:color w:val="auto"/>
          <w:sz w:val="21"/>
          <w:szCs w:val="21"/>
          <w:highlight w:val="none"/>
        </w:rPr>
      </w:pPr>
      <w:r>
        <w:rPr>
          <w:rFonts w:hint="eastAsia" w:ascii="宋体" w:hAnsi="宋体" w:eastAsia="宋体" w:cs="宋体"/>
          <w:color w:val="auto"/>
          <w:sz w:val="21"/>
          <w:szCs w:val="21"/>
          <w:highlight w:val="none"/>
        </w:rPr>
        <w:t>采购人、采购代理机构对投标（响应）文件的格式、形式要求应当简化明确，不得因非实质性的格式、形式问题限制和影响中小企业投标（响应）。实现电子化采购的，采购人、采购代理机构应当免费提供电子采购文件；暂未实现电子化采购的，鼓励采购人、采购代理机构向中小企业免费提供纸质采购文件。各级预算单位在公开政府采购意向时，必须标明是否专门面向中小企业采购，便于中小企业提前做好参与政府采购活动的各项准备工作。未按照规定进行政府采购意向公开的采购项目，原则上不得开展采购活动。</w:t>
      </w:r>
      <w:r>
        <w:rPr>
          <w:color w:val="auto"/>
          <w:sz w:val="21"/>
          <w:szCs w:val="21"/>
          <w:highlight w:val="none"/>
        </w:rPr>
        <w:t xml:space="preserve"> </w:t>
      </w:r>
    </w:p>
    <w:p w14:paraId="1FCBD01F">
      <w:pPr>
        <w:pStyle w:val="3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645"/>
        <w:textAlignment w:val="auto"/>
        <w:rPr>
          <w:color w:val="auto"/>
          <w:sz w:val="21"/>
          <w:szCs w:val="21"/>
          <w:highlight w:val="none"/>
        </w:rPr>
      </w:pPr>
      <w:r>
        <w:rPr>
          <w:rFonts w:hint="eastAsia" w:ascii="宋体" w:hAnsi="宋体" w:eastAsia="宋体" w:cs="宋体"/>
          <w:color w:val="auto"/>
          <w:sz w:val="21"/>
          <w:szCs w:val="21"/>
          <w:highlight w:val="none"/>
        </w:rPr>
        <w:t>各级主管预算单位要加强对本部门、本系统政府采购项目的统筹把握，明确工作责任，周密安排部署，严格落实预留采购份额和价格评审优惠措施支持中小企业发展。同时，按照六条措施要求，要制定具体工作方案，确保政策执行不走样、显成效。各级财政部门应加强组织领导，结合本地区实际情况明确政策执行要求，加强对采购单位政策执行情况的监督检查，在政策执行中好的经验办法和遇到的问题及时向省财政厅报告。</w:t>
      </w:r>
    </w:p>
    <w:p w14:paraId="0E7E740F">
      <w:pPr>
        <w:rPr>
          <w:rFonts w:ascii="宋体" w:hAnsi="宋体" w:cs="宋体"/>
          <w:b/>
          <w:bCs/>
          <w:color w:val="auto"/>
          <w:sz w:val="21"/>
          <w:szCs w:val="21"/>
          <w:highlight w:val="none"/>
        </w:rPr>
      </w:pPr>
      <w:r>
        <w:rPr>
          <w:rFonts w:ascii="宋体" w:hAnsi="宋体" w:cs="宋体"/>
          <w:b/>
          <w:bCs/>
          <w:color w:val="auto"/>
          <w:sz w:val="21"/>
          <w:szCs w:val="21"/>
          <w:highlight w:val="none"/>
        </w:rPr>
        <w:br w:type="page"/>
      </w:r>
    </w:p>
    <w:p w14:paraId="366296EF">
      <w:pPr>
        <w:rPr>
          <w:rFonts w:hint="eastAsia" w:ascii="宋体" w:hAnsi="宋体" w:eastAsia="宋体" w:cs="宋体"/>
          <w:b/>
          <w:bCs/>
          <w:color w:val="auto"/>
          <w:sz w:val="21"/>
          <w:szCs w:val="21"/>
          <w:highlight w:val="none"/>
        </w:rPr>
      </w:pPr>
    </w:p>
    <w:p w14:paraId="11DECAB9">
      <w:pPr>
        <w:spacing w:before="120" w:beforeLines="50" w:after="120" w:afterLines="50"/>
        <w:jc w:val="center"/>
        <w:textAlignment w:val="baseline"/>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财政部 司法部关于政府采购支持监狱企业发展有关问题的通知</w:t>
      </w:r>
    </w:p>
    <w:p w14:paraId="40FC74F6">
      <w:pPr>
        <w:pStyle w:val="2"/>
        <w:keepNext w:val="0"/>
        <w:keepLines w:val="0"/>
        <w:pageBreakBefore w:val="0"/>
        <w:widowControl/>
        <w:kinsoku/>
        <w:wordWrap/>
        <w:overflowPunct/>
        <w:topLinePunct w:val="0"/>
        <w:autoSpaceDE/>
        <w:autoSpaceDN/>
        <w:bidi w:val="0"/>
        <w:adjustRightInd/>
        <w:snapToGrid/>
        <w:spacing w:before="120" w:beforeLines="50" w:after="120" w:afterLines="50" w:line="288" w:lineRule="auto"/>
        <w:jc w:val="center"/>
        <w:textAlignment w:val="baseline"/>
        <w:rPr>
          <w:rFonts w:hint="eastAsia" w:ascii="宋体" w:hAnsi="宋体" w:eastAsia="宋体" w:cs="宋体"/>
          <w:b w:val="0"/>
          <w:bCs/>
          <w:color w:val="auto"/>
          <w:sz w:val="24"/>
          <w:szCs w:val="24"/>
          <w:highlight w:val="none"/>
        </w:rPr>
      </w:pPr>
      <w:bookmarkStart w:id="51" w:name="_Toc21391"/>
      <w:r>
        <w:rPr>
          <w:rFonts w:hint="eastAsia" w:ascii="宋体" w:hAnsi="宋体" w:eastAsia="宋体" w:cs="宋体"/>
          <w:b w:val="0"/>
          <w:bCs/>
          <w:color w:val="auto"/>
          <w:sz w:val="24"/>
          <w:szCs w:val="24"/>
          <w:highlight w:val="none"/>
          <w:shd w:val="clear" w:color="auto" w:fill="FFFFFF"/>
        </w:rPr>
        <w:t>财库〔2014〕68号</w:t>
      </w:r>
      <w:bookmarkEnd w:id="51"/>
    </w:p>
    <w:p w14:paraId="40E8BAD6">
      <w:pPr>
        <w:pStyle w:val="38"/>
        <w:keepNext w:val="0"/>
        <w:keepLines w:val="0"/>
        <w:pageBreakBefore w:val="0"/>
        <w:widowControl/>
        <w:kinsoku/>
        <w:wordWrap/>
        <w:overflowPunct/>
        <w:topLinePunct w:val="0"/>
        <w:autoSpaceDE/>
        <w:autoSpaceDN/>
        <w:bidi w:val="0"/>
        <w:adjustRightInd/>
        <w:snapToGrid/>
        <w:spacing w:line="288" w:lineRule="auto"/>
        <w:textAlignment w:val="baseline"/>
        <w:rPr>
          <w:rFonts w:hint="eastAsia" w:ascii="宋体" w:hAnsi="宋体" w:eastAsia="宋体" w:cs="宋体"/>
          <w:color w:val="auto"/>
          <w:sz w:val="24"/>
          <w:szCs w:val="24"/>
          <w:highlight w:val="none"/>
          <w:shd w:val="clear" w:color="auto" w:fill="FFFFFF"/>
        </w:rPr>
      </w:pPr>
      <w:r>
        <w:rPr>
          <w:rFonts w:hint="eastAsia" w:ascii="宋体" w:hAnsi="宋体" w:eastAsia="宋体" w:cs="宋体"/>
          <w:color w:val="auto"/>
          <w:sz w:val="24"/>
          <w:szCs w:val="24"/>
          <w:highlight w:val="none"/>
          <w:shd w:val="clear" w:color="auto" w:fill="FFFFFF"/>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3E44EB46">
      <w:pPr>
        <w:pStyle w:val="38"/>
        <w:keepNext w:val="0"/>
        <w:keepLines w:val="0"/>
        <w:pageBreakBefore w:val="0"/>
        <w:widowControl/>
        <w:kinsoku/>
        <w:wordWrap/>
        <w:overflowPunct/>
        <w:topLinePunct w:val="0"/>
        <w:autoSpaceDE/>
        <w:autoSpaceDN/>
        <w:bidi w:val="0"/>
        <w:adjustRightInd/>
        <w:snapToGrid/>
        <w:spacing w:line="288" w:lineRule="auto"/>
        <w:textAlignment w:val="baseline"/>
        <w:rPr>
          <w:rFonts w:hint="eastAsia" w:ascii="宋体" w:hAnsi="宋体" w:eastAsia="宋体" w:cs="宋体"/>
          <w:color w:val="auto"/>
          <w:sz w:val="24"/>
          <w:szCs w:val="24"/>
          <w:highlight w:val="none"/>
          <w:shd w:val="clear" w:color="auto" w:fill="FFFFFF"/>
        </w:rPr>
      </w:pPr>
      <w:r>
        <w:rPr>
          <w:rFonts w:hint="eastAsia" w:ascii="宋体" w:hAnsi="宋体" w:eastAsia="宋体" w:cs="宋体"/>
          <w:color w:val="auto"/>
          <w:sz w:val="24"/>
          <w:szCs w:val="24"/>
          <w:highlight w:val="none"/>
          <w:shd w:val="clear" w:color="auto" w:fill="FFFFFF"/>
        </w:rPr>
        <w:t>　　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监狱企业发展的作用，现就有关事项通知如下：</w:t>
      </w:r>
    </w:p>
    <w:p w14:paraId="3B7E8ECF">
      <w:pPr>
        <w:pStyle w:val="38"/>
        <w:keepNext w:val="0"/>
        <w:keepLines w:val="0"/>
        <w:pageBreakBefore w:val="0"/>
        <w:widowControl/>
        <w:kinsoku/>
        <w:wordWrap/>
        <w:overflowPunct/>
        <w:topLinePunct w:val="0"/>
        <w:autoSpaceDE/>
        <w:autoSpaceDN/>
        <w:bidi w:val="0"/>
        <w:adjustRightInd/>
        <w:snapToGrid/>
        <w:spacing w:line="288" w:lineRule="auto"/>
        <w:textAlignment w:val="baseline"/>
        <w:rPr>
          <w:rFonts w:hint="eastAsia" w:ascii="宋体" w:hAnsi="宋体" w:eastAsia="宋体" w:cs="宋体"/>
          <w:color w:val="auto"/>
          <w:sz w:val="24"/>
          <w:szCs w:val="24"/>
          <w:highlight w:val="none"/>
          <w:shd w:val="clear" w:color="auto" w:fill="FFFFFF"/>
        </w:rPr>
      </w:pPr>
      <w:r>
        <w:rPr>
          <w:rFonts w:hint="eastAsia" w:ascii="宋体" w:hAnsi="宋体" w:eastAsia="宋体" w:cs="宋体"/>
          <w:color w:val="auto"/>
          <w:sz w:val="24"/>
          <w:szCs w:val="24"/>
          <w:highlight w:val="none"/>
          <w:shd w:val="clear" w:color="auto" w:fill="FFFFFF"/>
        </w:rPr>
        <w:t>　　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0261E8E9">
      <w:pPr>
        <w:pStyle w:val="38"/>
        <w:keepNext w:val="0"/>
        <w:keepLines w:val="0"/>
        <w:pageBreakBefore w:val="0"/>
        <w:widowControl/>
        <w:kinsoku/>
        <w:wordWrap/>
        <w:overflowPunct/>
        <w:topLinePunct w:val="0"/>
        <w:autoSpaceDE/>
        <w:autoSpaceDN/>
        <w:bidi w:val="0"/>
        <w:adjustRightInd/>
        <w:snapToGrid/>
        <w:spacing w:line="288" w:lineRule="auto"/>
        <w:textAlignment w:val="baseline"/>
        <w:rPr>
          <w:rFonts w:hint="eastAsia" w:ascii="宋体" w:hAnsi="宋体" w:eastAsia="宋体" w:cs="宋体"/>
          <w:color w:val="auto"/>
          <w:sz w:val="24"/>
          <w:szCs w:val="24"/>
          <w:highlight w:val="none"/>
          <w:shd w:val="clear" w:color="auto" w:fill="FFFFFF"/>
        </w:rPr>
      </w:pPr>
      <w:r>
        <w:rPr>
          <w:rFonts w:hint="eastAsia" w:ascii="宋体" w:hAnsi="宋体" w:eastAsia="宋体" w:cs="宋体"/>
          <w:color w:val="auto"/>
          <w:sz w:val="24"/>
          <w:szCs w:val="24"/>
          <w:highlight w:val="none"/>
          <w:shd w:val="clear" w:color="auto" w:fill="FFFFFF"/>
        </w:rPr>
        <w:t>　　二、在政府采购活动中，监狱企业视同小型、微型企业，享受预留份额、评审中价格扣除等政府采购促进中小企业发展的政府采购政策。向监狱企业采购的金额，计入面向中小企业采购的统计数据。</w:t>
      </w:r>
    </w:p>
    <w:p w14:paraId="45C04034">
      <w:pPr>
        <w:pStyle w:val="38"/>
        <w:keepNext w:val="0"/>
        <w:keepLines w:val="0"/>
        <w:pageBreakBefore w:val="0"/>
        <w:widowControl/>
        <w:kinsoku/>
        <w:wordWrap/>
        <w:overflowPunct/>
        <w:topLinePunct w:val="0"/>
        <w:autoSpaceDE/>
        <w:autoSpaceDN/>
        <w:bidi w:val="0"/>
        <w:adjustRightInd/>
        <w:snapToGrid/>
        <w:spacing w:line="288" w:lineRule="auto"/>
        <w:textAlignment w:val="baseline"/>
        <w:rPr>
          <w:rFonts w:hint="eastAsia" w:ascii="宋体" w:hAnsi="宋体" w:eastAsia="宋体" w:cs="宋体"/>
          <w:color w:val="auto"/>
          <w:sz w:val="24"/>
          <w:szCs w:val="24"/>
          <w:highlight w:val="none"/>
          <w:shd w:val="clear" w:color="auto" w:fill="FFFFFF"/>
        </w:rPr>
      </w:pPr>
      <w:r>
        <w:rPr>
          <w:rFonts w:hint="eastAsia" w:ascii="宋体" w:hAnsi="宋体" w:eastAsia="宋体" w:cs="宋体"/>
          <w:color w:val="auto"/>
          <w:sz w:val="24"/>
          <w:szCs w:val="24"/>
          <w:highlight w:val="none"/>
          <w:shd w:val="clear" w:color="auto" w:fill="FFFFFF"/>
        </w:rPr>
        <w:t>　　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24531994">
      <w:pPr>
        <w:pStyle w:val="38"/>
        <w:keepNext w:val="0"/>
        <w:keepLines w:val="0"/>
        <w:pageBreakBefore w:val="0"/>
        <w:widowControl/>
        <w:kinsoku/>
        <w:wordWrap/>
        <w:overflowPunct/>
        <w:topLinePunct w:val="0"/>
        <w:autoSpaceDE/>
        <w:autoSpaceDN/>
        <w:bidi w:val="0"/>
        <w:adjustRightInd/>
        <w:snapToGrid/>
        <w:spacing w:line="288" w:lineRule="auto"/>
        <w:textAlignment w:val="baseline"/>
        <w:rPr>
          <w:rFonts w:hint="eastAsia" w:ascii="宋体" w:hAnsi="宋体" w:eastAsia="宋体" w:cs="宋体"/>
          <w:color w:val="auto"/>
          <w:sz w:val="24"/>
          <w:szCs w:val="24"/>
          <w:highlight w:val="none"/>
          <w:shd w:val="clear" w:color="auto" w:fill="FFFFFF"/>
        </w:rPr>
      </w:pPr>
      <w:r>
        <w:rPr>
          <w:rFonts w:hint="eastAsia" w:ascii="宋体" w:hAnsi="宋体" w:eastAsia="宋体" w:cs="宋体"/>
          <w:color w:val="auto"/>
          <w:sz w:val="24"/>
          <w:szCs w:val="24"/>
          <w:highlight w:val="none"/>
          <w:shd w:val="clear" w:color="auto" w:fill="FFFFFF"/>
        </w:rPr>
        <w:t>　　四、各地区可以结合本地区实际，对监狱企业生产的办公用品、家具用具、车辆维修和提供的保养服务、消防设备等，提出预留份额等政府采购支持措施，加大对监狱企业产品的采购力度。</w:t>
      </w:r>
    </w:p>
    <w:p w14:paraId="2DFF6627">
      <w:pPr>
        <w:pStyle w:val="38"/>
        <w:keepNext w:val="0"/>
        <w:keepLines w:val="0"/>
        <w:pageBreakBefore w:val="0"/>
        <w:widowControl/>
        <w:kinsoku/>
        <w:wordWrap/>
        <w:overflowPunct/>
        <w:topLinePunct w:val="0"/>
        <w:autoSpaceDE/>
        <w:autoSpaceDN/>
        <w:bidi w:val="0"/>
        <w:adjustRightInd/>
        <w:snapToGrid/>
        <w:spacing w:line="288" w:lineRule="auto"/>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　　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42CE0344">
      <w:pPr>
        <w:pStyle w:val="38"/>
        <w:keepNext w:val="0"/>
        <w:keepLines w:val="0"/>
        <w:pageBreakBefore w:val="0"/>
        <w:widowControl/>
        <w:kinsoku/>
        <w:wordWrap/>
        <w:overflowPunct/>
        <w:topLinePunct w:val="0"/>
        <w:autoSpaceDE/>
        <w:autoSpaceDN/>
        <w:bidi w:val="0"/>
        <w:adjustRightInd/>
        <w:snapToGrid/>
        <w:spacing w:line="288" w:lineRule="auto"/>
        <w:jc w:val="right"/>
        <w:textAlignment w:val="baseline"/>
        <w:rPr>
          <w:rFonts w:hint="eastAsia" w:ascii="宋体" w:hAnsi="宋体" w:eastAsia="宋体" w:cs="宋体"/>
          <w:color w:val="auto"/>
          <w:sz w:val="24"/>
          <w:szCs w:val="24"/>
          <w:highlight w:val="none"/>
          <w:shd w:val="clear" w:color="auto" w:fill="FFFFFF"/>
        </w:rPr>
      </w:pPr>
      <w:r>
        <w:rPr>
          <w:rFonts w:hint="eastAsia" w:ascii="宋体" w:hAnsi="宋体" w:eastAsia="宋体" w:cs="宋体"/>
          <w:color w:val="auto"/>
          <w:sz w:val="24"/>
          <w:szCs w:val="24"/>
          <w:highlight w:val="none"/>
          <w:shd w:val="clear" w:color="auto" w:fill="FFFFFF"/>
        </w:rPr>
        <w:t>中华人民共和国财政部</w:t>
      </w:r>
    </w:p>
    <w:p w14:paraId="3B47E50D">
      <w:pPr>
        <w:pStyle w:val="38"/>
        <w:keepNext w:val="0"/>
        <w:keepLines w:val="0"/>
        <w:pageBreakBefore w:val="0"/>
        <w:widowControl/>
        <w:kinsoku/>
        <w:wordWrap/>
        <w:overflowPunct/>
        <w:topLinePunct w:val="0"/>
        <w:autoSpaceDE/>
        <w:autoSpaceDN/>
        <w:bidi w:val="0"/>
        <w:adjustRightInd/>
        <w:snapToGrid/>
        <w:spacing w:line="288" w:lineRule="auto"/>
        <w:jc w:val="right"/>
        <w:textAlignment w:val="baseline"/>
        <w:rPr>
          <w:rFonts w:hint="eastAsia" w:ascii="宋体" w:hAnsi="宋体" w:eastAsia="宋体" w:cs="宋体"/>
          <w:color w:val="auto"/>
          <w:sz w:val="24"/>
          <w:szCs w:val="24"/>
          <w:highlight w:val="none"/>
          <w:shd w:val="clear" w:color="auto" w:fill="FFFFFF"/>
        </w:rPr>
      </w:pPr>
      <w:r>
        <w:rPr>
          <w:rFonts w:hint="eastAsia" w:ascii="宋体" w:hAnsi="宋体" w:eastAsia="宋体" w:cs="宋体"/>
          <w:color w:val="auto"/>
          <w:sz w:val="24"/>
          <w:szCs w:val="24"/>
          <w:highlight w:val="none"/>
          <w:shd w:val="clear" w:color="auto" w:fill="FFFFFF"/>
        </w:rPr>
        <w:t>中华人民共和国司法部</w:t>
      </w:r>
    </w:p>
    <w:p w14:paraId="550DFF5A">
      <w:pPr>
        <w:pStyle w:val="38"/>
        <w:keepNext w:val="0"/>
        <w:keepLines w:val="0"/>
        <w:pageBreakBefore w:val="0"/>
        <w:widowControl/>
        <w:kinsoku/>
        <w:wordWrap/>
        <w:overflowPunct/>
        <w:topLinePunct w:val="0"/>
        <w:autoSpaceDE/>
        <w:autoSpaceDN/>
        <w:bidi w:val="0"/>
        <w:adjustRightInd/>
        <w:snapToGrid/>
        <w:spacing w:line="288" w:lineRule="auto"/>
        <w:jc w:val="right"/>
        <w:textAlignment w:val="baseline"/>
        <w:rPr>
          <w:rFonts w:hint="eastAsia" w:ascii="宋体" w:hAnsi="宋体" w:eastAsia="宋体" w:cs="宋体"/>
          <w:color w:val="auto"/>
          <w:sz w:val="24"/>
          <w:szCs w:val="24"/>
          <w:highlight w:val="none"/>
          <w:shd w:val="clear" w:color="auto" w:fill="FFFFFF"/>
        </w:rPr>
      </w:pPr>
      <w:r>
        <w:rPr>
          <w:rFonts w:hint="eastAsia" w:ascii="宋体" w:hAnsi="宋体" w:eastAsia="宋体" w:cs="宋体"/>
          <w:color w:val="auto"/>
          <w:sz w:val="24"/>
          <w:szCs w:val="24"/>
          <w:highlight w:val="none"/>
          <w:shd w:val="clear" w:color="auto" w:fill="FFFFFF"/>
        </w:rPr>
        <w:t>2014年6月10日</w:t>
      </w:r>
    </w:p>
    <w:p w14:paraId="746130B8">
      <w:pPr>
        <w:spacing w:before="120" w:beforeLines="50" w:after="120" w:afterLines="50"/>
        <w:jc w:val="center"/>
        <w:textAlignment w:val="baseline"/>
        <w:rPr>
          <w:rFonts w:hint="eastAsia" w:ascii="宋体" w:hAnsi="宋体" w:eastAsia="宋体" w:cs="宋体"/>
          <w:b/>
          <w:color w:val="auto"/>
          <w:sz w:val="36"/>
          <w:szCs w:val="36"/>
          <w:highlight w:val="none"/>
        </w:rPr>
      </w:pPr>
      <w:r>
        <w:rPr>
          <w:rFonts w:hint="eastAsia" w:ascii="宋体" w:hAnsi="宋体" w:eastAsia="宋体" w:cs="宋体"/>
          <w:color w:val="auto"/>
          <w:szCs w:val="21"/>
          <w:highlight w:val="none"/>
          <w:shd w:val="clear" w:color="auto" w:fill="FFFFFF"/>
        </w:rPr>
        <w:br w:type="page"/>
      </w:r>
      <w:r>
        <w:rPr>
          <w:rFonts w:hint="eastAsia" w:ascii="宋体" w:hAnsi="宋体" w:eastAsia="宋体" w:cs="宋体"/>
          <w:b/>
          <w:color w:val="auto"/>
          <w:sz w:val="36"/>
          <w:szCs w:val="36"/>
          <w:highlight w:val="none"/>
        </w:rPr>
        <w:t>关于促进残疾人就业政府采购政策的通知</w:t>
      </w:r>
    </w:p>
    <w:p w14:paraId="23B4361A">
      <w:pPr>
        <w:pStyle w:val="38"/>
        <w:keepNext w:val="0"/>
        <w:keepLines w:val="0"/>
        <w:pageBreakBefore w:val="0"/>
        <w:widowControl/>
        <w:kinsoku/>
        <w:wordWrap/>
        <w:overflowPunct/>
        <w:topLinePunct w:val="0"/>
        <w:autoSpaceDE/>
        <w:autoSpaceDN/>
        <w:bidi w:val="0"/>
        <w:adjustRightInd/>
        <w:snapToGrid/>
        <w:spacing w:before="48" w:beforeLines="20" w:after="48" w:afterLines="20" w:line="288" w:lineRule="auto"/>
        <w:jc w:val="center"/>
        <w:textAlignment w:val="baseline"/>
        <w:rPr>
          <w:rFonts w:hint="eastAsia" w:ascii="宋体" w:hAnsi="宋体" w:eastAsia="宋体" w:cs="宋体"/>
          <w:bCs/>
          <w:color w:val="auto"/>
          <w:sz w:val="24"/>
          <w:szCs w:val="24"/>
          <w:highlight w:val="none"/>
        </w:rPr>
      </w:pPr>
      <w:r>
        <w:rPr>
          <w:rStyle w:val="47"/>
          <w:rFonts w:hint="eastAsia" w:ascii="宋体" w:hAnsi="宋体" w:eastAsia="宋体" w:cs="宋体"/>
          <w:bCs w:val="0"/>
          <w:color w:val="auto"/>
          <w:sz w:val="24"/>
          <w:szCs w:val="24"/>
          <w:highlight w:val="none"/>
          <w:shd w:val="clear" w:color="auto" w:fill="FFFFFF"/>
        </w:rPr>
        <w:t>财库〔2017〕141号</w:t>
      </w:r>
    </w:p>
    <w:p w14:paraId="5E210C65">
      <w:pPr>
        <w:pStyle w:val="38"/>
        <w:keepNext w:val="0"/>
        <w:keepLines w:val="0"/>
        <w:pageBreakBefore w:val="0"/>
        <w:widowControl/>
        <w:kinsoku/>
        <w:wordWrap/>
        <w:overflowPunct/>
        <w:topLinePunct w:val="0"/>
        <w:autoSpaceDE/>
        <w:autoSpaceDN/>
        <w:bidi w:val="0"/>
        <w:adjustRightInd/>
        <w:snapToGrid/>
        <w:spacing w:line="288" w:lineRule="auto"/>
        <w:jc w:val="both"/>
        <w:textAlignment w:val="baseline"/>
        <w:rPr>
          <w:rFonts w:hint="eastAsia" w:ascii="宋体" w:hAnsi="宋体" w:eastAsia="宋体" w:cs="宋体"/>
          <w:color w:val="auto"/>
          <w:sz w:val="24"/>
          <w:szCs w:val="24"/>
          <w:highlight w:val="none"/>
        </w:rPr>
      </w:pPr>
      <w:bookmarkStart w:id="52" w:name="toDeptId"/>
      <w:r>
        <w:rPr>
          <w:rFonts w:hint="eastAsia" w:ascii="宋体" w:hAnsi="宋体" w:eastAsia="宋体" w:cs="宋体"/>
          <w:color w:val="auto"/>
          <w:sz w:val="24"/>
          <w:szCs w:val="24"/>
          <w:highlight w:val="none"/>
          <w:shd w:val="clear" w:color="auto" w:fill="FFFFFF"/>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bookmarkEnd w:id="52"/>
      <w:r>
        <w:rPr>
          <w:rFonts w:hint="eastAsia" w:ascii="宋体" w:hAnsi="宋体" w:eastAsia="宋体" w:cs="宋体"/>
          <w:color w:val="auto"/>
          <w:sz w:val="24"/>
          <w:szCs w:val="24"/>
          <w:highlight w:val="none"/>
          <w:shd w:val="clear" w:color="auto" w:fill="FFFFFF"/>
        </w:rPr>
        <w:t>：</w:t>
      </w:r>
    </w:p>
    <w:p w14:paraId="144C5687">
      <w:pPr>
        <w:pStyle w:val="38"/>
        <w:keepNext w:val="0"/>
        <w:keepLines w:val="0"/>
        <w:pageBreakBefore w:val="0"/>
        <w:widowControl/>
        <w:kinsoku/>
        <w:wordWrap/>
        <w:overflowPunct/>
        <w:topLinePunct w:val="0"/>
        <w:autoSpaceDE/>
        <w:autoSpaceDN/>
        <w:bidi w:val="0"/>
        <w:adjustRightInd/>
        <w:snapToGrid/>
        <w:spacing w:line="288" w:lineRule="auto"/>
        <w:jc w:val="both"/>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　　为了发挥政府采购促进残疾人就业的作用，进一步保障残疾人权益，依照《政府采购法》、《残疾人保障法》等法律法规及相关规定，现就促进残疾人就业政府采购政策通知如下：</w:t>
      </w:r>
    </w:p>
    <w:p w14:paraId="6DDA1FD2">
      <w:pPr>
        <w:pStyle w:val="38"/>
        <w:keepNext w:val="0"/>
        <w:keepLines w:val="0"/>
        <w:pageBreakBefore w:val="0"/>
        <w:widowControl/>
        <w:kinsoku/>
        <w:wordWrap/>
        <w:overflowPunct/>
        <w:topLinePunct w:val="0"/>
        <w:autoSpaceDE/>
        <w:autoSpaceDN/>
        <w:bidi w:val="0"/>
        <w:adjustRightInd/>
        <w:snapToGrid/>
        <w:spacing w:line="288" w:lineRule="auto"/>
        <w:jc w:val="both"/>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　　一、享受政府采购支持政策的残疾人福利性单位应当同时满足以下条件：</w:t>
      </w:r>
    </w:p>
    <w:p w14:paraId="273A8A1C">
      <w:pPr>
        <w:pStyle w:val="38"/>
        <w:keepNext w:val="0"/>
        <w:keepLines w:val="0"/>
        <w:pageBreakBefore w:val="0"/>
        <w:widowControl/>
        <w:kinsoku/>
        <w:wordWrap/>
        <w:overflowPunct/>
        <w:topLinePunct w:val="0"/>
        <w:autoSpaceDE/>
        <w:autoSpaceDN/>
        <w:bidi w:val="0"/>
        <w:adjustRightInd/>
        <w:snapToGrid/>
        <w:spacing w:line="288" w:lineRule="auto"/>
        <w:jc w:val="both"/>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　　（一）安置的残疾人占本单位在职职工人数的比例不低于25%（含25%），并且安置的残疾人人数不少于10人（含10人）；</w:t>
      </w:r>
    </w:p>
    <w:p w14:paraId="10CD4790">
      <w:pPr>
        <w:pStyle w:val="38"/>
        <w:keepNext w:val="0"/>
        <w:keepLines w:val="0"/>
        <w:pageBreakBefore w:val="0"/>
        <w:widowControl/>
        <w:kinsoku/>
        <w:wordWrap/>
        <w:overflowPunct/>
        <w:topLinePunct w:val="0"/>
        <w:autoSpaceDE/>
        <w:autoSpaceDN/>
        <w:bidi w:val="0"/>
        <w:adjustRightInd/>
        <w:snapToGrid/>
        <w:spacing w:line="288" w:lineRule="auto"/>
        <w:jc w:val="both"/>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　　（二）依法与安置的每位残疾人签订了一年以上（含一年）的劳动合同或服务协议；</w:t>
      </w:r>
    </w:p>
    <w:p w14:paraId="38FEBBD1">
      <w:pPr>
        <w:pStyle w:val="38"/>
        <w:keepNext w:val="0"/>
        <w:keepLines w:val="0"/>
        <w:pageBreakBefore w:val="0"/>
        <w:widowControl/>
        <w:kinsoku/>
        <w:wordWrap/>
        <w:overflowPunct/>
        <w:topLinePunct w:val="0"/>
        <w:autoSpaceDE/>
        <w:autoSpaceDN/>
        <w:bidi w:val="0"/>
        <w:adjustRightInd/>
        <w:snapToGrid/>
        <w:spacing w:line="288" w:lineRule="auto"/>
        <w:jc w:val="both"/>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　　（三）为安置的每位残疾人按月足额缴纳了基本养老保险、基本医疗保险、失业保险、工伤保险和生育保险等社会保险费；</w:t>
      </w:r>
    </w:p>
    <w:p w14:paraId="26218750">
      <w:pPr>
        <w:pStyle w:val="38"/>
        <w:keepNext w:val="0"/>
        <w:keepLines w:val="0"/>
        <w:pageBreakBefore w:val="0"/>
        <w:widowControl/>
        <w:kinsoku/>
        <w:wordWrap/>
        <w:overflowPunct/>
        <w:topLinePunct w:val="0"/>
        <w:autoSpaceDE/>
        <w:autoSpaceDN/>
        <w:bidi w:val="0"/>
        <w:adjustRightInd/>
        <w:snapToGrid/>
        <w:spacing w:line="288" w:lineRule="auto"/>
        <w:jc w:val="both"/>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　　（四）通过银行等金融机构向安置的每位残疾人，按月支付了不低于单位所在区县适用的经省级人民政府批准的月最低工资标准的工资；</w:t>
      </w:r>
    </w:p>
    <w:p w14:paraId="0610EFA5">
      <w:pPr>
        <w:pStyle w:val="38"/>
        <w:keepNext w:val="0"/>
        <w:keepLines w:val="0"/>
        <w:pageBreakBefore w:val="0"/>
        <w:widowControl/>
        <w:kinsoku/>
        <w:wordWrap/>
        <w:overflowPunct/>
        <w:topLinePunct w:val="0"/>
        <w:autoSpaceDE/>
        <w:autoSpaceDN/>
        <w:bidi w:val="0"/>
        <w:adjustRightInd/>
        <w:snapToGrid/>
        <w:spacing w:line="288" w:lineRule="auto"/>
        <w:jc w:val="both"/>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　　（五）提供本单位制造的货物、承担的工程或者服务（以下简称产品），或者提供其他残疾人福利性单位制造的货物（不包括使用非残疾人福利性单位注册商标的货物）。</w:t>
      </w:r>
    </w:p>
    <w:p w14:paraId="23AA5976">
      <w:pPr>
        <w:pStyle w:val="38"/>
        <w:keepNext w:val="0"/>
        <w:keepLines w:val="0"/>
        <w:pageBreakBefore w:val="0"/>
        <w:widowControl/>
        <w:kinsoku/>
        <w:wordWrap/>
        <w:overflowPunct/>
        <w:topLinePunct w:val="0"/>
        <w:autoSpaceDE/>
        <w:autoSpaceDN/>
        <w:bidi w:val="0"/>
        <w:adjustRightInd/>
        <w:snapToGrid/>
        <w:spacing w:line="288" w:lineRule="auto"/>
        <w:jc w:val="both"/>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　　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743A2036">
      <w:pPr>
        <w:pStyle w:val="38"/>
        <w:keepNext w:val="0"/>
        <w:keepLines w:val="0"/>
        <w:pageBreakBefore w:val="0"/>
        <w:widowControl/>
        <w:kinsoku/>
        <w:wordWrap/>
        <w:overflowPunct/>
        <w:topLinePunct w:val="0"/>
        <w:autoSpaceDE/>
        <w:autoSpaceDN/>
        <w:bidi w:val="0"/>
        <w:adjustRightInd/>
        <w:snapToGrid/>
        <w:spacing w:line="288" w:lineRule="auto"/>
        <w:jc w:val="both"/>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　　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141331AD">
      <w:pPr>
        <w:pStyle w:val="38"/>
        <w:keepNext w:val="0"/>
        <w:keepLines w:val="0"/>
        <w:pageBreakBefore w:val="0"/>
        <w:widowControl/>
        <w:kinsoku/>
        <w:wordWrap/>
        <w:overflowPunct/>
        <w:topLinePunct w:val="0"/>
        <w:autoSpaceDE/>
        <w:autoSpaceDN/>
        <w:bidi w:val="0"/>
        <w:adjustRightInd/>
        <w:snapToGrid/>
        <w:spacing w:line="288" w:lineRule="auto"/>
        <w:jc w:val="both"/>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　　中标、成交供应商为残疾人福利性单位的，采购人或者其委托的采购代理机构应当随中标、成交结果同时公告其《残疾人福利性单位声明函》，接受社会监督。</w:t>
      </w:r>
    </w:p>
    <w:p w14:paraId="39DD11E8">
      <w:pPr>
        <w:pStyle w:val="38"/>
        <w:keepNext w:val="0"/>
        <w:keepLines w:val="0"/>
        <w:pageBreakBefore w:val="0"/>
        <w:widowControl/>
        <w:kinsoku/>
        <w:wordWrap/>
        <w:overflowPunct/>
        <w:topLinePunct w:val="0"/>
        <w:autoSpaceDE/>
        <w:autoSpaceDN/>
        <w:bidi w:val="0"/>
        <w:adjustRightInd/>
        <w:snapToGrid/>
        <w:spacing w:line="288" w:lineRule="auto"/>
        <w:jc w:val="both"/>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　　供应商提供的《残疾人福利性单位声明函》与事实不符的，依照《政府采购法》第七十七条第一款的规定追究法律责任。</w:t>
      </w:r>
    </w:p>
    <w:p w14:paraId="021354D9">
      <w:pPr>
        <w:pStyle w:val="38"/>
        <w:keepNext w:val="0"/>
        <w:keepLines w:val="0"/>
        <w:pageBreakBefore w:val="0"/>
        <w:widowControl/>
        <w:kinsoku/>
        <w:wordWrap/>
        <w:overflowPunct/>
        <w:topLinePunct w:val="0"/>
        <w:autoSpaceDE/>
        <w:autoSpaceDN/>
        <w:bidi w:val="0"/>
        <w:adjustRightInd/>
        <w:snapToGrid/>
        <w:spacing w:line="288" w:lineRule="auto"/>
        <w:jc w:val="both"/>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　　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1A4467CB">
      <w:pPr>
        <w:pStyle w:val="38"/>
        <w:keepNext w:val="0"/>
        <w:keepLines w:val="0"/>
        <w:pageBreakBefore w:val="0"/>
        <w:widowControl/>
        <w:kinsoku/>
        <w:wordWrap/>
        <w:overflowPunct/>
        <w:topLinePunct w:val="0"/>
        <w:autoSpaceDE/>
        <w:autoSpaceDN/>
        <w:bidi w:val="0"/>
        <w:adjustRightInd/>
        <w:snapToGrid/>
        <w:spacing w:line="288" w:lineRule="auto"/>
        <w:jc w:val="both"/>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　　四、采购人采购公开招标数额标准以上的货物或者服务，因落实促进残疾人就业政策的需要，依法履行有关报批程序后，可采用公开招标以外的采购方式。</w:t>
      </w:r>
    </w:p>
    <w:p w14:paraId="028D3DA4">
      <w:pPr>
        <w:pStyle w:val="38"/>
        <w:keepNext w:val="0"/>
        <w:keepLines w:val="0"/>
        <w:pageBreakBefore w:val="0"/>
        <w:widowControl/>
        <w:kinsoku/>
        <w:wordWrap/>
        <w:overflowPunct/>
        <w:topLinePunct w:val="0"/>
        <w:autoSpaceDE/>
        <w:autoSpaceDN/>
        <w:bidi w:val="0"/>
        <w:adjustRightInd/>
        <w:snapToGrid/>
        <w:spacing w:line="288" w:lineRule="auto"/>
        <w:jc w:val="both"/>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　　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14:paraId="7C1E1B6C">
      <w:pPr>
        <w:pStyle w:val="38"/>
        <w:keepNext w:val="0"/>
        <w:keepLines w:val="0"/>
        <w:pageBreakBefore w:val="0"/>
        <w:widowControl/>
        <w:kinsoku/>
        <w:wordWrap/>
        <w:overflowPunct/>
        <w:topLinePunct w:val="0"/>
        <w:autoSpaceDE/>
        <w:autoSpaceDN/>
        <w:bidi w:val="0"/>
        <w:adjustRightInd/>
        <w:snapToGrid/>
        <w:spacing w:line="288" w:lineRule="auto"/>
        <w:jc w:val="both"/>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　　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2A5A3C78">
      <w:pPr>
        <w:pStyle w:val="38"/>
        <w:keepNext w:val="0"/>
        <w:keepLines w:val="0"/>
        <w:pageBreakBefore w:val="0"/>
        <w:widowControl/>
        <w:kinsoku/>
        <w:wordWrap/>
        <w:overflowPunct/>
        <w:topLinePunct w:val="0"/>
        <w:autoSpaceDE/>
        <w:autoSpaceDN/>
        <w:bidi w:val="0"/>
        <w:adjustRightInd/>
        <w:snapToGrid/>
        <w:spacing w:line="288" w:lineRule="auto"/>
        <w:jc w:val="both"/>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　　七、本通知自2017年10月1日起执行。</w:t>
      </w:r>
    </w:p>
    <w:p w14:paraId="481114F9">
      <w:pPr>
        <w:pStyle w:val="38"/>
        <w:keepNext w:val="0"/>
        <w:keepLines w:val="0"/>
        <w:pageBreakBefore w:val="0"/>
        <w:widowControl/>
        <w:kinsoku/>
        <w:wordWrap/>
        <w:overflowPunct/>
        <w:topLinePunct w:val="0"/>
        <w:autoSpaceDE/>
        <w:autoSpaceDN/>
        <w:bidi w:val="0"/>
        <w:adjustRightInd/>
        <w:snapToGrid/>
        <w:spacing w:line="288" w:lineRule="auto"/>
        <w:jc w:val="right"/>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　　财政部 民政部 中国残疾人联合会</w:t>
      </w:r>
    </w:p>
    <w:p w14:paraId="4D748F7C">
      <w:pPr>
        <w:pStyle w:val="38"/>
        <w:keepNext w:val="0"/>
        <w:keepLines w:val="0"/>
        <w:pageBreakBefore w:val="0"/>
        <w:widowControl/>
        <w:kinsoku/>
        <w:wordWrap/>
        <w:overflowPunct/>
        <w:topLinePunct w:val="0"/>
        <w:autoSpaceDE/>
        <w:autoSpaceDN/>
        <w:bidi w:val="0"/>
        <w:adjustRightInd/>
        <w:snapToGrid/>
        <w:spacing w:line="288" w:lineRule="auto"/>
        <w:jc w:val="right"/>
        <w:textAlignment w:val="baseline"/>
        <w:rPr>
          <w:rFonts w:hint="eastAsia" w:ascii="宋体" w:hAnsi="宋体" w:eastAsia="宋体" w:cs="宋体"/>
          <w:color w:val="auto"/>
          <w:sz w:val="24"/>
          <w:szCs w:val="24"/>
          <w:highlight w:val="none"/>
          <w:shd w:val="clear" w:color="auto" w:fill="FFFFFF"/>
        </w:rPr>
      </w:pPr>
      <w:r>
        <w:rPr>
          <w:rFonts w:hint="eastAsia" w:ascii="宋体" w:hAnsi="宋体" w:eastAsia="宋体" w:cs="宋体"/>
          <w:color w:val="auto"/>
          <w:sz w:val="24"/>
          <w:szCs w:val="24"/>
          <w:highlight w:val="none"/>
          <w:shd w:val="clear" w:color="auto" w:fill="FFFFFF"/>
        </w:rPr>
        <w:t>　　2017年8月22日</w:t>
      </w:r>
    </w:p>
    <w:p w14:paraId="66CF810B">
      <w:pPr>
        <w:pStyle w:val="38"/>
        <w:spacing w:line="340" w:lineRule="exact"/>
        <w:jc w:val="center"/>
        <w:textAlignment w:val="baseline"/>
        <w:rPr>
          <w:rFonts w:hint="eastAsia" w:ascii="宋体" w:hAnsi="宋体" w:eastAsia="宋体" w:cs="宋体"/>
          <w:color w:val="auto"/>
          <w:sz w:val="21"/>
          <w:szCs w:val="21"/>
          <w:highlight w:val="none"/>
          <w:shd w:val="clear" w:color="auto" w:fill="FFFFFF"/>
        </w:rPr>
      </w:pPr>
    </w:p>
    <w:p w14:paraId="1811995C">
      <w:pPr>
        <w:pStyle w:val="38"/>
        <w:spacing w:line="340" w:lineRule="exact"/>
        <w:jc w:val="center"/>
        <w:textAlignment w:val="baseline"/>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br w:type="page"/>
      </w:r>
    </w:p>
    <w:p w14:paraId="2FBAA747">
      <w:pPr>
        <w:pStyle w:val="38"/>
        <w:spacing w:line="340" w:lineRule="exact"/>
        <w:jc w:val="center"/>
        <w:textAlignment w:val="baseline"/>
        <w:rPr>
          <w:rFonts w:hint="eastAsia" w:ascii="宋体" w:hAnsi="宋体" w:eastAsia="宋体" w:cs="宋体"/>
          <w:color w:val="auto"/>
          <w:sz w:val="21"/>
          <w:szCs w:val="21"/>
          <w:highlight w:val="none"/>
          <w:shd w:val="clear" w:color="auto" w:fill="FFFFFF"/>
        </w:rPr>
      </w:pPr>
    </w:p>
    <w:p w14:paraId="32946666">
      <w:pPr>
        <w:spacing w:before="120" w:beforeLines="50" w:after="120" w:afterLines="50"/>
        <w:jc w:val="center"/>
        <w:textAlignment w:val="baseline"/>
        <w:rPr>
          <w:rFonts w:hint="eastAsia" w:ascii="宋体" w:hAnsi="宋体" w:eastAsia="宋体" w:cs="宋体"/>
          <w:b/>
          <w:color w:val="auto"/>
          <w:sz w:val="36"/>
          <w:szCs w:val="36"/>
          <w:highlight w:val="none"/>
          <w:lang w:val="en-US" w:eastAsia="zh-CN"/>
        </w:rPr>
      </w:pPr>
      <w:r>
        <w:rPr>
          <w:rFonts w:hint="eastAsia" w:ascii="宋体" w:hAnsi="宋体" w:eastAsia="宋体" w:cs="宋体"/>
          <w:b/>
          <w:color w:val="auto"/>
          <w:sz w:val="36"/>
          <w:szCs w:val="36"/>
          <w:highlight w:val="none"/>
          <w:lang w:val="en-US" w:eastAsia="zh-CN"/>
        </w:rPr>
        <w:t>《统计上大中小微型企业划分办法（2017）》修订说明</w:t>
      </w:r>
    </w:p>
    <w:p w14:paraId="5BBECBD8">
      <w:pPr>
        <w:keepNext w:val="0"/>
        <w:keepLines w:val="0"/>
        <w:pageBreakBefore w:val="0"/>
        <w:widowControl/>
        <w:kinsoku/>
        <w:wordWrap/>
        <w:overflowPunct/>
        <w:topLinePunct w:val="0"/>
        <w:autoSpaceDE/>
        <w:autoSpaceDN/>
        <w:bidi w:val="0"/>
        <w:adjustRightInd/>
        <w:snapToGrid/>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一、修订背景</w:t>
      </w:r>
    </w:p>
    <w:p w14:paraId="6E65CF62">
      <w:pPr>
        <w:keepNext w:val="0"/>
        <w:keepLines w:val="0"/>
        <w:pageBreakBefore w:val="0"/>
        <w:widowControl/>
        <w:kinsoku/>
        <w:wordWrap/>
        <w:overflowPunct/>
        <w:topLinePunct w:val="0"/>
        <w:autoSpaceDE/>
        <w:autoSpaceDN/>
        <w:bidi w:val="0"/>
        <w:adjustRightInd/>
        <w:snapToGrid/>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 4754—2011），制定并颁布的。</w:t>
      </w:r>
    </w:p>
    <w:p w14:paraId="186C63FA">
      <w:pPr>
        <w:keepNext w:val="0"/>
        <w:keepLines w:val="0"/>
        <w:pageBreakBefore w:val="0"/>
        <w:widowControl/>
        <w:kinsoku/>
        <w:wordWrap/>
        <w:overflowPunct/>
        <w:topLinePunct w:val="0"/>
        <w:autoSpaceDE/>
        <w:autoSpaceDN/>
        <w:bidi w:val="0"/>
        <w:adjustRightInd/>
        <w:snapToGrid/>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2017年6月30日，《国民经济行业分类》（GB/T 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3D2928E7">
      <w:pPr>
        <w:keepNext w:val="0"/>
        <w:keepLines w:val="0"/>
        <w:pageBreakBefore w:val="0"/>
        <w:widowControl/>
        <w:kinsoku/>
        <w:wordWrap/>
        <w:overflowPunct/>
        <w:topLinePunct w:val="0"/>
        <w:autoSpaceDE/>
        <w:autoSpaceDN/>
        <w:bidi w:val="0"/>
        <w:adjustRightInd/>
        <w:snapToGrid/>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二、修订主要内容</w:t>
      </w:r>
    </w:p>
    <w:p w14:paraId="5EA2F457">
      <w:pPr>
        <w:keepNext w:val="0"/>
        <w:keepLines w:val="0"/>
        <w:pageBreakBefore w:val="0"/>
        <w:widowControl/>
        <w:kinsoku/>
        <w:wordWrap/>
        <w:overflowPunct/>
        <w:topLinePunct w:val="0"/>
        <w:autoSpaceDE/>
        <w:autoSpaceDN/>
        <w:bidi w:val="0"/>
        <w:adjustRightInd/>
        <w:snapToGrid/>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本次修订是在2011年《统计上大中小微型企业划分办法》基础上进行的，修订延续原有的分类原则、方法和结构框架，在保持适用范围不变的情况下,依据标准由《国民经济行业分类》（GB/T 4754—2011）修改为《国民经济行业分类》（GB/T 4754—2017），并根据新旧国民经济行业的对应关系，进行了行业所包含类别的对应调整。</w:t>
      </w:r>
    </w:p>
    <w:p w14:paraId="08279771">
      <w:pPr>
        <w:keepNext w:val="0"/>
        <w:keepLines w:val="0"/>
        <w:pageBreakBefore w:val="0"/>
        <w:widowControl/>
        <w:kinsoku/>
        <w:wordWrap/>
        <w:overflowPunct/>
        <w:topLinePunct w:val="0"/>
        <w:autoSpaceDE/>
        <w:autoSpaceDN/>
        <w:bidi w:val="0"/>
        <w:adjustRightInd/>
        <w:snapToGrid/>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将交通运输业中包括的“装卸搬运和运输代理业”修改为“多式联运和运输代理业、装卸搬运”。</w:t>
      </w:r>
    </w:p>
    <w:p w14:paraId="6FC7A1E1">
      <w:pPr>
        <w:keepNext w:val="0"/>
        <w:keepLines w:val="0"/>
        <w:pageBreakBefore w:val="0"/>
        <w:widowControl/>
        <w:kinsoku/>
        <w:wordWrap/>
        <w:overflowPunct/>
        <w:topLinePunct w:val="0"/>
        <w:autoSpaceDE/>
        <w:autoSpaceDN/>
        <w:bidi w:val="0"/>
        <w:adjustRightInd/>
        <w:snapToGrid/>
        <w:spacing w:line="288" w:lineRule="auto"/>
        <w:ind w:firstLine="512" w:firstLineChars="200"/>
        <w:textAlignment w:val="auto"/>
        <w:rPr>
          <w:rFonts w:hint="eastAsia" w:ascii="宋体" w:hAnsi="宋体" w:eastAsia="宋体" w:cs="宋体"/>
          <w:color w:val="auto"/>
          <w:spacing w:val="8"/>
          <w:sz w:val="24"/>
          <w:szCs w:val="24"/>
          <w:highlight w:val="none"/>
        </w:rPr>
      </w:pPr>
      <w:r>
        <w:rPr>
          <w:rFonts w:hint="eastAsia" w:ascii="宋体" w:hAnsi="宋体" w:eastAsia="宋体" w:cs="宋体"/>
          <w:color w:val="auto"/>
          <w:spacing w:val="8"/>
          <w:sz w:val="24"/>
          <w:szCs w:val="24"/>
          <w:highlight w:val="none"/>
        </w:rPr>
        <w:t>仓储业所包括的行业中类，根据《国民经济行业分类》</w:t>
      </w:r>
      <w:r>
        <w:rPr>
          <w:rFonts w:hint="eastAsia" w:ascii="宋体" w:hAnsi="宋体" w:eastAsia="宋体" w:cs="宋体"/>
          <w:color w:val="auto"/>
          <w:sz w:val="24"/>
          <w:szCs w:val="24"/>
          <w:highlight w:val="none"/>
        </w:rPr>
        <w:t>（GB/T 4754—2017）</w:t>
      </w:r>
      <w:r>
        <w:rPr>
          <w:rFonts w:hint="eastAsia" w:ascii="宋体" w:hAnsi="宋体" w:eastAsia="宋体" w:cs="宋体"/>
          <w:color w:val="auto"/>
          <w:spacing w:val="8"/>
          <w:sz w:val="24"/>
          <w:szCs w:val="24"/>
          <w:highlight w:val="none"/>
        </w:rPr>
        <w:t>调整为“通用仓储，低温仓储，危险品仓储，谷物、棉花等农产品仓储，中药材仓储和其他仓储业”。</w:t>
      </w:r>
    </w:p>
    <w:p w14:paraId="73931325">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附表</w:t>
      </w:r>
    </w:p>
    <w:p w14:paraId="35480D62">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统计上大中小微型企业划分标准</w:t>
      </w:r>
    </w:p>
    <w:tbl>
      <w:tblPr>
        <w:tblStyle w:val="4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13"/>
        <w:gridCol w:w="1369"/>
        <w:gridCol w:w="709"/>
        <w:gridCol w:w="1125"/>
        <w:gridCol w:w="1701"/>
        <w:gridCol w:w="1426"/>
        <w:gridCol w:w="992"/>
      </w:tblGrid>
      <w:tr w14:paraId="6D239D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exact"/>
          <w:jc w:val="center"/>
        </w:trPr>
        <w:tc>
          <w:tcPr>
            <w:tcW w:w="2113" w:type="dxa"/>
            <w:vAlign w:val="center"/>
          </w:tcPr>
          <w:p w14:paraId="380880A6">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行业名称</w:t>
            </w:r>
          </w:p>
        </w:tc>
        <w:tc>
          <w:tcPr>
            <w:tcW w:w="1369" w:type="dxa"/>
            <w:vAlign w:val="center"/>
          </w:tcPr>
          <w:p w14:paraId="52239530">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指标名称</w:t>
            </w:r>
          </w:p>
        </w:tc>
        <w:tc>
          <w:tcPr>
            <w:tcW w:w="709" w:type="dxa"/>
            <w:vAlign w:val="center"/>
          </w:tcPr>
          <w:p w14:paraId="6184BA7D">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计量</w:t>
            </w:r>
          </w:p>
          <w:p w14:paraId="0232F728">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单位</w:t>
            </w:r>
          </w:p>
        </w:tc>
        <w:tc>
          <w:tcPr>
            <w:tcW w:w="1125" w:type="dxa"/>
            <w:vAlign w:val="center"/>
          </w:tcPr>
          <w:p w14:paraId="45CFBC66">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大型</w:t>
            </w:r>
          </w:p>
        </w:tc>
        <w:tc>
          <w:tcPr>
            <w:tcW w:w="1701" w:type="dxa"/>
            <w:vAlign w:val="center"/>
          </w:tcPr>
          <w:p w14:paraId="502E4119">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中型</w:t>
            </w:r>
          </w:p>
        </w:tc>
        <w:tc>
          <w:tcPr>
            <w:tcW w:w="1426" w:type="dxa"/>
            <w:vAlign w:val="center"/>
          </w:tcPr>
          <w:p w14:paraId="10F60C38">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小型</w:t>
            </w:r>
          </w:p>
        </w:tc>
        <w:tc>
          <w:tcPr>
            <w:tcW w:w="992" w:type="dxa"/>
            <w:vAlign w:val="center"/>
          </w:tcPr>
          <w:p w14:paraId="39FAA9A4">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微型</w:t>
            </w:r>
          </w:p>
        </w:tc>
      </w:tr>
      <w:tr w14:paraId="15B24D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Align w:val="center"/>
          </w:tcPr>
          <w:p w14:paraId="3C954E52">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农、林、牧、渔业</w:t>
            </w:r>
          </w:p>
        </w:tc>
        <w:tc>
          <w:tcPr>
            <w:tcW w:w="1369" w:type="dxa"/>
            <w:vAlign w:val="center"/>
          </w:tcPr>
          <w:p w14:paraId="301CA7BF">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营业收入(Y)</w:t>
            </w:r>
          </w:p>
        </w:tc>
        <w:tc>
          <w:tcPr>
            <w:tcW w:w="709" w:type="dxa"/>
            <w:vAlign w:val="center"/>
          </w:tcPr>
          <w:p w14:paraId="3563E6B8">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万元</w:t>
            </w:r>
          </w:p>
        </w:tc>
        <w:tc>
          <w:tcPr>
            <w:tcW w:w="1125" w:type="dxa"/>
            <w:vAlign w:val="center"/>
          </w:tcPr>
          <w:p w14:paraId="0CEE668C">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Y≥20000</w:t>
            </w:r>
          </w:p>
        </w:tc>
        <w:tc>
          <w:tcPr>
            <w:tcW w:w="1701" w:type="dxa"/>
            <w:vAlign w:val="center"/>
          </w:tcPr>
          <w:p w14:paraId="5C90F105">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 500≤Y＜20000</w:t>
            </w:r>
          </w:p>
        </w:tc>
        <w:tc>
          <w:tcPr>
            <w:tcW w:w="1426" w:type="dxa"/>
            <w:vAlign w:val="center"/>
          </w:tcPr>
          <w:p w14:paraId="1BC7E6D2">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 50≤Y＜500</w:t>
            </w:r>
          </w:p>
        </w:tc>
        <w:tc>
          <w:tcPr>
            <w:tcW w:w="992" w:type="dxa"/>
            <w:vAlign w:val="center"/>
          </w:tcPr>
          <w:p w14:paraId="50482B33">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Y＜50</w:t>
            </w:r>
          </w:p>
        </w:tc>
      </w:tr>
      <w:tr w14:paraId="11CBAB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36E0D33E">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工业 *</w:t>
            </w:r>
          </w:p>
        </w:tc>
        <w:tc>
          <w:tcPr>
            <w:tcW w:w="1369" w:type="dxa"/>
            <w:vAlign w:val="center"/>
          </w:tcPr>
          <w:p w14:paraId="580C873A">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从业人员(X)</w:t>
            </w:r>
          </w:p>
        </w:tc>
        <w:tc>
          <w:tcPr>
            <w:tcW w:w="709" w:type="dxa"/>
            <w:vAlign w:val="center"/>
          </w:tcPr>
          <w:p w14:paraId="32F4BCBC">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人</w:t>
            </w:r>
          </w:p>
        </w:tc>
        <w:tc>
          <w:tcPr>
            <w:tcW w:w="1125" w:type="dxa"/>
            <w:vAlign w:val="center"/>
          </w:tcPr>
          <w:p w14:paraId="251CC528">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X≥1000</w:t>
            </w:r>
          </w:p>
        </w:tc>
        <w:tc>
          <w:tcPr>
            <w:tcW w:w="1701" w:type="dxa"/>
            <w:vAlign w:val="center"/>
          </w:tcPr>
          <w:p w14:paraId="206C8E41">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300≤X＜1000</w:t>
            </w:r>
          </w:p>
        </w:tc>
        <w:tc>
          <w:tcPr>
            <w:tcW w:w="1426" w:type="dxa"/>
            <w:vAlign w:val="center"/>
          </w:tcPr>
          <w:p w14:paraId="3AD0D275">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 20≤X＜300</w:t>
            </w:r>
          </w:p>
        </w:tc>
        <w:tc>
          <w:tcPr>
            <w:tcW w:w="992" w:type="dxa"/>
            <w:vAlign w:val="center"/>
          </w:tcPr>
          <w:p w14:paraId="1682A826">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X＜20</w:t>
            </w:r>
          </w:p>
        </w:tc>
      </w:tr>
      <w:tr w14:paraId="0A66AE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0D2B279D">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p>
        </w:tc>
        <w:tc>
          <w:tcPr>
            <w:tcW w:w="1369" w:type="dxa"/>
            <w:vAlign w:val="center"/>
          </w:tcPr>
          <w:p w14:paraId="1EB9AADB">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营业收入(Y)</w:t>
            </w:r>
          </w:p>
        </w:tc>
        <w:tc>
          <w:tcPr>
            <w:tcW w:w="709" w:type="dxa"/>
            <w:vAlign w:val="center"/>
          </w:tcPr>
          <w:p w14:paraId="73F813E3">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万元</w:t>
            </w:r>
          </w:p>
        </w:tc>
        <w:tc>
          <w:tcPr>
            <w:tcW w:w="1125" w:type="dxa"/>
            <w:vAlign w:val="center"/>
          </w:tcPr>
          <w:p w14:paraId="5453EC01">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Y≥40000</w:t>
            </w:r>
          </w:p>
        </w:tc>
        <w:tc>
          <w:tcPr>
            <w:tcW w:w="1701" w:type="dxa"/>
            <w:vAlign w:val="center"/>
          </w:tcPr>
          <w:p w14:paraId="657630B8">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2000≤Y＜40000</w:t>
            </w:r>
          </w:p>
        </w:tc>
        <w:tc>
          <w:tcPr>
            <w:tcW w:w="1426" w:type="dxa"/>
            <w:vAlign w:val="center"/>
          </w:tcPr>
          <w:p w14:paraId="14DFEB56">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 300≤Y＜2000</w:t>
            </w:r>
          </w:p>
        </w:tc>
        <w:tc>
          <w:tcPr>
            <w:tcW w:w="992" w:type="dxa"/>
            <w:vAlign w:val="center"/>
          </w:tcPr>
          <w:p w14:paraId="4EBE5D9F">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Y＜300</w:t>
            </w:r>
          </w:p>
        </w:tc>
      </w:tr>
      <w:tr w14:paraId="54BEDD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54F68F0C">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建筑业</w:t>
            </w:r>
          </w:p>
        </w:tc>
        <w:tc>
          <w:tcPr>
            <w:tcW w:w="1369" w:type="dxa"/>
            <w:vAlign w:val="center"/>
          </w:tcPr>
          <w:p w14:paraId="1DB5A0B2">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营业收入(Y)</w:t>
            </w:r>
          </w:p>
        </w:tc>
        <w:tc>
          <w:tcPr>
            <w:tcW w:w="709" w:type="dxa"/>
            <w:vAlign w:val="center"/>
          </w:tcPr>
          <w:p w14:paraId="3F4F28E4">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万元</w:t>
            </w:r>
          </w:p>
        </w:tc>
        <w:tc>
          <w:tcPr>
            <w:tcW w:w="1125" w:type="dxa"/>
            <w:vAlign w:val="center"/>
          </w:tcPr>
          <w:p w14:paraId="2ED92975">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Y≥80000</w:t>
            </w:r>
          </w:p>
        </w:tc>
        <w:tc>
          <w:tcPr>
            <w:tcW w:w="1701" w:type="dxa"/>
            <w:vAlign w:val="center"/>
          </w:tcPr>
          <w:p w14:paraId="0AFC95F3">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6000≤Y＜80000</w:t>
            </w:r>
          </w:p>
        </w:tc>
        <w:tc>
          <w:tcPr>
            <w:tcW w:w="1426" w:type="dxa"/>
            <w:vAlign w:val="center"/>
          </w:tcPr>
          <w:p w14:paraId="0F946FE9">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 300≤Y＜6000</w:t>
            </w:r>
          </w:p>
        </w:tc>
        <w:tc>
          <w:tcPr>
            <w:tcW w:w="992" w:type="dxa"/>
            <w:vAlign w:val="center"/>
          </w:tcPr>
          <w:p w14:paraId="415BEB46">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Y＜300</w:t>
            </w:r>
          </w:p>
        </w:tc>
      </w:tr>
      <w:tr w14:paraId="5C7B4C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13507C64">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p>
        </w:tc>
        <w:tc>
          <w:tcPr>
            <w:tcW w:w="1369" w:type="dxa"/>
            <w:vAlign w:val="center"/>
          </w:tcPr>
          <w:p w14:paraId="4B6C053C">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资产总额(Z)</w:t>
            </w:r>
          </w:p>
        </w:tc>
        <w:tc>
          <w:tcPr>
            <w:tcW w:w="709" w:type="dxa"/>
            <w:vAlign w:val="center"/>
          </w:tcPr>
          <w:p w14:paraId="748BEA62">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万元</w:t>
            </w:r>
          </w:p>
        </w:tc>
        <w:tc>
          <w:tcPr>
            <w:tcW w:w="1125" w:type="dxa"/>
            <w:vAlign w:val="center"/>
          </w:tcPr>
          <w:p w14:paraId="0C945509">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Z≥80000</w:t>
            </w:r>
          </w:p>
        </w:tc>
        <w:tc>
          <w:tcPr>
            <w:tcW w:w="1701" w:type="dxa"/>
            <w:vAlign w:val="center"/>
          </w:tcPr>
          <w:p w14:paraId="708AAA42">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5000≤Z＜80000</w:t>
            </w:r>
          </w:p>
        </w:tc>
        <w:tc>
          <w:tcPr>
            <w:tcW w:w="1426" w:type="dxa"/>
            <w:vAlign w:val="center"/>
          </w:tcPr>
          <w:p w14:paraId="1F46FBAF">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 300≤Z＜5000</w:t>
            </w:r>
          </w:p>
        </w:tc>
        <w:tc>
          <w:tcPr>
            <w:tcW w:w="992" w:type="dxa"/>
            <w:vAlign w:val="center"/>
          </w:tcPr>
          <w:p w14:paraId="108FE67A">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Z＜300</w:t>
            </w:r>
          </w:p>
        </w:tc>
      </w:tr>
      <w:tr w14:paraId="7CA4AB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7BA77F01">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批发业</w:t>
            </w:r>
          </w:p>
        </w:tc>
        <w:tc>
          <w:tcPr>
            <w:tcW w:w="1369" w:type="dxa"/>
            <w:vAlign w:val="center"/>
          </w:tcPr>
          <w:p w14:paraId="255CB572">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从业人员(X)</w:t>
            </w:r>
          </w:p>
        </w:tc>
        <w:tc>
          <w:tcPr>
            <w:tcW w:w="709" w:type="dxa"/>
            <w:vAlign w:val="center"/>
          </w:tcPr>
          <w:p w14:paraId="794B7E43">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人</w:t>
            </w:r>
          </w:p>
        </w:tc>
        <w:tc>
          <w:tcPr>
            <w:tcW w:w="1125" w:type="dxa"/>
            <w:vAlign w:val="center"/>
          </w:tcPr>
          <w:p w14:paraId="17D98E00">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X≥200</w:t>
            </w:r>
          </w:p>
        </w:tc>
        <w:tc>
          <w:tcPr>
            <w:tcW w:w="1701" w:type="dxa"/>
            <w:vAlign w:val="center"/>
          </w:tcPr>
          <w:p w14:paraId="735F6A39">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20≤X＜200</w:t>
            </w:r>
          </w:p>
        </w:tc>
        <w:tc>
          <w:tcPr>
            <w:tcW w:w="1426" w:type="dxa"/>
            <w:vAlign w:val="center"/>
          </w:tcPr>
          <w:p w14:paraId="631689EA">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 5≤X＜20</w:t>
            </w:r>
          </w:p>
        </w:tc>
        <w:tc>
          <w:tcPr>
            <w:tcW w:w="992" w:type="dxa"/>
            <w:vAlign w:val="center"/>
          </w:tcPr>
          <w:p w14:paraId="6675C512">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X＜5</w:t>
            </w:r>
          </w:p>
        </w:tc>
      </w:tr>
      <w:tr w14:paraId="04BDD3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3607DB6F">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p>
        </w:tc>
        <w:tc>
          <w:tcPr>
            <w:tcW w:w="1369" w:type="dxa"/>
            <w:vAlign w:val="center"/>
          </w:tcPr>
          <w:p w14:paraId="6F13FFD7">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营业收入(Y)</w:t>
            </w:r>
          </w:p>
        </w:tc>
        <w:tc>
          <w:tcPr>
            <w:tcW w:w="709" w:type="dxa"/>
            <w:vAlign w:val="center"/>
          </w:tcPr>
          <w:p w14:paraId="350FEBB8">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万元</w:t>
            </w:r>
          </w:p>
        </w:tc>
        <w:tc>
          <w:tcPr>
            <w:tcW w:w="1125" w:type="dxa"/>
            <w:vAlign w:val="center"/>
          </w:tcPr>
          <w:p w14:paraId="19EA064F">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Y≥40000</w:t>
            </w:r>
          </w:p>
        </w:tc>
        <w:tc>
          <w:tcPr>
            <w:tcW w:w="1701" w:type="dxa"/>
            <w:vAlign w:val="center"/>
          </w:tcPr>
          <w:p w14:paraId="1C2FC1BF">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5000≤Y＜40000</w:t>
            </w:r>
          </w:p>
        </w:tc>
        <w:tc>
          <w:tcPr>
            <w:tcW w:w="1426" w:type="dxa"/>
            <w:vAlign w:val="center"/>
          </w:tcPr>
          <w:p w14:paraId="04EA3D77">
            <w:pPr>
              <w:keepNext w:val="0"/>
              <w:keepLines w:val="0"/>
              <w:pageBreakBefore w:val="0"/>
              <w:widowControl/>
              <w:kinsoku/>
              <w:wordWrap/>
              <w:overflowPunct/>
              <w:topLinePunct w:val="0"/>
              <w:autoSpaceDE/>
              <w:autoSpaceDN/>
              <w:bidi w:val="0"/>
              <w:adjustRightInd/>
              <w:snapToGrid/>
              <w:spacing w:line="288" w:lineRule="auto"/>
              <w:ind w:left="-1" w:leftChars="-1" w:hanging="1"/>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1000≤Y＜5000</w:t>
            </w:r>
          </w:p>
        </w:tc>
        <w:tc>
          <w:tcPr>
            <w:tcW w:w="992" w:type="dxa"/>
            <w:vAlign w:val="center"/>
          </w:tcPr>
          <w:p w14:paraId="57EE8D72">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Y＜1000</w:t>
            </w:r>
          </w:p>
        </w:tc>
      </w:tr>
      <w:tr w14:paraId="6AA42A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683F9790">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零售业</w:t>
            </w:r>
          </w:p>
        </w:tc>
        <w:tc>
          <w:tcPr>
            <w:tcW w:w="1369" w:type="dxa"/>
            <w:vAlign w:val="center"/>
          </w:tcPr>
          <w:p w14:paraId="09C40C54">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从业人员(X)</w:t>
            </w:r>
          </w:p>
        </w:tc>
        <w:tc>
          <w:tcPr>
            <w:tcW w:w="709" w:type="dxa"/>
            <w:vAlign w:val="center"/>
          </w:tcPr>
          <w:p w14:paraId="591AD329">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人</w:t>
            </w:r>
          </w:p>
        </w:tc>
        <w:tc>
          <w:tcPr>
            <w:tcW w:w="1125" w:type="dxa"/>
            <w:vAlign w:val="center"/>
          </w:tcPr>
          <w:p w14:paraId="35E0C762">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X≥300</w:t>
            </w:r>
          </w:p>
        </w:tc>
        <w:tc>
          <w:tcPr>
            <w:tcW w:w="1701" w:type="dxa"/>
            <w:vAlign w:val="center"/>
          </w:tcPr>
          <w:p w14:paraId="5E936FC9">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50≤X＜300</w:t>
            </w:r>
          </w:p>
        </w:tc>
        <w:tc>
          <w:tcPr>
            <w:tcW w:w="1426" w:type="dxa"/>
            <w:vAlign w:val="center"/>
          </w:tcPr>
          <w:p w14:paraId="7180BF35">
            <w:pPr>
              <w:keepNext w:val="0"/>
              <w:keepLines w:val="0"/>
              <w:pageBreakBefore w:val="0"/>
              <w:widowControl/>
              <w:kinsoku/>
              <w:wordWrap/>
              <w:overflowPunct/>
              <w:topLinePunct w:val="0"/>
              <w:autoSpaceDE/>
              <w:autoSpaceDN/>
              <w:bidi w:val="0"/>
              <w:adjustRightInd/>
              <w:snapToGrid/>
              <w:spacing w:line="288" w:lineRule="auto"/>
              <w:ind w:left="-1" w:leftChars="-1" w:hanging="1"/>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10≤X＜50 </w:t>
            </w:r>
          </w:p>
        </w:tc>
        <w:tc>
          <w:tcPr>
            <w:tcW w:w="992" w:type="dxa"/>
            <w:vAlign w:val="center"/>
          </w:tcPr>
          <w:p w14:paraId="48DD084D">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X＜10</w:t>
            </w:r>
          </w:p>
        </w:tc>
      </w:tr>
      <w:tr w14:paraId="2F903A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0195F2B0">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p>
        </w:tc>
        <w:tc>
          <w:tcPr>
            <w:tcW w:w="1369" w:type="dxa"/>
            <w:vAlign w:val="center"/>
          </w:tcPr>
          <w:p w14:paraId="460B2D37">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营业收入(Y)</w:t>
            </w:r>
          </w:p>
        </w:tc>
        <w:tc>
          <w:tcPr>
            <w:tcW w:w="709" w:type="dxa"/>
            <w:vAlign w:val="center"/>
          </w:tcPr>
          <w:p w14:paraId="65BE0C0A">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万元</w:t>
            </w:r>
          </w:p>
        </w:tc>
        <w:tc>
          <w:tcPr>
            <w:tcW w:w="1125" w:type="dxa"/>
            <w:vAlign w:val="center"/>
          </w:tcPr>
          <w:p w14:paraId="78A611DD">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Y≥20000</w:t>
            </w:r>
          </w:p>
        </w:tc>
        <w:tc>
          <w:tcPr>
            <w:tcW w:w="1701" w:type="dxa"/>
            <w:vAlign w:val="center"/>
          </w:tcPr>
          <w:p w14:paraId="162B4581">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 500≤Y＜20000</w:t>
            </w:r>
          </w:p>
        </w:tc>
        <w:tc>
          <w:tcPr>
            <w:tcW w:w="1426" w:type="dxa"/>
            <w:vAlign w:val="center"/>
          </w:tcPr>
          <w:p w14:paraId="069A9E2B">
            <w:pPr>
              <w:keepNext w:val="0"/>
              <w:keepLines w:val="0"/>
              <w:pageBreakBefore w:val="0"/>
              <w:widowControl/>
              <w:kinsoku/>
              <w:wordWrap/>
              <w:overflowPunct/>
              <w:topLinePunct w:val="0"/>
              <w:autoSpaceDE/>
              <w:autoSpaceDN/>
              <w:bidi w:val="0"/>
              <w:adjustRightInd/>
              <w:snapToGrid/>
              <w:spacing w:line="288" w:lineRule="auto"/>
              <w:ind w:left="-1" w:leftChars="-1" w:hanging="1"/>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100≤Y＜500 </w:t>
            </w:r>
          </w:p>
        </w:tc>
        <w:tc>
          <w:tcPr>
            <w:tcW w:w="992" w:type="dxa"/>
            <w:vAlign w:val="center"/>
          </w:tcPr>
          <w:p w14:paraId="56CE35BA">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Y＜100</w:t>
            </w:r>
          </w:p>
        </w:tc>
      </w:tr>
      <w:tr w14:paraId="6CD53E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34709CDA">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交通运输业 *</w:t>
            </w:r>
          </w:p>
        </w:tc>
        <w:tc>
          <w:tcPr>
            <w:tcW w:w="1369" w:type="dxa"/>
            <w:vAlign w:val="center"/>
          </w:tcPr>
          <w:p w14:paraId="0C0E4ECE">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从业人员(X)</w:t>
            </w:r>
          </w:p>
        </w:tc>
        <w:tc>
          <w:tcPr>
            <w:tcW w:w="709" w:type="dxa"/>
            <w:vAlign w:val="center"/>
          </w:tcPr>
          <w:p w14:paraId="79C128B3">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人</w:t>
            </w:r>
          </w:p>
        </w:tc>
        <w:tc>
          <w:tcPr>
            <w:tcW w:w="1125" w:type="dxa"/>
            <w:vAlign w:val="center"/>
          </w:tcPr>
          <w:p w14:paraId="5F4B1985">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X≥1000</w:t>
            </w:r>
          </w:p>
        </w:tc>
        <w:tc>
          <w:tcPr>
            <w:tcW w:w="1701" w:type="dxa"/>
            <w:vAlign w:val="center"/>
          </w:tcPr>
          <w:p w14:paraId="4FAF41F3">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300≤X＜1000</w:t>
            </w:r>
          </w:p>
        </w:tc>
        <w:tc>
          <w:tcPr>
            <w:tcW w:w="1426" w:type="dxa"/>
            <w:vAlign w:val="center"/>
          </w:tcPr>
          <w:p w14:paraId="7435A9E9">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 20≤X＜300</w:t>
            </w:r>
          </w:p>
        </w:tc>
        <w:tc>
          <w:tcPr>
            <w:tcW w:w="992" w:type="dxa"/>
            <w:vAlign w:val="center"/>
          </w:tcPr>
          <w:p w14:paraId="41AD771F">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X＜20</w:t>
            </w:r>
          </w:p>
        </w:tc>
      </w:tr>
      <w:tr w14:paraId="0EAE3E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3831DCA3">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p>
        </w:tc>
        <w:tc>
          <w:tcPr>
            <w:tcW w:w="1369" w:type="dxa"/>
            <w:vAlign w:val="center"/>
          </w:tcPr>
          <w:p w14:paraId="13A2E756">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营业收入(Y)</w:t>
            </w:r>
          </w:p>
        </w:tc>
        <w:tc>
          <w:tcPr>
            <w:tcW w:w="709" w:type="dxa"/>
            <w:vAlign w:val="center"/>
          </w:tcPr>
          <w:p w14:paraId="3C41041F">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万元</w:t>
            </w:r>
          </w:p>
        </w:tc>
        <w:tc>
          <w:tcPr>
            <w:tcW w:w="1125" w:type="dxa"/>
            <w:vAlign w:val="center"/>
          </w:tcPr>
          <w:p w14:paraId="4440A4A7">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Y≥30000</w:t>
            </w:r>
          </w:p>
        </w:tc>
        <w:tc>
          <w:tcPr>
            <w:tcW w:w="1701" w:type="dxa"/>
            <w:vAlign w:val="center"/>
          </w:tcPr>
          <w:p w14:paraId="0BD029D7">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3000≤Y＜30000</w:t>
            </w:r>
          </w:p>
        </w:tc>
        <w:tc>
          <w:tcPr>
            <w:tcW w:w="1426" w:type="dxa"/>
            <w:vAlign w:val="center"/>
          </w:tcPr>
          <w:p w14:paraId="68B2C035">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 200≤Y＜3000</w:t>
            </w:r>
          </w:p>
        </w:tc>
        <w:tc>
          <w:tcPr>
            <w:tcW w:w="992" w:type="dxa"/>
            <w:vAlign w:val="center"/>
          </w:tcPr>
          <w:p w14:paraId="38B20013">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Y＜200</w:t>
            </w:r>
          </w:p>
        </w:tc>
      </w:tr>
      <w:tr w14:paraId="2859A1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7B3A5602">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仓储业*</w:t>
            </w:r>
          </w:p>
        </w:tc>
        <w:tc>
          <w:tcPr>
            <w:tcW w:w="1369" w:type="dxa"/>
            <w:vAlign w:val="center"/>
          </w:tcPr>
          <w:p w14:paraId="699B6820">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从业人员(X)</w:t>
            </w:r>
          </w:p>
        </w:tc>
        <w:tc>
          <w:tcPr>
            <w:tcW w:w="709" w:type="dxa"/>
            <w:vAlign w:val="center"/>
          </w:tcPr>
          <w:p w14:paraId="5B0676CA">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人</w:t>
            </w:r>
          </w:p>
        </w:tc>
        <w:tc>
          <w:tcPr>
            <w:tcW w:w="1125" w:type="dxa"/>
            <w:vAlign w:val="center"/>
          </w:tcPr>
          <w:p w14:paraId="743F1E88">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X≥200</w:t>
            </w:r>
          </w:p>
        </w:tc>
        <w:tc>
          <w:tcPr>
            <w:tcW w:w="1701" w:type="dxa"/>
            <w:vAlign w:val="center"/>
          </w:tcPr>
          <w:p w14:paraId="6F3A03E9">
            <w:pPr>
              <w:keepNext w:val="0"/>
              <w:keepLines w:val="0"/>
              <w:pageBreakBefore w:val="0"/>
              <w:widowControl/>
              <w:kinsoku/>
              <w:wordWrap/>
              <w:overflowPunct/>
              <w:topLinePunct w:val="0"/>
              <w:autoSpaceDE/>
              <w:autoSpaceDN/>
              <w:bidi w:val="0"/>
              <w:adjustRightInd/>
              <w:snapToGrid/>
              <w:spacing w:line="288" w:lineRule="auto"/>
              <w:ind w:left="43" w:leftChars="-51" w:hanging="145" w:hangingChars="6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100≤X＜200</w:t>
            </w:r>
          </w:p>
        </w:tc>
        <w:tc>
          <w:tcPr>
            <w:tcW w:w="1426" w:type="dxa"/>
            <w:vAlign w:val="center"/>
          </w:tcPr>
          <w:p w14:paraId="0995C3D8">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 20≤X＜100</w:t>
            </w:r>
          </w:p>
        </w:tc>
        <w:tc>
          <w:tcPr>
            <w:tcW w:w="992" w:type="dxa"/>
            <w:vAlign w:val="center"/>
          </w:tcPr>
          <w:p w14:paraId="16173C78">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X＜20</w:t>
            </w:r>
          </w:p>
        </w:tc>
      </w:tr>
      <w:tr w14:paraId="2CDAF8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2886F198">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p>
        </w:tc>
        <w:tc>
          <w:tcPr>
            <w:tcW w:w="1369" w:type="dxa"/>
            <w:vAlign w:val="center"/>
          </w:tcPr>
          <w:p w14:paraId="2D472C7E">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营业收入(Y)</w:t>
            </w:r>
          </w:p>
        </w:tc>
        <w:tc>
          <w:tcPr>
            <w:tcW w:w="709" w:type="dxa"/>
            <w:vAlign w:val="center"/>
          </w:tcPr>
          <w:p w14:paraId="4817FA36">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万元</w:t>
            </w:r>
          </w:p>
        </w:tc>
        <w:tc>
          <w:tcPr>
            <w:tcW w:w="1125" w:type="dxa"/>
            <w:vAlign w:val="center"/>
          </w:tcPr>
          <w:p w14:paraId="256CF3CF">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Y≥30000</w:t>
            </w:r>
          </w:p>
        </w:tc>
        <w:tc>
          <w:tcPr>
            <w:tcW w:w="1701" w:type="dxa"/>
            <w:vAlign w:val="center"/>
          </w:tcPr>
          <w:p w14:paraId="100232E3">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1000≤Y＜30000</w:t>
            </w:r>
          </w:p>
        </w:tc>
        <w:tc>
          <w:tcPr>
            <w:tcW w:w="1426" w:type="dxa"/>
            <w:vAlign w:val="center"/>
          </w:tcPr>
          <w:p w14:paraId="03D2ABE7">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 100≤Y＜1000</w:t>
            </w:r>
          </w:p>
        </w:tc>
        <w:tc>
          <w:tcPr>
            <w:tcW w:w="992" w:type="dxa"/>
            <w:vAlign w:val="center"/>
          </w:tcPr>
          <w:p w14:paraId="3C559522">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Y＜100</w:t>
            </w:r>
          </w:p>
        </w:tc>
      </w:tr>
      <w:tr w14:paraId="64FB6D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5EA87E2D">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邮政业</w:t>
            </w:r>
          </w:p>
        </w:tc>
        <w:tc>
          <w:tcPr>
            <w:tcW w:w="1369" w:type="dxa"/>
            <w:vAlign w:val="center"/>
          </w:tcPr>
          <w:p w14:paraId="0A7CE164">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从业人员(X)</w:t>
            </w:r>
          </w:p>
        </w:tc>
        <w:tc>
          <w:tcPr>
            <w:tcW w:w="709" w:type="dxa"/>
            <w:vAlign w:val="center"/>
          </w:tcPr>
          <w:p w14:paraId="36FC2E4F">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人</w:t>
            </w:r>
          </w:p>
        </w:tc>
        <w:tc>
          <w:tcPr>
            <w:tcW w:w="1125" w:type="dxa"/>
            <w:vAlign w:val="center"/>
          </w:tcPr>
          <w:p w14:paraId="14431588">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X≥1000</w:t>
            </w:r>
          </w:p>
        </w:tc>
        <w:tc>
          <w:tcPr>
            <w:tcW w:w="1701" w:type="dxa"/>
            <w:vAlign w:val="center"/>
          </w:tcPr>
          <w:p w14:paraId="19A88CB3">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300≤X＜1000</w:t>
            </w:r>
          </w:p>
        </w:tc>
        <w:tc>
          <w:tcPr>
            <w:tcW w:w="1426" w:type="dxa"/>
            <w:vAlign w:val="center"/>
          </w:tcPr>
          <w:p w14:paraId="7148205F">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 20≤X＜300</w:t>
            </w:r>
          </w:p>
        </w:tc>
        <w:tc>
          <w:tcPr>
            <w:tcW w:w="992" w:type="dxa"/>
            <w:vAlign w:val="center"/>
          </w:tcPr>
          <w:p w14:paraId="2886B3A9">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X＜20</w:t>
            </w:r>
          </w:p>
        </w:tc>
      </w:tr>
      <w:tr w14:paraId="3FBF6B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5FA29D99">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p>
        </w:tc>
        <w:tc>
          <w:tcPr>
            <w:tcW w:w="1369" w:type="dxa"/>
            <w:vAlign w:val="center"/>
          </w:tcPr>
          <w:p w14:paraId="13705D38">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营业收入(Y)</w:t>
            </w:r>
          </w:p>
        </w:tc>
        <w:tc>
          <w:tcPr>
            <w:tcW w:w="709" w:type="dxa"/>
            <w:vAlign w:val="center"/>
          </w:tcPr>
          <w:p w14:paraId="13512C29">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万元</w:t>
            </w:r>
          </w:p>
        </w:tc>
        <w:tc>
          <w:tcPr>
            <w:tcW w:w="1125" w:type="dxa"/>
            <w:vAlign w:val="center"/>
          </w:tcPr>
          <w:p w14:paraId="2546AD97">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Y≥30000</w:t>
            </w:r>
          </w:p>
        </w:tc>
        <w:tc>
          <w:tcPr>
            <w:tcW w:w="1701" w:type="dxa"/>
            <w:vAlign w:val="center"/>
          </w:tcPr>
          <w:p w14:paraId="228BE5BC">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2000≤Y＜30000</w:t>
            </w:r>
          </w:p>
        </w:tc>
        <w:tc>
          <w:tcPr>
            <w:tcW w:w="1426" w:type="dxa"/>
            <w:vAlign w:val="center"/>
          </w:tcPr>
          <w:p w14:paraId="304CFA5F">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 100≤Y＜2000</w:t>
            </w:r>
          </w:p>
        </w:tc>
        <w:tc>
          <w:tcPr>
            <w:tcW w:w="992" w:type="dxa"/>
            <w:vAlign w:val="center"/>
          </w:tcPr>
          <w:p w14:paraId="44CA5C83">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Y＜100</w:t>
            </w:r>
          </w:p>
        </w:tc>
      </w:tr>
      <w:tr w14:paraId="74EBAB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7BC9A27F">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住宿业</w:t>
            </w:r>
          </w:p>
        </w:tc>
        <w:tc>
          <w:tcPr>
            <w:tcW w:w="1369" w:type="dxa"/>
            <w:vAlign w:val="center"/>
          </w:tcPr>
          <w:p w14:paraId="38B72EB9">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从业人员(X)</w:t>
            </w:r>
          </w:p>
        </w:tc>
        <w:tc>
          <w:tcPr>
            <w:tcW w:w="709" w:type="dxa"/>
            <w:vAlign w:val="center"/>
          </w:tcPr>
          <w:p w14:paraId="3F192116">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人</w:t>
            </w:r>
          </w:p>
        </w:tc>
        <w:tc>
          <w:tcPr>
            <w:tcW w:w="1125" w:type="dxa"/>
            <w:vAlign w:val="center"/>
          </w:tcPr>
          <w:p w14:paraId="6D97EC8C">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X≥300</w:t>
            </w:r>
          </w:p>
        </w:tc>
        <w:tc>
          <w:tcPr>
            <w:tcW w:w="1701" w:type="dxa"/>
            <w:vAlign w:val="center"/>
          </w:tcPr>
          <w:p w14:paraId="228B3794">
            <w:pPr>
              <w:keepNext w:val="0"/>
              <w:keepLines w:val="0"/>
              <w:pageBreakBefore w:val="0"/>
              <w:widowControl/>
              <w:kinsoku/>
              <w:wordWrap/>
              <w:overflowPunct/>
              <w:topLinePunct w:val="0"/>
              <w:autoSpaceDE/>
              <w:autoSpaceDN/>
              <w:bidi w:val="0"/>
              <w:adjustRightInd/>
              <w:snapToGrid/>
              <w:spacing w:line="288" w:lineRule="auto"/>
              <w:ind w:left="43" w:leftChars="-51" w:hanging="145" w:hangingChars="6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100≤X＜300 </w:t>
            </w:r>
          </w:p>
        </w:tc>
        <w:tc>
          <w:tcPr>
            <w:tcW w:w="1426" w:type="dxa"/>
            <w:vAlign w:val="center"/>
          </w:tcPr>
          <w:p w14:paraId="2176656E">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 10≤X＜100</w:t>
            </w:r>
          </w:p>
        </w:tc>
        <w:tc>
          <w:tcPr>
            <w:tcW w:w="992" w:type="dxa"/>
            <w:vAlign w:val="center"/>
          </w:tcPr>
          <w:p w14:paraId="225CE875">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X＜10</w:t>
            </w:r>
          </w:p>
        </w:tc>
      </w:tr>
      <w:tr w14:paraId="3EEB20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0DBD6F25">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p>
        </w:tc>
        <w:tc>
          <w:tcPr>
            <w:tcW w:w="1369" w:type="dxa"/>
            <w:vAlign w:val="center"/>
          </w:tcPr>
          <w:p w14:paraId="37813953">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营业收入(Y)</w:t>
            </w:r>
          </w:p>
        </w:tc>
        <w:tc>
          <w:tcPr>
            <w:tcW w:w="709" w:type="dxa"/>
            <w:vAlign w:val="center"/>
          </w:tcPr>
          <w:p w14:paraId="01F3316E">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万元</w:t>
            </w:r>
          </w:p>
        </w:tc>
        <w:tc>
          <w:tcPr>
            <w:tcW w:w="1125" w:type="dxa"/>
            <w:vAlign w:val="center"/>
          </w:tcPr>
          <w:p w14:paraId="0A1CA002">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Y≥10000</w:t>
            </w:r>
          </w:p>
        </w:tc>
        <w:tc>
          <w:tcPr>
            <w:tcW w:w="1701" w:type="dxa"/>
            <w:vAlign w:val="center"/>
          </w:tcPr>
          <w:p w14:paraId="044EE1C7">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2000≤Y＜10000</w:t>
            </w:r>
          </w:p>
        </w:tc>
        <w:tc>
          <w:tcPr>
            <w:tcW w:w="1426" w:type="dxa"/>
            <w:vAlign w:val="center"/>
          </w:tcPr>
          <w:p w14:paraId="553F6961">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 100≤Y＜2000</w:t>
            </w:r>
          </w:p>
        </w:tc>
        <w:tc>
          <w:tcPr>
            <w:tcW w:w="992" w:type="dxa"/>
            <w:vAlign w:val="center"/>
          </w:tcPr>
          <w:p w14:paraId="2F034BD0">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Y＜100</w:t>
            </w:r>
          </w:p>
        </w:tc>
      </w:tr>
      <w:tr w14:paraId="630B0A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29ABD0C3">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餐饮业</w:t>
            </w:r>
          </w:p>
        </w:tc>
        <w:tc>
          <w:tcPr>
            <w:tcW w:w="1369" w:type="dxa"/>
            <w:vAlign w:val="center"/>
          </w:tcPr>
          <w:p w14:paraId="5F639D06">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从业人员(X)</w:t>
            </w:r>
          </w:p>
        </w:tc>
        <w:tc>
          <w:tcPr>
            <w:tcW w:w="709" w:type="dxa"/>
            <w:vAlign w:val="center"/>
          </w:tcPr>
          <w:p w14:paraId="25098491">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人</w:t>
            </w:r>
          </w:p>
        </w:tc>
        <w:tc>
          <w:tcPr>
            <w:tcW w:w="1125" w:type="dxa"/>
            <w:vAlign w:val="center"/>
          </w:tcPr>
          <w:p w14:paraId="72F10C83">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X≥300</w:t>
            </w:r>
          </w:p>
        </w:tc>
        <w:tc>
          <w:tcPr>
            <w:tcW w:w="1701" w:type="dxa"/>
            <w:vAlign w:val="center"/>
          </w:tcPr>
          <w:p w14:paraId="0D37B4EA">
            <w:pPr>
              <w:keepNext w:val="0"/>
              <w:keepLines w:val="0"/>
              <w:pageBreakBefore w:val="0"/>
              <w:widowControl/>
              <w:kinsoku/>
              <w:wordWrap/>
              <w:overflowPunct/>
              <w:topLinePunct w:val="0"/>
              <w:autoSpaceDE/>
              <w:autoSpaceDN/>
              <w:bidi w:val="0"/>
              <w:adjustRightInd/>
              <w:snapToGrid/>
              <w:spacing w:line="288" w:lineRule="auto"/>
              <w:ind w:left="43" w:leftChars="-51" w:hanging="145" w:hangingChars="6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100≤X＜300 </w:t>
            </w:r>
          </w:p>
        </w:tc>
        <w:tc>
          <w:tcPr>
            <w:tcW w:w="1426" w:type="dxa"/>
            <w:vAlign w:val="center"/>
          </w:tcPr>
          <w:p w14:paraId="28941361">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 10≤X＜100</w:t>
            </w:r>
          </w:p>
        </w:tc>
        <w:tc>
          <w:tcPr>
            <w:tcW w:w="992" w:type="dxa"/>
            <w:vAlign w:val="center"/>
          </w:tcPr>
          <w:p w14:paraId="1544D8F3">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X＜10</w:t>
            </w:r>
          </w:p>
        </w:tc>
      </w:tr>
      <w:tr w14:paraId="4F8A69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70841087">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p>
        </w:tc>
        <w:tc>
          <w:tcPr>
            <w:tcW w:w="1369" w:type="dxa"/>
            <w:vAlign w:val="center"/>
          </w:tcPr>
          <w:p w14:paraId="47429ED7">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营业收入(Y)</w:t>
            </w:r>
          </w:p>
        </w:tc>
        <w:tc>
          <w:tcPr>
            <w:tcW w:w="709" w:type="dxa"/>
            <w:vAlign w:val="center"/>
          </w:tcPr>
          <w:p w14:paraId="60047A53">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万元</w:t>
            </w:r>
          </w:p>
        </w:tc>
        <w:tc>
          <w:tcPr>
            <w:tcW w:w="1125" w:type="dxa"/>
            <w:vAlign w:val="center"/>
          </w:tcPr>
          <w:p w14:paraId="4C2BAAD7">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Y≥10000</w:t>
            </w:r>
          </w:p>
        </w:tc>
        <w:tc>
          <w:tcPr>
            <w:tcW w:w="1701" w:type="dxa"/>
            <w:vAlign w:val="center"/>
          </w:tcPr>
          <w:p w14:paraId="22905040">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2000≤Y＜10000</w:t>
            </w:r>
          </w:p>
        </w:tc>
        <w:tc>
          <w:tcPr>
            <w:tcW w:w="1426" w:type="dxa"/>
            <w:vAlign w:val="center"/>
          </w:tcPr>
          <w:p w14:paraId="7B45248C">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 100≤Y＜2000</w:t>
            </w:r>
          </w:p>
        </w:tc>
        <w:tc>
          <w:tcPr>
            <w:tcW w:w="992" w:type="dxa"/>
            <w:vAlign w:val="center"/>
          </w:tcPr>
          <w:p w14:paraId="5D26D384">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Y＜100</w:t>
            </w:r>
          </w:p>
        </w:tc>
      </w:tr>
      <w:tr w14:paraId="1EAF7B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5D66EF00">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信息传输业*</w:t>
            </w:r>
          </w:p>
        </w:tc>
        <w:tc>
          <w:tcPr>
            <w:tcW w:w="1369" w:type="dxa"/>
            <w:vAlign w:val="center"/>
          </w:tcPr>
          <w:p w14:paraId="4E1404D0">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从业人员(X)</w:t>
            </w:r>
          </w:p>
        </w:tc>
        <w:tc>
          <w:tcPr>
            <w:tcW w:w="709" w:type="dxa"/>
            <w:vAlign w:val="center"/>
          </w:tcPr>
          <w:p w14:paraId="3D34A158">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人</w:t>
            </w:r>
          </w:p>
        </w:tc>
        <w:tc>
          <w:tcPr>
            <w:tcW w:w="1125" w:type="dxa"/>
            <w:vAlign w:val="center"/>
          </w:tcPr>
          <w:p w14:paraId="17344D02">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X≥2000</w:t>
            </w:r>
          </w:p>
        </w:tc>
        <w:tc>
          <w:tcPr>
            <w:tcW w:w="1701" w:type="dxa"/>
            <w:vAlign w:val="center"/>
          </w:tcPr>
          <w:p w14:paraId="56FF0EEF">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100≤X＜2000</w:t>
            </w:r>
          </w:p>
        </w:tc>
        <w:tc>
          <w:tcPr>
            <w:tcW w:w="1426" w:type="dxa"/>
            <w:vAlign w:val="center"/>
          </w:tcPr>
          <w:p w14:paraId="03A20063">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 10≤X＜100</w:t>
            </w:r>
          </w:p>
        </w:tc>
        <w:tc>
          <w:tcPr>
            <w:tcW w:w="992" w:type="dxa"/>
            <w:vAlign w:val="center"/>
          </w:tcPr>
          <w:p w14:paraId="71DBA6D8">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X＜10</w:t>
            </w:r>
          </w:p>
        </w:tc>
      </w:tr>
      <w:tr w14:paraId="120A3F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7D3A0DD5">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p>
        </w:tc>
        <w:tc>
          <w:tcPr>
            <w:tcW w:w="1369" w:type="dxa"/>
            <w:vAlign w:val="center"/>
          </w:tcPr>
          <w:p w14:paraId="59893BFA">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营业收入(Y)</w:t>
            </w:r>
          </w:p>
        </w:tc>
        <w:tc>
          <w:tcPr>
            <w:tcW w:w="709" w:type="dxa"/>
            <w:vAlign w:val="center"/>
          </w:tcPr>
          <w:p w14:paraId="1EDC7D1A">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万元</w:t>
            </w:r>
          </w:p>
        </w:tc>
        <w:tc>
          <w:tcPr>
            <w:tcW w:w="1125" w:type="dxa"/>
            <w:vAlign w:val="center"/>
          </w:tcPr>
          <w:p w14:paraId="6EFE4F3D">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Y≥100000</w:t>
            </w:r>
          </w:p>
        </w:tc>
        <w:tc>
          <w:tcPr>
            <w:tcW w:w="1701" w:type="dxa"/>
            <w:vAlign w:val="center"/>
          </w:tcPr>
          <w:p w14:paraId="32A5085C">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 1000≤Y＜100000</w:t>
            </w:r>
          </w:p>
        </w:tc>
        <w:tc>
          <w:tcPr>
            <w:tcW w:w="1426" w:type="dxa"/>
            <w:vAlign w:val="center"/>
          </w:tcPr>
          <w:p w14:paraId="6670E76C">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 100≤Y＜1000</w:t>
            </w:r>
          </w:p>
        </w:tc>
        <w:tc>
          <w:tcPr>
            <w:tcW w:w="992" w:type="dxa"/>
            <w:vAlign w:val="center"/>
          </w:tcPr>
          <w:p w14:paraId="3A61850C">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Y＜100</w:t>
            </w:r>
          </w:p>
        </w:tc>
      </w:tr>
      <w:tr w14:paraId="58FA5D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restart"/>
            <w:vAlign w:val="center"/>
          </w:tcPr>
          <w:p w14:paraId="4FFDEE84">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pacing w:val="-12"/>
                <w:sz w:val="24"/>
                <w:szCs w:val="24"/>
                <w:highlight w:val="none"/>
              </w:rPr>
            </w:pPr>
            <w:r>
              <w:rPr>
                <w:rFonts w:hint="eastAsia" w:ascii="宋体" w:hAnsi="宋体" w:eastAsia="宋体" w:cs="宋体"/>
                <w:b/>
                <w:color w:val="auto"/>
                <w:spacing w:val="-12"/>
                <w:sz w:val="24"/>
                <w:szCs w:val="24"/>
                <w:highlight w:val="none"/>
              </w:rPr>
              <w:t>软件和信息技术服</w:t>
            </w:r>
            <w:r>
              <w:rPr>
                <w:rFonts w:hint="eastAsia" w:ascii="宋体" w:hAnsi="宋体" w:eastAsia="宋体" w:cs="宋体"/>
                <w:b/>
                <w:color w:val="auto"/>
                <w:sz w:val="24"/>
                <w:szCs w:val="24"/>
                <w:highlight w:val="none"/>
              </w:rPr>
              <w:t>务业</w:t>
            </w:r>
          </w:p>
        </w:tc>
        <w:tc>
          <w:tcPr>
            <w:tcW w:w="1369" w:type="dxa"/>
            <w:vAlign w:val="center"/>
          </w:tcPr>
          <w:p w14:paraId="23459D23">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从业人员(X)</w:t>
            </w:r>
          </w:p>
        </w:tc>
        <w:tc>
          <w:tcPr>
            <w:tcW w:w="709" w:type="dxa"/>
            <w:vAlign w:val="center"/>
          </w:tcPr>
          <w:p w14:paraId="351297B8">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人</w:t>
            </w:r>
          </w:p>
        </w:tc>
        <w:tc>
          <w:tcPr>
            <w:tcW w:w="1125" w:type="dxa"/>
            <w:vAlign w:val="center"/>
          </w:tcPr>
          <w:p w14:paraId="34BDBC51">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X≥300</w:t>
            </w:r>
          </w:p>
        </w:tc>
        <w:tc>
          <w:tcPr>
            <w:tcW w:w="1701" w:type="dxa"/>
            <w:vAlign w:val="center"/>
          </w:tcPr>
          <w:p w14:paraId="1D61F435">
            <w:pPr>
              <w:keepNext w:val="0"/>
              <w:keepLines w:val="0"/>
              <w:pageBreakBefore w:val="0"/>
              <w:widowControl/>
              <w:kinsoku/>
              <w:wordWrap/>
              <w:overflowPunct/>
              <w:topLinePunct w:val="0"/>
              <w:autoSpaceDE/>
              <w:autoSpaceDN/>
              <w:bidi w:val="0"/>
              <w:adjustRightInd/>
              <w:snapToGrid/>
              <w:spacing w:line="288" w:lineRule="auto"/>
              <w:ind w:left="43" w:leftChars="-51" w:hanging="145" w:hangingChars="6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100≤X＜300 </w:t>
            </w:r>
          </w:p>
        </w:tc>
        <w:tc>
          <w:tcPr>
            <w:tcW w:w="1426" w:type="dxa"/>
            <w:vAlign w:val="center"/>
          </w:tcPr>
          <w:p w14:paraId="55C62EB5">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 10≤X＜100</w:t>
            </w:r>
          </w:p>
        </w:tc>
        <w:tc>
          <w:tcPr>
            <w:tcW w:w="992" w:type="dxa"/>
            <w:vAlign w:val="center"/>
          </w:tcPr>
          <w:p w14:paraId="32BA2FC3">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X＜10</w:t>
            </w:r>
          </w:p>
        </w:tc>
      </w:tr>
      <w:tr w14:paraId="622628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continue"/>
            <w:vAlign w:val="center"/>
          </w:tcPr>
          <w:p w14:paraId="397E1E6D">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pacing w:val="-12"/>
                <w:sz w:val="24"/>
                <w:szCs w:val="24"/>
                <w:highlight w:val="none"/>
              </w:rPr>
            </w:pPr>
          </w:p>
        </w:tc>
        <w:tc>
          <w:tcPr>
            <w:tcW w:w="1369" w:type="dxa"/>
            <w:vAlign w:val="center"/>
          </w:tcPr>
          <w:p w14:paraId="5F75C05B">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营业收入(Y)</w:t>
            </w:r>
          </w:p>
        </w:tc>
        <w:tc>
          <w:tcPr>
            <w:tcW w:w="709" w:type="dxa"/>
            <w:vAlign w:val="center"/>
          </w:tcPr>
          <w:p w14:paraId="590CEA5D">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万元</w:t>
            </w:r>
          </w:p>
        </w:tc>
        <w:tc>
          <w:tcPr>
            <w:tcW w:w="1125" w:type="dxa"/>
            <w:vAlign w:val="center"/>
          </w:tcPr>
          <w:p w14:paraId="08BD2BA5">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Y≥10000</w:t>
            </w:r>
          </w:p>
        </w:tc>
        <w:tc>
          <w:tcPr>
            <w:tcW w:w="1701" w:type="dxa"/>
            <w:vAlign w:val="center"/>
          </w:tcPr>
          <w:p w14:paraId="311CB299">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1000≤Y＜10000</w:t>
            </w:r>
          </w:p>
        </w:tc>
        <w:tc>
          <w:tcPr>
            <w:tcW w:w="1426" w:type="dxa"/>
            <w:vAlign w:val="center"/>
          </w:tcPr>
          <w:p w14:paraId="55FC4F0E">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  50≤Y＜1000</w:t>
            </w:r>
          </w:p>
        </w:tc>
        <w:tc>
          <w:tcPr>
            <w:tcW w:w="992" w:type="dxa"/>
            <w:vAlign w:val="center"/>
          </w:tcPr>
          <w:p w14:paraId="2263A0D4">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Y＜50</w:t>
            </w:r>
          </w:p>
        </w:tc>
      </w:tr>
      <w:tr w14:paraId="45D073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restart"/>
            <w:vAlign w:val="center"/>
          </w:tcPr>
          <w:p w14:paraId="730ADC23">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房地产开发经营</w:t>
            </w:r>
          </w:p>
        </w:tc>
        <w:tc>
          <w:tcPr>
            <w:tcW w:w="1369" w:type="dxa"/>
            <w:vAlign w:val="center"/>
          </w:tcPr>
          <w:p w14:paraId="7FA83303">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营业收入(Y)</w:t>
            </w:r>
          </w:p>
        </w:tc>
        <w:tc>
          <w:tcPr>
            <w:tcW w:w="709" w:type="dxa"/>
            <w:vAlign w:val="center"/>
          </w:tcPr>
          <w:p w14:paraId="2F0FED91">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万元</w:t>
            </w:r>
          </w:p>
        </w:tc>
        <w:tc>
          <w:tcPr>
            <w:tcW w:w="1125" w:type="dxa"/>
            <w:vAlign w:val="center"/>
          </w:tcPr>
          <w:p w14:paraId="51D2D6F0">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Y≥200000</w:t>
            </w:r>
          </w:p>
        </w:tc>
        <w:tc>
          <w:tcPr>
            <w:tcW w:w="1701" w:type="dxa"/>
            <w:vAlign w:val="center"/>
          </w:tcPr>
          <w:p w14:paraId="14EC9EC8">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 1000≤Y＜200000</w:t>
            </w:r>
          </w:p>
        </w:tc>
        <w:tc>
          <w:tcPr>
            <w:tcW w:w="1426" w:type="dxa"/>
            <w:vAlign w:val="center"/>
          </w:tcPr>
          <w:p w14:paraId="4D7E95F0">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 100≤Y＜1000</w:t>
            </w:r>
          </w:p>
        </w:tc>
        <w:tc>
          <w:tcPr>
            <w:tcW w:w="992" w:type="dxa"/>
            <w:vAlign w:val="center"/>
          </w:tcPr>
          <w:p w14:paraId="6C173D50">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Y＜100</w:t>
            </w:r>
          </w:p>
        </w:tc>
      </w:tr>
      <w:tr w14:paraId="3F9060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continue"/>
            <w:vAlign w:val="center"/>
          </w:tcPr>
          <w:p w14:paraId="4CA16B9F">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p>
        </w:tc>
        <w:tc>
          <w:tcPr>
            <w:tcW w:w="1369" w:type="dxa"/>
            <w:vAlign w:val="center"/>
          </w:tcPr>
          <w:p w14:paraId="18E17E65">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资产总额(Z)</w:t>
            </w:r>
          </w:p>
        </w:tc>
        <w:tc>
          <w:tcPr>
            <w:tcW w:w="709" w:type="dxa"/>
            <w:vAlign w:val="center"/>
          </w:tcPr>
          <w:p w14:paraId="1AEDCD6B">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万元</w:t>
            </w:r>
          </w:p>
        </w:tc>
        <w:tc>
          <w:tcPr>
            <w:tcW w:w="1125" w:type="dxa"/>
            <w:vAlign w:val="center"/>
          </w:tcPr>
          <w:p w14:paraId="4AC2DCD5">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Z≥10000</w:t>
            </w:r>
          </w:p>
        </w:tc>
        <w:tc>
          <w:tcPr>
            <w:tcW w:w="1701" w:type="dxa"/>
            <w:vAlign w:val="center"/>
          </w:tcPr>
          <w:p w14:paraId="1A3E57DB">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5000≤Z＜10000</w:t>
            </w:r>
          </w:p>
        </w:tc>
        <w:tc>
          <w:tcPr>
            <w:tcW w:w="1426" w:type="dxa"/>
            <w:vAlign w:val="center"/>
          </w:tcPr>
          <w:p w14:paraId="106F0522">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2000≤Z＜5000   </w:t>
            </w:r>
          </w:p>
        </w:tc>
        <w:tc>
          <w:tcPr>
            <w:tcW w:w="992" w:type="dxa"/>
            <w:vAlign w:val="center"/>
          </w:tcPr>
          <w:p w14:paraId="46E90194">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Z＜2000</w:t>
            </w:r>
          </w:p>
        </w:tc>
      </w:tr>
      <w:tr w14:paraId="72C1CC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restart"/>
            <w:vAlign w:val="center"/>
          </w:tcPr>
          <w:p w14:paraId="48C8A07B">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物业管理</w:t>
            </w:r>
          </w:p>
        </w:tc>
        <w:tc>
          <w:tcPr>
            <w:tcW w:w="1369" w:type="dxa"/>
            <w:vAlign w:val="center"/>
          </w:tcPr>
          <w:p w14:paraId="4E2B6CD5">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从业人员(X)</w:t>
            </w:r>
          </w:p>
        </w:tc>
        <w:tc>
          <w:tcPr>
            <w:tcW w:w="709" w:type="dxa"/>
            <w:vAlign w:val="center"/>
          </w:tcPr>
          <w:p w14:paraId="1FCE3AAC">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人</w:t>
            </w:r>
          </w:p>
        </w:tc>
        <w:tc>
          <w:tcPr>
            <w:tcW w:w="1125" w:type="dxa"/>
            <w:vAlign w:val="center"/>
          </w:tcPr>
          <w:p w14:paraId="5D676753">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X≥1000</w:t>
            </w:r>
          </w:p>
        </w:tc>
        <w:tc>
          <w:tcPr>
            <w:tcW w:w="1701" w:type="dxa"/>
            <w:vAlign w:val="center"/>
          </w:tcPr>
          <w:p w14:paraId="30A7B41E">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300≤X＜1000</w:t>
            </w:r>
          </w:p>
        </w:tc>
        <w:tc>
          <w:tcPr>
            <w:tcW w:w="1426" w:type="dxa"/>
            <w:vAlign w:val="center"/>
          </w:tcPr>
          <w:p w14:paraId="1AFDBF63">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100≤X＜300 </w:t>
            </w:r>
          </w:p>
        </w:tc>
        <w:tc>
          <w:tcPr>
            <w:tcW w:w="992" w:type="dxa"/>
            <w:vAlign w:val="center"/>
          </w:tcPr>
          <w:p w14:paraId="0CA8015C">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X＜100</w:t>
            </w:r>
          </w:p>
        </w:tc>
      </w:tr>
      <w:tr w14:paraId="2975B9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continue"/>
            <w:vAlign w:val="center"/>
          </w:tcPr>
          <w:p w14:paraId="7DF1F579">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p>
        </w:tc>
        <w:tc>
          <w:tcPr>
            <w:tcW w:w="1369" w:type="dxa"/>
            <w:vAlign w:val="center"/>
          </w:tcPr>
          <w:p w14:paraId="5F690C70">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营业收入(Y)</w:t>
            </w:r>
          </w:p>
        </w:tc>
        <w:tc>
          <w:tcPr>
            <w:tcW w:w="709" w:type="dxa"/>
            <w:vAlign w:val="center"/>
          </w:tcPr>
          <w:p w14:paraId="61D34184">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万元</w:t>
            </w:r>
          </w:p>
        </w:tc>
        <w:tc>
          <w:tcPr>
            <w:tcW w:w="1125" w:type="dxa"/>
            <w:vAlign w:val="center"/>
          </w:tcPr>
          <w:p w14:paraId="2984F179">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Y≥5000</w:t>
            </w:r>
          </w:p>
        </w:tc>
        <w:tc>
          <w:tcPr>
            <w:tcW w:w="1701" w:type="dxa"/>
            <w:vAlign w:val="center"/>
          </w:tcPr>
          <w:p w14:paraId="3FA87036">
            <w:pPr>
              <w:keepNext w:val="0"/>
              <w:keepLines w:val="0"/>
              <w:pageBreakBefore w:val="0"/>
              <w:widowControl/>
              <w:kinsoku/>
              <w:wordWrap/>
              <w:overflowPunct/>
              <w:topLinePunct w:val="0"/>
              <w:autoSpaceDE/>
              <w:autoSpaceDN/>
              <w:bidi w:val="0"/>
              <w:adjustRightInd/>
              <w:snapToGrid/>
              <w:spacing w:line="288" w:lineRule="auto"/>
              <w:ind w:left="43" w:leftChars="-51" w:hanging="145" w:hangingChars="6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1000≤Y＜5000 </w:t>
            </w:r>
          </w:p>
        </w:tc>
        <w:tc>
          <w:tcPr>
            <w:tcW w:w="1426" w:type="dxa"/>
            <w:vAlign w:val="center"/>
          </w:tcPr>
          <w:p w14:paraId="2C0C4857">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 500≤Y＜1000</w:t>
            </w:r>
          </w:p>
        </w:tc>
        <w:tc>
          <w:tcPr>
            <w:tcW w:w="992" w:type="dxa"/>
            <w:vAlign w:val="center"/>
          </w:tcPr>
          <w:p w14:paraId="3841A42F">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Y＜500</w:t>
            </w:r>
          </w:p>
        </w:tc>
      </w:tr>
      <w:tr w14:paraId="68FF0A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restart"/>
            <w:vAlign w:val="center"/>
          </w:tcPr>
          <w:p w14:paraId="2CC7C7D0">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租赁和商务服务业</w:t>
            </w:r>
          </w:p>
        </w:tc>
        <w:tc>
          <w:tcPr>
            <w:tcW w:w="1369" w:type="dxa"/>
            <w:vAlign w:val="center"/>
          </w:tcPr>
          <w:p w14:paraId="3022B149">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从业人员(X)</w:t>
            </w:r>
          </w:p>
        </w:tc>
        <w:tc>
          <w:tcPr>
            <w:tcW w:w="709" w:type="dxa"/>
            <w:vAlign w:val="center"/>
          </w:tcPr>
          <w:p w14:paraId="0614E8D6">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人</w:t>
            </w:r>
          </w:p>
        </w:tc>
        <w:tc>
          <w:tcPr>
            <w:tcW w:w="1125" w:type="dxa"/>
            <w:vAlign w:val="center"/>
          </w:tcPr>
          <w:p w14:paraId="7CE67FB1">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X≥300</w:t>
            </w:r>
          </w:p>
        </w:tc>
        <w:tc>
          <w:tcPr>
            <w:tcW w:w="1701" w:type="dxa"/>
            <w:vAlign w:val="center"/>
          </w:tcPr>
          <w:p w14:paraId="64139E35">
            <w:pPr>
              <w:keepNext w:val="0"/>
              <w:keepLines w:val="0"/>
              <w:pageBreakBefore w:val="0"/>
              <w:widowControl/>
              <w:kinsoku/>
              <w:wordWrap/>
              <w:overflowPunct/>
              <w:topLinePunct w:val="0"/>
              <w:autoSpaceDE/>
              <w:autoSpaceDN/>
              <w:bidi w:val="0"/>
              <w:adjustRightInd/>
              <w:snapToGrid/>
              <w:spacing w:line="288" w:lineRule="auto"/>
              <w:ind w:left="43" w:leftChars="-51" w:hanging="145" w:hangingChars="6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100≤X＜300 </w:t>
            </w:r>
          </w:p>
        </w:tc>
        <w:tc>
          <w:tcPr>
            <w:tcW w:w="1426" w:type="dxa"/>
            <w:vAlign w:val="center"/>
          </w:tcPr>
          <w:p w14:paraId="772BA434">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 10≤X＜100</w:t>
            </w:r>
          </w:p>
        </w:tc>
        <w:tc>
          <w:tcPr>
            <w:tcW w:w="992" w:type="dxa"/>
            <w:vAlign w:val="center"/>
          </w:tcPr>
          <w:p w14:paraId="120E11EE">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X＜10</w:t>
            </w:r>
          </w:p>
        </w:tc>
      </w:tr>
      <w:tr w14:paraId="619F79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continue"/>
            <w:vAlign w:val="center"/>
          </w:tcPr>
          <w:p w14:paraId="46ED948D">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p>
        </w:tc>
        <w:tc>
          <w:tcPr>
            <w:tcW w:w="1369" w:type="dxa"/>
            <w:vAlign w:val="center"/>
          </w:tcPr>
          <w:p w14:paraId="57D8386A">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资产总额(Z)</w:t>
            </w:r>
          </w:p>
        </w:tc>
        <w:tc>
          <w:tcPr>
            <w:tcW w:w="709" w:type="dxa"/>
            <w:vAlign w:val="center"/>
          </w:tcPr>
          <w:p w14:paraId="4ECD9F36">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万元</w:t>
            </w:r>
          </w:p>
        </w:tc>
        <w:tc>
          <w:tcPr>
            <w:tcW w:w="1125" w:type="dxa"/>
            <w:vAlign w:val="center"/>
          </w:tcPr>
          <w:p w14:paraId="2DA5937E">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Z≥120000</w:t>
            </w:r>
          </w:p>
        </w:tc>
        <w:tc>
          <w:tcPr>
            <w:tcW w:w="1701" w:type="dxa"/>
            <w:vAlign w:val="center"/>
          </w:tcPr>
          <w:p w14:paraId="49C10F69">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 8000≤Z＜120000</w:t>
            </w:r>
          </w:p>
        </w:tc>
        <w:tc>
          <w:tcPr>
            <w:tcW w:w="1426" w:type="dxa"/>
            <w:vAlign w:val="center"/>
          </w:tcPr>
          <w:p w14:paraId="71C7274B">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 100≤Z＜8000</w:t>
            </w:r>
          </w:p>
        </w:tc>
        <w:tc>
          <w:tcPr>
            <w:tcW w:w="992" w:type="dxa"/>
            <w:vAlign w:val="center"/>
          </w:tcPr>
          <w:p w14:paraId="6DEC7B88">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Z＜100</w:t>
            </w:r>
          </w:p>
        </w:tc>
      </w:tr>
      <w:tr w14:paraId="2E109D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113" w:type="dxa"/>
            <w:vAlign w:val="center"/>
          </w:tcPr>
          <w:p w14:paraId="7420FC53">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其他未列明行业*</w:t>
            </w:r>
          </w:p>
        </w:tc>
        <w:tc>
          <w:tcPr>
            <w:tcW w:w="1369" w:type="dxa"/>
            <w:vAlign w:val="center"/>
          </w:tcPr>
          <w:p w14:paraId="735DB979">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从业人员(X)</w:t>
            </w:r>
          </w:p>
        </w:tc>
        <w:tc>
          <w:tcPr>
            <w:tcW w:w="709" w:type="dxa"/>
            <w:vAlign w:val="center"/>
          </w:tcPr>
          <w:p w14:paraId="75776395">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人</w:t>
            </w:r>
          </w:p>
        </w:tc>
        <w:tc>
          <w:tcPr>
            <w:tcW w:w="1125" w:type="dxa"/>
            <w:vAlign w:val="center"/>
          </w:tcPr>
          <w:p w14:paraId="13A2E210">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X≥300</w:t>
            </w:r>
          </w:p>
        </w:tc>
        <w:tc>
          <w:tcPr>
            <w:tcW w:w="1701" w:type="dxa"/>
            <w:vAlign w:val="center"/>
          </w:tcPr>
          <w:p w14:paraId="499B25E5">
            <w:pPr>
              <w:keepNext w:val="0"/>
              <w:keepLines w:val="0"/>
              <w:pageBreakBefore w:val="0"/>
              <w:widowControl/>
              <w:kinsoku/>
              <w:wordWrap/>
              <w:overflowPunct/>
              <w:topLinePunct w:val="0"/>
              <w:autoSpaceDE/>
              <w:autoSpaceDN/>
              <w:bidi w:val="0"/>
              <w:adjustRightInd/>
              <w:snapToGrid/>
              <w:spacing w:line="288" w:lineRule="auto"/>
              <w:ind w:left="43" w:leftChars="-51" w:hanging="145" w:hangingChars="6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100≤X＜300 </w:t>
            </w:r>
          </w:p>
        </w:tc>
        <w:tc>
          <w:tcPr>
            <w:tcW w:w="1426" w:type="dxa"/>
            <w:vAlign w:val="center"/>
          </w:tcPr>
          <w:p w14:paraId="74DE9F92">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 10≤X＜100</w:t>
            </w:r>
          </w:p>
        </w:tc>
        <w:tc>
          <w:tcPr>
            <w:tcW w:w="992" w:type="dxa"/>
            <w:vAlign w:val="center"/>
          </w:tcPr>
          <w:p w14:paraId="7D1B4972">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X＜10</w:t>
            </w:r>
          </w:p>
        </w:tc>
      </w:tr>
    </w:tbl>
    <w:p w14:paraId="4F5C3394">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color w:val="auto"/>
          <w:spacing w:val="8"/>
          <w:sz w:val="24"/>
          <w:szCs w:val="24"/>
          <w:highlight w:val="none"/>
        </w:rPr>
      </w:pPr>
      <w:r>
        <w:rPr>
          <w:rFonts w:hint="eastAsia" w:ascii="宋体" w:hAnsi="宋体" w:eastAsia="宋体" w:cs="宋体"/>
          <w:color w:val="auto"/>
          <w:spacing w:val="8"/>
          <w:sz w:val="24"/>
          <w:szCs w:val="24"/>
          <w:highlight w:val="none"/>
        </w:rPr>
        <w:t>说明：</w:t>
      </w:r>
    </w:p>
    <w:p w14:paraId="5A2027C6">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color w:val="auto"/>
          <w:spacing w:val="8"/>
          <w:sz w:val="24"/>
          <w:szCs w:val="24"/>
          <w:highlight w:val="none"/>
        </w:rPr>
      </w:pPr>
      <w:r>
        <w:rPr>
          <w:rFonts w:hint="eastAsia" w:ascii="宋体" w:hAnsi="宋体" w:eastAsia="宋体" w:cs="宋体"/>
          <w:color w:val="auto"/>
          <w:spacing w:val="8"/>
          <w:sz w:val="24"/>
          <w:szCs w:val="24"/>
          <w:highlight w:val="none"/>
        </w:rPr>
        <w:t>　　1.大型、中型和小型企业须同时满足所列指标的下限，否则下划一档；微型企业只须满足所列指标中的一项即可。</w:t>
      </w:r>
    </w:p>
    <w:p w14:paraId="4E3517F5">
      <w:pPr>
        <w:keepNext w:val="0"/>
        <w:keepLines w:val="0"/>
        <w:pageBreakBefore w:val="0"/>
        <w:widowControl/>
        <w:kinsoku/>
        <w:wordWrap/>
        <w:overflowPunct/>
        <w:topLinePunct w:val="0"/>
        <w:autoSpaceDE/>
        <w:autoSpaceDN/>
        <w:bidi w:val="0"/>
        <w:adjustRightInd/>
        <w:snapToGrid/>
        <w:spacing w:line="288" w:lineRule="auto"/>
        <w:ind w:firstLine="452"/>
        <w:textAlignment w:val="auto"/>
        <w:rPr>
          <w:rFonts w:hint="eastAsia" w:ascii="宋体" w:hAnsi="宋体" w:eastAsia="宋体" w:cs="宋体"/>
          <w:color w:val="auto"/>
          <w:spacing w:val="8"/>
          <w:sz w:val="24"/>
          <w:szCs w:val="24"/>
          <w:highlight w:val="none"/>
        </w:rPr>
      </w:pPr>
      <w:r>
        <w:rPr>
          <w:rFonts w:hint="eastAsia" w:ascii="宋体" w:hAnsi="宋体" w:eastAsia="宋体" w:cs="宋体"/>
          <w:color w:val="auto"/>
          <w:spacing w:val="8"/>
          <w:sz w:val="24"/>
          <w:szCs w:val="24"/>
          <w:highlight w:val="none"/>
        </w:rPr>
        <w:t>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14:paraId="24379C2D">
      <w:pPr>
        <w:keepNext w:val="0"/>
        <w:keepLines w:val="0"/>
        <w:pageBreakBefore w:val="0"/>
        <w:widowControl/>
        <w:kinsoku/>
        <w:wordWrap/>
        <w:overflowPunct/>
        <w:topLinePunct w:val="0"/>
        <w:autoSpaceDE/>
        <w:autoSpaceDN/>
        <w:bidi w:val="0"/>
        <w:adjustRightInd/>
        <w:snapToGrid/>
        <w:spacing w:line="288" w:lineRule="auto"/>
        <w:ind w:firstLine="452"/>
        <w:textAlignment w:val="auto"/>
        <w:rPr>
          <w:rFonts w:hint="eastAsia" w:ascii="宋体" w:hAnsi="宋体" w:eastAsia="宋体" w:cs="宋体"/>
          <w:color w:val="auto"/>
          <w:spacing w:val="8"/>
          <w:sz w:val="24"/>
          <w:szCs w:val="24"/>
          <w:highlight w:val="none"/>
        </w:rPr>
      </w:pPr>
      <w:r>
        <w:rPr>
          <w:rFonts w:hint="eastAsia" w:ascii="宋体" w:hAnsi="宋体" w:eastAsia="宋体" w:cs="宋体"/>
          <w:color w:val="auto"/>
          <w:spacing w:val="8"/>
          <w:sz w:val="24"/>
          <w:szCs w:val="24"/>
          <w:highlight w:val="none"/>
        </w:rPr>
        <w:t>3.企业划分指标以现行统计制度为准。（1）从业人员，是指期末从业人员数，没有期末从业人员数的，采用全年平均人员数代替。（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3）资产总额，采用资产总计代替。</w:t>
      </w:r>
    </w:p>
    <w:p w14:paraId="1886A95C">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b/>
          <w:color w:val="auto"/>
          <w:spacing w:val="20"/>
          <w:sz w:val="24"/>
          <w:szCs w:val="24"/>
          <w:highlight w:val="none"/>
        </w:rPr>
      </w:pPr>
    </w:p>
    <w:p w14:paraId="76F616BC">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宋体" w:hAnsi="宋体" w:eastAsia="宋体" w:cs="宋体"/>
          <w:color w:val="auto"/>
          <w:sz w:val="24"/>
          <w:szCs w:val="24"/>
          <w:highlight w:val="none"/>
        </w:rPr>
      </w:pPr>
    </w:p>
    <w:sectPr>
      <w:footerReference r:id="rId11" w:type="first"/>
      <w:headerReference r:id="rId9" w:type="default"/>
      <w:footerReference r:id="rId10" w:type="default"/>
      <w:pgSz w:w="11906" w:h="16838"/>
      <w:pgMar w:top="1418" w:right="1247" w:bottom="1418" w:left="1418" w:header="851" w:footer="992" w:gutter="0"/>
      <w:pgNumType w:start="1"/>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entury">
    <w:altName w:val="Times New Roman"/>
    <w:panose1 w:val="02040604050505020304"/>
    <w:charset w:val="00"/>
    <w:family w:val="roman"/>
    <w:pitch w:val="default"/>
    <w:sig w:usb0="00000000" w:usb1="00000000" w:usb2="00000000" w:usb3="00000000" w:csb0="2000009F" w:csb1="DFD70000"/>
  </w:font>
  <w:font w:name="仿宋_GB2312">
    <w:panose1 w:val="02010609030101010101"/>
    <w:charset w:val="86"/>
    <w:family w:val="modern"/>
    <w:pitch w:val="default"/>
    <w:sig w:usb0="00000001" w:usb1="080E0000" w:usb2="00000000" w:usb3="00000000" w:csb0="00040000" w:csb1="00000000"/>
  </w:font>
  <w:font w:name="monospace">
    <w:altName w:val="Segoe Print"/>
    <w:panose1 w:val="00000000000000000000"/>
    <w:charset w:val="00"/>
    <w:family w:val="auto"/>
    <w:pitch w:val="default"/>
    <w:sig w:usb0="00000000" w:usb1="00000000" w:usb2="00000000" w:usb3="00000000" w:csb0="00000000"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80F3C52" w:usb2="00000016" w:usb3="00000000" w:csb0="0004001F" w:csb1="00000000"/>
  </w:font>
  <w:font w:name="方正小标宋简体">
    <w:panose1 w:val="03000509000000000000"/>
    <w:charset w:val="86"/>
    <w:family w:val="auto"/>
    <w:pitch w:val="default"/>
    <w:sig w:usb0="00000001" w:usb1="080E0000" w:usb2="00000000" w:usb3="00000000" w:csb0="00040000" w:csb1="00000000"/>
  </w:font>
  <w:font w:name="Wingdings 2">
    <w:altName w:val="Wingdings"/>
    <w:panose1 w:val="05020102010507070707"/>
    <w:charset w:val="02"/>
    <w:family w:val="auto"/>
    <w:pitch w:val="default"/>
    <w:sig w:usb0="00000000" w:usb1="00000000" w:usb2="00000000" w:usb3="00000000" w:csb0="80000000" w:csb1="00000000"/>
  </w:font>
  <w:font w:name="等线">
    <w:altName w:val="微软雅黑"/>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Kingsoft Symbol">
    <w:altName w:val="Symbol"/>
    <w:panose1 w:val="00000000000000000000"/>
    <w:charset w:val="00"/>
    <w:family w:val="auto"/>
    <w:pitch w:val="default"/>
    <w:sig w:usb0="00000000" w:usb1="00000000" w:usb2="00000000" w:usb3="00000000" w:csb0="00000000" w:csb1="00000000"/>
  </w:font>
  <w:font w:name="Symbol">
    <w:panose1 w:val="05050102010706020507"/>
    <w:charset w:val="00"/>
    <w:family w:val="auto"/>
    <w:pitch w:val="default"/>
    <w:sig w:usb0="00000000" w:usb1="00000000" w:usb2="00000000" w:usb3="00000000" w:csb0="8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83544E">
    <w:pPr>
      <w:pStyle w:val="27"/>
      <w:framePr w:wrap="around" w:vAnchor="text" w:hAnchor="margin" w:xAlign="center" w:y="1"/>
      <w:rPr>
        <w:rStyle w:val="48"/>
      </w:rPr>
    </w:pPr>
    <w:r>
      <w:fldChar w:fldCharType="begin"/>
    </w:r>
    <w:r>
      <w:rPr>
        <w:rStyle w:val="48"/>
      </w:rPr>
      <w:instrText xml:space="preserve">PAGE  </w:instrText>
    </w:r>
    <w:r>
      <w:fldChar w:fldCharType="separate"/>
    </w:r>
    <w:r>
      <w:rPr>
        <w:rStyle w:val="48"/>
      </w:rPr>
      <w:t>2</w:t>
    </w:r>
    <w:r>
      <w:fldChar w:fldCharType="end"/>
    </w:r>
  </w:p>
  <w:p w14:paraId="710CA78E">
    <w:pPr>
      <w:pStyle w:val="2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CEA135">
    <w:pPr>
      <w:pStyle w:val="27"/>
      <w:framePr w:wrap="around" w:vAnchor="text" w:hAnchor="margin" w:xAlign="center" w:y="1"/>
      <w:rPr>
        <w:rStyle w:val="48"/>
      </w:rPr>
    </w:pPr>
    <w:r>
      <w:fldChar w:fldCharType="begin"/>
    </w:r>
    <w:r>
      <w:rPr>
        <w:rStyle w:val="48"/>
      </w:rPr>
      <w:instrText xml:space="preserve">PAGE  </w:instrText>
    </w:r>
    <w:r>
      <w:fldChar w:fldCharType="end"/>
    </w:r>
  </w:p>
  <w:p w14:paraId="6DB6B878">
    <w:pPr>
      <w:pStyle w:val="2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9E1C62">
    <w:pPr>
      <w:pStyle w:val="27"/>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819EAF">
    <w:pPr>
      <w:pStyle w:val="27"/>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C54D3A">
    <w:pPr>
      <w:pStyle w:val="27"/>
      <w:framePr w:wrap="around" w:vAnchor="text" w:hAnchor="margin" w:xAlign="center" w:y="1"/>
      <w:rPr>
        <w:rStyle w:val="48"/>
      </w:rPr>
    </w:pPr>
    <w:r>
      <w:fldChar w:fldCharType="begin"/>
    </w:r>
    <w:r>
      <w:rPr>
        <w:rStyle w:val="48"/>
      </w:rPr>
      <w:instrText xml:space="preserve">PAGE  </w:instrText>
    </w:r>
    <w:r>
      <w:fldChar w:fldCharType="separate"/>
    </w:r>
    <w:r>
      <w:rPr>
        <w:rStyle w:val="48"/>
      </w:rPr>
      <w:t>2</w:t>
    </w:r>
    <w:r>
      <w:fldChar w:fldCharType="end"/>
    </w:r>
  </w:p>
  <w:p w14:paraId="264DF4BC">
    <w:pPr>
      <w:pStyle w:val="27"/>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BA2AC8">
    <w:pPr>
      <w:pStyle w:val="27"/>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2E7AE3">
    <w:pPr>
      <w:pStyle w:val="28"/>
      <w:pBdr>
        <w:bottom w:val="single" w:color="auto" w:sz="6" w:space="3"/>
      </w:pBdr>
      <w:jc w:val="both"/>
    </w:pPr>
    <w:r>
      <w:rPr>
        <w:rFonts w:hint="eastAsia"/>
      </w:rPr>
      <w:t xml:space="preserve">吉林华鑫德润项目管理咨询有限公司     　　                                                招标文件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B0F8E7">
    <w:pPr>
      <w:pStyle w:val="28"/>
      <w:pBdr>
        <w:bottom w:val="none" w:color="auto" w:sz="0" w:space="0"/>
      </w:pBdr>
      <w:jc w:val="left"/>
      <w:rPr>
        <w:u w:val="single"/>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6C2FFC">
    <w:pPr>
      <w:spacing w:line="311" w:lineRule="auto"/>
      <w:rPr>
        <w:rFonts w:ascii="Arial"/>
        <w:sz w:val="21"/>
      </w:rPr>
    </w:pPr>
    <w:r>
      <mc:AlternateContent>
        <mc:Choice Requires="wps">
          <w:drawing>
            <wp:anchor distT="0" distB="0" distL="114300" distR="114300" simplePos="0" relativeHeight="251659264" behindDoc="0" locked="0" layoutInCell="0" allowOverlap="1">
              <wp:simplePos x="0" y="0"/>
              <wp:positionH relativeFrom="page">
                <wp:posOffset>900430</wp:posOffset>
              </wp:positionH>
              <wp:positionV relativeFrom="page">
                <wp:posOffset>935355</wp:posOffset>
              </wp:positionV>
              <wp:extent cx="5868670" cy="9525"/>
              <wp:effectExtent l="0" t="0" r="0" b="0"/>
              <wp:wrapNone/>
              <wp:docPr id="1" name="任意多边形 1"/>
              <wp:cNvGraphicFramePr/>
              <a:graphic xmlns:a="http://schemas.openxmlformats.org/drawingml/2006/main">
                <a:graphicData uri="http://schemas.microsoft.com/office/word/2010/wordprocessingShape">
                  <wps:wsp>
                    <wps:cNvSpPr/>
                    <wps:spPr>
                      <a:xfrm>
                        <a:off x="0" y="0"/>
                        <a:ext cx="5868670" cy="9525"/>
                      </a:xfrm>
                      <a:custGeom>
                        <a:avLst/>
                        <a:gdLst/>
                        <a:ahLst/>
                        <a:cxnLst/>
                        <a:pathLst>
                          <a:path w="9242" h="15">
                            <a:moveTo>
                              <a:pt x="0" y="0"/>
                            </a:moveTo>
                            <a:lnTo>
                              <a:pt x="9241" y="0"/>
                            </a:lnTo>
                            <a:lnTo>
                              <a:pt x="9241" y="14"/>
                            </a:lnTo>
                            <a:lnTo>
                              <a:pt x="0" y="14"/>
                            </a:lnTo>
                            <a:lnTo>
                              <a:pt x="0" y="0"/>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70.9pt;margin-top:73.65pt;height:0.75pt;width:462.1pt;mso-position-horizontal-relative:page;mso-position-vertical-relative:page;z-index:251659264;mso-width-relative:page;mso-height-relative:page;" fillcolor="#000000" filled="t" stroked="f" coordsize="9242,15" o:allowincell="f" o:gfxdata="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" path="m0,0l9241,0,9241,14,0,14,0,0xe">
              <v:fill on="t" focussize="0,0"/>
              <v:stroke on="f"/>
              <v:imagedata o:title=""/>
              <o:lock v:ext="edit" aspectratio="f"/>
            </v:shape>
          </w:pict>
        </mc:Fallback>
      </mc:AlternateContent>
    </w:r>
  </w:p>
  <w:p w14:paraId="322A424E">
    <w:pPr>
      <w:pStyle w:val="16"/>
      <w:spacing w:before="58" w:line="219" w:lineRule="auto"/>
      <w:ind w:left="682"/>
      <w:rPr>
        <w:sz w:val="18"/>
        <w:szCs w:val="18"/>
      </w:rPr>
    </w:pPr>
    <w:r>
      <mc:AlternateContent>
        <mc:Choice Requires="wps">
          <w:drawing>
            <wp:anchor distT="0" distB="0" distL="114300" distR="114300" simplePos="0" relativeHeight="251660288" behindDoc="0" locked="0" layoutInCell="1" allowOverlap="1">
              <wp:simplePos x="0" y="0"/>
              <wp:positionH relativeFrom="column">
                <wp:posOffset>5325110</wp:posOffset>
              </wp:positionH>
              <wp:positionV relativeFrom="paragraph">
                <wp:posOffset>24130</wp:posOffset>
              </wp:positionV>
              <wp:extent cx="478155" cy="161290"/>
              <wp:effectExtent l="0" t="0" r="0" b="0"/>
              <wp:wrapNone/>
              <wp:docPr id="2" name="文本框 2"/>
              <wp:cNvGraphicFramePr/>
              <a:graphic xmlns:a="http://schemas.openxmlformats.org/drawingml/2006/main">
                <a:graphicData uri="http://schemas.microsoft.com/office/word/2010/wordprocessingShape">
                  <wps:wsp>
                    <wps:cNvSpPr txBox="1"/>
                    <wps:spPr>
                      <a:xfrm>
                        <a:off x="0" y="0"/>
                        <a:ext cx="478155" cy="161290"/>
                      </a:xfrm>
                      <a:prstGeom prst="rect">
                        <a:avLst/>
                      </a:prstGeom>
                      <a:noFill/>
                      <a:ln>
                        <a:noFill/>
                      </a:ln>
                    </wps:spPr>
                    <wps:txbx>
                      <w:txbxContent>
                        <w:p w14:paraId="16221828">
                          <w:pPr>
                            <w:pStyle w:val="16"/>
                            <w:spacing w:before="20" w:line="219" w:lineRule="auto"/>
                            <w:ind w:left="20"/>
                            <w:rPr>
                              <w:sz w:val="18"/>
                              <w:szCs w:val="18"/>
                            </w:rPr>
                          </w:pPr>
                          <w:r>
                            <w:rPr>
                              <w:spacing w:val="-2"/>
                              <w:sz w:val="18"/>
                              <w:szCs w:val="18"/>
                            </w:rPr>
                            <w:t>招标文件</w:t>
                          </w:r>
                        </w:p>
                      </w:txbxContent>
                    </wps:txbx>
                    <wps:bodyPr lIns="0" tIns="0" rIns="0" bIns="0" upright="1"/>
                  </wps:wsp>
                </a:graphicData>
              </a:graphic>
            </wp:anchor>
          </w:drawing>
        </mc:Choice>
        <mc:Fallback>
          <w:pict>
            <v:shape id="_x0000_s1026" o:spid="_x0000_s1026" o:spt="202" type="#_x0000_t202" style="position:absolute;left:0pt;margin-left:419.3pt;margin-top:1.9pt;height:12.7pt;width:37.65pt;z-index:251660288;mso-width-relative:page;mso-height-relative:page;" filled="f" stroked="f" coordsize="21600,21600" o:gfxdata="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HEx8m3XAAAACAEAAA8AAAAAAAAAAQAgAAAAIgAAAGRycy9kb3ducmV2LnhtbFBLAQIU&#10;ABQAAAAIAIdO4kAeiRCVuwEAAHEDAAAOAAAAAAAAAAEAIAAAACYBAABkcnMvZTJvRG9jLnhtbFBL&#10;BQYAAAAABgAGAFkBAABTBQAAAAA=&#10;">
              <v:fill on="f" focussize="0,0"/>
              <v:stroke on="f"/>
              <v:imagedata o:title=""/>
              <o:lock v:ext="edit" aspectratio="f"/>
              <v:textbox inset="0mm,0mm,0mm,0mm">
                <w:txbxContent>
                  <w:p w14:paraId="16221828">
                    <w:pPr>
                      <w:pStyle w:val="16"/>
                      <w:spacing w:before="20" w:line="219" w:lineRule="auto"/>
                      <w:ind w:left="20"/>
                      <w:rPr>
                        <w:sz w:val="18"/>
                        <w:szCs w:val="18"/>
                      </w:rPr>
                    </w:pPr>
                    <w:r>
                      <w:rPr>
                        <w:spacing w:val="-2"/>
                        <w:sz w:val="18"/>
                        <w:szCs w:val="18"/>
                      </w:rPr>
                      <w:t>招标文件</w:t>
                    </w:r>
                  </w:p>
                </w:txbxContent>
              </v:textbox>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2FD9ADA"/>
    <w:multiLevelType w:val="singleLevel"/>
    <w:tmpl w:val="A2FD9ADA"/>
    <w:lvl w:ilvl="0" w:tentative="0">
      <w:start w:val="1"/>
      <w:numFmt w:val="decimal"/>
      <w:lvlText w:val="%1."/>
      <w:lvlJc w:val="left"/>
      <w:pPr>
        <w:tabs>
          <w:tab w:val="left" w:pos="312"/>
        </w:tabs>
      </w:pPr>
    </w:lvl>
  </w:abstractNum>
  <w:abstractNum w:abstractNumId="1">
    <w:nsid w:val="DDC4BF2D"/>
    <w:multiLevelType w:val="singleLevel"/>
    <w:tmpl w:val="DDC4BF2D"/>
    <w:lvl w:ilvl="0" w:tentative="0">
      <w:start w:val="1"/>
      <w:numFmt w:val="chineseCounting"/>
      <w:suff w:val="nothing"/>
      <w:lvlText w:val="（%1）"/>
      <w:lvlJc w:val="left"/>
      <w:rPr>
        <w:rFonts w:hint="eastAsia"/>
      </w:rPr>
    </w:lvl>
  </w:abstractNum>
  <w:abstractNum w:abstractNumId="2">
    <w:nsid w:val="130F4B7E"/>
    <w:multiLevelType w:val="multilevel"/>
    <w:tmpl w:val="130F4B7E"/>
    <w:lvl w:ilvl="0" w:tentative="0">
      <w:start w:val="1"/>
      <w:numFmt w:val="chineseCountingThousand"/>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2FF46C8B"/>
    <w:multiLevelType w:val="singleLevel"/>
    <w:tmpl w:val="2FF46C8B"/>
    <w:lvl w:ilvl="0" w:tentative="0">
      <w:start w:val="4"/>
      <w:numFmt w:val="chineseCounting"/>
      <w:suff w:val="space"/>
      <w:lvlText w:val="第%1部分"/>
      <w:lvlJc w:val="left"/>
      <w:rPr>
        <w:rFonts w:hint="eastAsia"/>
      </w:rPr>
    </w:lvl>
  </w:abstractNum>
  <w:abstractNum w:abstractNumId="4">
    <w:nsid w:val="437F1085"/>
    <w:multiLevelType w:val="multilevel"/>
    <w:tmpl w:val="437F1085"/>
    <w:lvl w:ilvl="0" w:tentative="0">
      <w:start w:val="1"/>
      <w:numFmt w:val="chineseCountingThousand"/>
      <w:suff w:val="nothing"/>
      <w:lvlText w:val="%1、"/>
      <w:lvlJc w:val="left"/>
      <w:pPr>
        <w:ind w:left="420" w:hanging="420"/>
      </w:pPr>
      <w:rPr>
        <w:rFonts w:hint="eastAsia"/>
        <w:color w:val="auto"/>
      </w:rPr>
    </w:lvl>
    <w:lvl w:ilvl="1" w:tentative="0">
      <w:start w:val="1"/>
      <w:numFmt w:val="lowerLetter"/>
      <w:lvlText w:val="%2)"/>
      <w:lvlJc w:val="left"/>
      <w:pPr>
        <w:ind w:left="1264" w:hanging="420"/>
      </w:pPr>
    </w:lvl>
    <w:lvl w:ilvl="2" w:tentative="0">
      <w:start w:val="1"/>
      <w:numFmt w:val="lowerRoman"/>
      <w:lvlText w:val="%3."/>
      <w:lvlJc w:val="right"/>
      <w:pPr>
        <w:ind w:left="1684" w:hanging="420"/>
      </w:pPr>
    </w:lvl>
    <w:lvl w:ilvl="3" w:tentative="0">
      <w:start w:val="1"/>
      <w:numFmt w:val="decimal"/>
      <w:lvlText w:val="%4."/>
      <w:lvlJc w:val="left"/>
      <w:pPr>
        <w:ind w:left="2104" w:hanging="420"/>
      </w:pPr>
    </w:lvl>
    <w:lvl w:ilvl="4" w:tentative="0">
      <w:start w:val="1"/>
      <w:numFmt w:val="lowerLetter"/>
      <w:lvlText w:val="%5)"/>
      <w:lvlJc w:val="left"/>
      <w:pPr>
        <w:ind w:left="2524" w:hanging="420"/>
      </w:pPr>
    </w:lvl>
    <w:lvl w:ilvl="5" w:tentative="0">
      <w:start w:val="1"/>
      <w:numFmt w:val="lowerRoman"/>
      <w:lvlText w:val="%6."/>
      <w:lvlJc w:val="right"/>
      <w:pPr>
        <w:ind w:left="2944" w:hanging="420"/>
      </w:pPr>
    </w:lvl>
    <w:lvl w:ilvl="6" w:tentative="0">
      <w:start w:val="1"/>
      <w:numFmt w:val="decimal"/>
      <w:lvlText w:val="%7."/>
      <w:lvlJc w:val="left"/>
      <w:pPr>
        <w:ind w:left="3364" w:hanging="420"/>
      </w:pPr>
    </w:lvl>
    <w:lvl w:ilvl="7" w:tentative="0">
      <w:start w:val="1"/>
      <w:numFmt w:val="lowerLetter"/>
      <w:lvlText w:val="%8)"/>
      <w:lvlJc w:val="left"/>
      <w:pPr>
        <w:ind w:left="3784" w:hanging="420"/>
      </w:pPr>
    </w:lvl>
    <w:lvl w:ilvl="8" w:tentative="0">
      <w:start w:val="1"/>
      <w:numFmt w:val="lowerRoman"/>
      <w:lvlText w:val="%9."/>
      <w:lvlJc w:val="right"/>
      <w:pPr>
        <w:ind w:left="4204" w:hanging="420"/>
      </w:pPr>
    </w:lvl>
  </w:abstractNum>
  <w:abstractNum w:abstractNumId="5">
    <w:nsid w:val="49FB7819"/>
    <w:multiLevelType w:val="multilevel"/>
    <w:tmpl w:val="49FB7819"/>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502F0359"/>
    <w:multiLevelType w:val="singleLevel"/>
    <w:tmpl w:val="502F0359"/>
    <w:lvl w:ilvl="0" w:tentative="0">
      <w:start w:val="1"/>
      <w:numFmt w:val="chineseCounting"/>
      <w:suff w:val="nothing"/>
      <w:lvlText w:val="%1、"/>
      <w:lvlJc w:val="left"/>
      <w:rPr>
        <w:rFonts w:hint="eastAsia"/>
      </w:rPr>
    </w:lvl>
  </w:abstractNum>
  <w:abstractNum w:abstractNumId="7">
    <w:nsid w:val="506912C7"/>
    <w:multiLevelType w:val="multilevel"/>
    <w:tmpl w:val="506912C7"/>
    <w:lvl w:ilvl="0" w:tentative="0">
      <w:start w:val="1"/>
      <w:numFmt w:val="decimal"/>
      <w:lvlText w:val="%1、"/>
      <w:lvlJc w:val="left"/>
      <w:pPr>
        <w:ind w:left="420" w:hanging="420"/>
      </w:pPr>
      <w:rPr>
        <w:rFonts w:hint="eastAsia" w:ascii="黑体" w:hAnsi="黑体" w:eastAsia="黑体"/>
        <w:b w:val="0"/>
        <w:i w:val="0"/>
        <w:sz w:val="21"/>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
    <w:nsid w:val="63BC7DAF"/>
    <w:multiLevelType w:val="multilevel"/>
    <w:tmpl w:val="63BC7DAF"/>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
    <w:nsid w:val="75325F7C"/>
    <w:multiLevelType w:val="multilevel"/>
    <w:tmpl w:val="75325F7C"/>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0">
    <w:nsid w:val="7D823685"/>
    <w:multiLevelType w:val="multilevel"/>
    <w:tmpl w:val="7D823685"/>
    <w:lvl w:ilvl="0" w:tentative="0">
      <w:start w:val="1"/>
      <w:numFmt w:val="chineseCountingThousand"/>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6"/>
  </w:num>
  <w:num w:numId="2">
    <w:abstractNumId w:val="0"/>
  </w:num>
  <w:num w:numId="3">
    <w:abstractNumId w:val="1"/>
  </w:num>
  <w:num w:numId="4">
    <w:abstractNumId w:val="3"/>
  </w:num>
  <w:num w:numId="5">
    <w:abstractNumId w:val="2"/>
  </w:num>
  <w:num w:numId="6">
    <w:abstractNumId w:val="8"/>
  </w:num>
  <w:num w:numId="7">
    <w:abstractNumId w:val="7"/>
  </w:num>
  <w:num w:numId="8">
    <w:abstractNumId w:val="10"/>
  </w:num>
  <w:num w:numId="9">
    <w:abstractNumId w:val="9"/>
  </w:num>
  <w:num w:numId="10">
    <w:abstractNumId w:val="4"/>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MzZTk0NWI3YzdlN2EyMWM2NThiOTA1ZWI0ZWZhNzQifQ=="/>
  </w:docVars>
  <w:rsids>
    <w:rsidRoot w:val="00D37C4B"/>
    <w:rsid w:val="0000063C"/>
    <w:rsid w:val="00000B64"/>
    <w:rsid w:val="00000FB0"/>
    <w:rsid w:val="00001038"/>
    <w:rsid w:val="00001438"/>
    <w:rsid w:val="00001823"/>
    <w:rsid w:val="000023B1"/>
    <w:rsid w:val="00006F1F"/>
    <w:rsid w:val="00007AE1"/>
    <w:rsid w:val="000101BD"/>
    <w:rsid w:val="0001063A"/>
    <w:rsid w:val="00010FB2"/>
    <w:rsid w:val="00011694"/>
    <w:rsid w:val="000133AB"/>
    <w:rsid w:val="000137CF"/>
    <w:rsid w:val="000139E0"/>
    <w:rsid w:val="00013EAE"/>
    <w:rsid w:val="000144DD"/>
    <w:rsid w:val="00014C99"/>
    <w:rsid w:val="00014E67"/>
    <w:rsid w:val="000157BA"/>
    <w:rsid w:val="0001631D"/>
    <w:rsid w:val="00016C0B"/>
    <w:rsid w:val="0002036F"/>
    <w:rsid w:val="00021436"/>
    <w:rsid w:val="00021C37"/>
    <w:rsid w:val="000223F9"/>
    <w:rsid w:val="00022933"/>
    <w:rsid w:val="000231ED"/>
    <w:rsid w:val="00024500"/>
    <w:rsid w:val="00026024"/>
    <w:rsid w:val="0002653C"/>
    <w:rsid w:val="00026779"/>
    <w:rsid w:val="0002782B"/>
    <w:rsid w:val="00027BD7"/>
    <w:rsid w:val="00030044"/>
    <w:rsid w:val="00030540"/>
    <w:rsid w:val="0003186C"/>
    <w:rsid w:val="0003233B"/>
    <w:rsid w:val="00032B92"/>
    <w:rsid w:val="00033FD8"/>
    <w:rsid w:val="0003441E"/>
    <w:rsid w:val="0003452C"/>
    <w:rsid w:val="000345AB"/>
    <w:rsid w:val="00036173"/>
    <w:rsid w:val="000369F2"/>
    <w:rsid w:val="00036D73"/>
    <w:rsid w:val="000402A6"/>
    <w:rsid w:val="0004321F"/>
    <w:rsid w:val="0004386B"/>
    <w:rsid w:val="00044218"/>
    <w:rsid w:val="00044541"/>
    <w:rsid w:val="0004470C"/>
    <w:rsid w:val="00044CBE"/>
    <w:rsid w:val="00044DE4"/>
    <w:rsid w:val="00045D32"/>
    <w:rsid w:val="00046687"/>
    <w:rsid w:val="00046AB3"/>
    <w:rsid w:val="00046E9D"/>
    <w:rsid w:val="000473F5"/>
    <w:rsid w:val="00047B6C"/>
    <w:rsid w:val="00047D0E"/>
    <w:rsid w:val="00050A1E"/>
    <w:rsid w:val="00050C1D"/>
    <w:rsid w:val="00051B94"/>
    <w:rsid w:val="0005210D"/>
    <w:rsid w:val="0005211E"/>
    <w:rsid w:val="000525F2"/>
    <w:rsid w:val="00054B71"/>
    <w:rsid w:val="0005531F"/>
    <w:rsid w:val="000571BC"/>
    <w:rsid w:val="00057A23"/>
    <w:rsid w:val="00057A9D"/>
    <w:rsid w:val="00057EC5"/>
    <w:rsid w:val="0006020D"/>
    <w:rsid w:val="0006042A"/>
    <w:rsid w:val="00060436"/>
    <w:rsid w:val="00061FE1"/>
    <w:rsid w:val="00061FFE"/>
    <w:rsid w:val="000624D3"/>
    <w:rsid w:val="0006334C"/>
    <w:rsid w:val="0006406C"/>
    <w:rsid w:val="000640C8"/>
    <w:rsid w:val="00064C41"/>
    <w:rsid w:val="00064EC3"/>
    <w:rsid w:val="0006528C"/>
    <w:rsid w:val="00065355"/>
    <w:rsid w:val="00065B68"/>
    <w:rsid w:val="00065E58"/>
    <w:rsid w:val="00066D80"/>
    <w:rsid w:val="00067044"/>
    <w:rsid w:val="00070B54"/>
    <w:rsid w:val="00071360"/>
    <w:rsid w:val="00071414"/>
    <w:rsid w:val="00072C89"/>
    <w:rsid w:val="00072DC4"/>
    <w:rsid w:val="00074791"/>
    <w:rsid w:val="00075905"/>
    <w:rsid w:val="00075A27"/>
    <w:rsid w:val="000818BC"/>
    <w:rsid w:val="00081C9B"/>
    <w:rsid w:val="00081DCC"/>
    <w:rsid w:val="000826E7"/>
    <w:rsid w:val="000842A6"/>
    <w:rsid w:val="00085497"/>
    <w:rsid w:val="0008577F"/>
    <w:rsid w:val="00087387"/>
    <w:rsid w:val="00090005"/>
    <w:rsid w:val="0009067A"/>
    <w:rsid w:val="00090A3B"/>
    <w:rsid w:val="00090F68"/>
    <w:rsid w:val="00091EA2"/>
    <w:rsid w:val="00093076"/>
    <w:rsid w:val="000932CA"/>
    <w:rsid w:val="00093FF9"/>
    <w:rsid w:val="00096A08"/>
    <w:rsid w:val="00096E3D"/>
    <w:rsid w:val="00096F7C"/>
    <w:rsid w:val="0009745C"/>
    <w:rsid w:val="0009768E"/>
    <w:rsid w:val="000A1441"/>
    <w:rsid w:val="000A1ABB"/>
    <w:rsid w:val="000A24F2"/>
    <w:rsid w:val="000A2912"/>
    <w:rsid w:val="000A332E"/>
    <w:rsid w:val="000A396A"/>
    <w:rsid w:val="000A3F73"/>
    <w:rsid w:val="000A41A3"/>
    <w:rsid w:val="000A4632"/>
    <w:rsid w:val="000A7438"/>
    <w:rsid w:val="000A7811"/>
    <w:rsid w:val="000A7FF5"/>
    <w:rsid w:val="000B00B2"/>
    <w:rsid w:val="000B05E3"/>
    <w:rsid w:val="000B133E"/>
    <w:rsid w:val="000B198D"/>
    <w:rsid w:val="000B3407"/>
    <w:rsid w:val="000B3530"/>
    <w:rsid w:val="000B3B88"/>
    <w:rsid w:val="000B3CF8"/>
    <w:rsid w:val="000B52AD"/>
    <w:rsid w:val="000B6067"/>
    <w:rsid w:val="000B6FE7"/>
    <w:rsid w:val="000B7C82"/>
    <w:rsid w:val="000B7D24"/>
    <w:rsid w:val="000C023A"/>
    <w:rsid w:val="000C0B27"/>
    <w:rsid w:val="000C0DE6"/>
    <w:rsid w:val="000C248C"/>
    <w:rsid w:val="000C2B24"/>
    <w:rsid w:val="000C31AA"/>
    <w:rsid w:val="000C36D1"/>
    <w:rsid w:val="000C4042"/>
    <w:rsid w:val="000C5810"/>
    <w:rsid w:val="000C5D64"/>
    <w:rsid w:val="000C5F6A"/>
    <w:rsid w:val="000C77CA"/>
    <w:rsid w:val="000D06BA"/>
    <w:rsid w:val="000D0922"/>
    <w:rsid w:val="000D0C4A"/>
    <w:rsid w:val="000D130E"/>
    <w:rsid w:val="000D158E"/>
    <w:rsid w:val="000D245C"/>
    <w:rsid w:val="000D3A8E"/>
    <w:rsid w:val="000D40C2"/>
    <w:rsid w:val="000D477C"/>
    <w:rsid w:val="000D49B6"/>
    <w:rsid w:val="000D7693"/>
    <w:rsid w:val="000D7950"/>
    <w:rsid w:val="000E057A"/>
    <w:rsid w:val="000E2037"/>
    <w:rsid w:val="000E2D94"/>
    <w:rsid w:val="000E36CC"/>
    <w:rsid w:val="000E4183"/>
    <w:rsid w:val="000E4224"/>
    <w:rsid w:val="000E4BA0"/>
    <w:rsid w:val="000E644C"/>
    <w:rsid w:val="000E666C"/>
    <w:rsid w:val="000E67B0"/>
    <w:rsid w:val="000E6FE2"/>
    <w:rsid w:val="000E7079"/>
    <w:rsid w:val="000E71D7"/>
    <w:rsid w:val="000E7342"/>
    <w:rsid w:val="000F04D7"/>
    <w:rsid w:val="000F07A1"/>
    <w:rsid w:val="000F0E75"/>
    <w:rsid w:val="000F1179"/>
    <w:rsid w:val="000F13B6"/>
    <w:rsid w:val="000F1B37"/>
    <w:rsid w:val="000F2394"/>
    <w:rsid w:val="000F26DC"/>
    <w:rsid w:val="000F2B19"/>
    <w:rsid w:val="000F3037"/>
    <w:rsid w:val="000F3213"/>
    <w:rsid w:val="000F4597"/>
    <w:rsid w:val="000F4D54"/>
    <w:rsid w:val="000F5658"/>
    <w:rsid w:val="000F5FD2"/>
    <w:rsid w:val="00102208"/>
    <w:rsid w:val="00102DE7"/>
    <w:rsid w:val="001035DB"/>
    <w:rsid w:val="00103640"/>
    <w:rsid w:val="0010403B"/>
    <w:rsid w:val="00104197"/>
    <w:rsid w:val="001044BD"/>
    <w:rsid w:val="001061F8"/>
    <w:rsid w:val="00110620"/>
    <w:rsid w:val="00110BBA"/>
    <w:rsid w:val="00110FFE"/>
    <w:rsid w:val="001114B9"/>
    <w:rsid w:val="001126B7"/>
    <w:rsid w:val="00112AC0"/>
    <w:rsid w:val="0011338E"/>
    <w:rsid w:val="001136AF"/>
    <w:rsid w:val="0011395F"/>
    <w:rsid w:val="00113982"/>
    <w:rsid w:val="00113BFC"/>
    <w:rsid w:val="00113E06"/>
    <w:rsid w:val="00113ED0"/>
    <w:rsid w:val="0011504E"/>
    <w:rsid w:val="0011530B"/>
    <w:rsid w:val="00115B9A"/>
    <w:rsid w:val="00116851"/>
    <w:rsid w:val="00121222"/>
    <w:rsid w:val="00121DC0"/>
    <w:rsid w:val="0012219F"/>
    <w:rsid w:val="001227E3"/>
    <w:rsid w:val="00123A74"/>
    <w:rsid w:val="001244FF"/>
    <w:rsid w:val="00124BFE"/>
    <w:rsid w:val="00124C45"/>
    <w:rsid w:val="001258F2"/>
    <w:rsid w:val="001260E7"/>
    <w:rsid w:val="001276D5"/>
    <w:rsid w:val="0013146D"/>
    <w:rsid w:val="001319A6"/>
    <w:rsid w:val="00131E40"/>
    <w:rsid w:val="00132A44"/>
    <w:rsid w:val="001373D4"/>
    <w:rsid w:val="00137702"/>
    <w:rsid w:val="001377DD"/>
    <w:rsid w:val="0014011A"/>
    <w:rsid w:val="001403D9"/>
    <w:rsid w:val="00140B10"/>
    <w:rsid w:val="00141467"/>
    <w:rsid w:val="00141E49"/>
    <w:rsid w:val="00142CBC"/>
    <w:rsid w:val="00143DD4"/>
    <w:rsid w:val="00144231"/>
    <w:rsid w:val="00144405"/>
    <w:rsid w:val="0014546C"/>
    <w:rsid w:val="00146021"/>
    <w:rsid w:val="00146C13"/>
    <w:rsid w:val="00146FFB"/>
    <w:rsid w:val="00147026"/>
    <w:rsid w:val="001473EB"/>
    <w:rsid w:val="0015116F"/>
    <w:rsid w:val="001512D5"/>
    <w:rsid w:val="0015159E"/>
    <w:rsid w:val="001521C4"/>
    <w:rsid w:val="001526E7"/>
    <w:rsid w:val="00153070"/>
    <w:rsid w:val="00153AC1"/>
    <w:rsid w:val="0015554C"/>
    <w:rsid w:val="00155E4D"/>
    <w:rsid w:val="001560ED"/>
    <w:rsid w:val="00160CA7"/>
    <w:rsid w:val="00161225"/>
    <w:rsid w:val="00161807"/>
    <w:rsid w:val="00161D34"/>
    <w:rsid w:val="0016317F"/>
    <w:rsid w:val="00163851"/>
    <w:rsid w:val="00163A5F"/>
    <w:rsid w:val="0016449D"/>
    <w:rsid w:val="00164A44"/>
    <w:rsid w:val="001655C8"/>
    <w:rsid w:val="00167610"/>
    <w:rsid w:val="0017126D"/>
    <w:rsid w:val="00171A35"/>
    <w:rsid w:val="00174569"/>
    <w:rsid w:val="00174DBA"/>
    <w:rsid w:val="001750AD"/>
    <w:rsid w:val="0017661F"/>
    <w:rsid w:val="00177878"/>
    <w:rsid w:val="00177CEB"/>
    <w:rsid w:val="001802AA"/>
    <w:rsid w:val="001805B6"/>
    <w:rsid w:val="00180B23"/>
    <w:rsid w:val="00180D84"/>
    <w:rsid w:val="0018144E"/>
    <w:rsid w:val="00182A9E"/>
    <w:rsid w:val="001832E4"/>
    <w:rsid w:val="00184C02"/>
    <w:rsid w:val="001853DA"/>
    <w:rsid w:val="00185A61"/>
    <w:rsid w:val="00185C2A"/>
    <w:rsid w:val="00186638"/>
    <w:rsid w:val="001867F8"/>
    <w:rsid w:val="001869A1"/>
    <w:rsid w:val="00187E2F"/>
    <w:rsid w:val="00190F1F"/>
    <w:rsid w:val="00191573"/>
    <w:rsid w:val="00192B5F"/>
    <w:rsid w:val="00193EAE"/>
    <w:rsid w:val="001941D4"/>
    <w:rsid w:val="00194AD6"/>
    <w:rsid w:val="00194B6E"/>
    <w:rsid w:val="0019791F"/>
    <w:rsid w:val="00197E0E"/>
    <w:rsid w:val="001A0B5C"/>
    <w:rsid w:val="001A1EAF"/>
    <w:rsid w:val="001A2168"/>
    <w:rsid w:val="001A2F0F"/>
    <w:rsid w:val="001A32C8"/>
    <w:rsid w:val="001A363B"/>
    <w:rsid w:val="001A3E73"/>
    <w:rsid w:val="001A58A5"/>
    <w:rsid w:val="001A58E5"/>
    <w:rsid w:val="001A6636"/>
    <w:rsid w:val="001A69E7"/>
    <w:rsid w:val="001A7230"/>
    <w:rsid w:val="001B08DD"/>
    <w:rsid w:val="001B15D1"/>
    <w:rsid w:val="001B1E0D"/>
    <w:rsid w:val="001B225D"/>
    <w:rsid w:val="001B284C"/>
    <w:rsid w:val="001B28F1"/>
    <w:rsid w:val="001B2F54"/>
    <w:rsid w:val="001B3D89"/>
    <w:rsid w:val="001B423E"/>
    <w:rsid w:val="001B513E"/>
    <w:rsid w:val="001C0129"/>
    <w:rsid w:val="001C0229"/>
    <w:rsid w:val="001C082B"/>
    <w:rsid w:val="001C0DC9"/>
    <w:rsid w:val="001C0F0B"/>
    <w:rsid w:val="001C1539"/>
    <w:rsid w:val="001C1546"/>
    <w:rsid w:val="001C1896"/>
    <w:rsid w:val="001C1A95"/>
    <w:rsid w:val="001C2122"/>
    <w:rsid w:val="001C2DBD"/>
    <w:rsid w:val="001C2E77"/>
    <w:rsid w:val="001C5F05"/>
    <w:rsid w:val="001C61AA"/>
    <w:rsid w:val="001C6C16"/>
    <w:rsid w:val="001C6EDB"/>
    <w:rsid w:val="001C7966"/>
    <w:rsid w:val="001C7B3E"/>
    <w:rsid w:val="001D0966"/>
    <w:rsid w:val="001D0E8E"/>
    <w:rsid w:val="001D140B"/>
    <w:rsid w:val="001D54FF"/>
    <w:rsid w:val="001D578E"/>
    <w:rsid w:val="001D5DAF"/>
    <w:rsid w:val="001E0896"/>
    <w:rsid w:val="001E1B4B"/>
    <w:rsid w:val="001E3E85"/>
    <w:rsid w:val="001E406D"/>
    <w:rsid w:val="001E6F8A"/>
    <w:rsid w:val="001E7903"/>
    <w:rsid w:val="001F0915"/>
    <w:rsid w:val="001F2450"/>
    <w:rsid w:val="001F3299"/>
    <w:rsid w:val="001F384C"/>
    <w:rsid w:val="001F49D3"/>
    <w:rsid w:val="001F515E"/>
    <w:rsid w:val="001F58C1"/>
    <w:rsid w:val="001F6505"/>
    <w:rsid w:val="001F7059"/>
    <w:rsid w:val="001F7374"/>
    <w:rsid w:val="002006B3"/>
    <w:rsid w:val="002007B5"/>
    <w:rsid w:val="00200891"/>
    <w:rsid w:val="00200F08"/>
    <w:rsid w:val="002011A0"/>
    <w:rsid w:val="00201D3C"/>
    <w:rsid w:val="00201FFF"/>
    <w:rsid w:val="00202156"/>
    <w:rsid w:val="00202DC2"/>
    <w:rsid w:val="00203578"/>
    <w:rsid w:val="00203DDB"/>
    <w:rsid w:val="0020494C"/>
    <w:rsid w:val="00204F54"/>
    <w:rsid w:val="00205291"/>
    <w:rsid w:val="00205E6C"/>
    <w:rsid w:val="00206F24"/>
    <w:rsid w:val="00206F94"/>
    <w:rsid w:val="002078B5"/>
    <w:rsid w:val="002105B4"/>
    <w:rsid w:val="00211423"/>
    <w:rsid w:val="00212E4E"/>
    <w:rsid w:val="00212F09"/>
    <w:rsid w:val="0021418A"/>
    <w:rsid w:val="00214309"/>
    <w:rsid w:val="00214376"/>
    <w:rsid w:val="002148DE"/>
    <w:rsid w:val="00214F95"/>
    <w:rsid w:val="002159CC"/>
    <w:rsid w:val="0021620B"/>
    <w:rsid w:val="0021724E"/>
    <w:rsid w:val="00217BB7"/>
    <w:rsid w:val="00217BC7"/>
    <w:rsid w:val="00220444"/>
    <w:rsid w:val="002215F6"/>
    <w:rsid w:val="0022178B"/>
    <w:rsid w:val="00221AEA"/>
    <w:rsid w:val="002221BA"/>
    <w:rsid w:val="002222A9"/>
    <w:rsid w:val="0022269B"/>
    <w:rsid w:val="002227A0"/>
    <w:rsid w:val="0022285B"/>
    <w:rsid w:val="00223A8A"/>
    <w:rsid w:val="002247B5"/>
    <w:rsid w:val="00224F3D"/>
    <w:rsid w:val="00225EF3"/>
    <w:rsid w:val="002265B7"/>
    <w:rsid w:val="0023090F"/>
    <w:rsid w:val="002312DC"/>
    <w:rsid w:val="00231322"/>
    <w:rsid w:val="00231713"/>
    <w:rsid w:val="00233135"/>
    <w:rsid w:val="0023333E"/>
    <w:rsid w:val="00235DE7"/>
    <w:rsid w:val="0023633D"/>
    <w:rsid w:val="00236F42"/>
    <w:rsid w:val="00237D56"/>
    <w:rsid w:val="00237EA1"/>
    <w:rsid w:val="00240494"/>
    <w:rsid w:val="002411C2"/>
    <w:rsid w:val="00241466"/>
    <w:rsid w:val="0024152C"/>
    <w:rsid w:val="00241E37"/>
    <w:rsid w:val="0024225C"/>
    <w:rsid w:val="002426FF"/>
    <w:rsid w:val="002434B0"/>
    <w:rsid w:val="0024461F"/>
    <w:rsid w:val="00245DE5"/>
    <w:rsid w:val="00246652"/>
    <w:rsid w:val="00246A94"/>
    <w:rsid w:val="00246CCA"/>
    <w:rsid w:val="00247AA1"/>
    <w:rsid w:val="0025197A"/>
    <w:rsid w:val="00251E8D"/>
    <w:rsid w:val="0025208A"/>
    <w:rsid w:val="0025225B"/>
    <w:rsid w:val="002529D0"/>
    <w:rsid w:val="0025413C"/>
    <w:rsid w:val="002548F5"/>
    <w:rsid w:val="0025509D"/>
    <w:rsid w:val="00255BB2"/>
    <w:rsid w:val="00255EC4"/>
    <w:rsid w:val="00256134"/>
    <w:rsid w:val="0025710A"/>
    <w:rsid w:val="00257AFE"/>
    <w:rsid w:val="002605FF"/>
    <w:rsid w:val="002606CC"/>
    <w:rsid w:val="00260E15"/>
    <w:rsid w:val="00260F25"/>
    <w:rsid w:val="00262391"/>
    <w:rsid w:val="0026275B"/>
    <w:rsid w:val="002631B3"/>
    <w:rsid w:val="00263320"/>
    <w:rsid w:val="00263BAA"/>
    <w:rsid w:val="00264344"/>
    <w:rsid w:val="002656EE"/>
    <w:rsid w:val="00265C86"/>
    <w:rsid w:val="0026640B"/>
    <w:rsid w:val="002670F3"/>
    <w:rsid w:val="00267C08"/>
    <w:rsid w:val="002701CC"/>
    <w:rsid w:val="00270238"/>
    <w:rsid w:val="00270EC7"/>
    <w:rsid w:val="00271949"/>
    <w:rsid w:val="00271D71"/>
    <w:rsid w:val="00272799"/>
    <w:rsid w:val="00272965"/>
    <w:rsid w:val="00272D1C"/>
    <w:rsid w:val="0027331D"/>
    <w:rsid w:val="002734E6"/>
    <w:rsid w:val="0027376C"/>
    <w:rsid w:val="0027377C"/>
    <w:rsid w:val="002737D1"/>
    <w:rsid w:val="00273E07"/>
    <w:rsid w:val="00274FE5"/>
    <w:rsid w:val="0027597F"/>
    <w:rsid w:val="00275DC3"/>
    <w:rsid w:val="002761CF"/>
    <w:rsid w:val="00276A04"/>
    <w:rsid w:val="00277B8E"/>
    <w:rsid w:val="00280063"/>
    <w:rsid w:val="00280529"/>
    <w:rsid w:val="00280C23"/>
    <w:rsid w:val="002813DA"/>
    <w:rsid w:val="00281919"/>
    <w:rsid w:val="00281B5F"/>
    <w:rsid w:val="00282319"/>
    <w:rsid w:val="00282904"/>
    <w:rsid w:val="002835CD"/>
    <w:rsid w:val="002845D3"/>
    <w:rsid w:val="002849E2"/>
    <w:rsid w:val="00284F4A"/>
    <w:rsid w:val="00285219"/>
    <w:rsid w:val="00285834"/>
    <w:rsid w:val="0028617D"/>
    <w:rsid w:val="00286E64"/>
    <w:rsid w:val="00290413"/>
    <w:rsid w:val="00290581"/>
    <w:rsid w:val="0029124F"/>
    <w:rsid w:val="00291830"/>
    <w:rsid w:val="00291A72"/>
    <w:rsid w:val="00291E65"/>
    <w:rsid w:val="002932FA"/>
    <w:rsid w:val="002933E1"/>
    <w:rsid w:val="002934EA"/>
    <w:rsid w:val="0029402D"/>
    <w:rsid w:val="00294D11"/>
    <w:rsid w:val="00294EAE"/>
    <w:rsid w:val="002958D6"/>
    <w:rsid w:val="00296036"/>
    <w:rsid w:val="0029689E"/>
    <w:rsid w:val="002968BE"/>
    <w:rsid w:val="00296C2A"/>
    <w:rsid w:val="002A061A"/>
    <w:rsid w:val="002A0E65"/>
    <w:rsid w:val="002A133D"/>
    <w:rsid w:val="002A194A"/>
    <w:rsid w:val="002A40B8"/>
    <w:rsid w:val="002A4B13"/>
    <w:rsid w:val="002A5926"/>
    <w:rsid w:val="002A78DA"/>
    <w:rsid w:val="002B033D"/>
    <w:rsid w:val="002B104F"/>
    <w:rsid w:val="002B2AC5"/>
    <w:rsid w:val="002B319C"/>
    <w:rsid w:val="002B32CF"/>
    <w:rsid w:val="002B59E5"/>
    <w:rsid w:val="002B6910"/>
    <w:rsid w:val="002B6CFB"/>
    <w:rsid w:val="002C02AC"/>
    <w:rsid w:val="002C07CD"/>
    <w:rsid w:val="002C0889"/>
    <w:rsid w:val="002C0BC8"/>
    <w:rsid w:val="002C0FDA"/>
    <w:rsid w:val="002C2633"/>
    <w:rsid w:val="002C2B63"/>
    <w:rsid w:val="002C2F6E"/>
    <w:rsid w:val="002C35DA"/>
    <w:rsid w:val="002C4121"/>
    <w:rsid w:val="002C499D"/>
    <w:rsid w:val="002C4D45"/>
    <w:rsid w:val="002C5B71"/>
    <w:rsid w:val="002C5F58"/>
    <w:rsid w:val="002C6763"/>
    <w:rsid w:val="002C78E2"/>
    <w:rsid w:val="002C7961"/>
    <w:rsid w:val="002D08D2"/>
    <w:rsid w:val="002D13C1"/>
    <w:rsid w:val="002D1577"/>
    <w:rsid w:val="002D21B2"/>
    <w:rsid w:val="002D295A"/>
    <w:rsid w:val="002D2E45"/>
    <w:rsid w:val="002D324B"/>
    <w:rsid w:val="002D4AD2"/>
    <w:rsid w:val="002D557E"/>
    <w:rsid w:val="002D597B"/>
    <w:rsid w:val="002D6C49"/>
    <w:rsid w:val="002D7C2C"/>
    <w:rsid w:val="002E00E0"/>
    <w:rsid w:val="002E1080"/>
    <w:rsid w:val="002E15FD"/>
    <w:rsid w:val="002E1B5E"/>
    <w:rsid w:val="002E1CB9"/>
    <w:rsid w:val="002E32D6"/>
    <w:rsid w:val="002E387E"/>
    <w:rsid w:val="002E4526"/>
    <w:rsid w:val="002E4B5E"/>
    <w:rsid w:val="002E4BD1"/>
    <w:rsid w:val="002E7409"/>
    <w:rsid w:val="002F035C"/>
    <w:rsid w:val="002F038C"/>
    <w:rsid w:val="002F1A92"/>
    <w:rsid w:val="002F1C7E"/>
    <w:rsid w:val="002F1EE1"/>
    <w:rsid w:val="002F1F96"/>
    <w:rsid w:val="002F4E62"/>
    <w:rsid w:val="002F683C"/>
    <w:rsid w:val="002F68E7"/>
    <w:rsid w:val="002F6CB2"/>
    <w:rsid w:val="002F7762"/>
    <w:rsid w:val="002F7BDB"/>
    <w:rsid w:val="002F7F72"/>
    <w:rsid w:val="00300246"/>
    <w:rsid w:val="00300974"/>
    <w:rsid w:val="003014DB"/>
    <w:rsid w:val="0030167C"/>
    <w:rsid w:val="0030210A"/>
    <w:rsid w:val="00302124"/>
    <w:rsid w:val="0030281F"/>
    <w:rsid w:val="0030292A"/>
    <w:rsid w:val="00302B82"/>
    <w:rsid w:val="00302E29"/>
    <w:rsid w:val="003030F5"/>
    <w:rsid w:val="003035BF"/>
    <w:rsid w:val="0030377D"/>
    <w:rsid w:val="00304523"/>
    <w:rsid w:val="00305A18"/>
    <w:rsid w:val="0030610E"/>
    <w:rsid w:val="00307726"/>
    <w:rsid w:val="003113A5"/>
    <w:rsid w:val="00311599"/>
    <w:rsid w:val="00312283"/>
    <w:rsid w:val="003124CA"/>
    <w:rsid w:val="00313340"/>
    <w:rsid w:val="00314488"/>
    <w:rsid w:val="00314FC1"/>
    <w:rsid w:val="0031604F"/>
    <w:rsid w:val="003163D7"/>
    <w:rsid w:val="0031699C"/>
    <w:rsid w:val="003176CF"/>
    <w:rsid w:val="00320568"/>
    <w:rsid w:val="00320677"/>
    <w:rsid w:val="0032155A"/>
    <w:rsid w:val="00321A2A"/>
    <w:rsid w:val="00321BED"/>
    <w:rsid w:val="00321E74"/>
    <w:rsid w:val="00321FAD"/>
    <w:rsid w:val="00322743"/>
    <w:rsid w:val="003243DE"/>
    <w:rsid w:val="0032441D"/>
    <w:rsid w:val="00324762"/>
    <w:rsid w:val="00324906"/>
    <w:rsid w:val="00326A31"/>
    <w:rsid w:val="00327A42"/>
    <w:rsid w:val="003307D0"/>
    <w:rsid w:val="00330984"/>
    <w:rsid w:val="00330B2E"/>
    <w:rsid w:val="003314F6"/>
    <w:rsid w:val="003319E7"/>
    <w:rsid w:val="00331E73"/>
    <w:rsid w:val="00332007"/>
    <w:rsid w:val="0033289D"/>
    <w:rsid w:val="00333D12"/>
    <w:rsid w:val="00333F75"/>
    <w:rsid w:val="00334B5F"/>
    <w:rsid w:val="00335944"/>
    <w:rsid w:val="00335AAB"/>
    <w:rsid w:val="00335F94"/>
    <w:rsid w:val="003376CD"/>
    <w:rsid w:val="00337712"/>
    <w:rsid w:val="00340513"/>
    <w:rsid w:val="00340844"/>
    <w:rsid w:val="00340C14"/>
    <w:rsid w:val="00342588"/>
    <w:rsid w:val="00342B93"/>
    <w:rsid w:val="00342F91"/>
    <w:rsid w:val="00344DCF"/>
    <w:rsid w:val="003455E5"/>
    <w:rsid w:val="00346FB4"/>
    <w:rsid w:val="003500E0"/>
    <w:rsid w:val="003502DA"/>
    <w:rsid w:val="00350537"/>
    <w:rsid w:val="00351C0F"/>
    <w:rsid w:val="00351CF4"/>
    <w:rsid w:val="00351F00"/>
    <w:rsid w:val="00352622"/>
    <w:rsid w:val="003526A9"/>
    <w:rsid w:val="00352743"/>
    <w:rsid w:val="00353C94"/>
    <w:rsid w:val="0035447F"/>
    <w:rsid w:val="0035559B"/>
    <w:rsid w:val="00355805"/>
    <w:rsid w:val="003560CF"/>
    <w:rsid w:val="00356C66"/>
    <w:rsid w:val="00357827"/>
    <w:rsid w:val="00357A07"/>
    <w:rsid w:val="00357B9B"/>
    <w:rsid w:val="00360B8B"/>
    <w:rsid w:val="00360B98"/>
    <w:rsid w:val="0036166A"/>
    <w:rsid w:val="00362656"/>
    <w:rsid w:val="00362A42"/>
    <w:rsid w:val="00362F09"/>
    <w:rsid w:val="00362F21"/>
    <w:rsid w:val="00363E23"/>
    <w:rsid w:val="0036475D"/>
    <w:rsid w:val="00364FAC"/>
    <w:rsid w:val="003650DB"/>
    <w:rsid w:val="003659CB"/>
    <w:rsid w:val="00366465"/>
    <w:rsid w:val="00366579"/>
    <w:rsid w:val="003667E8"/>
    <w:rsid w:val="0036772E"/>
    <w:rsid w:val="003701F5"/>
    <w:rsid w:val="00370326"/>
    <w:rsid w:val="0037122C"/>
    <w:rsid w:val="003717C7"/>
    <w:rsid w:val="00372158"/>
    <w:rsid w:val="0037298D"/>
    <w:rsid w:val="003732C5"/>
    <w:rsid w:val="00373D94"/>
    <w:rsid w:val="0037469C"/>
    <w:rsid w:val="00374937"/>
    <w:rsid w:val="00374AED"/>
    <w:rsid w:val="00375900"/>
    <w:rsid w:val="00375EC9"/>
    <w:rsid w:val="00376602"/>
    <w:rsid w:val="00376672"/>
    <w:rsid w:val="00377AF1"/>
    <w:rsid w:val="00380157"/>
    <w:rsid w:val="00380893"/>
    <w:rsid w:val="003808EF"/>
    <w:rsid w:val="00382FB3"/>
    <w:rsid w:val="003837BF"/>
    <w:rsid w:val="00383DB9"/>
    <w:rsid w:val="00383FD9"/>
    <w:rsid w:val="00384809"/>
    <w:rsid w:val="0038705A"/>
    <w:rsid w:val="003871A8"/>
    <w:rsid w:val="00387816"/>
    <w:rsid w:val="00387C68"/>
    <w:rsid w:val="00387DD5"/>
    <w:rsid w:val="003913F0"/>
    <w:rsid w:val="00394B8A"/>
    <w:rsid w:val="00395600"/>
    <w:rsid w:val="0039608E"/>
    <w:rsid w:val="003966CC"/>
    <w:rsid w:val="00396A14"/>
    <w:rsid w:val="00397527"/>
    <w:rsid w:val="003A05A6"/>
    <w:rsid w:val="003A0A2F"/>
    <w:rsid w:val="003A1535"/>
    <w:rsid w:val="003A17F4"/>
    <w:rsid w:val="003A2A59"/>
    <w:rsid w:val="003A2ED4"/>
    <w:rsid w:val="003A4384"/>
    <w:rsid w:val="003A47D5"/>
    <w:rsid w:val="003A48CC"/>
    <w:rsid w:val="003A4C1A"/>
    <w:rsid w:val="003A4C42"/>
    <w:rsid w:val="003A66D2"/>
    <w:rsid w:val="003A696E"/>
    <w:rsid w:val="003A6A3F"/>
    <w:rsid w:val="003A6B7A"/>
    <w:rsid w:val="003B0184"/>
    <w:rsid w:val="003B177F"/>
    <w:rsid w:val="003B1CAE"/>
    <w:rsid w:val="003B3079"/>
    <w:rsid w:val="003B457F"/>
    <w:rsid w:val="003B4BAF"/>
    <w:rsid w:val="003B5A24"/>
    <w:rsid w:val="003B5DD0"/>
    <w:rsid w:val="003B708B"/>
    <w:rsid w:val="003B7A3A"/>
    <w:rsid w:val="003C0227"/>
    <w:rsid w:val="003C0BC8"/>
    <w:rsid w:val="003C1378"/>
    <w:rsid w:val="003C1681"/>
    <w:rsid w:val="003C1862"/>
    <w:rsid w:val="003C2894"/>
    <w:rsid w:val="003C2B24"/>
    <w:rsid w:val="003C39DB"/>
    <w:rsid w:val="003C410F"/>
    <w:rsid w:val="003C4C1B"/>
    <w:rsid w:val="003C6220"/>
    <w:rsid w:val="003C73AC"/>
    <w:rsid w:val="003D34D4"/>
    <w:rsid w:val="003D4DE2"/>
    <w:rsid w:val="003D5386"/>
    <w:rsid w:val="003D549A"/>
    <w:rsid w:val="003D6411"/>
    <w:rsid w:val="003D6AD1"/>
    <w:rsid w:val="003D6B39"/>
    <w:rsid w:val="003E0178"/>
    <w:rsid w:val="003E0296"/>
    <w:rsid w:val="003E18CF"/>
    <w:rsid w:val="003E3DDD"/>
    <w:rsid w:val="003E5B11"/>
    <w:rsid w:val="003E5FD4"/>
    <w:rsid w:val="003E6285"/>
    <w:rsid w:val="003E6501"/>
    <w:rsid w:val="003E6747"/>
    <w:rsid w:val="003E6929"/>
    <w:rsid w:val="003E7481"/>
    <w:rsid w:val="003F0E69"/>
    <w:rsid w:val="003F169E"/>
    <w:rsid w:val="003F1B16"/>
    <w:rsid w:val="003F30A5"/>
    <w:rsid w:val="003F4088"/>
    <w:rsid w:val="003F4D1D"/>
    <w:rsid w:val="003F54D8"/>
    <w:rsid w:val="003F77D9"/>
    <w:rsid w:val="003F78FB"/>
    <w:rsid w:val="003F7D61"/>
    <w:rsid w:val="003F7FD6"/>
    <w:rsid w:val="00401670"/>
    <w:rsid w:val="004030E1"/>
    <w:rsid w:val="0040451B"/>
    <w:rsid w:val="0040455C"/>
    <w:rsid w:val="00404C1C"/>
    <w:rsid w:val="004059FE"/>
    <w:rsid w:val="004067EA"/>
    <w:rsid w:val="004117A7"/>
    <w:rsid w:val="00411942"/>
    <w:rsid w:val="00411A30"/>
    <w:rsid w:val="00411F39"/>
    <w:rsid w:val="00412C62"/>
    <w:rsid w:val="0041360E"/>
    <w:rsid w:val="00414151"/>
    <w:rsid w:val="0041454B"/>
    <w:rsid w:val="00414943"/>
    <w:rsid w:val="00415B9F"/>
    <w:rsid w:val="00416CE4"/>
    <w:rsid w:val="00416DEA"/>
    <w:rsid w:val="00416EE3"/>
    <w:rsid w:val="00420331"/>
    <w:rsid w:val="00420E36"/>
    <w:rsid w:val="0042214C"/>
    <w:rsid w:val="004234B3"/>
    <w:rsid w:val="00423E2D"/>
    <w:rsid w:val="0042414B"/>
    <w:rsid w:val="00424A87"/>
    <w:rsid w:val="00424C66"/>
    <w:rsid w:val="004254AC"/>
    <w:rsid w:val="00425777"/>
    <w:rsid w:val="00426DE2"/>
    <w:rsid w:val="004276C6"/>
    <w:rsid w:val="0043014C"/>
    <w:rsid w:val="00430511"/>
    <w:rsid w:val="00431C9D"/>
    <w:rsid w:val="0043209F"/>
    <w:rsid w:val="0043488B"/>
    <w:rsid w:val="004357D6"/>
    <w:rsid w:val="00435B26"/>
    <w:rsid w:val="00435D3A"/>
    <w:rsid w:val="00435EF6"/>
    <w:rsid w:val="00436320"/>
    <w:rsid w:val="0043680D"/>
    <w:rsid w:val="0043755C"/>
    <w:rsid w:val="00437DBF"/>
    <w:rsid w:val="00440461"/>
    <w:rsid w:val="004404FA"/>
    <w:rsid w:val="0044194E"/>
    <w:rsid w:val="00442E92"/>
    <w:rsid w:val="00442F79"/>
    <w:rsid w:val="00443731"/>
    <w:rsid w:val="00443F8B"/>
    <w:rsid w:val="00444665"/>
    <w:rsid w:val="004446B2"/>
    <w:rsid w:val="00444F03"/>
    <w:rsid w:val="00445981"/>
    <w:rsid w:val="004463CE"/>
    <w:rsid w:val="004473CC"/>
    <w:rsid w:val="004509A5"/>
    <w:rsid w:val="00450BC2"/>
    <w:rsid w:val="00451107"/>
    <w:rsid w:val="004514E8"/>
    <w:rsid w:val="0045152D"/>
    <w:rsid w:val="004518C9"/>
    <w:rsid w:val="004520E5"/>
    <w:rsid w:val="00452322"/>
    <w:rsid w:val="004524C8"/>
    <w:rsid w:val="00453064"/>
    <w:rsid w:val="004531AF"/>
    <w:rsid w:val="00453475"/>
    <w:rsid w:val="0045415D"/>
    <w:rsid w:val="00454431"/>
    <w:rsid w:val="0045497F"/>
    <w:rsid w:val="004555B7"/>
    <w:rsid w:val="00455A74"/>
    <w:rsid w:val="00455D65"/>
    <w:rsid w:val="00456AA1"/>
    <w:rsid w:val="00457946"/>
    <w:rsid w:val="004600C8"/>
    <w:rsid w:val="0046019D"/>
    <w:rsid w:val="00460C2F"/>
    <w:rsid w:val="00462B32"/>
    <w:rsid w:val="00462BBE"/>
    <w:rsid w:val="0046421E"/>
    <w:rsid w:val="00465658"/>
    <w:rsid w:val="0046589A"/>
    <w:rsid w:val="0046646B"/>
    <w:rsid w:val="0046662A"/>
    <w:rsid w:val="004700E7"/>
    <w:rsid w:val="004713D9"/>
    <w:rsid w:val="00471AB2"/>
    <w:rsid w:val="00472722"/>
    <w:rsid w:val="00472D4E"/>
    <w:rsid w:val="00473774"/>
    <w:rsid w:val="00473A76"/>
    <w:rsid w:val="00473BA5"/>
    <w:rsid w:val="00473BBB"/>
    <w:rsid w:val="0047418B"/>
    <w:rsid w:val="0047725B"/>
    <w:rsid w:val="004777DB"/>
    <w:rsid w:val="004779C4"/>
    <w:rsid w:val="00480581"/>
    <w:rsid w:val="00482825"/>
    <w:rsid w:val="00482BC7"/>
    <w:rsid w:val="00482EA9"/>
    <w:rsid w:val="00483E71"/>
    <w:rsid w:val="00484F1B"/>
    <w:rsid w:val="004852D0"/>
    <w:rsid w:val="00485E1A"/>
    <w:rsid w:val="00486669"/>
    <w:rsid w:val="00486C05"/>
    <w:rsid w:val="0048781C"/>
    <w:rsid w:val="00487C42"/>
    <w:rsid w:val="004907FB"/>
    <w:rsid w:val="004916A3"/>
    <w:rsid w:val="00491A7A"/>
    <w:rsid w:val="00491CC1"/>
    <w:rsid w:val="004926D1"/>
    <w:rsid w:val="0049299C"/>
    <w:rsid w:val="0049301E"/>
    <w:rsid w:val="0049373A"/>
    <w:rsid w:val="0049399F"/>
    <w:rsid w:val="00494A7A"/>
    <w:rsid w:val="004958B1"/>
    <w:rsid w:val="00495A6D"/>
    <w:rsid w:val="00496468"/>
    <w:rsid w:val="00497120"/>
    <w:rsid w:val="00497226"/>
    <w:rsid w:val="004979FC"/>
    <w:rsid w:val="00497CAC"/>
    <w:rsid w:val="00497EFA"/>
    <w:rsid w:val="004A07B9"/>
    <w:rsid w:val="004A1800"/>
    <w:rsid w:val="004A201E"/>
    <w:rsid w:val="004A20B9"/>
    <w:rsid w:val="004A2237"/>
    <w:rsid w:val="004A2EC2"/>
    <w:rsid w:val="004A373D"/>
    <w:rsid w:val="004A3D57"/>
    <w:rsid w:val="004A4424"/>
    <w:rsid w:val="004A4A8C"/>
    <w:rsid w:val="004A5342"/>
    <w:rsid w:val="004A5B6C"/>
    <w:rsid w:val="004A77DE"/>
    <w:rsid w:val="004B0407"/>
    <w:rsid w:val="004B13CF"/>
    <w:rsid w:val="004B190B"/>
    <w:rsid w:val="004B2B1F"/>
    <w:rsid w:val="004B378D"/>
    <w:rsid w:val="004B37DC"/>
    <w:rsid w:val="004B4077"/>
    <w:rsid w:val="004B5619"/>
    <w:rsid w:val="004B5EE9"/>
    <w:rsid w:val="004B609F"/>
    <w:rsid w:val="004B6806"/>
    <w:rsid w:val="004B684E"/>
    <w:rsid w:val="004B6C1C"/>
    <w:rsid w:val="004B6D81"/>
    <w:rsid w:val="004B7305"/>
    <w:rsid w:val="004B7C90"/>
    <w:rsid w:val="004C0707"/>
    <w:rsid w:val="004C093A"/>
    <w:rsid w:val="004C0DA4"/>
    <w:rsid w:val="004C0F05"/>
    <w:rsid w:val="004C144D"/>
    <w:rsid w:val="004C1639"/>
    <w:rsid w:val="004C1929"/>
    <w:rsid w:val="004C215B"/>
    <w:rsid w:val="004C254E"/>
    <w:rsid w:val="004C27E4"/>
    <w:rsid w:val="004C2AD6"/>
    <w:rsid w:val="004C464E"/>
    <w:rsid w:val="004C4E34"/>
    <w:rsid w:val="004C5BFA"/>
    <w:rsid w:val="004C5EB3"/>
    <w:rsid w:val="004C6D30"/>
    <w:rsid w:val="004C75BE"/>
    <w:rsid w:val="004D21B2"/>
    <w:rsid w:val="004D2775"/>
    <w:rsid w:val="004D2782"/>
    <w:rsid w:val="004D3481"/>
    <w:rsid w:val="004D379F"/>
    <w:rsid w:val="004D3DA3"/>
    <w:rsid w:val="004D5C82"/>
    <w:rsid w:val="004D5F96"/>
    <w:rsid w:val="004D72F5"/>
    <w:rsid w:val="004E06A0"/>
    <w:rsid w:val="004E071F"/>
    <w:rsid w:val="004E0C93"/>
    <w:rsid w:val="004E106F"/>
    <w:rsid w:val="004E1098"/>
    <w:rsid w:val="004E1DFF"/>
    <w:rsid w:val="004E220E"/>
    <w:rsid w:val="004E2ECF"/>
    <w:rsid w:val="004E3D58"/>
    <w:rsid w:val="004E431B"/>
    <w:rsid w:val="004E46B2"/>
    <w:rsid w:val="004E4E2C"/>
    <w:rsid w:val="004E5293"/>
    <w:rsid w:val="004E5A83"/>
    <w:rsid w:val="004F08B1"/>
    <w:rsid w:val="004F0B18"/>
    <w:rsid w:val="004F1F47"/>
    <w:rsid w:val="004F26FB"/>
    <w:rsid w:val="004F31BC"/>
    <w:rsid w:val="004F32A2"/>
    <w:rsid w:val="004F4215"/>
    <w:rsid w:val="004F4373"/>
    <w:rsid w:val="004F484A"/>
    <w:rsid w:val="004F4C12"/>
    <w:rsid w:val="004F51D5"/>
    <w:rsid w:val="004F625C"/>
    <w:rsid w:val="00500909"/>
    <w:rsid w:val="005014FB"/>
    <w:rsid w:val="00501697"/>
    <w:rsid w:val="005017E8"/>
    <w:rsid w:val="00502A21"/>
    <w:rsid w:val="00505E91"/>
    <w:rsid w:val="00506987"/>
    <w:rsid w:val="00507B51"/>
    <w:rsid w:val="00510AD1"/>
    <w:rsid w:val="00511B57"/>
    <w:rsid w:val="00511CB7"/>
    <w:rsid w:val="00512150"/>
    <w:rsid w:val="005130CF"/>
    <w:rsid w:val="00513178"/>
    <w:rsid w:val="00513BBF"/>
    <w:rsid w:val="00513C6B"/>
    <w:rsid w:val="00515A38"/>
    <w:rsid w:val="00515E45"/>
    <w:rsid w:val="00517BE2"/>
    <w:rsid w:val="00517F75"/>
    <w:rsid w:val="005214E1"/>
    <w:rsid w:val="00523C46"/>
    <w:rsid w:val="0052406C"/>
    <w:rsid w:val="0052435D"/>
    <w:rsid w:val="00524822"/>
    <w:rsid w:val="00524B00"/>
    <w:rsid w:val="00524D4D"/>
    <w:rsid w:val="005258CF"/>
    <w:rsid w:val="005279B5"/>
    <w:rsid w:val="005306E5"/>
    <w:rsid w:val="00532167"/>
    <w:rsid w:val="00532643"/>
    <w:rsid w:val="00532F9A"/>
    <w:rsid w:val="00533059"/>
    <w:rsid w:val="005330C2"/>
    <w:rsid w:val="00533185"/>
    <w:rsid w:val="0053425E"/>
    <w:rsid w:val="0053470D"/>
    <w:rsid w:val="00535082"/>
    <w:rsid w:val="0053517D"/>
    <w:rsid w:val="005369E6"/>
    <w:rsid w:val="00536CC3"/>
    <w:rsid w:val="00537A0A"/>
    <w:rsid w:val="00537A91"/>
    <w:rsid w:val="00540273"/>
    <w:rsid w:val="00540434"/>
    <w:rsid w:val="005406BE"/>
    <w:rsid w:val="00542E65"/>
    <w:rsid w:val="00542EBE"/>
    <w:rsid w:val="005437C9"/>
    <w:rsid w:val="00543906"/>
    <w:rsid w:val="00543D59"/>
    <w:rsid w:val="00544802"/>
    <w:rsid w:val="00545186"/>
    <w:rsid w:val="005451FA"/>
    <w:rsid w:val="0054799D"/>
    <w:rsid w:val="00550417"/>
    <w:rsid w:val="00550AD2"/>
    <w:rsid w:val="00550C75"/>
    <w:rsid w:val="00550D58"/>
    <w:rsid w:val="00551592"/>
    <w:rsid w:val="005527D0"/>
    <w:rsid w:val="00553871"/>
    <w:rsid w:val="00553F22"/>
    <w:rsid w:val="00553F66"/>
    <w:rsid w:val="00554E75"/>
    <w:rsid w:val="00554F14"/>
    <w:rsid w:val="00555326"/>
    <w:rsid w:val="005553CD"/>
    <w:rsid w:val="00555BAA"/>
    <w:rsid w:val="005579D6"/>
    <w:rsid w:val="005600CE"/>
    <w:rsid w:val="00560BC6"/>
    <w:rsid w:val="0056186E"/>
    <w:rsid w:val="0056196B"/>
    <w:rsid w:val="00563CA8"/>
    <w:rsid w:val="005641F8"/>
    <w:rsid w:val="00564F47"/>
    <w:rsid w:val="005654B8"/>
    <w:rsid w:val="00565E58"/>
    <w:rsid w:val="00566CA2"/>
    <w:rsid w:val="0056703E"/>
    <w:rsid w:val="00567280"/>
    <w:rsid w:val="005673E6"/>
    <w:rsid w:val="005702B3"/>
    <w:rsid w:val="00570ACB"/>
    <w:rsid w:val="00570CC9"/>
    <w:rsid w:val="0057161C"/>
    <w:rsid w:val="00571C5A"/>
    <w:rsid w:val="005720B2"/>
    <w:rsid w:val="005731FA"/>
    <w:rsid w:val="00573332"/>
    <w:rsid w:val="005743AF"/>
    <w:rsid w:val="0057456C"/>
    <w:rsid w:val="00574CE7"/>
    <w:rsid w:val="00575809"/>
    <w:rsid w:val="00575EA4"/>
    <w:rsid w:val="00575F2C"/>
    <w:rsid w:val="00576B9C"/>
    <w:rsid w:val="00576BCF"/>
    <w:rsid w:val="00576F31"/>
    <w:rsid w:val="00577DEA"/>
    <w:rsid w:val="005807BB"/>
    <w:rsid w:val="005822E6"/>
    <w:rsid w:val="00582F4D"/>
    <w:rsid w:val="0058376D"/>
    <w:rsid w:val="00584051"/>
    <w:rsid w:val="0058427C"/>
    <w:rsid w:val="005860C0"/>
    <w:rsid w:val="0058617F"/>
    <w:rsid w:val="00586389"/>
    <w:rsid w:val="005866A3"/>
    <w:rsid w:val="005868CE"/>
    <w:rsid w:val="00587269"/>
    <w:rsid w:val="00587B68"/>
    <w:rsid w:val="00587CA3"/>
    <w:rsid w:val="00590EE9"/>
    <w:rsid w:val="00591009"/>
    <w:rsid w:val="005911F5"/>
    <w:rsid w:val="005918CD"/>
    <w:rsid w:val="00591E12"/>
    <w:rsid w:val="00592032"/>
    <w:rsid w:val="00592297"/>
    <w:rsid w:val="005923FE"/>
    <w:rsid w:val="005924A9"/>
    <w:rsid w:val="0059286A"/>
    <w:rsid w:val="00592B16"/>
    <w:rsid w:val="00592DAE"/>
    <w:rsid w:val="005934CA"/>
    <w:rsid w:val="0059360F"/>
    <w:rsid w:val="00593B68"/>
    <w:rsid w:val="00593DF6"/>
    <w:rsid w:val="00594E07"/>
    <w:rsid w:val="00594E14"/>
    <w:rsid w:val="00595D61"/>
    <w:rsid w:val="00596CF6"/>
    <w:rsid w:val="00597057"/>
    <w:rsid w:val="00597148"/>
    <w:rsid w:val="0059723C"/>
    <w:rsid w:val="005973F3"/>
    <w:rsid w:val="0059772B"/>
    <w:rsid w:val="00597754"/>
    <w:rsid w:val="005979BA"/>
    <w:rsid w:val="00597A82"/>
    <w:rsid w:val="00597E0E"/>
    <w:rsid w:val="005A003B"/>
    <w:rsid w:val="005A1D5A"/>
    <w:rsid w:val="005A28B0"/>
    <w:rsid w:val="005A2EB5"/>
    <w:rsid w:val="005A2F89"/>
    <w:rsid w:val="005A368A"/>
    <w:rsid w:val="005A398C"/>
    <w:rsid w:val="005A3B70"/>
    <w:rsid w:val="005A3FD8"/>
    <w:rsid w:val="005A4B44"/>
    <w:rsid w:val="005A4E23"/>
    <w:rsid w:val="005A69F0"/>
    <w:rsid w:val="005A7208"/>
    <w:rsid w:val="005A7CEA"/>
    <w:rsid w:val="005B0ED4"/>
    <w:rsid w:val="005B20E6"/>
    <w:rsid w:val="005B2335"/>
    <w:rsid w:val="005B2CEE"/>
    <w:rsid w:val="005B568D"/>
    <w:rsid w:val="005B6AB3"/>
    <w:rsid w:val="005B713C"/>
    <w:rsid w:val="005B77D0"/>
    <w:rsid w:val="005B7AE3"/>
    <w:rsid w:val="005B7CC7"/>
    <w:rsid w:val="005C06FF"/>
    <w:rsid w:val="005C090D"/>
    <w:rsid w:val="005C0BA6"/>
    <w:rsid w:val="005C140C"/>
    <w:rsid w:val="005C1BD9"/>
    <w:rsid w:val="005C1FFD"/>
    <w:rsid w:val="005C2D74"/>
    <w:rsid w:val="005C3310"/>
    <w:rsid w:val="005C36BB"/>
    <w:rsid w:val="005C36C2"/>
    <w:rsid w:val="005C4BD3"/>
    <w:rsid w:val="005C5B33"/>
    <w:rsid w:val="005C78AD"/>
    <w:rsid w:val="005C78CD"/>
    <w:rsid w:val="005D0171"/>
    <w:rsid w:val="005D05C4"/>
    <w:rsid w:val="005D0B27"/>
    <w:rsid w:val="005D0F2A"/>
    <w:rsid w:val="005D144C"/>
    <w:rsid w:val="005D20BD"/>
    <w:rsid w:val="005D30D3"/>
    <w:rsid w:val="005D3E49"/>
    <w:rsid w:val="005D517E"/>
    <w:rsid w:val="005D51AC"/>
    <w:rsid w:val="005D5220"/>
    <w:rsid w:val="005D5853"/>
    <w:rsid w:val="005D68F9"/>
    <w:rsid w:val="005D6E16"/>
    <w:rsid w:val="005D744E"/>
    <w:rsid w:val="005D79A4"/>
    <w:rsid w:val="005E00D6"/>
    <w:rsid w:val="005E0104"/>
    <w:rsid w:val="005E06A4"/>
    <w:rsid w:val="005E1229"/>
    <w:rsid w:val="005E152C"/>
    <w:rsid w:val="005E1ECB"/>
    <w:rsid w:val="005E21CB"/>
    <w:rsid w:val="005E297E"/>
    <w:rsid w:val="005E29B8"/>
    <w:rsid w:val="005E3D7B"/>
    <w:rsid w:val="005E45EA"/>
    <w:rsid w:val="005E5849"/>
    <w:rsid w:val="005E6809"/>
    <w:rsid w:val="005E6BF7"/>
    <w:rsid w:val="005E71AF"/>
    <w:rsid w:val="005E7944"/>
    <w:rsid w:val="005E7FD1"/>
    <w:rsid w:val="005F1C3C"/>
    <w:rsid w:val="005F3C63"/>
    <w:rsid w:val="005F3FA6"/>
    <w:rsid w:val="005F41D6"/>
    <w:rsid w:val="005F575D"/>
    <w:rsid w:val="005F6710"/>
    <w:rsid w:val="005F6F40"/>
    <w:rsid w:val="005F6F9D"/>
    <w:rsid w:val="005F7157"/>
    <w:rsid w:val="006006B1"/>
    <w:rsid w:val="00600A04"/>
    <w:rsid w:val="00601C15"/>
    <w:rsid w:val="00602842"/>
    <w:rsid w:val="00602ECA"/>
    <w:rsid w:val="006032C2"/>
    <w:rsid w:val="006056E6"/>
    <w:rsid w:val="00605F40"/>
    <w:rsid w:val="00606C51"/>
    <w:rsid w:val="00606E89"/>
    <w:rsid w:val="006100E7"/>
    <w:rsid w:val="006108D4"/>
    <w:rsid w:val="00610D1E"/>
    <w:rsid w:val="00611239"/>
    <w:rsid w:val="00612350"/>
    <w:rsid w:val="006126A6"/>
    <w:rsid w:val="006137D0"/>
    <w:rsid w:val="00613AD3"/>
    <w:rsid w:val="00613BEF"/>
    <w:rsid w:val="006148C7"/>
    <w:rsid w:val="006153F0"/>
    <w:rsid w:val="00615745"/>
    <w:rsid w:val="00615780"/>
    <w:rsid w:val="00615B8F"/>
    <w:rsid w:val="00616B57"/>
    <w:rsid w:val="006178B8"/>
    <w:rsid w:val="00617B5D"/>
    <w:rsid w:val="006207F4"/>
    <w:rsid w:val="00621696"/>
    <w:rsid w:val="00622478"/>
    <w:rsid w:val="006225BF"/>
    <w:rsid w:val="00622783"/>
    <w:rsid w:val="00622824"/>
    <w:rsid w:val="00622A4A"/>
    <w:rsid w:val="00622B9F"/>
    <w:rsid w:val="0062345E"/>
    <w:rsid w:val="006235B2"/>
    <w:rsid w:val="00624D74"/>
    <w:rsid w:val="006253F3"/>
    <w:rsid w:val="00625A9B"/>
    <w:rsid w:val="00625C41"/>
    <w:rsid w:val="006266C0"/>
    <w:rsid w:val="00627F01"/>
    <w:rsid w:val="0063084E"/>
    <w:rsid w:val="0063189C"/>
    <w:rsid w:val="00634A06"/>
    <w:rsid w:val="00635636"/>
    <w:rsid w:val="00635D59"/>
    <w:rsid w:val="006361C2"/>
    <w:rsid w:val="00636659"/>
    <w:rsid w:val="00636ACF"/>
    <w:rsid w:val="00636F3C"/>
    <w:rsid w:val="00637185"/>
    <w:rsid w:val="006372F9"/>
    <w:rsid w:val="00637E93"/>
    <w:rsid w:val="0064003C"/>
    <w:rsid w:val="00640E12"/>
    <w:rsid w:val="0064111F"/>
    <w:rsid w:val="006420A9"/>
    <w:rsid w:val="00642B77"/>
    <w:rsid w:val="00642C23"/>
    <w:rsid w:val="00642E5C"/>
    <w:rsid w:val="00644D5B"/>
    <w:rsid w:val="00644DD5"/>
    <w:rsid w:val="00645900"/>
    <w:rsid w:val="006460BC"/>
    <w:rsid w:val="0064729C"/>
    <w:rsid w:val="006474F0"/>
    <w:rsid w:val="006511D1"/>
    <w:rsid w:val="0065190A"/>
    <w:rsid w:val="00651F60"/>
    <w:rsid w:val="00652A1E"/>
    <w:rsid w:val="00652FD7"/>
    <w:rsid w:val="00653546"/>
    <w:rsid w:val="00653817"/>
    <w:rsid w:val="00653892"/>
    <w:rsid w:val="00655EB5"/>
    <w:rsid w:val="00657887"/>
    <w:rsid w:val="0066049B"/>
    <w:rsid w:val="0066078D"/>
    <w:rsid w:val="00660B97"/>
    <w:rsid w:val="00663A8D"/>
    <w:rsid w:val="00664608"/>
    <w:rsid w:val="00664932"/>
    <w:rsid w:val="00664F2D"/>
    <w:rsid w:val="006654FC"/>
    <w:rsid w:val="00666D27"/>
    <w:rsid w:val="00667BF6"/>
    <w:rsid w:val="00667F22"/>
    <w:rsid w:val="0067066A"/>
    <w:rsid w:val="00670E56"/>
    <w:rsid w:val="006711E7"/>
    <w:rsid w:val="00671208"/>
    <w:rsid w:val="006712A4"/>
    <w:rsid w:val="006719C7"/>
    <w:rsid w:val="00671FF5"/>
    <w:rsid w:val="00672107"/>
    <w:rsid w:val="006726B4"/>
    <w:rsid w:val="00672800"/>
    <w:rsid w:val="00672B0E"/>
    <w:rsid w:val="006761C5"/>
    <w:rsid w:val="00676912"/>
    <w:rsid w:val="00677A01"/>
    <w:rsid w:val="006820D6"/>
    <w:rsid w:val="006828B7"/>
    <w:rsid w:val="00682C52"/>
    <w:rsid w:val="006869CC"/>
    <w:rsid w:val="00687AF1"/>
    <w:rsid w:val="00687B2D"/>
    <w:rsid w:val="00690892"/>
    <w:rsid w:val="00690DCC"/>
    <w:rsid w:val="00691BC8"/>
    <w:rsid w:val="006923D9"/>
    <w:rsid w:val="006926DE"/>
    <w:rsid w:val="00692D89"/>
    <w:rsid w:val="00692F61"/>
    <w:rsid w:val="00693AAD"/>
    <w:rsid w:val="00693BA5"/>
    <w:rsid w:val="00694829"/>
    <w:rsid w:val="00694B06"/>
    <w:rsid w:val="0069553E"/>
    <w:rsid w:val="00695689"/>
    <w:rsid w:val="0069637C"/>
    <w:rsid w:val="00697A0A"/>
    <w:rsid w:val="006A125C"/>
    <w:rsid w:val="006A1400"/>
    <w:rsid w:val="006A141B"/>
    <w:rsid w:val="006A1D83"/>
    <w:rsid w:val="006A1FF2"/>
    <w:rsid w:val="006A277E"/>
    <w:rsid w:val="006A3840"/>
    <w:rsid w:val="006A5689"/>
    <w:rsid w:val="006A6176"/>
    <w:rsid w:val="006A61B9"/>
    <w:rsid w:val="006A6531"/>
    <w:rsid w:val="006A6745"/>
    <w:rsid w:val="006A6A3A"/>
    <w:rsid w:val="006B019D"/>
    <w:rsid w:val="006B4359"/>
    <w:rsid w:val="006B5635"/>
    <w:rsid w:val="006B6057"/>
    <w:rsid w:val="006B7334"/>
    <w:rsid w:val="006C156B"/>
    <w:rsid w:val="006C19F7"/>
    <w:rsid w:val="006C24E3"/>
    <w:rsid w:val="006C32AB"/>
    <w:rsid w:val="006C59A6"/>
    <w:rsid w:val="006C5BF8"/>
    <w:rsid w:val="006C61DD"/>
    <w:rsid w:val="006C759A"/>
    <w:rsid w:val="006D021B"/>
    <w:rsid w:val="006D0432"/>
    <w:rsid w:val="006D05CD"/>
    <w:rsid w:val="006D0A93"/>
    <w:rsid w:val="006D0FA0"/>
    <w:rsid w:val="006D1028"/>
    <w:rsid w:val="006D109A"/>
    <w:rsid w:val="006D28F6"/>
    <w:rsid w:val="006D3276"/>
    <w:rsid w:val="006D3B66"/>
    <w:rsid w:val="006D4791"/>
    <w:rsid w:val="006D547A"/>
    <w:rsid w:val="006D55EB"/>
    <w:rsid w:val="006D5667"/>
    <w:rsid w:val="006D5DD0"/>
    <w:rsid w:val="006D705A"/>
    <w:rsid w:val="006E098F"/>
    <w:rsid w:val="006E11FC"/>
    <w:rsid w:val="006E171E"/>
    <w:rsid w:val="006E2165"/>
    <w:rsid w:val="006E22EB"/>
    <w:rsid w:val="006E247A"/>
    <w:rsid w:val="006E2EA4"/>
    <w:rsid w:val="006E3040"/>
    <w:rsid w:val="006E323B"/>
    <w:rsid w:val="006E3C71"/>
    <w:rsid w:val="006E478E"/>
    <w:rsid w:val="006E4CA4"/>
    <w:rsid w:val="006E7132"/>
    <w:rsid w:val="006E74BA"/>
    <w:rsid w:val="006E77DA"/>
    <w:rsid w:val="006E7A7F"/>
    <w:rsid w:val="006E7A98"/>
    <w:rsid w:val="006F11C3"/>
    <w:rsid w:val="006F1B43"/>
    <w:rsid w:val="006F25AB"/>
    <w:rsid w:val="006F2A29"/>
    <w:rsid w:val="006F395C"/>
    <w:rsid w:val="006F3C31"/>
    <w:rsid w:val="006F3C3E"/>
    <w:rsid w:val="006F3F25"/>
    <w:rsid w:val="006F3F6F"/>
    <w:rsid w:val="006F419A"/>
    <w:rsid w:val="006F472D"/>
    <w:rsid w:val="006F47B9"/>
    <w:rsid w:val="006F47ED"/>
    <w:rsid w:val="006F5070"/>
    <w:rsid w:val="006F5464"/>
    <w:rsid w:val="006F5A51"/>
    <w:rsid w:val="006F5E1E"/>
    <w:rsid w:val="006F5FCB"/>
    <w:rsid w:val="006F62BB"/>
    <w:rsid w:val="006F7F68"/>
    <w:rsid w:val="00701654"/>
    <w:rsid w:val="00701D35"/>
    <w:rsid w:val="007020FB"/>
    <w:rsid w:val="007023CD"/>
    <w:rsid w:val="00702574"/>
    <w:rsid w:val="00703206"/>
    <w:rsid w:val="00703B8F"/>
    <w:rsid w:val="00705820"/>
    <w:rsid w:val="00705CC9"/>
    <w:rsid w:val="00707D26"/>
    <w:rsid w:val="00710B35"/>
    <w:rsid w:val="00716003"/>
    <w:rsid w:val="00716380"/>
    <w:rsid w:val="00720DE2"/>
    <w:rsid w:val="007216D3"/>
    <w:rsid w:val="00722E29"/>
    <w:rsid w:val="00723BFC"/>
    <w:rsid w:val="00723C5F"/>
    <w:rsid w:val="00723E19"/>
    <w:rsid w:val="00723E36"/>
    <w:rsid w:val="00723EE7"/>
    <w:rsid w:val="00724992"/>
    <w:rsid w:val="00724DDC"/>
    <w:rsid w:val="0072504B"/>
    <w:rsid w:val="0072585D"/>
    <w:rsid w:val="007259F3"/>
    <w:rsid w:val="00726FAC"/>
    <w:rsid w:val="00727239"/>
    <w:rsid w:val="0072744E"/>
    <w:rsid w:val="007274F0"/>
    <w:rsid w:val="00727D8D"/>
    <w:rsid w:val="00730390"/>
    <w:rsid w:val="0073083B"/>
    <w:rsid w:val="00730931"/>
    <w:rsid w:val="007309BB"/>
    <w:rsid w:val="007310F2"/>
    <w:rsid w:val="00731C08"/>
    <w:rsid w:val="0073239D"/>
    <w:rsid w:val="00732811"/>
    <w:rsid w:val="00732D89"/>
    <w:rsid w:val="007330D3"/>
    <w:rsid w:val="00733E5C"/>
    <w:rsid w:val="00734DA7"/>
    <w:rsid w:val="0073649A"/>
    <w:rsid w:val="00736A33"/>
    <w:rsid w:val="0073728D"/>
    <w:rsid w:val="00737658"/>
    <w:rsid w:val="00737920"/>
    <w:rsid w:val="00737C83"/>
    <w:rsid w:val="00740DE5"/>
    <w:rsid w:val="00741536"/>
    <w:rsid w:val="007419A3"/>
    <w:rsid w:val="00741EC8"/>
    <w:rsid w:val="00742CD3"/>
    <w:rsid w:val="00742FE4"/>
    <w:rsid w:val="00743330"/>
    <w:rsid w:val="00743BA2"/>
    <w:rsid w:val="007461DD"/>
    <w:rsid w:val="00746907"/>
    <w:rsid w:val="00747A52"/>
    <w:rsid w:val="00750D78"/>
    <w:rsid w:val="00750E3D"/>
    <w:rsid w:val="00751908"/>
    <w:rsid w:val="0075586B"/>
    <w:rsid w:val="00756708"/>
    <w:rsid w:val="00756B83"/>
    <w:rsid w:val="00757513"/>
    <w:rsid w:val="007576C4"/>
    <w:rsid w:val="00760427"/>
    <w:rsid w:val="00761560"/>
    <w:rsid w:val="00762CB2"/>
    <w:rsid w:val="007635BA"/>
    <w:rsid w:val="00763C96"/>
    <w:rsid w:val="00763F65"/>
    <w:rsid w:val="00764631"/>
    <w:rsid w:val="00764D6B"/>
    <w:rsid w:val="00765A90"/>
    <w:rsid w:val="00765B7D"/>
    <w:rsid w:val="00765B8F"/>
    <w:rsid w:val="007661BB"/>
    <w:rsid w:val="0076650C"/>
    <w:rsid w:val="00766B9D"/>
    <w:rsid w:val="00767AE9"/>
    <w:rsid w:val="00767B52"/>
    <w:rsid w:val="00771490"/>
    <w:rsid w:val="00771536"/>
    <w:rsid w:val="00771B4C"/>
    <w:rsid w:val="00771B69"/>
    <w:rsid w:val="00771C6F"/>
    <w:rsid w:val="00771D95"/>
    <w:rsid w:val="00771FE2"/>
    <w:rsid w:val="0077314D"/>
    <w:rsid w:val="00773644"/>
    <w:rsid w:val="00773C1C"/>
    <w:rsid w:val="00774B3E"/>
    <w:rsid w:val="0077534C"/>
    <w:rsid w:val="007753F0"/>
    <w:rsid w:val="007758F0"/>
    <w:rsid w:val="00777569"/>
    <w:rsid w:val="007813A8"/>
    <w:rsid w:val="00782BF0"/>
    <w:rsid w:val="007831EF"/>
    <w:rsid w:val="00783AEF"/>
    <w:rsid w:val="00783DA7"/>
    <w:rsid w:val="00784BEF"/>
    <w:rsid w:val="00785A4E"/>
    <w:rsid w:val="00785EA8"/>
    <w:rsid w:val="00786E41"/>
    <w:rsid w:val="00787B77"/>
    <w:rsid w:val="0079043C"/>
    <w:rsid w:val="007905DC"/>
    <w:rsid w:val="007911F0"/>
    <w:rsid w:val="00791C90"/>
    <w:rsid w:val="00791D9F"/>
    <w:rsid w:val="007922AA"/>
    <w:rsid w:val="00792E62"/>
    <w:rsid w:val="00793804"/>
    <w:rsid w:val="00794A4B"/>
    <w:rsid w:val="007951CA"/>
    <w:rsid w:val="00795395"/>
    <w:rsid w:val="00795A73"/>
    <w:rsid w:val="00795C9A"/>
    <w:rsid w:val="00796559"/>
    <w:rsid w:val="007A18D2"/>
    <w:rsid w:val="007A1EC6"/>
    <w:rsid w:val="007A200F"/>
    <w:rsid w:val="007A268C"/>
    <w:rsid w:val="007A3087"/>
    <w:rsid w:val="007A3306"/>
    <w:rsid w:val="007A4916"/>
    <w:rsid w:val="007A60B7"/>
    <w:rsid w:val="007A6824"/>
    <w:rsid w:val="007A6996"/>
    <w:rsid w:val="007A6FF0"/>
    <w:rsid w:val="007B24BD"/>
    <w:rsid w:val="007B28C1"/>
    <w:rsid w:val="007B2DC4"/>
    <w:rsid w:val="007B3561"/>
    <w:rsid w:val="007B46E4"/>
    <w:rsid w:val="007B525F"/>
    <w:rsid w:val="007B5F1F"/>
    <w:rsid w:val="007B6D47"/>
    <w:rsid w:val="007B72E6"/>
    <w:rsid w:val="007B742D"/>
    <w:rsid w:val="007C1FDA"/>
    <w:rsid w:val="007C20A1"/>
    <w:rsid w:val="007C24A5"/>
    <w:rsid w:val="007C3B21"/>
    <w:rsid w:val="007C492D"/>
    <w:rsid w:val="007C5517"/>
    <w:rsid w:val="007C603A"/>
    <w:rsid w:val="007C615B"/>
    <w:rsid w:val="007C63F4"/>
    <w:rsid w:val="007C76BD"/>
    <w:rsid w:val="007C7848"/>
    <w:rsid w:val="007C7DC3"/>
    <w:rsid w:val="007C7E04"/>
    <w:rsid w:val="007D012C"/>
    <w:rsid w:val="007D0745"/>
    <w:rsid w:val="007D1245"/>
    <w:rsid w:val="007D13C6"/>
    <w:rsid w:val="007D348D"/>
    <w:rsid w:val="007D3841"/>
    <w:rsid w:val="007D41B8"/>
    <w:rsid w:val="007D4B38"/>
    <w:rsid w:val="007D53EB"/>
    <w:rsid w:val="007D555E"/>
    <w:rsid w:val="007D63FA"/>
    <w:rsid w:val="007D68F7"/>
    <w:rsid w:val="007D766A"/>
    <w:rsid w:val="007D77C1"/>
    <w:rsid w:val="007D7FDD"/>
    <w:rsid w:val="007E0604"/>
    <w:rsid w:val="007E0CE2"/>
    <w:rsid w:val="007E0D8B"/>
    <w:rsid w:val="007E15AA"/>
    <w:rsid w:val="007E2018"/>
    <w:rsid w:val="007E2B8C"/>
    <w:rsid w:val="007E4843"/>
    <w:rsid w:val="007E5921"/>
    <w:rsid w:val="007E6276"/>
    <w:rsid w:val="007E7748"/>
    <w:rsid w:val="007E7E1B"/>
    <w:rsid w:val="007F0144"/>
    <w:rsid w:val="007F17CB"/>
    <w:rsid w:val="007F40B8"/>
    <w:rsid w:val="007F47B5"/>
    <w:rsid w:val="007F48E8"/>
    <w:rsid w:val="007F50D4"/>
    <w:rsid w:val="007F5290"/>
    <w:rsid w:val="007F5E5D"/>
    <w:rsid w:val="007F6443"/>
    <w:rsid w:val="007F657D"/>
    <w:rsid w:val="007F6F31"/>
    <w:rsid w:val="007F7F65"/>
    <w:rsid w:val="008009B8"/>
    <w:rsid w:val="00800FE1"/>
    <w:rsid w:val="00802667"/>
    <w:rsid w:val="008044E4"/>
    <w:rsid w:val="00804AB1"/>
    <w:rsid w:val="00805541"/>
    <w:rsid w:val="00806066"/>
    <w:rsid w:val="00806232"/>
    <w:rsid w:val="008067B3"/>
    <w:rsid w:val="00806AA5"/>
    <w:rsid w:val="008071F4"/>
    <w:rsid w:val="008101BD"/>
    <w:rsid w:val="00810EB1"/>
    <w:rsid w:val="008118A2"/>
    <w:rsid w:val="00811F09"/>
    <w:rsid w:val="0081243E"/>
    <w:rsid w:val="00812C70"/>
    <w:rsid w:val="0081367A"/>
    <w:rsid w:val="00813BFB"/>
    <w:rsid w:val="008146E3"/>
    <w:rsid w:val="00814C0C"/>
    <w:rsid w:val="00814ED7"/>
    <w:rsid w:val="00815FFC"/>
    <w:rsid w:val="008168A6"/>
    <w:rsid w:val="00816D6A"/>
    <w:rsid w:val="0081742E"/>
    <w:rsid w:val="00817535"/>
    <w:rsid w:val="008176F0"/>
    <w:rsid w:val="0082041E"/>
    <w:rsid w:val="008207D8"/>
    <w:rsid w:val="00821BFB"/>
    <w:rsid w:val="0082285B"/>
    <w:rsid w:val="008235F9"/>
    <w:rsid w:val="00823F7D"/>
    <w:rsid w:val="00824F08"/>
    <w:rsid w:val="00825ABB"/>
    <w:rsid w:val="00825D61"/>
    <w:rsid w:val="0082640F"/>
    <w:rsid w:val="0082647D"/>
    <w:rsid w:val="008275D6"/>
    <w:rsid w:val="00827781"/>
    <w:rsid w:val="00827B16"/>
    <w:rsid w:val="00827CE0"/>
    <w:rsid w:val="00830E25"/>
    <w:rsid w:val="0083228C"/>
    <w:rsid w:val="00832AF9"/>
    <w:rsid w:val="00832F37"/>
    <w:rsid w:val="008347E1"/>
    <w:rsid w:val="00835A6D"/>
    <w:rsid w:val="00835CEF"/>
    <w:rsid w:val="00835FE4"/>
    <w:rsid w:val="008362CD"/>
    <w:rsid w:val="008364E7"/>
    <w:rsid w:val="0083661E"/>
    <w:rsid w:val="00836F3B"/>
    <w:rsid w:val="00840E75"/>
    <w:rsid w:val="00840E76"/>
    <w:rsid w:val="00840ED1"/>
    <w:rsid w:val="00841282"/>
    <w:rsid w:val="00841668"/>
    <w:rsid w:val="0084191E"/>
    <w:rsid w:val="00841A96"/>
    <w:rsid w:val="00842FFE"/>
    <w:rsid w:val="0084330C"/>
    <w:rsid w:val="008435D6"/>
    <w:rsid w:val="00843E65"/>
    <w:rsid w:val="008440FA"/>
    <w:rsid w:val="00844B4F"/>
    <w:rsid w:val="00844C5D"/>
    <w:rsid w:val="008451BC"/>
    <w:rsid w:val="00845C6C"/>
    <w:rsid w:val="00845E86"/>
    <w:rsid w:val="00846A4C"/>
    <w:rsid w:val="00846A9F"/>
    <w:rsid w:val="008502BC"/>
    <w:rsid w:val="008514D1"/>
    <w:rsid w:val="0085178A"/>
    <w:rsid w:val="00851CC5"/>
    <w:rsid w:val="00851FDA"/>
    <w:rsid w:val="0085274E"/>
    <w:rsid w:val="00853088"/>
    <w:rsid w:val="00853B58"/>
    <w:rsid w:val="0085439A"/>
    <w:rsid w:val="008549D7"/>
    <w:rsid w:val="00854C07"/>
    <w:rsid w:val="008602B1"/>
    <w:rsid w:val="00860476"/>
    <w:rsid w:val="00860731"/>
    <w:rsid w:val="0086097D"/>
    <w:rsid w:val="008616E7"/>
    <w:rsid w:val="00861CFE"/>
    <w:rsid w:val="0086322A"/>
    <w:rsid w:val="00863360"/>
    <w:rsid w:val="00863820"/>
    <w:rsid w:val="0086630B"/>
    <w:rsid w:val="00867BD3"/>
    <w:rsid w:val="008703C2"/>
    <w:rsid w:val="008706B6"/>
    <w:rsid w:val="00870F85"/>
    <w:rsid w:val="00871A21"/>
    <w:rsid w:val="008730B5"/>
    <w:rsid w:val="008733A3"/>
    <w:rsid w:val="008739F0"/>
    <w:rsid w:val="00873D83"/>
    <w:rsid w:val="00875196"/>
    <w:rsid w:val="00876A67"/>
    <w:rsid w:val="00880FCB"/>
    <w:rsid w:val="0088174C"/>
    <w:rsid w:val="00881980"/>
    <w:rsid w:val="0088264A"/>
    <w:rsid w:val="00882890"/>
    <w:rsid w:val="00882F50"/>
    <w:rsid w:val="00883FE8"/>
    <w:rsid w:val="008844C2"/>
    <w:rsid w:val="00884AA8"/>
    <w:rsid w:val="00884B90"/>
    <w:rsid w:val="0088554E"/>
    <w:rsid w:val="00885737"/>
    <w:rsid w:val="0088633E"/>
    <w:rsid w:val="008900FB"/>
    <w:rsid w:val="00890D04"/>
    <w:rsid w:val="00892045"/>
    <w:rsid w:val="008926BE"/>
    <w:rsid w:val="008927B3"/>
    <w:rsid w:val="00892819"/>
    <w:rsid w:val="00892B5F"/>
    <w:rsid w:val="0089307F"/>
    <w:rsid w:val="00894016"/>
    <w:rsid w:val="00894121"/>
    <w:rsid w:val="008945F0"/>
    <w:rsid w:val="00896773"/>
    <w:rsid w:val="00896C3D"/>
    <w:rsid w:val="0089752D"/>
    <w:rsid w:val="00897539"/>
    <w:rsid w:val="008A0F9A"/>
    <w:rsid w:val="008A1E87"/>
    <w:rsid w:val="008A1EB7"/>
    <w:rsid w:val="008A2591"/>
    <w:rsid w:val="008A334C"/>
    <w:rsid w:val="008A3414"/>
    <w:rsid w:val="008A347C"/>
    <w:rsid w:val="008A3AED"/>
    <w:rsid w:val="008A3B00"/>
    <w:rsid w:val="008A4A9B"/>
    <w:rsid w:val="008A6931"/>
    <w:rsid w:val="008A6B77"/>
    <w:rsid w:val="008A71EF"/>
    <w:rsid w:val="008A7801"/>
    <w:rsid w:val="008A7C8D"/>
    <w:rsid w:val="008B07BD"/>
    <w:rsid w:val="008B1CD1"/>
    <w:rsid w:val="008B2C96"/>
    <w:rsid w:val="008B2DBE"/>
    <w:rsid w:val="008B2E36"/>
    <w:rsid w:val="008B3B0D"/>
    <w:rsid w:val="008B4AC7"/>
    <w:rsid w:val="008B4D8D"/>
    <w:rsid w:val="008B548A"/>
    <w:rsid w:val="008B5527"/>
    <w:rsid w:val="008B5693"/>
    <w:rsid w:val="008B5CF5"/>
    <w:rsid w:val="008B5DF2"/>
    <w:rsid w:val="008B64C7"/>
    <w:rsid w:val="008B6E94"/>
    <w:rsid w:val="008B757C"/>
    <w:rsid w:val="008B796A"/>
    <w:rsid w:val="008B7D41"/>
    <w:rsid w:val="008C0CC9"/>
    <w:rsid w:val="008C17DD"/>
    <w:rsid w:val="008C30CA"/>
    <w:rsid w:val="008C440A"/>
    <w:rsid w:val="008C51DC"/>
    <w:rsid w:val="008C5304"/>
    <w:rsid w:val="008C5497"/>
    <w:rsid w:val="008C59C5"/>
    <w:rsid w:val="008C5AA1"/>
    <w:rsid w:val="008C5DF4"/>
    <w:rsid w:val="008D00F6"/>
    <w:rsid w:val="008D0443"/>
    <w:rsid w:val="008D0822"/>
    <w:rsid w:val="008D0B68"/>
    <w:rsid w:val="008D2802"/>
    <w:rsid w:val="008D2E3A"/>
    <w:rsid w:val="008D41AE"/>
    <w:rsid w:val="008D5618"/>
    <w:rsid w:val="008D594C"/>
    <w:rsid w:val="008D61CD"/>
    <w:rsid w:val="008D6300"/>
    <w:rsid w:val="008D673D"/>
    <w:rsid w:val="008D6EB2"/>
    <w:rsid w:val="008D7850"/>
    <w:rsid w:val="008D7BDF"/>
    <w:rsid w:val="008E11E7"/>
    <w:rsid w:val="008E1EA6"/>
    <w:rsid w:val="008E38E5"/>
    <w:rsid w:val="008E4E28"/>
    <w:rsid w:val="008E6C0B"/>
    <w:rsid w:val="008F0ADD"/>
    <w:rsid w:val="008F1469"/>
    <w:rsid w:val="008F22A1"/>
    <w:rsid w:val="008F2DAB"/>
    <w:rsid w:val="008F3863"/>
    <w:rsid w:val="008F3A00"/>
    <w:rsid w:val="008F3B5F"/>
    <w:rsid w:val="008F4F15"/>
    <w:rsid w:val="008F5814"/>
    <w:rsid w:val="008F61BD"/>
    <w:rsid w:val="008F798C"/>
    <w:rsid w:val="00900A57"/>
    <w:rsid w:val="00901E35"/>
    <w:rsid w:val="00901FDA"/>
    <w:rsid w:val="00902207"/>
    <w:rsid w:val="00904106"/>
    <w:rsid w:val="0090473E"/>
    <w:rsid w:val="00905192"/>
    <w:rsid w:val="009056C7"/>
    <w:rsid w:val="009068CC"/>
    <w:rsid w:val="00906E7A"/>
    <w:rsid w:val="0090731C"/>
    <w:rsid w:val="00907D44"/>
    <w:rsid w:val="009102F6"/>
    <w:rsid w:val="00910866"/>
    <w:rsid w:val="00911107"/>
    <w:rsid w:val="00911181"/>
    <w:rsid w:val="0091271D"/>
    <w:rsid w:val="00912E7A"/>
    <w:rsid w:val="00914BF0"/>
    <w:rsid w:val="009151C2"/>
    <w:rsid w:val="00916461"/>
    <w:rsid w:val="00921140"/>
    <w:rsid w:val="009216F5"/>
    <w:rsid w:val="00921F7E"/>
    <w:rsid w:val="009229FE"/>
    <w:rsid w:val="00923950"/>
    <w:rsid w:val="00924AF4"/>
    <w:rsid w:val="00925BEE"/>
    <w:rsid w:val="009264AC"/>
    <w:rsid w:val="00927069"/>
    <w:rsid w:val="009273A8"/>
    <w:rsid w:val="009273B5"/>
    <w:rsid w:val="00930CE2"/>
    <w:rsid w:val="00932510"/>
    <w:rsid w:val="009330AE"/>
    <w:rsid w:val="009345EE"/>
    <w:rsid w:val="009346B4"/>
    <w:rsid w:val="00940C73"/>
    <w:rsid w:val="00940DB9"/>
    <w:rsid w:val="00941A59"/>
    <w:rsid w:val="00941C8F"/>
    <w:rsid w:val="0094209B"/>
    <w:rsid w:val="009423C8"/>
    <w:rsid w:val="00942732"/>
    <w:rsid w:val="0094283D"/>
    <w:rsid w:val="0094312E"/>
    <w:rsid w:val="00943218"/>
    <w:rsid w:val="00943F8A"/>
    <w:rsid w:val="009444C8"/>
    <w:rsid w:val="00944A69"/>
    <w:rsid w:val="00944C33"/>
    <w:rsid w:val="00944E1D"/>
    <w:rsid w:val="00946D34"/>
    <w:rsid w:val="00946E39"/>
    <w:rsid w:val="0094719E"/>
    <w:rsid w:val="009473D1"/>
    <w:rsid w:val="009478D6"/>
    <w:rsid w:val="00947A26"/>
    <w:rsid w:val="00950BC9"/>
    <w:rsid w:val="00951CEE"/>
    <w:rsid w:val="00951E3B"/>
    <w:rsid w:val="00951F31"/>
    <w:rsid w:val="0095238E"/>
    <w:rsid w:val="00952F35"/>
    <w:rsid w:val="00952FF7"/>
    <w:rsid w:val="009537E5"/>
    <w:rsid w:val="009540A3"/>
    <w:rsid w:val="0095528A"/>
    <w:rsid w:val="00955480"/>
    <w:rsid w:val="009561B1"/>
    <w:rsid w:val="00956A29"/>
    <w:rsid w:val="009614C7"/>
    <w:rsid w:val="00963869"/>
    <w:rsid w:val="00963BC7"/>
    <w:rsid w:val="00963E75"/>
    <w:rsid w:val="00964014"/>
    <w:rsid w:val="00964189"/>
    <w:rsid w:val="00965262"/>
    <w:rsid w:val="00965C38"/>
    <w:rsid w:val="00970C60"/>
    <w:rsid w:val="00971BC1"/>
    <w:rsid w:val="0097203A"/>
    <w:rsid w:val="0097217D"/>
    <w:rsid w:val="00972C7D"/>
    <w:rsid w:val="00974038"/>
    <w:rsid w:val="00974897"/>
    <w:rsid w:val="00974D1F"/>
    <w:rsid w:val="00975D58"/>
    <w:rsid w:val="00975EB7"/>
    <w:rsid w:val="00975F9B"/>
    <w:rsid w:val="0097613E"/>
    <w:rsid w:val="0097629F"/>
    <w:rsid w:val="00977BAA"/>
    <w:rsid w:val="00980002"/>
    <w:rsid w:val="0098064F"/>
    <w:rsid w:val="00980E58"/>
    <w:rsid w:val="009814EF"/>
    <w:rsid w:val="00981F07"/>
    <w:rsid w:val="0098434D"/>
    <w:rsid w:val="009843D0"/>
    <w:rsid w:val="00984855"/>
    <w:rsid w:val="00984F1E"/>
    <w:rsid w:val="00985675"/>
    <w:rsid w:val="009859A4"/>
    <w:rsid w:val="00986204"/>
    <w:rsid w:val="0098649A"/>
    <w:rsid w:val="00986845"/>
    <w:rsid w:val="00986DD9"/>
    <w:rsid w:val="00986E74"/>
    <w:rsid w:val="00987249"/>
    <w:rsid w:val="009873B9"/>
    <w:rsid w:val="00987F64"/>
    <w:rsid w:val="00990A48"/>
    <w:rsid w:val="00990B64"/>
    <w:rsid w:val="009912A5"/>
    <w:rsid w:val="009913C0"/>
    <w:rsid w:val="009922EC"/>
    <w:rsid w:val="009924B2"/>
    <w:rsid w:val="00992787"/>
    <w:rsid w:val="00992837"/>
    <w:rsid w:val="009929E9"/>
    <w:rsid w:val="00992BB2"/>
    <w:rsid w:val="00993418"/>
    <w:rsid w:val="00993456"/>
    <w:rsid w:val="00993796"/>
    <w:rsid w:val="00993806"/>
    <w:rsid w:val="00993D41"/>
    <w:rsid w:val="00994774"/>
    <w:rsid w:val="0099625B"/>
    <w:rsid w:val="00996D85"/>
    <w:rsid w:val="00997177"/>
    <w:rsid w:val="00997912"/>
    <w:rsid w:val="00997956"/>
    <w:rsid w:val="00997C1B"/>
    <w:rsid w:val="00997C6F"/>
    <w:rsid w:val="009A0EAC"/>
    <w:rsid w:val="009A2A5D"/>
    <w:rsid w:val="009A2AEC"/>
    <w:rsid w:val="009A4EFA"/>
    <w:rsid w:val="009A7384"/>
    <w:rsid w:val="009B2C8A"/>
    <w:rsid w:val="009B3C6A"/>
    <w:rsid w:val="009B53BE"/>
    <w:rsid w:val="009B7EF2"/>
    <w:rsid w:val="009C0CD1"/>
    <w:rsid w:val="009C1458"/>
    <w:rsid w:val="009C2C4F"/>
    <w:rsid w:val="009C2D7E"/>
    <w:rsid w:val="009C313C"/>
    <w:rsid w:val="009C32D5"/>
    <w:rsid w:val="009C4170"/>
    <w:rsid w:val="009C4EEF"/>
    <w:rsid w:val="009C50B9"/>
    <w:rsid w:val="009D047A"/>
    <w:rsid w:val="009D0AD7"/>
    <w:rsid w:val="009D0C08"/>
    <w:rsid w:val="009D1DFD"/>
    <w:rsid w:val="009D20DB"/>
    <w:rsid w:val="009D2DEB"/>
    <w:rsid w:val="009D37A3"/>
    <w:rsid w:val="009D3ACB"/>
    <w:rsid w:val="009D4B0C"/>
    <w:rsid w:val="009D5269"/>
    <w:rsid w:val="009D5582"/>
    <w:rsid w:val="009D79E5"/>
    <w:rsid w:val="009D7AB0"/>
    <w:rsid w:val="009D7D6A"/>
    <w:rsid w:val="009E00EC"/>
    <w:rsid w:val="009E040F"/>
    <w:rsid w:val="009E0FA2"/>
    <w:rsid w:val="009E1001"/>
    <w:rsid w:val="009E1054"/>
    <w:rsid w:val="009E15C9"/>
    <w:rsid w:val="009E2416"/>
    <w:rsid w:val="009E252C"/>
    <w:rsid w:val="009E2B70"/>
    <w:rsid w:val="009E381F"/>
    <w:rsid w:val="009E4062"/>
    <w:rsid w:val="009E49E6"/>
    <w:rsid w:val="009E4E8B"/>
    <w:rsid w:val="009E6022"/>
    <w:rsid w:val="009E616D"/>
    <w:rsid w:val="009E69C2"/>
    <w:rsid w:val="009F03C9"/>
    <w:rsid w:val="009F16E0"/>
    <w:rsid w:val="009F206B"/>
    <w:rsid w:val="009F2E6D"/>
    <w:rsid w:val="009F357D"/>
    <w:rsid w:val="009F3A2F"/>
    <w:rsid w:val="009F45EF"/>
    <w:rsid w:val="009F4C63"/>
    <w:rsid w:val="009F51A3"/>
    <w:rsid w:val="009F5401"/>
    <w:rsid w:val="009F61BC"/>
    <w:rsid w:val="009F6FDE"/>
    <w:rsid w:val="009F7A7D"/>
    <w:rsid w:val="00A00015"/>
    <w:rsid w:val="00A00114"/>
    <w:rsid w:val="00A0109F"/>
    <w:rsid w:val="00A01361"/>
    <w:rsid w:val="00A014C9"/>
    <w:rsid w:val="00A03199"/>
    <w:rsid w:val="00A035F9"/>
    <w:rsid w:val="00A03B35"/>
    <w:rsid w:val="00A04082"/>
    <w:rsid w:val="00A04276"/>
    <w:rsid w:val="00A053C8"/>
    <w:rsid w:val="00A06532"/>
    <w:rsid w:val="00A100B0"/>
    <w:rsid w:val="00A10950"/>
    <w:rsid w:val="00A10C86"/>
    <w:rsid w:val="00A11E94"/>
    <w:rsid w:val="00A126DB"/>
    <w:rsid w:val="00A12BFC"/>
    <w:rsid w:val="00A13387"/>
    <w:rsid w:val="00A13F4C"/>
    <w:rsid w:val="00A13F4D"/>
    <w:rsid w:val="00A1437D"/>
    <w:rsid w:val="00A15456"/>
    <w:rsid w:val="00A15864"/>
    <w:rsid w:val="00A15EF0"/>
    <w:rsid w:val="00A162FC"/>
    <w:rsid w:val="00A165D8"/>
    <w:rsid w:val="00A16F3C"/>
    <w:rsid w:val="00A17A6E"/>
    <w:rsid w:val="00A20872"/>
    <w:rsid w:val="00A209AB"/>
    <w:rsid w:val="00A20E09"/>
    <w:rsid w:val="00A224AA"/>
    <w:rsid w:val="00A22623"/>
    <w:rsid w:val="00A22B7B"/>
    <w:rsid w:val="00A230BB"/>
    <w:rsid w:val="00A23267"/>
    <w:rsid w:val="00A237BE"/>
    <w:rsid w:val="00A25FA8"/>
    <w:rsid w:val="00A261A1"/>
    <w:rsid w:val="00A265D4"/>
    <w:rsid w:val="00A27A7B"/>
    <w:rsid w:val="00A3039F"/>
    <w:rsid w:val="00A30639"/>
    <w:rsid w:val="00A32090"/>
    <w:rsid w:val="00A32F30"/>
    <w:rsid w:val="00A33312"/>
    <w:rsid w:val="00A3375C"/>
    <w:rsid w:val="00A33DBE"/>
    <w:rsid w:val="00A3527A"/>
    <w:rsid w:val="00A35F3A"/>
    <w:rsid w:val="00A365AE"/>
    <w:rsid w:val="00A3717E"/>
    <w:rsid w:val="00A37301"/>
    <w:rsid w:val="00A40328"/>
    <w:rsid w:val="00A411C0"/>
    <w:rsid w:val="00A41B7E"/>
    <w:rsid w:val="00A421F2"/>
    <w:rsid w:val="00A43204"/>
    <w:rsid w:val="00A434C4"/>
    <w:rsid w:val="00A443CC"/>
    <w:rsid w:val="00A445D8"/>
    <w:rsid w:val="00A44CF5"/>
    <w:rsid w:val="00A45812"/>
    <w:rsid w:val="00A45BE7"/>
    <w:rsid w:val="00A50581"/>
    <w:rsid w:val="00A528DD"/>
    <w:rsid w:val="00A529D8"/>
    <w:rsid w:val="00A529F7"/>
    <w:rsid w:val="00A52D1B"/>
    <w:rsid w:val="00A53236"/>
    <w:rsid w:val="00A54931"/>
    <w:rsid w:val="00A55043"/>
    <w:rsid w:val="00A55974"/>
    <w:rsid w:val="00A55AEE"/>
    <w:rsid w:val="00A55EA7"/>
    <w:rsid w:val="00A571ED"/>
    <w:rsid w:val="00A578F8"/>
    <w:rsid w:val="00A57AB0"/>
    <w:rsid w:val="00A57BA6"/>
    <w:rsid w:val="00A6096D"/>
    <w:rsid w:val="00A61C17"/>
    <w:rsid w:val="00A62934"/>
    <w:rsid w:val="00A62A00"/>
    <w:rsid w:val="00A63E74"/>
    <w:rsid w:val="00A641BD"/>
    <w:rsid w:val="00A6499E"/>
    <w:rsid w:val="00A6521E"/>
    <w:rsid w:val="00A67633"/>
    <w:rsid w:val="00A677BE"/>
    <w:rsid w:val="00A67CA8"/>
    <w:rsid w:val="00A7120C"/>
    <w:rsid w:val="00A7181F"/>
    <w:rsid w:val="00A71D82"/>
    <w:rsid w:val="00A73487"/>
    <w:rsid w:val="00A7373B"/>
    <w:rsid w:val="00A73CAD"/>
    <w:rsid w:val="00A743E7"/>
    <w:rsid w:val="00A74D2C"/>
    <w:rsid w:val="00A74EE8"/>
    <w:rsid w:val="00A750B6"/>
    <w:rsid w:val="00A751C5"/>
    <w:rsid w:val="00A75A4B"/>
    <w:rsid w:val="00A76234"/>
    <w:rsid w:val="00A76975"/>
    <w:rsid w:val="00A7714C"/>
    <w:rsid w:val="00A77754"/>
    <w:rsid w:val="00A7788C"/>
    <w:rsid w:val="00A80AB1"/>
    <w:rsid w:val="00A819EB"/>
    <w:rsid w:val="00A830A4"/>
    <w:rsid w:val="00A8321D"/>
    <w:rsid w:val="00A843A1"/>
    <w:rsid w:val="00A843BF"/>
    <w:rsid w:val="00A846ED"/>
    <w:rsid w:val="00A855F8"/>
    <w:rsid w:val="00A85664"/>
    <w:rsid w:val="00A85CA2"/>
    <w:rsid w:val="00A8632A"/>
    <w:rsid w:val="00A864EB"/>
    <w:rsid w:val="00A86FFE"/>
    <w:rsid w:val="00A87536"/>
    <w:rsid w:val="00A901A5"/>
    <w:rsid w:val="00A91610"/>
    <w:rsid w:val="00A91864"/>
    <w:rsid w:val="00A92280"/>
    <w:rsid w:val="00A92526"/>
    <w:rsid w:val="00A92CA7"/>
    <w:rsid w:val="00A92D66"/>
    <w:rsid w:val="00A9302A"/>
    <w:rsid w:val="00A93429"/>
    <w:rsid w:val="00A93A58"/>
    <w:rsid w:val="00A94766"/>
    <w:rsid w:val="00A94C1B"/>
    <w:rsid w:val="00A94FCD"/>
    <w:rsid w:val="00A94FE0"/>
    <w:rsid w:val="00A95106"/>
    <w:rsid w:val="00A956BD"/>
    <w:rsid w:val="00A95E28"/>
    <w:rsid w:val="00A96B89"/>
    <w:rsid w:val="00A96DD8"/>
    <w:rsid w:val="00A97AEA"/>
    <w:rsid w:val="00A97B54"/>
    <w:rsid w:val="00A97E8F"/>
    <w:rsid w:val="00AA1480"/>
    <w:rsid w:val="00AA26E7"/>
    <w:rsid w:val="00AA2A9D"/>
    <w:rsid w:val="00AA2D6B"/>
    <w:rsid w:val="00AA35D9"/>
    <w:rsid w:val="00AA5016"/>
    <w:rsid w:val="00AA5017"/>
    <w:rsid w:val="00AA54F0"/>
    <w:rsid w:val="00AA5910"/>
    <w:rsid w:val="00AA688B"/>
    <w:rsid w:val="00AA6B7A"/>
    <w:rsid w:val="00AA6F63"/>
    <w:rsid w:val="00AB08D1"/>
    <w:rsid w:val="00AB0EEC"/>
    <w:rsid w:val="00AB2093"/>
    <w:rsid w:val="00AB3E38"/>
    <w:rsid w:val="00AB43FD"/>
    <w:rsid w:val="00AB55F5"/>
    <w:rsid w:val="00AB5AA2"/>
    <w:rsid w:val="00AB5AE2"/>
    <w:rsid w:val="00AB5BD3"/>
    <w:rsid w:val="00AB5F69"/>
    <w:rsid w:val="00AB6064"/>
    <w:rsid w:val="00AB62CE"/>
    <w:rsid w:val="00AB6856"/>
    <w:rsid w:val="00AB6E58"/>
    <w:rsid w:val="00AB77F7"/>
    <w:rsid w:val="00AB7E11"/>
    <w:rsid w:val="00AC13F4"/>
    <w:rsid w:val="00AC2975"/>
    <w:rsid w:val="00AC3756"/>
    <w:rsid w:val="00AC420E"/>
    <w:rsid w:val="00AC5065"/>
    <w:rsid w:val="00AC5247"/>
    <w:rsid w:val="00AC57E9"/>
    <w:rsid w:val="00AC645E"/>
    <w:rsid w:val="00AC6EFC"/>
    <w:rsid w:val="00AC717F"/>
    <w:rsid w:val="00AC78FA"/>
    <w:rsid w:val="00AD27AC"/>
    <w:rsid w:val="00AD3835"/>
    <w:rsid w:val="00AD4339"/>
    <w:rsid w:val="00AD4A76"/>
    <w:rsid w:val="00AD5854"/>
    <w:rsid w:val="00AD5936"/>
    <w:rsid w:val="00AD5FBA"/>
    <w:rsid w:val="00AD777A"/>
    <w:rsid w:val="00AE087E"/>
    <w:rsid w:val="00AE0B43"/>
    <w:rsid w:val="00AE1FA1"/>
    <w:rsid w:val="00AE2A92"/>
    <w:rsid w:val="00AE5070"/>
    <w:rsid w:val="00AE52A9"/>
    <w:rsid w:val="00AE63BB"/>
    <w:rsid w:val="00AE73FA"/>
    <w:rsid w:val="00AE75BF"/>
    <w:rsid w:val="00AF0208"/>
    <w:rsid w:val="00AF1251"/>
    <w:rsid w:val="00AF1D7E"/>
    <w:rsid w:val="00AF1DDF"/>
    <w:rsid w:val="00AF247C"/>
    <w:rsid w:val="00AF2746"/>
    <w:rsid w:val="00AF4194"/>
    <w:rsid w:val="00AF4DCB"/>
    <w:rsid w:val="00AF6046"/>
    <w:rsid w:val="00AF6250"/>
    <w:rsid w:val="00AF660D"/>
    <w:rsid w:val="00AF66F4"/>
    <w:rsid w:val="00AF705E"/>
    <w:rsid w:val="00B004A9"/>
    <w:rsid w:val="00B00943"/>
    <w:rsid w:val="00B00BC0"/>
    <w:rsid w:val="00B00BF1"/>
    <w:rsid w:val="00B014EA"/>
    <w:rsid w:val="00B01F26"/>
    <w:rsid w:val="00B025AA"/>
    <w:rsid w:val="00B02D05"/>
    <w:rsid w:val="00B030B3"/>
    <w:rsid w:val="00B030C2"/>
    <w:rsid w:val="00B0371C"/>
    <w:rsid w:val="00B0388F"/>
    <w:rsid w:val="00B04160"/>
    <w:rsid w:val="00B04815"/>
    <w:rsid w:val="00B04C28"/>
    <w:rsid w:val="00B05531"/>
    <w:rsid w:val="00B05B10"/>
    <w:rsid w:val="00B072D9"/>
    <w:rsid w:val="00B076B3"/>
    <w:rsid w:val="00B10565"/>
    <w:rsid w:val="00B1056C"/>
    <w:rsid w:val="00B10E88"/>
    <w:rsid w:val="00B1228D"/>
    <w:rsid w:val="00B124E3"/>
    <w:rsid w:val="00B1292C"/>
    <w:rsid w:val="00B14C34"/>
    <w:rsid w:val="00B155C7"/>
    <w:rsid w:val="00B161EF"/>
    <w:rsid w:val="00B16E4E"/>
    <w:rsid w:val="00B176DF"/>
    <w:rsid w:val="00B17AC8"/>
    <w:rsid w:val="00B20392"/>
    <w:rsid w:val="00B2039E"/>
    <w:rsid w:val="00B2151C"/>
    <w:rsid w:val="00B21C50"/>
    <w:rsid w:val="00B21D6D"/>
    <w:rsid w:val="00B223AB"/>
    <w:rsid w:val="00B2285E"/>
    <w:rsid w:val="00B22B1A"/>
    <w:rsid w:val="00B22C03"/>
    <w:rsid w:val="00B22D68"/>
    <w:rsid w:val="00B22F70"/>
    <w:rsid w:val="00B2385C"/>
    <w:rsid w:val="00B23DC6"/>
    <w:rsid w:val="00B24298"/>
    <w:rsid w:val="00B2432F"/>
    <w:rsid w:val="00B24733"/>
    <w:rsid w:val="00B249E5"/>
    <w:rsid w:val="00B2553B"/>
    <w:rsid w:val="00B25576"/>
    <w:rsid w:val="00B2596D"/>
    <w:rsid w:val="00B259CE"/>
    <w:rsid w:val="00B25EFB"/>
    <w:rsid w:val="00B261CD"/>
    <w:rsid w:val="00B2665C"/>
    <w:rsid w:val="00B26893"/>
    <w:rsid w:val="00B26A6D"/>
    <w:rsid w:val="00B2727B"/>
    <w:rsid w:val="00B30BA3"/>
    <w:rsid w:val="00B30BED"/>
    <w:rsid w:val="00B311D3"/>
    <w:rsid w:val="00B31246"/>
    <w:rsid w:val="00B31837"/>
    <w:rsid w:val="00B318F9"/>
    <w:rsid w:val="00B32669"/>
    <w:rsid w:val="00B337E3"/>
    <w:rsid w:val="00B33C33"/>
    <w:rsid w:val="00B33E07"/>
    <w:rsid w:val="00B3491E"/>
    <w:rsid w:val="00B35091"/>
    <w:rsid w:val="00B357FD"/>
    <w:rsid w:val="00B41D76"/>
    <w:rsid w:val="00B4321A"/>
    <w:rsid w:val="00B432BE"/>
    <w:rsid w:val="00B44CA3"/>
    <w:rsid w:val="00B44F0C"/>
    <w:rsid w:val="00B464F6"/>
    <w:rsid w:val="00B46E23"/>
    <w:rsid w:val="00B470BF"/>
    <w:rsid w:val="00B47EB6"/>
    <w:rsid w:val="00B509E0"/>
    <w:rsid w:val="00B526CA"/>
    <w:rsid w:val="00B526FE"/>
    <w:rsid w:val="00B53D5C"/>
    <w:rsid w:val="00B54103"/>
    <w:rsid w:val="00B5457C"/>
    <w:rsid w:val="00B545A6"/>
    <w:rsid w:val="00B5512A"/>
    <w:rsid w:val="00B559E7"/>
    <w:rsid w:val="00B5679B"/>
    <w:rsid w:val="00B5738E"/>
    <w:rsid w:val="00B57637"/>
    <w:rsid w:val="00B604E0"/>
    <w:rsid w:val="00B61F89"/>
    <w:rsid w:val="00B6233B"/>
    <w:rsid w:val="00B6292F"/>
    <w:rsid w:val="00B6327C"/>
    <w:rsid w:val="00B63579"/>
    <w:rsid w:val="00B65067"/>
    <w:rsid w:val="00B6506C"/>
    <w:rsid w:val="00B65C38"/>
    <w:rsid w:val="00B66512"/>
    <w:rsid w:val="00B668D0"/>
    <w:rsid w:val="00B669F7"/>
    <w:rsid w:val="00B674C5"/>
    <w:rsid w:val="00B67FF3"/>
    <w:rsid w:val="00B7059F"/>
    <w:rsid w:val="00B70A29"/>
    <w:rsid w:val="00B71828"/>
    <w:rsid w:val="00B71F21"/>
    <w:rsid w:val="00B72938"/>
    <w:rsid w:val="00B767E2"/>
    <w:rsid w:val="00B76BB1"/>
    <w:rsid w:val="00B77050"/>
    <w:rsid w:val="00B8003A"/>
    <w:rsid w:val="00B80041"/>
    <w:rsid w:val="00B80D13"/>
    <w:rsid w:val="00B810D7"/>
    <w:rsid w:val="00B813A8"/>
    <w:rsid w:val="00B820EB"/>
    <w:rsid w:val="00B8246D"/>
    <w:rsid w:val="00B82518"/>
    <w:rsid w:val="00B8345C"/>
    <w:rsid w:val="00B8353A"/>
    <w:rsid w:val="00B837DB"/>
    <w:rsid w:val="00B849C9"/>
    <w:rsid w:val="00B84A7B"/>
    <w:rsid w:val="00B84CC5"/>
    <w:rsid w:val="00B84F2D"/>
    <w:rsid w:val="00B8660B"/>
    <w:rsid w:val="00B86E8C"/>
    <w:rsid w:val="00B871CC"/>
    <w:rsid w:val="00B87DAA"/>
    <w:rsid w:val="00B87FD2"/>
    <w:rsid w:val="00B9003E"/>
    <w:rsid w:val="00B91180"/>
    <w:rsid w:val="00B91412"/>
    <w:rsid w:val="00B91919"/>
    <w:rsid w:val="00B92023"/>
    <w:rsid w:val="00B92080"/>
    <w:rsid w:val="00B93074"/>
    <w:rsid w:val="00B93191"/>
    <w:rsid w:val="00B947F9"/>
    <w:rsid w:val="00B94998"/>
    <w:rsid w:val="00B955E1"/>
    <w:rsid w:val="00B955F7"/>
    <w:rsid w:val="00B95AF7"/>
    <w:rsid w:val="00B95E85"/>
    <w:rsid w:val="00B96BEC"/>
    <w:rsid w:val="00B9732B"/>
    <w:rsid w:val="00B97577"/>
    <w:rsid w:val="00B978E5"/>
    <w:rsid w:val="00B9790D"/>
    <w:rsid w:val="00BA0286"/>
    <w:rsid w:val="00BA0846"/>
    <w:rsid w:val="00BA1E57"/>
    <w:rsid w:val="00BA269D"/>
    <w:rsid w:val="00BA2CA9"/>
    <w:rsid w:val="00BA32EC"/>
    <w:rsid w:val="00BA3E30"/>
    <w:rsid w:val="00BA41AC"/>
    <w:rsid w:val="00BA4C27"/>
    <w:rsid w:val="00BA53E2"/>
    <w:rsid w:val="00BA53F3"/>
    <w:rsid w:val="00BA57C9"/>
    <w:rsid w:val="00BA5D5B"/>
    <w:rsid w:val="00BA687C"/>
    <w:rsid w:val="00BA747D"/>
    <w:rsid w:val="00BA7A30"/>
    <w:rsid w:val="00BB08A8"/>
    <w:rsid w:val="00BB0B06"/>
    <w:rsid w:val="00BB1DCB"/>
    <w:rsid w:val="00BB25ED"/>
    <w:rsid w:val="00BB2D81"/>
    <w:rsid w:val="00BB3160"/>
    <w:rsid w:val="00BB3551"/>
    <w:rsid w:val="00BB37B1"/>
    <w:rsid w:val="00BB5736"/>
    <w:rsid w:val="00BB62B6"/>
    <w:rsid w:val="00BB7070"/>
    <w:rsid w:val="00BB76CA"/>
    <w:rsid w:val="00BB77BB"/>
    <w:rsid w:val="00BB78D8"/>
    <w:rsid w:val="00BC0C44"/>
    <w:rsid w:val="00BC189A"/>
    <w:rsid w:val="00BC284F"/>
    <w:rsid w:val="00BC2E60"/>
    <w:rsid w:val="00BC2F19"/>
    <w:rsid w:val="00BC3BDE"/>
    <w:rsid w:val="00BC51CD"/>
    <w:rsid w:val="00BC5421"/>
    <w:rsid w:val="00BC60C3"/>
    <w:rsid w:val="00BC7064"/>
    <w:rsid w:val="00BC7AE5"/>
    <w:rsid w:val="00BD0850"/>
    <w:rsid w:val="00BD08A3"/>
    <w:rsid w:val="00BD21A0"/>
    <w:rsid w:val="00BD298E"/>
    <w:rsid w:val="00BD2A44"/>
    <w:rsid w:val="00BD4312"/>
    <w:rsid w:val="00BD516D"/>
    <w:rsid w:val="00BD51E8"/>
    <w:rsid w:val="00BD6334"/>
    <w:rsid w:val="00BD6848"/>
    <w:rsid w:val="00BD6A5D"/>
    <w:rsid w:val="00BD7E72"/>
    <w:rsid w:val="00BE25E8"/>
    <w:rsid w:val="00BE382C"/>
    <w:rsid w:val="00BE469D"/>
    <w:rsid w:val="00BE51B7"/>
    <w:rsid w:val="00BE5324"/>
    <w:rsid w:val="00BE581D"/>
    <w:rsid w:val="00BE5C9C"/>
    <w:rsid w:val="00BE6895"/>
    <w:rsid w:val="00BE6FA8"/>
    <w:rsid w:val="00BE7954"/>
    <w:rsid w:val="00BF01D8"/>
    <w:rsid w:val="00BF069E"/>
    <w:rsid w:val="00BF1E49"/>
    <w:rsid w:val="00BF2D73"/>
    <w:rsid w:val="00BF2F3E"/>
    <w:rsid w:val="00BF311F"/>
    <w:rsid w:val="00BF3F48"/>
    <w:rsid w:val="00BF5543"/>
    <w:rsid w:val="00BF5550"/>
    <w:rsid w:val="00BF5A7F"/>
    <w:rsid w:val="00BF5C4E"/>
    <w:rsid w:val="00BF60A4"/>
    <w:rsid w:val="00BF7067"/>
    <w:rsid w:val="00BF730E"/>
    <w:rsid w:val="00C0008F"/>
    <w:rsid w:val="00C0012E"/>
    <w:rsid w:val="00C013A1"/>
    <w:rsid w:val="00C01FF9"/>
    <w:rsid w:val="00C02EB3"/>
    <w:rsid w:val="00C03363"/>
    <w:rsid w:val="00C04A88"/>
    <w:rsid w:val="00C04C90"/>
    <w:rsid w:val="00C04CD2"/>
    <w:rsid w:val="00C05870"/>
    <w:rsid w:val="00C05D23"/>
    <w:rsid w:val="00C062B8"/>
    <w:rsid w:val="00C1030B"/>
    <w:rsid w:val="00C103A8"/>
    <w:rsid w:val="00C1064E"/>
    <w:rsid w:val="00C117C2"/>
    <w:rsid w:val="00C119ED"/>
    <w:rsid w:val="00C12046"/>
    <w:rsid w:val="00C135C8"/>
    <w:rsid w:val="00C152A9"/>
    <w:rsid w:val="00C15662"/>
    <w:rsid w:val="00C15E3C"/>
    <w:rsid w:val="00C168FC"/>
    <w:rsid w:val="00C204A9"/>
    <w:rsid w:val="00C20C6A"/>
    <w:rsid w:val="00C245EA"/>
    <w:rsid w:val="00C246F1"/>
    <w:rsid w:val="00C259A1"/>
    <w:rsid w:val="00C25B06"/>
    <w:rsid w:val="00C266E6"/>
    <w:rsid w:val="00C275C4"/>
    <w:rsid w:val="00C27F0E"/>
    <w:rsid w:val="00C27FFC"/>
    <w:rsid w:val="00C30131"/>
    <w:rsid w:val="00C307AA"/>
    <w:rsid w:val="00C30CED"/>
    <w:rsid w:val="00C327B7"/>
    <w:rsid w:val="00C3283F"/>
    <w:rsid w:val="00C33122"/>
    <w:rsid w:val="00C3368E"/>
    <w:rsid w:val="00C3383B"/>
    <w:rsid w:val="00C33A6D"/>
    <w:rsid w:val="00C349C9"/>
    <w:rsid w:val="00C35F20"/>
    <w:rsid w:val="00C36A72"/>
    <w:rsid w:val="00C36FCE"/>
    <w:rsid w:val="00C3723C"/>
    <w:rsid w:val="00C37940"/>
    <w:rsid w:val="00C40642"/>
    <w:rsid w:val="00C4075D"/>
    <w:rsid w:val="00C41300"/>
    <w:rsid w:val="00C41957"/>
    <w:rsid w:val="00C41A8C"/>
    <w:rsid w:val="00C424AE"/>
    <w:rsid w:val="00C43986"/>
    <w:rsid w:val="00C44A4D"/>
    <w:rsid w:val="00C454D3"/>
    <w:rsid w:val="00C45780"/>
    <w:rsid w:val="00C45E8D"/>
    <w:rsid w:val="00C46F88"/>
    <w:rsid w:val="00C476EA"/>
    <w:rsid w:val="00C4780E"/>
    <w:rsid w:val="00C47C38"/>
    <w:rsid w:val="00C47FA0"/>
    <w:rsid w:val="00C502E0"/>
    <w:rsid w:val="00C51DF9"/>
    <w:rsid w:val="00C51FD5"/>
    <w:rsid w:val="00C52FCE"/>
    <w:rsid w:val="00C530CA"/>
    <w:rsid w:val="00C548DF"/>
    <w:rsid w:val="00C55B85"/>
    <w:rsid w:val="00C56BE8"/>
    <w:rsid w:val="00C57515"/>
    <w:rsid w:val="00C5791B"/>
    <w:rsid w:val="00C57E70"/>
    <w:rsid w:val="00C6120F"/>
    <w:rsid w:val="00C62463"/>
    <w:rsid w:val="00C63961"/>
    <w:rsid w:val="00C63B21"/>
    <w:rsid w:val="00C64218"/>
    <w:rsid w:val="00C65B56"/>
    <w:rsid w:val="00C660C5"/>
    <w:rsid w:val="00C66D3C"/>
    <w:rsid w:val="00C67DEC"/>
    <w:rsid w:val="00C70074"/>
    <w:rsid w:val="00C701D5"/>
    <w:rsid w:val="00C708D4"/>
    <w:rsid w:val="00C70932"/>
    <w:rsid w:val="00C71040"/>
    <w:rsid w:val="00C71333"/>
    <w:rsid w:val="00C7176E"/>
    <w:rsid w:val="00C71DC2"/>
    <w:rsid w:val="00C71FF6"/>
    <w:rsid w:val="00C724AA"/>
    <w:rsid w:val="00C72BAB"/>
    <w:rsid w:val="00C72F15"/>
    <w:rsid w:val="00C74047"/>
    <w:rsid w:val="00C74152"/>
    <w:rsid w:val="00C745A2"/>
    <w:rsid w:val="00C74731"/>
    <w:rsid w:val="00C76D01"/>
    <w:rsid w:val="00C779FA"/>
    <w:rsid w:val="00C804C8"/>
    <w:rsid w:val="00C813AE"/>
    <w:rsid w:val="00C82936"/>
    <w:rsid w:val="00C82EAF"/>
    <w:rsid w:val="00C83974"/>
    <w:rsid w:val="00C83B9E"/>
    <w:rsid w:val="00C84FC6"/>
    <w:rsid w:val="00C85242"/>
    <w:rsid w:val="00C85BD1"/>
    <w:rsid w:val="00C85E7D"/>
    <w:rsid w:val="00C86BB1"/>
    <w:rsid w:val="00C86C41"/>
    <w:rsid w:val="00C871F0"/>
    <w:rsid w:val="00C8722C"/>
    <w:rsid w:val="00C90045"/>
    <w:rsid w:val="00C907CB"/>
    <w:rsid w:val="00C90BA7"/>
    <w:rsid w:val="00C91D07"/>
    <w:rsid w:val="00C91F82"/>
    <w:rsid w:val="00C921BD"/>
    <w:rsid w:val="00C92AE6"/>
    <w:rsid w:val="00C934EB"/>
    <w:rsid w:val="00C94CF6"/>
    <w:rsid w:val="00C95563"/>
    <w:rsid w:val="00C9604B"/>
    <w:rsid w:val="00C96375"/>
    <w:rsid w:val="00C978AD"/>
    <w:rsid w:val="00C97C58"/>
    <w:rsid w:val="00CA02FB"/>
    <w:rsid w:val="00CA04BE"/>
    <w:rsid w:val="00CA0EDF"/>
    <w:rsid w:val="00CA21B3"/>
    <w:rsid w:val="00CA35A7"/>
    <w:rsid w:val="00CA3A38"/>
    <w:rsid w:val="00CA465D"/>
    <w:rsid w:val="00CA4E43"/>
    <w:rsid w:val="00CA753D"/>
    <w:rsid w:val="00CA7AD8"/>
    <w:rsid w:val="00CB1601"/>
    <w:rsid w:val="00CB3C62"/>
    <w:rsid w:val="00CB3DA3"/>
    <w:rsid w:val="00CB3DE2"/>
    <w:rsid w:val="00CB40AB"/>
    <w:rsid w:val="00CB451E"/>
    <w:rsid w:val="00CB543B"/>
    <w:rsid w:val="00CB6FAE"/>
    <w:rsid w:val="00CC14A0"/>
    <w:rsid w:val="00CC1638"/>
    <w:rsid w:val="00CC2061"/>
    <w:rsid w:val="00CC36EE"/>
    <w:rsid w:val="00CC3BC8"/>
    <w:rsid w:val="00CC5599"/>
    <w:rsid w:val="00CC60DB"/>
    <w:rsid w:val="00CD12BF"/>
    <w:rsid w:val="00CD17AB"/>
    <w:rsid w:val="00CD184E"/>
    <w:rsid w:val="00CD1E0E"/>
    <w:rsid w:val="00CD2078"/>
    <w:rsid w:val="00CD228A"/>
    <w:rsid w:val="00CD25C7"/>
    <w:rsid w:val="00CD419A"/>
    <w:rsid w:val="00CD46EA"/>
    <w:rsid w:val="00CD522F"/>
    <w:rsid w:val="00CD56E3"/>
    <w:rsid w:val="00CD5983"/>
    <w:rsid w:val="00CD6D28"/>
    <w:rsid w:val="00CD7C60"/>
    <w:rsid w:val="00CE029F"/>
    <w:rsid w:val="00CE02A6"/>
    <w:rsid w:val="00CE059F"/>
    <w:rsid w:val="00CE172A"/>
    <w:rsid w:val="00CE304C"/>
    <w:rsid w:val="00CE305E"/>
    <w:rsid w:val="00CE492E"/>
    <w:rsid w:val="00CE4A21"/>
    <w:rsid w:val="00CE4A89"/>
    <w:rsid w:val="00CE650A"/>
    <w:rsid w:val="00CE6742"/>
    <w:rsid w:val="00CE6F75"/>
    <w:rsid w:val="00CE6F76"/>
    <w:rsid w:val="00CE76CA"/>
    <w:rsid w:val="00CF00E9"/>
    <w:rsid w:val="00CF0428"/>
    <w:rsid w:val="00CF057B"/>
    <w:rsid w:val="00CF073D"/>
    <w:rsid w:val="00CF1B2D"/>
    <w:rsid w:val="00CF1D6E"/>
    <w:rsid w:val="00CF1D8A"/>
    <w:rsid w:val="00CF24FD"/>
    <w:rsid w:val="00CF2D8B"/>
    <w:rsid w:val="00CF304D"/>
    <w:rsid w:val="00CF3B15"/>
    <w:rsid w:val="00CF3EBE"/>
    <w:rsid w:val="00CF4CA8"/>
    <w:rsid w:val="00CF62D0"/>
    <w:rsid w:val="00CF7664"/>
    <w:rsid w:val="00D00058"/>
    <w:rsid w:val="00D029C8"/>
    <w:rsid w:val="00D02E51"/>
    <w:rsid w:val="00D03925"/>
    <w:rsid w:val="00D04595"/>
    <w:rsid w:val="00D05A9A"/>
    <w:rsid w:val="00D07893"/>
    <w:rsid w:val="00D0797E"/>
    <w:rsid w:val="00D11F40"/>
    <w:rsid w:val="00D127EF"/>
    <w:rsid w:val="00D139E9"/>
    <w:rsid w:val="00D13FCD"/>
    <w:rsid w:val="00D13FDD"/>
    <w:rsid w:val="00D14B2E"/>
    <w:rsid w:val="00D14F48"/>
    <w:rsid w:val="00D15109"/>
    <w:rsid w:val="00D15D24"/>
    <w:rsid w:val="00D16329"/>
    <w:rsid w:val="00D17322"/>
    <w:rsid w:val="00D1772C"/>
    <w:rsid w:val="00D20196"/>
    <w:rsid w:val="00D213FF"/>
    <w:rsid w:val="00D223E2"/>
    <w:rsid w:val="00D23ED4"/>
    <w:rsid w:val="00D23F7B"/>
    <w:rsid w:val="00D24438"/>
    <w:rsid w:val="00D24916"/>
    <w:rsid w:val="00D24CDD"/>
    <w:rsid w:val="00D26787"/>
    <w:rsid w:val="00D26C3E"/>
    <w:rsid w:val="00D27F07"/>
    <w:rsid w:val="00D30F2D"/>
    <w:rsid w:val="00D31244"/>
    <w:rsid w:val="00D31308"/>
    <w:rsid w:val="00D3144A"/>
    <w:rsid w:val="00D32079"/>
    <w:rsid w:val="00D323A4"/>
    <w:rsid w:val="00D3272B"/>
    <w:rsid w:val="00D331B1"/>
    <w:rsid w:val="00D333BE"/>
    <w:rsid w:val="00D341D2"/>
    <w:rsid w:val="00D354FD"/>
    <w:rsid w:val="00D36575"/>
    <w:rsid w:val="00D377DD"/>
    <w:rsid w:val="00D37A3B"/>
    <w:rsid w:val="00D37C4B"/>
    <w:rsid w:val="00D40BF8"/>
    <w:rsid w:val="00D41883"/>
    <w:rsid w:val="00D41C01"/>
    <w:rsid w:val="00D41DBA"/>
    <w:rsid w:val="00D41E3A"/>
    <w:rsid w:val="00D42559"/>
    <w:rsid w:val="00D43023"/>
    <w:rsid w:val="00D44599"/>
    <w:rsid w:val="00D45555"/>
    <w:rsid w:val="00D45A24"/>
    <w:rsid w:val="00D466D6"/>
    <w:rsid w:val="00D51874"/>
    <w:rsid w:val="00D52D6C"/>
    <w:rsid w:val="00D5407D"/>
    <w:rsid w:val="00D540C1"/>
    <w:rsid w:val="00D545E5"/>
    <w:rsid w:val="00D550D0"/>
    <w:rsid w:val="00D55DA9"/>
    <w:rsid w:val="00D56AA5"/>
    <w:rsid w:val="00D56B9F"/>
    <w:rsid w:val="00D56BF3"/>
    <w:rsid w:val="00D56D40"/>
    <w:rsid w:val="00D605CA"/>
    <w:rsid w:val="00D609FB"/>
    <w:rsid w:val="00D60CF2"/>
    <w:rsid w:val="00D6101D"/>
    <w:rsid w:val="00D61127"/>
    <w:rsid w:val="00D614FA"/>
    <w:rsid w:val="00D621A6"/>
    <w:rsid w:val="00D629EE"/>
    <w:rsid w:val="00D632FB"/>
    <w:rsid w:val="00D638AC"/>
    <w:rsid w:val="00D640D6"/>
    <w:rsid w:val="00D64B14"/>
    <w:rsid w:val="00D66EBE"/>
    <w:rsid w:val="00D67E4B"/>
    <w:rsid w:val="00D7067E"/>
    <w:rsid w:val="00D70AB6"/>
    <w:rsid w:val="00D72722"/>
    <w:rsid w:val="00D72982"/>
    <w:rsid w:val="00D72DC9"/>
    <w:rsid w:val="00D72FAB"/>
    <w:rsid w:val="00D73553"/>
    <w:rsid w:val="00D740DC"/>
    <w:rsid w:val="00D74648"/>
    <w:rsid w:val="00D747BC"/>
    <w:rsid w:val="00D74ED1"/>
    <w:rsid w:val="00D7545D"/>
    <w:rsid w:val="00D756F2"/>
    <w:rsid w:val="00D75945"/>
    <w:rsid w:val="00D766CF"/>
    <w:rsid w:val="00D76987"/>
    <w:rsid w:val="00D76B6C"/>
    <w:rsid w:val="00D7713C"/>
    <w:rsid w:val="00D80491"/>
    <w:rsid w:val="00D805B3"/>
    <w:rsid w:val="00D81609"/>
    <w:rsid w:val="00D817DF"/>
    <w:rsid w:val="00D8187F"/>
    <w:rsid w:val="00D81FD5"/>
    <w:rsid w:val="00D829C2"/>
    <w:rsid w:val="00D83723"/>
    <w:rsid w:val="00D844A8"/>
    <w:rsid w:val="00D84B05"/>
    <w:rsid w:val="00D85D76"/>
    <w:rsid w:val="00D864D1"/>
    <w:rsid w:val="00D86868"/>
    <w:rsid w:val="00D90B42"/>
    <w:rsid w:val="00D90B9D"/>
    <w:rsid w:val="00D90F31"/>
    <w:rsid w:val="00D91B20"/>
    <w:rsid w:val="00D92116"/>
    <w:rsid w:val="00D93091"/>
    <w:rsid w:val="00D9431E"/>
    <w:rsid w:val="00D94F5D"/>
    <w:rsid w:val="00D959FD"/>
    <w:rsid w:val="00D96655"/>
    <w:rsid w:val="00D972F7"/>
    <w:rsid w:val="00D97766"/>
    <w:rsid w:val="00DA0884"/>
    <w:rsid w:val="00DA14E3"/>
    <w:rsid w:val="00DA1885"/>
    <w:rsid w:val="00DA2632"/>
    <w:rsid w:val="00DA2857"/>
    <w:rsid w:val="00DA2DC5"/>
    <w:rsid w:val="00DA4978"/>
    <w:rsid w:val="00DA5426"/>
    <w:rsid w:val="00DA6087"/>
    <w:rsid w:val="00DA6388"/>
    <w:rsid w:val="00DA6789"/>
    <w:rsid w:val="00DA6A18"/>
    <w:rsid w:val="00DA7D61"/>
    <w:rsid w:val="00DA7F70"/>
    <w:rsid w:val="00DB017B"/>
    <w:rsid w:val="00DB0246"/>
    <w:rsid w:val="00DB0919"/>
    <w:rsid w:val="00DB0D26"/>
    <w:rsid w:val="00DB0F64"/>
    <w:rsid w:val="00DB1043"/>
    <w:rsid w:val="00DB1502"/>
    <w:rsid w:val="00DB1514"/>
    <w:rsid w:val="00DB1B77"/>
    <w:rsid w:val="00DB1D5B"/>
    <w:rsid w:val="00DB2ED7"/>
    <w:rsid w:val="00DB36EB"/>
    <w:rsid w:val="00DB3DD1"/>
    <w:rsid w:val="00DB3FB2"/>
    <w:rsid w:val="00DB423C"/>
    <w:rsid w:val="00DB4FF2"/>
    <w:rsid w:val="00DB72CE"/>
    <w:rsid w:val="00DB7A4C"/>
    <w:rsid w:val="00DB7E72"/>
    <w:rsid w:val="00DC04E6"/>
    <w:rsid w:val="00DC1F90"/>
    <w:rsid w:val="00DC2F9A"/>
    <w:rsid w:val="00DC3202"/>
    <w:rsid w:val="00DC3825"/>
    <w:rsid w:val="00DC39C7"/>
    <w:rsid w:val="00DC3E6F"/>
    <w:rsid w:val="00DC44CC"/>
    <w:rsid w:val="00DC44F3"/>
    <w:rsid w:val="00DC5E6F"/>
    <w:rsid w:val="00DC6290"/>
    <w:rsid w:val="00DC6F2F"/>
    <w:rsid w:val="00DC7185"/>
    <w:rsid w:val="00DC7556"/>
    <w:rsid w:val="00DC7AB4"/>
    <w:rsid w:val="00DC7D7F"/>
    <w:rsid w:val="00DD0D13"/>
    <w:rsid w:val="00DD0E6E"/>
    <w:rsid w:val="00DD1D0B"/>
    <w:rsid w:val="00DD2ABE"/>
    <w:rsid w:val="00DD32F8"/>
    <w:rsid w:val="00DD34EE"/>
    <w:rsid w:val="00DD3E7A"/>
    <w:rsid w:val="00DD606C"/>
    <w:rsid w:val="00DD61F7"/>
    <w:rsid w:val="00DD66D5"/>
    <w:rsid w:val="00DD6F53"/>
    <w:rsid w:val="00DD7731"/>
    <w:rsid w:val="00DD7857"/>
    <w:rsid w:val="00DD7E5C"/>
    <w:rsid w:val="00DE023C"/>
    <w:rsid w:val="00DE05D9"/>
    <w:rsid w:val="00DE092B"/>
    <w:rsid w:val="00DE0947"/>
    <w:rsid w:val="00DE0C63"/>
    <w:rsid w:val="00DE195B"/>
    <w:rsid w:val="00DE1AFB"/>
    <w:rsid w:val="00DE1E38"/>
    <w:rsid w:val="00DE4983"/>
    <w:rsid w:val="00DE4B67"/>
    <w:rsid w:val="00DE4F1A"/>
    <w:rsid w:val="00DE5226"/>
    <w:rsid w:val="00DE53DC"/>
    <w:rsid w:val="00DE5975"/>
    <w:rsid w:val="00DE5C6E"/>
    <w:rsid w:val="00DE6567"/>
    <w:rsid w:val="00DE755B"/>
    <w:rsid w:val="00DF0A76"/>
    <w:rsid w:val="00DF13BE"/>
    <w:rsid w:val="00DF25BE"/>
    <w:rsid w:val="00DF2BF9"/>
    <w:rsid w:val="00DF37D1"/>
    <w:rsid w:val="00DF3E4D"/>
    <w:rsid w:val="00DF5A53"/>
    <w:rsid w:val="00DF6580"/>
    <w:rsid w:val="00DF76F7"/>
    <w:rsid w:val="00DF78DB"/>
    <w:rsid w:val="00E01727"/>
    <w:rsid w:val="00E0245D"/>
    <w:rsid w:val="00E02FC4"/>
    <w:rsid w:val="00E03384"/>
    <w:rsid w:val="00E04912"/>
    <w:rsid w:val="00E04B60"/>
    <w:rsid w:val="00E057E0"/>
    <w:rsid w:val="00E059FB"/>
    <w:rsid w:val="00E05ABB"/>
    <w:rsid w:val="00E1027E"/>
    <w:rsid w:val="00E107A3"/>
    <w:rsid w:val="00E10DD6"/>
    <w:rsid w:val="00E11B8F"/>
    <w:rsid w:val="00E11CBE"/>
    <w:rsid w:val="00E12419"/>
    <w:rsid w:val="00E126E0"/>
    <w:rsid w:val="00E13264"/>
    <w:rsid w:val="00E136E6"/>
    <w:rsid w:val="00E141C6"/>
    <w:rsid w:val="00E142EA"/>
    <w:rsid w:val="00E14397"/>
    <w:rsid w:val="00E14816"/>
    <w:rsid w:val="00E14E1A"/>
    <w:rsid w:val="00E15C96"/>
    <w:rsid w:val="00E15D16"/>
    <w:rsid w:val="00E1728C"/>
    <w:rsid w:val="00E1797D"/>
    <w:rsid w:val="00E207A4"/>
    <w:rsid w:val="00E2164A"/>
    <w:rsid w:val="00E21F35"/>
    <w:rsid w:val="00E23A9E"/>
    <w:rsid w:val="00E23E13"/>
    <w:rsid w:val="00E23E67"/>
    <w:rsid w:val="00E240C6"/>
    <w:rsid w:val="00E2461C"/>
    <w:rsid w:val="00E246B9"/>
    <w:rsid w:val="00E249FC"/>
    <w:rsid w:val="00E24B5F"/>
    <w:rsid w:val="00E25044"/>
    <w:rsid w:val="00E25594"/>
    <w:rsid w:val="00E26247"/>
    <w:rsid w:val="00E26595"/>
    <w:rsid w:val="00E27E1B"/>
    <w:rsid w:val="00E31366"/>
    <w:rsid w:val="00E31AE4"/>
    <w:rsid w:val="00E322A1"/>
    <w:rsid w:val="00E35DA5"/>
    <w:rsid w:val="00E36021"/>
    <w:rsid w:val="00E3656C"/>
    <w:rsid w:val="00E36AF0"/>
    <w:rsid w:val="00E37F83"/>
    <w:rsid w:val="00E40192"/>
    <w:rsid w:val="00E4032E"/>
    <w:rsid w:val="00E41542"/>
    <w:rsid w:val="00E415A4"/>
    <w:rsid w:val="00E41625"/>
    <w:rsid w:val="00E41CAC"/>
    <w:rsid w:val="00E4244D"/>
    <w:rsid w:val="00E446BE"/>
    <w:rsid w:val="00E44B25"/>
    <w:rsid w:val="00E45C91"/>
    <w:rsid w:val="00E45CFD"/>
    <w:rsid w:val="00E46132"/>
    <w:rsid w:val="00E46589"/>
    <w:rsid w:val="00E46914"/>
    <w:rsid w:val="00E46EE2"/>
    <w:rsid w:val="00E50243"/>
    <w:rsid w:val="00E50294"/>
    <w:rsid w:val="00E5094E"/>
    <w:rsid w:val="00E50AB2"/>
    <w:rsid w:val="00E50C71"/>
    <w:rsid w:val="00E51092"/>
    <w:rsid w:val="00E5112B"/>
    <w:rsid w:val="00E51D18"/>
    <w:rsid w:val="00E52082"/>
    <w:rsid w:val="00E52289"/>
    <w:rsid w:val="00E5289D"/>
    <w:rsid w:val="00E52B57"/>
    <w:rsid w:val="00E52DB5"/>
    <w:rsid w:val="00E54170"/>
    <w:rsid w:val="00E54612"/>
    <w:rsid w:val="00E547F4"/>
    <w:rsid w:val="00E549F0"/>
    <w:rsid w:val="00E55F27"/>
    <w:rsid w:val="00E56648"/>
    <w:rsid w:val="00E56804"/>
    <w:rsid w:val="00E5744C"/>
    <w:rsid w:val="00E57964"/>
    <w:rsid w:val="00E605D2"/>
    <w:rsid w:val="00E61B41"/>
    <w:rsid w:val="00E61E5D"/>
    <w:rsid w:val="00E6225E"/>
    <w:rsid w:val="00E6442F"/>
    <w:rsid w:val="00E64648"/>
    <w:rsid w:val="00E668A3"/>
    <w:rsid w:val="00E66B89"/>
    <w:rsid w:val="00E66CD7"/>
    <w:rsid w:val="00E674D6"/>
    <w:rsid w:val="00E67C64"/>
    <w:rsid w:val="00E706A5"/>
    <w:rsid w:val="00E71A61"/>
    <w:rsid w:val="00E72FA6"/>
    <w:rsid w:val="00E737F8"/>
    <w:rsid w:val="00E7485F"/>
    <w:rsid w:val="00E7522B"/>
    <w:rsid w:val="00E759E6"/>
    <w:rsid w:val="00E76048"/>
    <w:rsid w:val="00E76588"/>
    <w:rsid w:val="00E772DE"/>
    <w:rsid w:val="00E77334"/>
    <w:rsid w:val="00E775D6"/>
    <w:rsid w:val="00E807A5"/>
    <w:rsid w:val="00E8084E"/>
    <w:rsid w:val="00E80B30"/>
    <w:rsid w:val="00E80C2A"/>
    <w:rsid w:val="00E82062"/>
    <w:rsid w:val="00E83C03"/>
    <w:rsid w:val="00E85468"/>
    <w:rsid w:val="00E8748B"/>
    <w:rsid w:val="00E87C9C"/>
    <w:rsid w:val="00E9022B"/>
    <w:rsid w:val="00E90525"/>
    <w:rsid w:val="00E90672"/>
    <w:rsid w:val="00E91107"/>
    <w:rsid w:val="00E91638"/>
    <w:rsid w:val="00E922F6"/>
    <w:rsid w:val="00E924D4"/>
    <w:rsid w:val="00E92BC6"/>
    <w:rsid w:val="00E92CCF"/>
    <w:rsid w:val="00E932D3"/>
    <w:rsid w:val="00E9347C"/>
    <w:rsid w:val="00E9457E"/>
    <w:rsid w:val="00E95191"/>
    <w:rsid w:val="00E956AB"/>
    <w:rsid w:val="00E96CAB"/>
    <w:rsid w:val="00E96E9B"/>
    <w:rsid w:val="00E97492"/>
    <w:rsid w:val="00EA0EE3"/>
    <w:rsid w:val="00EA0F80"/>
    <w:rsid w:val="00EA3B1C"/>
    <w:rsid w:val="00EA499F"/>
    <w:rsid w:val="00EA6B69"/>
    <w:rsid w:val="00EB1476"/>
    <w:rsid w:val="00EB1479"/>
    <w:rsid w:val="00EB16FF"/>
    <w:rsid w:val="00EB2A07"/>
    <w:rsid w:val="00EB4FAC"/>
    <w:rsid w:val="00EB51D1"/>
    <w:rsid w:val="00EB54D4"/>
    <w:rsid w:val="00EB7552"/>
    <w:rsid w:val="00EB7899"/>
    <w:rsid w:val="00EC05DA"/>
    <w:rsid w:val="00EC06F9"/>
    <w:rsid w:val="00EC0CB8"/>
    <w:rsid w:val="00EC0D6C"/>
    <w:rsid w:val="00EC1452"/>
    <w:rsid w:val="00EC1787"/>
    <w:rsid w:val="00EC195D"/>
    <w:rsid w:val="00EC29A3"/>
    <w:rsid w:val="00EC2C2E"/>
    <w:rsid w:val="00EC3537"/>
    <w:rsid w:val="00EC3713"/>
    <w:rsid w:val="00EC3D0C"/>
    <w:rsid w:val="00EC4C19"/>
    <w:rsid w:val="00EC5371"/>
    <w:rsid w:val="00EC61CA"/>
    <w:rsid w:val="00EC6334"/>
    <w:rsid w:val="00EC747F"/>
    <w:rsid w:val="00EC7CD7"/>
    <w:rsid w:val="00ED0FFE"/>
    <w:rsid w:val="00ED151D"/>
    <w:rsid w:val="00ED1AAB"/>
    <w:rsid w:val="00ED1BB6"/>
    <w:rsid w:val="00ED2586"/>
    <w:rsid w:val="00ED327A"/>
    <w:rsid w:val="00ED3694"/>
    <w:rsid w:val="00ED375E"/>
    <w:rsid w:val="00ED377A"/>
    <w:rsid w:val="00ED38C4"/>
    <w:rsid w:val="00ED4498"/>
    <w:rsid w:val="00ED4D12"/>
    <w:rsid w:val="00ED54A4"/>
    <w:rsid w:val="00ED571C"/>
    <w:rsid w:val="00ED652E"/>
    <w:rsid w:val="00ED6B44"/>
    <w:rsid w:val="00ED75DF"/>
    <w:rsid w:val="00EE0136"/>
    <w:rsid w:val="00EE0A08"/>
    <w:rsid w:val="00EE15CD"/>
    <w:rsid w:val="00EE1A8E"/>
    <w:rsid w:val="00EE2933"/>
    <w:rsid w:val="00EE5535"/>
    <w:rsid w:val="00EE76C9"/>
    <w:rsid w:val="00EF0D2C"/>
    <w:rsid w:val="00EF23D4"/>
    <w:rsid w:val="00EF37BB"/>
    <w:rsid w:val="00EF3DD7"/>
    <w:rsid w:val="00EF49A8"/>
    <w:rsid w:val="00EF58C8"/>
    <w:rsid w:val="00EF60CE"/>
    <w:rsid w:val="00EF60F8"/>
    <w:rsid w:val="00EF69B1"/>
    <w:rsid w:val="00EF7772"/>
    <w:rsid w:val="00F0094B"/>
    <w:rsid w:val="00F014CE"/>
    <w:rsid w:val="00F056EC"/>
    <w:rsid w:val="00F05718"/>
    <w:rsid w:val="00F05809"/>
    <w:rsid w:val="00F05FA8"/>
    <w:rsid w:val="00F0654F"/>
    <w:rsid w:val="00F0680C"/>
    <w:rsid w:val="00F06C7F"/>
    <w:rsid w:val="00F0798D"/>
    <w:rsid w:val="00F07C62"/>
    <w:rsid w:val="00F10901"/>
    <w:rsid w:val="00F10FCE"/>
    <w:rsid w:val="00F12D6B"/>
    <w:rsid w:val="00F12D9B"/>
    <w:rsid w:val="00F13754"/>
    <w:rsid w:val="00F13969"/>
    <w:rsid w:val="00F14A1F"/>
    <w:rsid w:val="00F14A92"/>
    <w:rsid w:val="00F14FAB"/>
    <w:rsid w:val="00F15090"/>
    <w:rsid w:val="00F16ED7"/>
    <w:rsid w:val="00F176B9"/>
    <w:rsid w:val="00F17848"/>
    <w:rsid w:val="00F20D65"/>
    <w:rsid w:val="00F213AE"/>
    <w:rsid w:val="00F221BC"/>
    <w:rsid w:val="00F22414"/>
    <w:rsid w:val="00F22F79"/>
    <w:rsid w:val="00F23958"/>
    <w:rsid w:val="00F23CF4"/>
    <w:rsid w:val="00F24A2B"/>
    <w:rsid w:val="00F25679"/>
    <w:rsid w:val="00F258FA"/>
    <w:rsid w:val="00F25F13"/>
    <w:rsid w:val="00F25FCE"/>
    <w:rsid w:val="00F26124"/>
    <w:rsid w:val="00F3193E"/>
    <w:rsid w:val="00F31A79"/>
    <w:rsid w:val="00F31BCD"/>
    <w:rsid w:val="00F335C1"/>
    <w:rsid w:val="00F340F8"/>
    <w:rsid w:val="00F34B28"/>
    <w:rsid w:val="00F34E6F"/>
    <w:rsid w:val="00F35889"/>
    <w:rsid w:val="00F36208"/>
    <w:rsid w:val="00F36886"/>
    <w:rsid w:val="00F36E3C"/>
    <w:rsid w:val="00F36FA6"/>
    <w:rsid w:val="00F3705D"/>
    <w:rsid w:val="00F371BA"/>
    <w:rsid w:val="00F3729C"/>
    <w:rsid w:val="00F403D1"/>
    <w:rsid w:val="00F40C7F"/>
    <w:rsid w:val="00F41273"/>
    <w:rsid w:val="00F415CF"/>
    <w:rsid w:val="00F41E76"/>
    <w:rsid w:val="00F4309A"/>
    <w:rsid w:val="00F43EE3"/>
    <w:rsid w:val="00F43FD9"/>
    <w:rsid w:val="00F4517F"/>
    <w:rsid w:val="00F45D2C"/>
    <w:rsid w:val="00F46B57"/>
    <w:rsid w:val="00F46FE1"/>
    <w:rsid w:val="00F47ADE"/>
    <w:rsid w:val="00F47CFF"/>
    <w:rsid w:val="00F51614"/>
    <w:rsid w:val="00F51F1B"/>
    <w:rsid w:val="00F524D6"/>
    <w:rsid w:val="00F52518"/>
    <w:rsid w:val="00F52805"/>
    <w:rsid w:val="00F52B84"/>
    <w:rsid w:val="00F52C54"/>
    <w:rsid w:val="00F533B5"/>
    <w:rsid w:val="00F559AC"/>
    <w:rsid w:val="00F56BBE"/>
    <w:rsid w:val="00F572E5"/>
    <w:rsid w:val="00F60A14"/>
    <w:rsid w:val="00F61708"/>
    <w:rsid w:val="00F617AA"/>
    <w:rsid w:val="00F6440D"/>
    <w:rsid w:val="00F64D88"/>
    <w:rsid w:val="00F66D2F"/>
    <w:rsid w:val="00F66DFD"/>
    <w:rsid w:val="00F67F65"/>
    <w:rsid w:val="00F700AE"/>
    <w:rsid w:val="00F70345"/>
    <w:rsid w:val="00F7081D"/>
    <w:rsid w:val="00F709AA"/>
    <w:rsid w:val="00F71DC2"/>
    <w:rsid w:val="00F71F0F"/>
    <w:rsid w:val="00F7238B"/>
    <w:rsid w:val="00F72B19"/>
    <w:rsid w:val="00F72B4D"/>
    <w:rsid w:val="00F72EAB"/>
    <w:rsid w:val="00F738AD"/>
    <w:rsid w:val="00F738EA"/>
    <w:rsid w:val="00F742B8"/>
    <w:rsid w:val="00F745D2"/>
    <w:rsid w:val="00F7629E"/>
    <w:rsid w:val="00F76622"/>
    <w:rsid w:val="00F805E0"/>
    <w:rsid w:val="00F81C9E"/>
    <w:rsid w:val="00F826C3"/>
    <w:rsid w:val="00F831C3"/>
    <w:rsid w:val="00F832ED"/>
    <w:rsid w:val="00F8591D"/>
    <w:rsid w:val="00F8652A"/>
    <w:rsid w:val="00F86781"/>
    <w:rsid w:val="00F86B73"/>
    <w:rsid w:val="00F8703C"/>
    <w:rsid w:val="00F8718B"/>
    <w:rsid w:val="00F874AE"/>
    <w:rsid w:val="00F87669"/>
    <w:rsid w:val="00F87E99"/>
    <w:rsid w:val="00F87EDF"/>
    <w:rsid w:val="00F90707"/>
    <w:rsid w:val="00F91565"/>
    <w:rsid w:val="00F91B05"/>
    <w:rsid w:val="00F929A7"/>
    <w:rsid w:val="00F937E7"/>
    <w:rsid w:val="00F938EE"/>
    <w:rsid w:val="00F93E0B"/>
    <w:rsid w:val="00F94060"/>
    <w:rsid w:val="00F949F6"/>
    <w:rsid w:val="00F94D97"/>
    <w:rsid w:val="00F95BEC"/>
    <w:rsid w:val="00F96DD4"/>
    <w:rsid w:val="00F97085"/>
    <w:rsid w:val="00F97792"/>
    <w:rsid w:val="00FA1B17"/>
    <w:rsid w:val="00FA26E1"/>
    <w:rsid w:val="00FA2ED8"/>
    <w:rsid w:val="00FA53CD"/>
    <w:rsid w:val="00FA5F9F"/>
    <w:rsid w:val="00FA6D05"/>
    <w:rsid w:val="00FB09C1"/>
    <w:rsid w:val="00FB1083"/>
    <w:rsid w:val="00FB13EF"/>
    <w:rsid w:val="00FB2CFC"/>
    <w:rsid w:val="00FB3124"/>
    <w:rsid w:val="00FB3795"/>
    <w:rsid w:val="00FB40E4"/>
    <w:rsid w:val="00FB52A1"/>
    <w:rsid w:val="00FB5468"/>
    <w:rsid w:val="00FB5484"/>
    <w:rsid w:val="00FB5874"/>
    <w:rsid w:val="00FB5E6A"/>
    <w:rsid w:val="00FB6269"/>
    <w:rsid w:val="00FB644D"/>
    <w:rsid w:val="00FB66F1"/>
    <w:rsid w:val="00FB71B9"/>
    <w:rsid w:val="00FB731E"/>
    <w:rsid w:val="00FC02A7"/>
    <w:rsid w:val="00FC0688"/>
    <w:rsid w:val="00FC206D"/>
    <w:rsid w:val="00FC2415"/>
    <w:rsid w:val="00FC31B9"/>
    <w:rsid w:val="00FC37EF"/>
    <w:rsid w:val="00FC3983"/>
    <w:rsid w:val="00FC5686"/>
    <w:rsid w:val="00FC57AB"/>
    <w:rsid w:val="00FC5FCC"/>
    <w:rsid w:val="00FC6BFE"/>
    <w:rsid w:val="00FC6E6D"/>
    <w:rsid w:val="00FC73C1"/>
    <w:rsid w:val="00FC7BC8"/>
    <w:rsid w:val="00FD0FCD"/>
    <w:rsid w:val="00FD1874"/>
    <w:rsid w:val="00FD2550"/>
    <w:rsid w:val="00FD2EDF"/>
    <w:rsid w:val="00FD2F4C"/>
    <w:rsid w:val="00FD3173"/>
    <w:rsid w:val="00FD3E9F"/>
    <w:rsid w:val="00FD4494"/>
    <w:rsid w:val="00FD48F3"/>
    <w:rsid w:val="00FD4D2A"/>
    <w:rsid w:val="00FD54AE"/>
    <w:rsid w:val="00FD7276"/>
    <w:rsid w:val="00FD7FD7"/>
    <w:rsid w:val="00FE067C"/>
    <w:rsid w:val="00FE1222"/>
    <w:rsid w:val="00FE1567"/>
    <w:rsid w:val="00FE2664"/>
    <w:rsid w:val="00FE2B21"/>
    <w:rsid w:val="00FE4408"/>
    <w:rsid w:val="00FE4A8C"/>
    <w:rsid w:val="00FE4AC9"/>
    <w:rsid w:val="00FE4E8F"/>
    <w:rsid w:val="00FE5909"/>
    <w:rsid w:val="00FE64DD"/>
    <w:rsid w:val="00FE65BA"/>
    <w:rsid w:val="00FE7437"/>
    <w:rsid w:val="00FE7B12"/>
    <w:rsid w:val="00FE7EA6"/>
    <w:rsid w:val="00FF1291"/>
    <w:rsid w:val="00FF131B"/>
    <w:rsid w:val="00FF1562"/>
    <w:rsid w:val="00FF1A3B"/>
    <w:rsid w:val="00FF1B4C"/>
    <w:rsid w:val="00FF1B87"/>
    <w:rsid w:val="00FF1E2B"/>
    <w:rsid w:val="00FF3E29"/>
    <w:rsid w:val="00FF3E4B"/>
    <w:rsid w:val="00FF4257"/>
    <w:rsid w:val="00FF61DB"/>
    <w:rsid w:val="00FF654B"/>
    <w:rsid w:val="00FF66A2"/>
    <w:rsid w:val="00FF6CD5"/>
    <w:rsid w:val="00FF7204"/>
    <w:rsid w:val="00FF726E"/>
    <w:rsid w:val="011C44BE"/>
    <w:rsid w:val="01431A4A"/>
    <w:rsid w:val="01536EE0"/>
    <w:rsid w:val="015B4FE6"/>
    <w:rsid w:val="017D66E9"/>
    <w:rsid w:val="018A58CB"/>
    <w:rsid w:val="019B57A0"/>
    <w:rsid w:val="01A06E9D"/>
    <w:rsid w:val="01A3073B"/>
    <w:rsid w:val="01A324E9"/>
    <w:rsid w:val="01B354EA"/>
    <w:rsid w:val="01D134FA"/>
    <w:rsid w:val="01D63F6D"/>
    <w:rsid w:val="01D6466C"/>
    <w:rsid w:val="01DF58FF"/>
    <w:rsid w:val="01FA65AD"/>
    <w:rsid w:val="021533E7"/>
    <w:rsid w:val="024C0DD3"/>
    <w:rsid w:val="024D4A7D"/>
    <w:rsid w:val="027F6AB2"/>
    <w:rsid w:val="02B26E88"/>
    <w:rsid w:val="02CB7F49"/>
    <w:rsid w:val="02E146F9"/>
    <w:rsid w:val="02E334E5"/>
    <w:rsid w:val="02E80AFB"/>
    <w:rsid w:val="02E903CF"/>
    <w:rsid w:val="02ED4364"/>
    <w:rsid w:val="030671D3"/>
    <w:rsid w:val="030B2A3C"/>
    <w:rsid w:val="03103BAE"/>
    <w:rsid w:val="031F181B"/>
    <w:rsid w:val="032A4C70"/>
    <w:rsid w:val="035D5C1E"/>
    <w:rsid w:val="0361440A"/>
    <w:rsid w:val="03630182"/>
    <w:rsid w:val="0374413D"/>
    <w:rsid w:val="03920A67"/>
    <w:rsid w:val="03C2134C"/>
    <w:rsid w:val="03CF41F6"/>
    <w:rsid w:val="03D130C9"/>
    <w:rsid w:val="03D1333D"/>
    <w:rsid w:val="03DE3CAC"/>
    <w:rsid w:val="03F80913"/>
    <w:rsid w:val="040A2CF3"/>
    <w:rsid w:val="041B6CAE"/>
    <w:rsid w:val="04446205"/>
    <w:rsid w:val="044B7594"/>
    <w:rsid w:val="044F3EF5"/>
    <w:rsid w:val="04553F50"/>
    <w:rsid w:val="046046C1"/>
    <w:rsid w:val="04650E5C"/>
    <w:rsid w:val="046B19E4"/>
    <w:rsid w:val="04820ADC"/>
    <w:rsid w:val="048F57A0"/>
    <w:rsid w:val="04912DFD"/>
    <w:rsid w:val="04BA2023"/>
    <w:rsid w:val="04DC52CD"/>
    <w:rsid w:val="04E42BB1"/>
    <w:rsid w:val="04F4568F"/>
    <w:rsid w:val="04F75026"/>
    <w:rsid w:val="04FA2D68"/>
    <w:rsid w:val="04FA4B16"/>
    <w:rsid w:val="04FC3176"/>
    <w:rsid w:val="050B6D23"/>
    <w:rsid w:val="05177476"/>
    <w:rsid w:val="053C512E"/>
    <w:rsid w:val="053F077B"/>
    <w:rsid w:val="05820D5B"/>
    <w:rsid w:val="05870028"/>
    <w:rsid w:val="05BE78F1"/>
    <w:rsid w:val="05C018BB"/>
    <w:rsid w:val="05C25634"/>
    <w:rsid w:val="05CD3EB3"/>
    <w:rsid w:val="05D13AC9"/>
    <w:rsid w:val="05D45367"/>
    <w:rsid w:val="05E27A84"/>
    <w:rsid w:val="05E30006"/>
    <w:rsid w:val="05E530D0"/>
    <w:rsid w:val="060866BA"/>
    <w:rsid w:val="061E22CB"/>
    <w:rsid w:val="06205A83"/>
    <w:rsid w:val="06284D83"/>
    <w:rsid w:val="06585F98"/>
    <w:rsid w:val="065C36FD"/>
    <w:rsid w:val="06725B16"/>
    <w:rsid w:val="067B2987"/>
    <w:rsid w:val="068154EF"/>
    <w:rsid w:val="06872D56"/>
    <w:rsid w:val="06913258"/>
    <w:rsid w:val="06963510"/>
    <w:rsid w:val="069F7723"/>
    <w:rsid w:val="06A07873"/>
    <w:rsid w:val="06AA444A"/>
    <w:rsid w:val="06C254FC"/>
    <w:rsid w:val="06D66EBD"/>
    <w:rsid w:val="06E46DD6"/>
    <w:rsid w:val="06F2019A"/>
    <w:rsid w:val="06FD5623"/>
    <w:rsid w:val="07043A2A"/>
    <w:rsid w:val="071F1BF8"/>
    <w:rsid w:val="07320597"/>
    <w:rsid w:val="074402CA"/>
    <w:rsid w:val="07484826"/>
    <w:rsid w:val="074B228B"/>
    <w:rsid w:val="07504EC1"/>
    <w:rsid w:val="07533B82"/>
    <w:rsid w:val="07603356"/>
    <w:rsid w:val="0766094E"/>
    <w:rsid w:val="076A5F83"/>
    <w:rsid w:val="077F1CF5"/>
    <w:rsid w:val="07B40FAC"/>
    <w:rsid w:val="07BC2D8E"/>
    <w:rsid w:val="07BC5A31"/>
    <w:rsid w:val="07CC09EB"/>
    <w:rsid w:val="07D478A0"/>
    <w:rsid w:val="0802440D"/>
    <w:rsid w:val="081D2FF5"/>
    <w:rsid w:val="0822151D"/>
    <w:rsid w:val="08626C5A"/>
    <w:rsid w:val="088210AA"/>
    <w:rsid w:val="08892439"/>
    <w:rsid w:val="088C017B"/>
    <w:rsid w:val="088E3EF3"/>
    <w:rsid w:val="08935065"/>
    <w:rsid w:val="08B6248C"/>
    <w:rsid w:val="08C0550B"/>
    <w:rsid w:val="08E27D9B"/>
    <w:rsid w:val="08E41D65"/>
    <w:rsid w:val="08E81855"/>
    <w:rsid w:val="08FC70AE"/>
    <w:rsid w:val="08FF6B9F"/>
    <w:rsid w:val="090002DA"/>
    <w:rsid w:val="090827CD"/>
    <w:rsid w:val="09095327"/>
    <w:rsid w:val="09246605"/>
    <w:rsid w:val="092E2FE0"/>
    <w:rsid w:val="094B5940"/>
    <w:rsid w:val="09540C99"/>
    <w:rsid w:val="09615163"/>
    <w:rsid w:val="09641372"/>
    <w:rsid w:val="09736C45"/>
    <w:rsid w:val="09774987"/>
    <w:rsid w:val="09B96D4E"/>
    <w:rsid w:val="09CA0F5B"/>
    <w:rsid w:val="09D74EF0"/>
    <w:rsid w:val="09E3201C"/>
    <w:rsid w:val="09FD1E6C"/>
    <w:rsid w:val="0A014251"/>
    <w:rsid w:val="0A0B50CF"/>
    <w:rsid w:val="0A0E1031"/>
    <w:rsid w:val="0A0F2E11"/>
    <w:rsid w:val="0A0F696E"/>
    <w:rsid w:val="0A682522"/>
    <w:rsid w:val="0A683ED4"/>
    <w:rsid w:val="0A6848D8"/>
    <w:rsid w:val="0A6F565E"/>
    <w:rsid w:val="0A742C74"/>
    <w:rsid w:val="0A7669ED"/>
    <w:rsid w:val="0A7C5EE5"/>
    <w:rsid w:val="0ABD286D"/>
    <w:rsid w:val="0AC41E4E"/>
    <w:rsid w:val="0AD100C7"/>
    <w:rsid w:val="0ADD6A6C"/>
    <w:rsid w:val="0AF03373"/>
    <w:rsid w:val="0B057D70"/>
    <w:rsid w:val="0B747FBA"/>
    <w:rsid w:val="0BAF665A"/>
    <w:rsid w:val="0BB63CDC"/>
    <w:rsid w:val="0BEB340A"/>
    <w:rsid w:val="0BED2CDE"/>
    <w:rsid w:val="0C1A784C"/>
    <w:rsid w:val="0C1B09F4"/>
    <w:rsid w:val="0C1D11D3"/>
    <w:rsid w:val="0C2931CF"/>
    <w:rsid w:val="0C405504"/>
    <w:rsid w:val="0C60563C"/>
    <w:rsid w:val="0C686809"/>
    <w:rsid w:val="0C6F4365"/>
    <w:rsid w:val="0C7117A3"/>
    <w:rsid w:val="0C7B02EA"/>
    <w:rsid w:val="0C923886"/>
    <w:rsid w:val="0C965124"/>
    <w:rsid w:val="0CF01B55"/>
    <w:rsid w:val="0CF647D3"/>
    <w:rsid w:val="0D0A78C0"/>
    <w:rsid w:val="0D0C188A"/>
    <w:rsid w:val="0D1129FD"/>
    <w:rsid w:val="0D132C19"/>
    <w:rsid w:val="0D305579"/>
    <w:rsid w:val="0D4252AC"/>
    <w:rsid w:val="0D4947F0"/>
    <w:rsid w:val="0D613984"/>
    <w:rsid w:val="0D6C574D"/>
    <w:rsid w:val="0D6E7004"/>
    <w:rsid w:val="0D883FB7"/>
    <w:rsid w:val="0D8B0A01"/>
    <w:rsid w:val="0DE56FDE"/>
    <w:rsid w:val="0DEF6259"/>
    <w:rsid w:val="0DF447F8"/>
    <w:rsid w:val="0DF90060"/>
    <w:rsid w:val="0E0D58BA"/>
    <w:rsid w:val="0E285928"/>
    <w:rsid w:val="0E2A1FC8"/>
    <w:rsid w:val="0E2D7D0A"/>
    <w:rsid w:val="0E552DBD"/>
    <w:rsid w:val="0E976843"/>
    <w:rsid w:val="0EA578A0"/>
    <w:rsid w:val="0EA83079"/>
    <w:rsid w:val="0F040A6B"/>
    <w:rsid w:val="0F1A1917"/>
    <w:rsid w:val="0F203F97"/>
    <w:rsid w:val="0F3330FE"/>
    <w:rsid w:val="0F3B6457"/>
    <w:rsid w:val="0F40581B"/>
    <w:rsid w:val="0F4075C9"/>
    <w:rsid w:val="0F515C7A"/>
    <w:rsid w:val="0F517A28"/>
    <w:rsid w:val="0F535F76"/>
    <w:rsid w:val="0F5A0DB5"/>
    <w:rsid w:val="0F6B6D3C"/>
    <w:rsid w:val="0F7F661A"/>
    <w:rsid w:val="0F8F4956"/>
    <w:rsid w:val="0F9F0794"/>
    <w:rsid w:val="0FA31024"/>
    <w:rsid w:val="0FBD6E6C"/>
    <w:rsid w:val="0FDE19F7"/>
    <w:rsid w:val="0FF46D31"/>
    <w:rsid w:val="10044A9B"/>
    <w:rsid w:val="1019169C"/>
    <w:rsid w:val="101A42BE"/>
    <w:rsid w:val="101C0036"/>
    <w:rsid w:val="1021387D"/>
    <w:rsid w:val="1021564D"/>
    <w:rsid w:val="102D02A1"/>
    <w:rsid w:val="102D3FF1"/>
    <w:rsid w:val="102E38C6"/>
    <w:rsid w:val="103E1D5B"/>
    <w:rsid w:val="10675755"/>
    <w:rsid w:val="1077526D"/>
    <w:rsid w:val="108160EB"/>
    <w:rsid w:val="109E740F"/>
    <w:rsid w:val="10AB4F16"/>
    <w:rsid w:val="10AC760C"/>
    <w:rsid w:val="10BB784F"/>
    <w:rsid w:val="10C83D1A"/>
    <w:rsid w:val="10CD30DE"/>
    <w:rsid w:val="10DD77C5"/>
    <w:rsid w:val="10E723F2"/>
    <w:rsid w:val="10EC0872"/>
    <w:rsid w:val="111451B1"/>
    <w:rsid w:val="11423ACC"/>
    <w:rsid w:val="1144495B"/>
    <w:rsid w:val="11515ABE"/>
    <w:rsid w:val="115F45E5"/>
    <w:rsid w:val="116E48C1"/>
    <w:rsid w:val="116F4196"/>
    <w:rsid w:val="119500A0"/>
    <w:rsid w:val="11D34725"/>
    <w:rsid w:val="11D566EF"/>
    <w:rsid w:val="11D861DF"/>
    <w:rsid w:val="12107F7D"/>
    <w:rsid w:val="12266F4A"/>
    <w:rsid w:val="125F51BD"/>
    <w:rsid w:val="126B2BAF"/>
    <w:rsid w:val="126D1954"/>
    <w:rsid w:val="12744159"/>
    <w:rsid w:val="127A1044"/>
    <w:rsid w:val="12A146D5"/>
    <w:rsid w:val="12A85BB1"/>
    <w:rsid w:val="12B10F0A"/>
    <w:rsid w:val="12BF6EE3"/>
    <w:rsid w:val="12C50511"/>
    <w:rsid w:val="12E360E4"/>
    <w:rsid w:val="12E60488"/>
    <w:rsid w:val="12E62106"/>
    <w:rsid w:val="12F901BB"/>
    <w:rsid w:val="13182D37"/>
    <w:rsid w:val="13196AAF"/>
    <w:rsid w:val="13373653"/>
    <w:rsid w:val="133D454B"/>
    <w:rsid w:val="133E2072"/>
    <w:rsid w:val="135950FD"/>
    <w:rsid w:val="13616DDA"/>
    <w:rsid w:val="137B32C6"/>
    <w:rsid w:val="13826402"/>
    <w:rsid w:val="13916645"/>
    <w:rsid w:val="13AC7923"/>
    <w:rsid w:val="13D5487D"/>
    <w:rsid w:val="13F57B76"/>
    <w:rsid w:val="13FC764C"/>
    <w:rsid w:val="141259D8"/>
    <w:rsid w:val="1419582F"/>
    <w:rsid w:val="141C1100"/>
    <w:rsid w:val="14365E8B"/>
    <w:rsid w:val="1441006B"/>
    <w:rsid w:val="144C06BE"/>
    <w:rsid w:val="14531B4D"/>
    <w:rsid w:val="14641FAC"/>
    <w:rsid w:val="14697BE6"/>
    <w:rsid w:val="147742FE"/>
    <w:rsid w:val="14A56265"/>
    <w:rsid w:val="14DB7F08"/>
    <w:rsid w:val="14E62BE7"/>
    <w:rsid w:val="1517701E"/>
    <w:rsid w:val="15200D24"/>
    <w:rsid w:val="15221996"/>
    <w:rsid w:val="153D4CD7"/>
    <w:rsid w:val="155E4C4D"/>
    <w:rsid w:val="15610299"/>
    <w:rsid w:val="158463DE"/>
    <w:rsid w:val="15915022"/>
    <w:rsid w:val="159D7523"/>
    <w:rsid w:val="15A86FC9"/>
    <w:rsid w:val="15D56295"/>
    <w:rsid w:val="15D867AD"/>
    <w:rsid w:val="160457D1"/>
    <w:rsid w:val="160752E5"/>
    <w:rsid w:val="161D1CE9"/>
    <w:rsid w:val="161E0A1B"/>
    <w:rsid w:val="163A2FC4"/>
    <w:rsid w:val="163D5AC4"/>
    <w:rsid w:val="1647748F"/>
    <w:rsid w:val="16573C58"/>
    <w:rsid w:val="166D15EC"/>
    <w:rsid w:val="16734728"/>
    <w:rsid w:val="167C35DD"/>
    <w:rsid w:val="16866209"/>
    <w:rsid w:val="16930926"/>
    <w:rsid w:val="169C3C7F"/>
    <w:rsid w:val="16A9014A"/>
    <w:rsid w:val="16B502FA"/>
    <w:rsid w:val="16E86EC4"/>
    <w:rsid w:val="16F77107"/>
    <w:rsid w:val="1703785A"/>
    <w:rsid w:val="17117C38"/>
    <w:rsid w:val="17143815"/>
    <w:rsid w:val="171F413D"/>
    <w:rsid w:val="17285513"/>
    <w:rsid w:val="17521DA9"/>
    <w:rsid w:val="17571954"/>
    <w:rsid w:val="17A133F8"/>
    <w:rsid w:val="17A56B63"/>
    <w:rsid w:val="17C224C7"/>
    <w:rsid w:val="17DE54CF"/>
    <w:rsid w:val="17E4768B"/>
    <w:rsid w:val="17F81389"/>
    <w:rsid w:val="17FD65D0"/>
    <w:rsid w:val="18025D64"/>
    <w:rsid w:val="180715CC"/>
    <w:rsid w:val="180A2E6A"/>
    <w:rsid w:val="181F6915"/>
    <w:rsid w:val="182C1032"/>
    <w:rsid w:val="18441ED8"/>
    <w:rsid w:val="184B74E5"/>
    <w:rsid w:val="18664544"/>
    <w:rsid w:val="18730853"/>
    <w:rsid w:val="188F6EFF"/>
    <w:rsid w:val="189D783A"/>
    <w:rsid w:val="18A346C2"/>
    <w:rsid w:val="18C7379E"/>
    <w:rsid w:val="18C748B7"/>
    <w:rsid w:val="18D771F0"/>
    <w:rsid w:val="18DA6CE0"/>
    <w:rsid w:val="1912647A"/>
    <w:rsid w:val="192052EF"/>
    <w:rsid w:val="19263CD4"/>
    <w:rsid w:val="192B12EA"/>
    <w:rsid w:val="1946272E"/>
    <w:rsid w:val="195F08E7"/>
    <w:rsid w:val="195F2D42"/>
    <w:rsid w:val="196333D9"/>
    <w:rsid w:val="196C5B8A"/>
    <w:rsid w:val="19742C91"/>
    <w:rsid w:val="19792055"/>
    <w:rsid w:val="1979615B"/>
    <w:rsid w:val="197E141A"/>
    <w:rsid w:val="198D1C77"/>
    <w:rsid w:val="199702F5"/>
    <w:rsid w:val="19A215AC"/>
    <w:rsid w:val="19B659E9"/>
    <w:rsid w:val="19CA28B1"/>
    <w:rsid w:val="19CC166E"/>
    <w:rsid w:val="19E576EB"/>
    <w:rsid w:val="19F704E3"/>
    <w:rsid w:val="1A2735AF"/>
    <w:rsid w:val="1A7D7923"/>
    <w:rsid w:val="1A8345F3"/>
    <w:rsid w:val="1A98650B"/>
    <w:rsid w:val="1A9D1D74"/>
    <w:rsid w:val="1ACB3526"/>
    <w:rsid w:val="1AD70FEB"/>
    <w:rsid w:val="1ADA70F7"/>
    <w:rsid w:val="1ADE52DA"/>
    <w:rsid w:val="1AFF4613"/>
    <w:rsid w:val="1B49619E"/>
    <w:rsid w:val="1B6A60FA"/>
    <w:rsid w:val="1B701236"/>
    <w:rsid w:val="1BAC6712"/>
    <w:rsid w:val="1BB83309"/>
    <w:rsid w:val="1BD57D32"/>
    <w:rsid w:val="1BD712B5"/>
    <w:rsid w:val="1BE30BF5"/>
    <w:rsid w:val="1BF14125"/>
    <w:rsid w:val="1C12523F"/>
    <w:rsid w:val="1C16002F"/>
    <w:rsid w:val="1C1821EF"/>
    <w:rsid w:val="1C365FDC"/>
    <w:rsid w:val="1C395ACC"/>
    <w:rsid w:val="1C47643B"/>
    <w:rsid w:val="1C556DAA"/>
    <w:rsid w:val="1C5B4972"/>
    <w:rsid w:val="1C662D65"/>
    <w:rsid w:val="1C786A3B"/>
    <w:rsid w:val="1C84143D"/>
    <w:rsid w:val="1C942349"/>
    <w:rsid w:val="1CA2751E"/>
    <w:rsid w:val="1CAC2742"/>
    <w:rsid w:val="1CB33AD0"/>
    <w:rsid w:val="1CC04712"/>
    <w:rsid w:val="1CE819CC"/>
    <w:rsid w:val="1CEF719F"/>
    <w:rsid w:val="1CFE1968"/>
    <w:rsid w:val="1D2E3157"/>
    <w:rsid w:val="1D4122F6"/>
    <w:rsid w:val="1DA33B45"/>
    <w:rsid w:val="1DA7106E"/>
    <w:rsid w:val="1DAD6772"/>
    <w:rsid w:val="1DAF4B38"/>
    <w:rsid w:val="1DDA0D6B"/>
    <w:rsid w:val="1DDF7A40"/>
    <w:rsid w:val="1DE228BA"/>
    <w:rsid w:val="1E0839A8"/>
    <w:rsid w:val="1E7564EC"/>
    <w:rsid w:val="1E8F2A80"/>
    <w:rsid w:val="1EA8520C"/>
    <w:rsid w:val="1EB9030D"/>
    <w:rsid w:val="1EC91389"/>
    <w:rsid w:val="1EDA4679"/>
    <w:rsid w:val="1EE05D46"/>
    <w:rsid w:val="1F03544E"/>
    <w:rsid w:val="1F0829B6"/>
    <w:rsid w:val="1F2C2D5F"/>
    <w:rsid w:val="1F470500"/>
    <w:rsid w:val="1F5246BA"/>
    <w:rsid w:val="1F6327D6"/>
    <w:rsid w:val="1F6E513F"/>
    <w:rsid w:val="1FA0658E"/>
    <w:rsid w:val="1FB65DB1"/>
    <w:rsid w:val="1FCF0C21"/>
    <w:rsid w:val="1FD16E47"/>
    <w:rsid w:val="1FDE70B6"/>
    <w:rsid w:val="1FE83A91"/>
    <w:rsid w:val="20052895"/>
    <w:rsid w:val="201605FE"/>
    <w:rsid w:val="201C3760"/>
    <w:rsid w:val="20210D51"/>
    <w:rsid w:val="202F2F0A"/>
    <w:rsid w:val="20322F5E"/>
    <w:rsid w:val="203B7DCD"/>
    <w:rsid w:val="2040567B"/>
    <w:rsid w:val="20476A09"/>
    <w:rsid w:val="204A02A8"/>
    <w:rsid w:val="20717F2A"/>
    <w:rsid w:val="208F6602"/>
    <w:rsid w:val="209459C7"/>
    <w:rsid w:val="20A420AE"/>
    <w:rsid w:val="20B322F1"/>
    <w:rsid w:val="20C067BC"/>
    <w:rsid w:val="20C242E2"/>
    <w:rsid w:val="20C91B14"/>
    <w:rsid w:val="20D44015"/>
    <w:rsid w:val="20E643A0"/>
    <w:rsid w:val="20FD26FC"/>
    <w:rsid w:val="2146615C"/>
    <w:rsid w:val="21505D92"/>
    <w:rsid w:val="216A06D1"/>
    <w:rsid w:val="216D6919"/>
    <w:rsid w:val="21780E44"/>
    <w:rsid w:val="21933ED0"/>
    <w:rsid w:val="21B61F52"/>
    <w:rsid w:val="21C36564"/>
    <w:rsid w:val="21C81DCC"/>
    <w:rsid w:val="21D249F9"/>
    <w:rsid w:val="21DA38AD"/>
    <w:rsid w:val="21F84180"/>
    <w:rsid w:val="22500474"/>
    <w:rsid w:val="22513B6F"/>
    <w:rsid w:val="22525B39"/>
    <w:rsid w:val="227B2926"/>
    <w:rsid w:val="22835CF3"/>
    <w:rsid w:val="22865684"/>
    <w:rsid w:val="228C104B"/>
    <w:rsid w:val="22BA5A10"/>
    <w:rsid w:val="22CF718A"/>
    <w:rsid w:val="231E7B37"/>
    <w:rsid w:val="233D40F4"/>
    <w:rsid w:val="23450EDC"/>
    <w:rsid w:val="23515DF1"/>
    <w:rsid w:val="23517B9F"/>
    <w:rsid w:val="23531B69"/>
    <w:rsid w:val="235D02F2"/>
    <w:rsid w:val="235F406A"/>
    <w:rsid w:val="236B2E9C"/>
    <w:rsid w:val="238826AD"/>
    <w:rsid w:val="238B742E"/>
    <w:rsid w:val="23987286"/>
    <w:rsid w:val="23AD74CB"/>
    <w:rsid w:val="23AE6D9F"/>
    <w:rsid w:val="23B24756"/>
    <w:rsid w:val="23D45DC0"/>
    <w:rsid w:val="23E1155B"/>
    <w:rsid w:val="23ED1676"/>
    <w:rsid w:val="241F1A4B"/>
    <w:rsid w:val="242B4894"/>
    <w:rsid w:val="243472A5"/>
    <w:rsid w:val="24376D95"/>
    <w:rsid w:val="245A4A6F"/>
    <w:rsid w:val="247A404C"/>
    <w:rsid w:val="248A15BB"/>
    <w:rsid w:val="249F7694"/>
    <w:rsid w:val="24A361D8"/>
    <w:rsid w:val="24A92885"/>
    <w:rsid w:val="24F86524"/>
    <w:rsid w:val="25001B3E"/>
    <w:rsid w:val="250F1AC0"/>
    <w:rsid w:val="2513335E"/>
    <w:rsid w:val="251F61A7"/>
    <w:rsid w:val="252E0198"/>
    <w:rsid w:val="25340E3D"/>
    <w:rsid w:val="254259F1"/>
    <w:rsid w:val="25545BB7"/>
    <w:rsid w:val="25550C1E"/>
    <w:rsid w:val="255D409B"/>
    <w:rsid w:val="256A4F48"/>
    <w:rsid w:val="25781413"/>
    <w:rsid w:val="258204E4"/>
    <w:rsid w:val="25A71CF8"/>
    <w:rsid w:val="25BD21AD"/>
    <w:rsid w:val="25CA6E09"/>
    <w:rsid w:val="25D6438C"/>
    <w:rsid w:val="25E25090"/>
    <w:rsid w:val="25F3318F"/>
    <w:rsid w:val="25F5515A"/>
    <w:rsid w:val="25F64996"/>
    <w:rsid w:val="262B0B7B"/>
    <w:rsid w:val="265A6D6B"/>
    <w:rsid w:val="266876DA"/>
    <w:rsid w:val="268C2968"/>
    <w:rsid w:val="26C65C0F"/>
    <w:rsid w:val="26C708A4"/>
    <w:rsid w:val="26C757BD"/>
    <w:rsid w:val="26DB434F"/>
    <w:rsid w:val="26EA4592"/>
    <w:rsid w:val="26ED1D1A"/>
    <w:rsid w:val="26EE4083"/>
    <w:rsid w:val="27046DB7"/>
    <w:rsid w:val="271565FB"/>
    <w:rsid w:val="27207FB4"/>
    <w:rsid w:val="27331D58"/>
    <w:rsid w:val="27391076"/>
    <w:rsid w:val="27391BD0"/>
    <w:rsid w:val="27426D58"/>
    <w:rsid w:val="27607710"/>
    <w:rsid w:val="276C3F85"/>
    <w:rsid w:val="276E2ACE"/>
    <w:rsid w:val="27735B86"/>
    <w:rsid w:val="277B1EA4"/>
    <w:rsid w:val="278D4EE0"/>
    <w:rsid w:val="27A961FC"/>
    <w:rsid w:val="27A96AB9"/>
    <w:rsid w:val="27CD31BF"/>
    <w:rsid w:val="27D95EBF"/>
    <w:rsid w:val="27DC037F"/>
    <w:rsid w:val="27EC31AA"/>
    <w:rsid w:val="28011B94"/>
    <w:rsid w:val="280A4686"/>
    <w:rsid w:val="281F026C"/>
    <w:rsid w:val="283A284D"/>
    <w:rsid w:val="285919D0"/>
    <w:rsid w:val="28595263"/>
    <w:rsid w:val="2868457E"/>
    <w:rsid w:val="28793E20"/>
    <w:rsid w:val="28926CDF"/>
    <w:rsid w:val="2895372B"/>
    <w:rsid w:val="28AA222B"/>
    <w:rsid w:val="28C64DCA"/>
    <w:rsid w:val="28C802B7"/>
    <w:rsid w:val="28DE1ED5"/>
    <w:rsid w:val="28DF17A9"/>
    <w:rsid w:val="28F24E95"/>
    <w:rsid w:val="28FB65E3"/>
    <w:rsid w:val="28FC235B"/>
    <w:rsid w:val="29174AC8"/>
    <w:rsid w:val="2920429C"/>
    <w:rsid w:val="294B0A9B"/>
    <w:rsid w:val="29581C87"/>
    <w:rsid w:val="296D0CD1"/>
    <w:rsid w:val="296E14AB"/>
    <w:rsid w:val="299507E6"/>
    <w:rsid w:val="29AB625B"/>
    <w:rsid w:val="29CF181E"/>
    <w:rsid w:val="2A005E38"/>
    <w:rsid w:val="2A133E00"/>
    <w:rsid w:val="2A3873C3"/>
    <w:rsid w:val="2A75037D"/>
    <w:rsid w:val="2A756869"/>
    <w:rsid w:val="2A9F38E6"/>
    <w:rsid w:val="2AA8279A"/>
    <w:rsid w:val="2AB27C3C"/>
    <w:rsid w:val="2AB63109"/>
    <w:rsid w:val="2ABF7AE4"/>
    <w:rsid w:val="2ACD0453"/>
    <w:rsid w:val="2AD322F2"/>
    <w:rsid w:val="2AF84EE9"/>
    <w:rsid w:val="2AFE23BA"/>
    <w:rsid w:val="2B0379D1"/>
    <w:rsid w:val="2B0C0F7B"/>
    <w:rsid w:val="2B23496F"/>
    <w:rsid w:val="2B397896"/>
    <w:rsid w:val="2B6D12EE"/>
    <w:rsid w:val="2B8E1990"/>
    <w:rsid w:val="2BAA2542"/>
    <w:rsid w:val="2BAD7EEE"/>
    <w:rsid w:val="2BD31A99"/>
    <w:rsid w:val="2BE45A54"/>
    <w:rsid w:val="2BF9180D"/>
    <w:rsid w:val="2C210F74"/>
    <w:rsid w:val="2C245E51"/>
    <w:rsid w:val="2C3116AB"/>
    <w:rsid w:val="2C602C01"/>
    <w:rsid w:val="2C620DE5"/>
    <w:rsid w:val="2C697D08"/>
    <w:rsid w:val="2C6E5E3A"/>
    <w:rsid w:val="2C840FE5"/>
    <w:rsid w:val="2C8C39F6"/>
    <w:rsid w:val="2C9A6113"/>
    <w:rsid w:val="2CAF5E12"/>
    <w:rsid w:val="2CBD1492"/>
    <w:rsid w:val="2CD4412F"/>
    <w:rsid w:val="2CED26E7"/>
    <w:rsid w:val="2CFC6DCE"/>
    <w:rsid w:val="2D151C3D"/>
    <w:rsid w:val="2D1C5B22"/>
    <w:rsid w:val="2D32459D"/>
    <w:rsid w:val="2D406CBA"/>
    <w:rsid w:val="2D4300C9"/>
    <w:rsid w:val="2D430559"/>
    <w:rsid w:val="2D4C45A1"/>
    <w:rsid w:val="2D510EC7"/>
    <w:rsid w:val="2D67693D"/>
    <w:rsid w:val="2D6D3827"/>
    <w:rsid w:val="2D894D72"/>
    <w:rsid w:val="2DAD00C8"/>
    <w:rsid w:val="2DC44A4F"/>
    <w:rsid w:val="2DC55411"/>
    <w:rsid w:val="2DD12008"/>
    <w:rsid w:val="2E083F3B"/>
    <w:rsid w:val="2E0B376C"/>
    <w:rsid w:val="2E3507E9"/>
    <w:rsid w:val="2E5077D3"/>
    <w:rsid w:val="2E6A3E61"/>
    <w:rsid w:val="2E742A02"/>
    <w:rsid w:val="2E876B6B"/>
    <w:rsid w:val="2E8A1592"/>
    <w:rsid w:val="2E954DE4"/>
    <w:rsid w:val="2E9C0E80"/>
    <w:rsid w:val="2EAD053B"/>
    <w:rsid w:val="2EBD258D"/>
    <w:rsid w:val="2EC03CB2"/>
    <w:rsid w:val="2EC67693"/>
    <w:rsid w:val="2EC8145A"/>
    <w:rsid w:val="2ED0766D"/>
    <w:rsid w:val="2EDD678B"/>
    <w:rsid w:val="2EF20132"/>
    <w:rsid w:val="2F166361"/>
    <w:rsid w:val="2F185D67"/>
    <w:rsid w:val="2F2A2D4D"/>
    <w:rsid w:val="2F3A3BDD"/>
    <w:rsid w:val="2F452CAE"/>
    <w:rsid w:val="2F4A6121"/>
    <w:rsid w:val="2F77273B"/>
    <w:rsid w:val="2F7D6EF5"/>
    <w:rsid w:val="2FA95B86"/>
    <w:rsid w:val="2FB83480"/>
    <w:rsid w:val="2FC040E2"/>
    <w:rsid w:val="2FCD05A8"/>
    <w:rsid w:val="2FD6110E"/>
    <w:rsid w:val="2FE54285"/>
    <w:rsid w:val="2FF80E15"/>
    <w:rsid w:val="2FFD79D3"/>
    <w:rsid w:val="300852DE"/>
    <w:rsid w:val="30087837"/>
    <w:rsid w:val="30182170"/>
    <w:rsid w:val="301B756B"/>
    <w:rsid w:val="302145DD"/>
    <w:rsid w:val="3025488D"/>
    <w:rsid w:val="3034687E"/>
    <w:rsid w:val="30523594"/>
    <w:rsid w:val="30546461"/>
    <w:rsid w:val="30890978"/>
    <w:rsid w:val="309C4B4F"/>
    <w:rsid w:val="30A734F4"/>
    <w:rsid w:val="30A9726C"/>
    <w:rsid w:val="30D51E0F"/>
    <w:rsid w:val="30DA7426"/>
    <w:rsid w:val="30E738F1"/>
    <w:rsid w:val="30E829D4"/>
    <w:rsid w:val="30F8356E"/>
    <w:rsid w:val="30F85AFE"/>
    <w:rsid w:val="310D15A9"/>
    <w:rsid w:val="312C3DE1"/>
    <w:rsid w:val="314F3970"/>
    <w:rsid w:val="316C5EBB"/>
    <w:rsid w:val="318C4058"/>
    <w:rsid w:val="318C4BC4"/>
    <w:rsid w:val="31AF28A2"/>
    <w:rsid w:val="31B639EF"/>
    <w:rsid w:val="31D9592F"/>
    <w:rsid w:val="31E645B2"/>
    <w:rsid w:val="31F12C79"/>
    <w:rsid w:val="31F134B7"/>
    <w:rsid w:val="31FE7144"/>
    <w:rsid w:val="32244DFC"/>
    <w:rsid w:val="322667B5"/>
    <w:rsid w:val="328303DD"/>
    <w:rsid w:val="32E0684A"/>
    <w:rsid w:val="32E620B2"/>
    <w:rsid w:val="32EB3B6C"/>
    <w:rsid w:val="32EE0F67"/>
    <w:rsid w:val="32F02F31"/>
    <w:rsid w:val="32FD11AA"/>
    <w:rsid w:val="33024A12"/>
    <w:rsid w:val="33136C1F"/>
    <w:rsid w:val="333746BC"/>
    <w:rsid w:val="33770F5C"/>
    <w:rsid w:val="33823753"/>
    <w:rsid w:val="338B2C59"/>
    <w:rsid w:val="33A65CE5"/>
    <w:rsid w:val="33AA05E8"/>
    <w:rsid w:val="33B169AF"/>
    <w:rsid w:val="33C66680"/>
    <w:rsid w:val="33E3258B"/>
    <w:rsid w:val="33FB393B"/>
    <w:rsid w:val="34131B96"/>
    <w:rsid w:val="341B4D8B"/>
    <w:rsid w:val="3431795E"/>
    <w:rsid w:val="343D55E2"/>
    <w:rsid w:val="34452E08"/>
    <w:rsid w:val="34552B86"/>
    <w:rsid w:val="34627E5E"/>
    <w:rsid w:val="34652F06"/>
    <w:rsid w:val="348A12AF"/>
    <w:rsid w:val="34980AC4"/>
    <w:rsid w:val="349D0E96"/>
    <w:rsid w:val="34E21963"/>
    <w:rsid w:val="34E50CCC"/>
    <w:rsid w:val="34F14D3E"/>
    <w:rsid w:val="34F62354"/>
    <w:rsid w:val="352D221A"/>
    <w:rsid w:val="35387D63"/>
    <w:rsid w:val="353A4937"/>
    <w:rsid w:val="354D6418"/>
    <w:rsid w:val="358931C8"/>
    <w:rsid w:val="35A952DD"/>
    <w:rsid w:val="35BA7826"/>
    <w:rsid w:val="35C10BB4"/>
    <w:rsid w:val="35F5260C"/>
    <w:rsid w:val="35F70776"/>
    <w:rsid w:val="362829E1"/>
    <w:rsid w:val="36356EAC"/>
    <w:rsid w:val="36405F7D"/>
    <w:rsid w:val="36427103"/>
    <w:rsid w:val="36454420"/>
    <w:rsid w:val="36533F02"/>
    <w:rsid w:val="36535D1D"/>
    <w:rsid w:val="36633A19"/>
    <w:rsid w:val="367232C8"/>
    <w:rsid w:val="36730100"/>
    <w:rsid w:val="367664B1"/>
    <w:rsid w:val="367D1DCA"/>
    <w:rsid w:val="367E63E3"/>
    <w:rsid w:val="36E508D2"/>
    <w:rsid w:val="36FF1994"/>
    <w:rsid w:val="370C0700"/>
    <w:rsid w:val="371B152F"/>
    <w:rsid w:val="37384EA6"/>
    <w:rsid w:val="37427AD3"/>
    <w:rsid w:val="37643EED"/>
    <w:rsid w:val="376E6490"/>
    <w:rsid w:val="37904CE2"/>
    <w:rsid w:val="37A23B2A"/>
    <w:rsid w:val="37A7550F"/>
    <w:rsid w:val="37A83712"/>
    <w:rsid w:val="37B24AB3"/>
    <w:rsid w:val="37C640CA"/>
    <w:rsid w:val="37C8622A"/>
    <w:rsid w:val="37D358B8"/>
    <w:rsid w:val="37E42938"/>
    <w:rsid w:val="3809239F"/>
    <w:rsid w:val="38156F95"/>
    <w:rsid w:val="381B0A50"/>
    <w:rsid w:val="38510CC6"/>
    <w:rsid w:val="389B393F"/>
    <w:rsid w:val="389D18F0"/>
    <w:rsid w:val="38AC5B4C"/>
    <w:rsid w:val="38AD56EA"/>
    <w:rsid w:val="38BD38B5"/>
    <w:rsid w:val="38BE13DB"/>
    <w:rsid w:val="38CD7870"/>
    <w:rsid w:val="38ED03A5"/>
    <w:rsid w:val="38F11583"/>
    <w:rsid w:val="38F20621"/>
    <w:rsid w:val="3911775D"/>
    <w:rsid w:val="391B682D"/>
    <w:rsid w:val="3943394F"/>
    <w:rsid w:val="39553AED"/>
    <w:rsid w:val="399D5494"/>
    <w:rsid w:val="39A44A75"/>
    <w:rsid w:val="39AE31FE"/>
    <w:rsid w:val="39BF2767"/>
    <w:rsid w:val="39CD3FCC"/>
    <w:rsid w:val="39CE564E"/>
    <w:rsid w:val="39D569DC"/>
    <w:rsid w:val="39E5694E"/>
    <w:rsid w:val="39E8099F"/>
    <w:rsid w:val="39E97BF2"/>
    <w:rsid w:val="39EC027C"/>
    <w:rsid w:val="39F448CD"/>
    <w:rsid w:val="39FF7EFD"/>
    <w:rsid w:val="3A1219DE"/>
    <w:rsid w:val="3A3277F2"/>
    <w:rsid w:val="3A4D0C68"/>
    <w:rsid w:val="3A5B6136"/>
    <w:rsid w:val="3A5C0EAC"/>
    <w:rsid w:val="3A7A7584"/>
    <w:rsid w:val="3A850B77"/>
    <w:rsid w:val="3A887EF3"/>
    <w:rsid w:val="3AA20FB4"/>
    <w:rsid w:val="3AA27206"/>
    <w:rsid w:val="3AA36ADA"/>
    <w:rsid w:val="3AAA009C"/>
    <w:rsid w:val="3AAD7959"/>
    <w:rsid w:val="3ADC2E01"/>
    <w:rsid w:val="3AE0388B"/>
    <w:rsid w:val="3AEA295B"/>
    <w:rsid w:val="3AFC23EB"/>
    <w:rsid w:val="3B057795"/>
    <w:rsid w:val="3B0E03F8"/>
    <w:rsid w:val="3B4200A1"/>
    <w:rsid w:val="3B4A51A8"/>
    <w:rsid w:val="3B4E4C98"/>
    <w:rsid w:val="3B5E4A0D"/>
    <w:rsid w:val="3B7F12F6"/>
    <w:rsid w:val="3B800BCA"/>
    <w:rsid w:val="3B8E7126"/>
    <w:rsid w:val="3B9D5C20"/>
    <w:rsid w:val="3BB15227"/>
    <w:rsid w:val="3BC136BC"/>
    <w:rsid w:val="3BC90B0B"/>
    <w:rsid w:val="3BDC22A4"/>
    <w:rsid w:val="3C261771"/>
    <w:rsid w:val="3C384E8C"/>
    <w:rsid w:val="3C3C2D43"/>
    <w:rsid w:val="3C5C1637"/>
    <w:rsid w:val="3C6D114E"/>
    <w:rsid w:val="3C6D55F2"/>
    <w:rsid w:val="3C770627"/>
    <w:rsid w:val="3C917532"/>
    <w:rsid w:val="3CA863A8"/>
    <w:rsid w:val="3CB11983"/>
    <w:rsid w:val="3CD8017B"/>
    <w:rsid w:val="3CDE71C1"/>
    <w:rsid w:val="3CEB3FEF"/>
    <w:rsid w:val="3D0C6BB9"/>
    <w:rsid w:val="3D17730C"/>
    <w:rsid w:val="3D22018A"/>
    <w:rsid w:val="3D3805DF"/>
    <w:rsid w:val="3D3E0D3C"/>
    <w:rsid w:val="3D453E79"/>
    <w:rsid w:val="3D49647F"/>
    <w:rsid w:val="3D5D11C3"/>
    <w:rsid w:val="3D622C7D"/>
    <w:rsid w:val="3D70539A"/>
    <w:rsid w:val="3DAB4624"/>
    <w:rsid w:val="3DB66B25"/>
    <w:rsid w:val="3DC456E6"/>
    <w:rsid w:val="3DDB658B"/>
    <w:rsid w:val="3E0E4BB3"/>
    <w:rsid w:val="3E104487"/>
    <w:rsid w:val="3E2241BA"/>
    <w:rsid w:val="3E3D0FF4"/>
    <w:rsid w:val="3E483C21"/>
    <w:rsid w:val="3E5D51F2"/>
    <w:rsid w:val="3E7C7D6E"/>
    <w:rsid w:val="3E7F6020"/>
    <w:rsid w:val="3E945C80"/>
    <w:rsid w:val="3EA90437"/>
    <w:rsid w:val="3EAB41B0"/>
    <w:rsid w:val="3EC82FB3"/>
    <w:rsid w:val="3ECF60F0"/>
    <w:rsid w:val="3EDA5B7D"/>
    <w:rsid w:val="3EDC25BB"/>
    <w:rsid w:val="3EE651E8"/>
    <w:rsid w:val="3EFB6EE5"/>
    <w:rsid w:val="3EFC6017"/>
    <w:rsid w:val="3F033FEC"/>
    <w:rsid w:val="3F147857"/>
    <w:rsid w:val="3F1D5F61"/>
    <w:rsid w:val="3F2006FA"/>
    <w:rsid w:val="3F264703"/>
    <w:rsid w:val="3F3044D0"/>
    <w:rsid w:val="3F424B14"/>
    <w:rsid w:val="3F696545"/>
    <w:rsid w:val="3F6E5909"/>
    <w:rsid w:val="3F731171"/>
    <w:rsid w:val="3FA702E8"/>
    <w:rsid w:val="3FAF7CCF"/>
    <w:rsid w:val="3FB377C0"/>
    <w:rsid w:val="3FB83028"/>
    <w:rsid w:val="3FBD063E"/>
    <w:rsid w:val="3FC512A1"/>
    <w:rsid w:val="3FC714BD"/>
    <w:rsid w:val="3FCB2D5B"/>
    <w:rsid w:val="3FDA34B1"/>
    <w:rsid w:val="3FDB2873"/>
    <w:rsid w:val="3FE931E1"/>
    <w:rsid w:val="3FF12096"/>
    <w:rsid w:val="40363F4D"/>
    <w:rsid w:val="40381A73"/>
    <w:rsid w:val="40662A84"/>
    <w:rsid w:val="4084115C"/>
    <w:rsid w:val="40923879"/>
    <w:rsid w:val="409F5F96"/>
    <w:rsid w:val="40A62E81"/>
    <w:rsid w:val="40BF38EE"/>
    <w:rsid w:val="40C81C57"/>
    <w:rsid w:val="40D20119"/>
    <w:rsid w:val="40DC4AF4"/>
    <w:rsid w:val="40EF2A79"/>
    <w:rsid w:val="410E7DF5"/>
    <w:rsid w:val="411A75D0"/>
    <w:rsid w:val="414601C0"/>
    <w:rsid w:val="414A7CB0"/>
    <w:rsid w:val="414C1C7A"/>
    <w:rsid w:val="4154318A"/>
    <w:rsid w:val="41641184"/>
    <w:rsid w:val="41696778"/>
    <w:rsid w:val="416F5968"/>
    <w:rsid w:val="4173594E"/>
    <w:rsid w:val="417B255F"/>
    <w:rsid w:val="41AD09C3"/>
    <w:rsid w:val="41C05228"/>
    <w:rsid w:val="41CA04D7"/>
    <w:rsid w:val="41D43A1D"/>
    <w:rsid w:val="41DD28D2"/>
    <w:rsid w:val="41FB137B"/>
    <w:rsid w:val="41FB7F39"/>
    <w:rsid w:val="42044568"/>
    <w:rsid w:val="42051E29"/>
    <w:rsid w:val="420662CD"/>
    <w:rsid w:val="4207456D"/>
    <w:rsid w:val="421502BE"/>
    <w:rsid w:val="425154F8"/>
    <w:rsid w:val="42644DA1"/>
    <w:rsid w:val="427850ED"/>
    <w:rsid w:val="427C0AB0"/>
    <w:rsid w:val="429A07C3"/>
    <w:rsid w:val="42A7230A"/>
    <w:rsid w:val="42ED2FE9"/>
    <w:rsid w:val="43000F6E"/>
    <w:rsid w:val="43030A5E"/>
    <w:rsid w:val="430F7403"/>
    <w:rsid w:val="43100A85"/>
    <w:rsid w:val="43346222"/>
    <w:rsid w:val="433F7F28"/>
    <w:rsid w:val="435F0AA0"/>
    <w:rsid w:val="437A5885"/>
    <w:rsid w:val="437D0339"/>
    <w:rsid w:val="439E6277"/>
    <w:rsid w:val="43AD2778"/>
    <w:rsid w:val="43B600AD"/>
    <w:rsid w:val="43DF733B"/>
    <w:rsid w:val="43E371ED"/>
    <w:rsid w:val="43EA7528"/>
    <w:rsid w:val="43F108B7"/>
    <w:rsid w:val="43FE4C25"/>
    <w:rsid w:val="440419F3"/>
    <w:rsid w:val="441E4D86"/>
    <w:rsid w:val="4436451B"/>
    <w:rsid w:val="446B6D12"/>
    <w:rsid w:val="446F063A"/>
    <w:rsid w:val="448046DC"/>
    <w:rsid w:val="4484797D"/>
    <w:rsid w:val="44986059"/>
    <w:rsid w:val="44A818BD"/>
    <w:rsid w:val="44CC6C2E"/>
    <w:rsid w:val="44CF19E1"/>
    <w:rsid w:val="44D0720B"/>
    <w:rsid w:val="44D07D4A"/>
    <w:rsid w:val="44D53D34"/>
    <w:rsid w:val="45442C68"/>
    <w:rsid w:val="454676EB"/>
    <w:rsid w:val="45487509"/>
    <w:rsid w:val="45541CEF"/>
    <w:rsid w:val="456B4699"/>
    <w:rsid w:val="458F482B"/>
    <w:rsid w:val="45BB117C"/>
    <w:rsid w:val="45C06792"/>
    <w:rsid w:val="45F0690E"/>
    <w:rsid w:val="45F610F0"/>
    <w:rsid w:val="45FB3C6E"/>
    <w:rsid w:val="460366D7"/>
    <w:rsid w:val="4609638B"/>
    <w:rsid w:val="460C3316"/>
    <w:rsid w:val="46280371"/>
    <w:rsid w:val="463827CD"/>
    <w:rsid w:val="4646138E"/>
    <w:rsid w:val="46530576"/>
    <w:rsid w:val="465D33BE"/>
    <w:rsid w:val="465D3D30"/>
    <w:rsid w:val="46647A66"/>
    <w:rsid w:val="46916381"/>
    <w:rsid w:val="46945A20"/>
    <w:rsid w:val="469A6FE4"/>
    <w:rsid w:val="46A3401E"/>
    <w:rsid w:val="46B61944"/>
    <w:rsid w:val="46CC1167"/>
    <w:rsid w:val="46D85D5E"/>
    <w:rsid w:val="46EE0705"/>
    <w:rsid w:val="46FB137F"/>
    <w:rsid w:val="46FB50CF"/>
    <w:rsid w:val="46FC37FA"/>
    <w:rsid w:val="471C718B"/>
    <w:rsid w:val="47307948"/>
    <w:rsid w:val="4738351D"/>
    <w:rsid w:val="475950F1"/>
    <w:rsid w:val="476D46F8"/>
    <w:rsid w:val="477261B2"/>
    <w:rsid w:val="477A6E6A"/>
    <w:rsid w:val="477C3E4E"/>
    <w:rsid w:val="477E6905"/>
    <w:rsid w:val="479E6FA7"/>
    <w:rsid w:val="47D97FDF"/>
    <w:rsid w:val="47E32FBE"/>
    <w:rsid w:val="47E50732"/>
    <w:rsid w:val="48054198"/>
    <w:rsid w:val="481E3C44"/>
    <w:rsid w:val="482E1FB6"/>
    <w:rsid w:val="48380768"/>
    <w:rsid w:val="4840005F"/>
    <w:rsid w:val="484A4A39"/>
    <w:rsid w:val="484E277B"/>
    <w:rsid w:val="485E04E5"/>
    <w:rsid w:val="48621B0C"/>
    <w:rsid w:val="488F12B1"/>
    <w:rsid w:val="489451D8"/>
    <w:rsid w:val="48F331AB"/>
    <w:rsid w:val="48F75EC4"/>
    <w:rsid w:val="49227764"/>
    <w:rsid w:val="493C2BF3"/>
    <w:rsid w:val="4941408E"/>
    <w:rsid w:val="49431BB4"/>
    <w:rsid w:val="49601FEE"/>
    <w:rsid w:val="49853754"/>
    <w:rsid w:val="49A10689"/>
    <w:rsid w:val="49BA799D"/>
    <w:rsid w:val="49F92273"/>
    <w:rsid w:val="4A0D21C2"/>
    <w:rsid w:val="4A1134A2"/>
    <w:rsid w:val="4A2B43F6"/>
    <w:rsid w:val="4A407EA2"/>
    <w:rsid w:val="4A4E23DD"/>
    <w:rsid w:val="4A5A3216"/>
    <w:rsid w:val="4A713F14"/>
    <w:rsid w:val="4A732ADF"/>
    <w:rsid w:val="4A7D4C52"/>
    <w:rsid w:val="4A963F66"/>
    <w:rsid w:val="4A96711A"/>
    <w:rsid w:val="4AB4049F"/>
    <w:rsid w:val="4AB80380"/>
    <w:rsid w:val="4AC81B75"/>
    <w:rsid w:val="4B0215FB"/>
    <w:rsid w:val="4B3B1EDD"/>
    <w:rsid w:val="4B7A3887"/>
    <w:rsid w:val="4B7E5126"/>
    <w:rsid w:val="4B895879"/>
    <w:rsid w:val="4B8B339F"/>
    <w:rsid w:val="4B951B65"/>
    <w:rsid w:val="4BA32DDE"/>
    <w:rsid w:val="4BB17956"/>
    <w:rsid w:val="4BD05255"/>
    <w:rsid w:val="4BE807F1"/>
    <w:rsid w:val="4BFE5D6A"/>
    <w:rsid w:val="4C147916"/>
    <w:rsid w:val="4C3D6555"/>
    <w:rsid w:val="4C673E0C"/>
    <w:rsid w:val="4C6B2B37"/>
    <w:rsid w:val="4C6C1422"/>
    <w:rsid w:val="4C9038B4"/>
    <w:rsid w:val="4CAF7561"/>
    <w:rsid w:val="4CCA03D9"/>
    <w:rsid w:val="4CD8687B"/>
    <w:rsid w:val="4CE94821"/>
    <w:rsid w:val="4CEC4311"/>
    <w:rsid w:val="4CF308FD"/>
    <w:rsid w:val="4D1F0243"/>
    <w:rsid w:val="4D534390"/>
    <w:rsid w:val="4D6E4D26"/>
    <w:rsid w:val="4D926C66"/>
    <w:rsid w:val="4DAB5F7A"/>
    <w:rsid w:val="4DB017E2"/>
    <w:rsid w:val="4DC863E5"/>
    <w:rsid w:val="4DCA5A51"/>
    <w:rsid w:val="4DE05CFA"/>
    <w:rsid w:val="4DE12E81"/>
    <w:rsid w:val="4E3B72FE"/>
    <w:rsid w:val="4E760336"/>
    <w:rsid w:val="4E7D7917"/>
    <w:rsid w:val="4E9B27EF"/>
    <w:rsid w:val="4EAC3D58"/>
    <w:rsid w:val="4EBD37C1"/>
    <w:rsid w:val="4EC015B1"/>
    <w:rsid w:val="4ECC43FA"/>
    <w:rsid w:val="4ECF7A46"/>
    <w:rsid w:val="4ED16A53"/>
    <w:rsid w:val="4EEB16E6"/>
    <w:rsid w:val="4EFA0F67"/>
    <w:rsid w:val="4F0B3174"/>
    <w:rsid w:val="4F0C303F"/>
    <w:rsid w:val="4F1D4C56"/>
    <w:rsid w:val="4F2D7040"/>
    <w:rsid w:val="4F3F2E1E"/>
    <w:rsid w:val="4F45117A"/>
    <w:rsid w:val="4F4626F3"/>
    <w:rsid w:val="4F4915A7"/>
    <w:rsid w:val="4F4A3571"/>
    <w:rsid w:val="4F5A0FA1"/>
    <w:rsid w:val="4F5D32A4"/>
    <w:rsid w:val="4F6939F7"/>
    <w:rsid w:val="4F701229"/>
    <w:rsid w:val="4F727FD6"/>
    <w:rsid w:val="4F824AB9"/>
    <w:rsid w:val="4F8304CF"/>
    <w:rsid w:val="4F840831"/>
    <w:rsid w:val="4F876573"/>
    <w:rsid w:val="4FA26F09"/>
    <w:rsid w:val="4FAE58AE"/>
    <w:rsid w:val="4FB71297"/>
    <w:rsid w:val="4FBF11AA"/>
    <w:rsid w:val="4FD5108C"/>
    <w:rsid w:val="4FE92CD6"/>
    <w:rsid w:val="50221C17"/>
    <w:rsid w:val="502C5EFA"/>
    <w:rsid w:val="502D0274"/>
    <w:rsid w:val="50416722"/>
    <w:rsid w:val="50574197"/>
    <w:rsid w:val="506153AC"/>
    <w:rsid w:val="507620AE"/>
    <w:rsid w:val="5099655E"/>
    <w:rsid w:val="50A224C3"/>
    <w:rsid w:val="50E023DF"/>
    <w:rsid w:val="50E35A2B"/>
    <w:rsid w:val="50F1639A"/>
    <w:rsid w:val="51257DF2"/>
    <w:rsid w:val="51271DBC"/>
    <w:rsid w:val="513B7615"/>
    <w:rsid w:val="513F7105"/>
    <w:rsid w:val="51477D68"/>
    <w:rsid w:val="514A5AAA"/>
    <w:rsid w:val="514C35D0"/>
    <w:rsid w:val="515801C7"/>
    <w:rsid w:val="51593B8D"/>
    <w:rsid w:val="515F007B"/>
    <w:rsid w:val="516140B5"/>
    <w:rsid w:val="51644DBE"/>
    <w:rsid w:val="517A6653"/>
    <w:rsid w:val="518B5EA5"/>
    <w:rsid w:val="518C7E71"/>
    <w:rsid w:val="518F39BC"/>
    <w:rsid w:val="51C969CF"/>
    <w:rsid w:val="51FA74D0"/>
    <w:rsid w:val="51FF6894"/>
    <w:rsid w:val="5200269E"/>
    <w:rsid w:val="5200380D"/>
    <w:rsid w:val="522C7C40"/>
    <w:rsid w:val="523227C6"/>
    <w:rsid w:val="52374280"/>
    <w:rsid w:val="524D7600"/>
    <w:rsid w:val="52554706"/>
    <w:rsid w:val="527C3337"/>
    <w:rsid w:val="527E1EAF"/>
    <w:rsid w:val="527E5A0B"/>
    <w:rsid w:val="52AF2069"/>
    <w:rsid w:val="52B7716F"/>
    <w:rsid w:val="52C673B2"/>
    <w:rsid w:val="52E4399A"/>
    <w:rsid w:val="531445C2"/>
    <w:rsid w:val="531935A4"/>
    <w:rsid w:val="536524C3"/>
    <w:rsid w:val="536A36BC"/>
    <w:rsid w:val="536D1F1D"/>
    <w:rsid w:val="537312E8"/>
    <w:rsid w:val="538277A4"/>
    <w:rsid w:val="53980D4F"/>
    <w:rsid w:val="53A019B1"/>
    <w:rsid w:val="53AF7E46"/>
    <w:rsid w:val="53C51035"/>
    <w:rsid w:val="53C9715A"/>
    <w:rsid w:val="53CF4A5C"/>
    <w:rsid w:val="53D041D1"/>
    <w:rsid w:val="53F341D7"/>
    <w:rsid w:val="53FB4CCB"/>
    <w:rsid w:val="54014B46"/>
    <w:rsid w:val="540262EE"/>
    <w:rsid w:val="54244390"/>
    <w:rsid w:val="54305A86"/>
    <w:rsid w:val="54363EAB"/>
    <w:rsid w:val="543D5452"/>
    <w:rsid w:val="546450D5"/>
    <w:rsid w:val="54684BC5"/>
    <w:rsid w:val="548425AE"/>
    <w:rsid w:val="54877D10"/>
    <w:rsid w:val="549239F0"/>
    <w:rsid w:val="54A84FC1"/>
    <w:rsid w:val="54B0031A"/>
    <w:rsid w:val="54B020C8"/>
    <w:rsid w:val="54B576DE"/>
    <w:rsid w:val="55024449"/>
    <w:rsid w:val="55085BEA"/>
    <w:rsid w:val="55086FD1"/>
    <w:rsid w:val="55172147"/>
    <w:rsid w:val="55410BF9"/>
    <w:rsid w:val="554271C4"/>
    <w:rsid w:val="55794BB0"/>
    <w:rsid w:val="557E3F74"/>
    <w:rsid w:val="5594498E"/>
    <w:rsid w:val="5596306C"/>
    <w:rsid w:val="55A57753"/>
    <w:rsid w:val="55A84294"/>
    <w:rsid w:val="55AC288F"/>
    <w:rsid w:val="55AC40A5"/>
    <w:rsid w:val="55AD03B6"/>
    <w:rsid w:val="55B1434A"/>
    <w:rsid w:val="55BF6A67"/>
    <w:rsid w:val="55D12054"/>
    <w:rsid w:val="55DA6596"/>
    <w:rsid w:val="560C77D2"/>
    <w:rsid w:val="560F537A"/>
    <w:rsid w:val="5613290E"/>
    <w:rsid w:val="56224489"/>
    <w:rsid w:val="565D4368"/>
    <w:rsid w:val="56603960"/>
    <w:rsid w:val="56625644"/>
    <w:rsid w:val="56690780"/>
    <w:rsid w:val="566B274A"/>
    <w:rsid w:val="566D0271"/>
    <w:rsid w:val="567A298E"/>
    <w:rsid w:val="569C2904"/>
    <w:rsid w:val="56A0017C"/>
    <w:rsid w:val="56A1616C"/>
    <w:rsid w:val="56AE5A8D"/>
    <w:rsid w:val="56BC4D54"/>
    <w:rsid w:val="56C3571A"/>
    <w:rsid w:val="56DB5BC3"/>
    <w:rsid w:val="56E83D9B"/>
    <w:rsid w:val="56F72230"/>
    <w:rsid w:val="56FA5260"/>
    <w:rsid w:val="572823EA"/>
    <w:rsid w:val="574C257C"/>
    <w:rsid w:val="5755438D"/>
    <w:rsid w:val="57721B9C"/>
    <w:rsid w:val="57825F9E"/>
    <w:rsid w:val="578F4217"/>
    <w:rsid w:val="578F4443"/>
    <w:rsid w:val="57925AB5"/>
    <w:rsid w:val="57AD70E7"/>
    <w:rsid w:val="57B8364E"/>
    <w:rsid w:val="57C95893"/>
    <w:rsid w:val="57CD4D3F"/>
    <w:rsid w:val="581D1822"/>
    <w:rsid w:val="582E3A30"/>
    <w:rsid w:val="58304C51"/>
    <w:rsid w:val="5835523D"/>
    <w:rsid w:val="583F5C3D"/>
    <w:rsid w:val="586D09FC"/>
    <w:rsid w:val="587177C3"/>
    <w:rsid w:val="588405A5"/>
    <w:rsid w:val="5898534D"/>
    <w:rsid w:val="589917F1"/>
    <w:rsid w:val="589C4E3D"/>
    <w:rsid w:val="58C919AA"/>
    <w:rsid w:val="58D11BCB"/>
    <w:rsid w:val="58D41C07"/>
    <w:rsid w:val="58E93DFA"/>
    <w:rsid w:val="58F44C79"/>
    <w:rsid w:val="59080725"/>
    <w:rsid w:val="59123DF1"/>
    <w:rsid w:val="591B2F0C"/>
    <w:rsid w:val="59352B9C"/>
    <w:rsid w:val="594828CF"/>
    <w:rsid w:val="594A7F41"/>
    <w:rsid w:val="596811C3"/>
    <w:rsid w:val="59786F11"/>
    <w:rsid w:val="598B2F92"/>
    <w:rsid w:val="598F25C7"/>
    <w:rsid w:val="59937540"/>
    <w:rsid w:val="59A039F6"/>
    <w:rsid w:val="59AA336E"/>
    <w:rsid w:val="59B63CDD"/>
    <w:rsid w:val="59E60C99"/>
    <w:rsid w:val="59E940B2"/>
    <w:rsid w:val="59EC3BA2"/>
    <w:rsid w:val="59F45AD3"/>
    <w:rsid w:val="59F760A3"/>
    <w:rsid w:val="5A00764E"/>
    <w:rsid w:val="5A274BDA"/>
    <w:rsid w:val="5A5534F6"/>
    <w:rsid w:val="5A614BE3"/>
    <w:rsid w:val="5A637F6F"/>
    <w:rsid w:val="5A70032F"/>
    <w:rsid w:val="5A7A29E2"/>
    <w:rsid w:val="5A7C7493"/>
    <w:rsid w:val="5AA91A93"/>
    <w:rsid w:val="5AAC6D3A"/>
    <w:rsid w:val="5AB83A84"/>
    <w:rsid w:val="5ABD72ED"/>
    <w:rsid w:val="5AC95C92"/>
    <w:rsid w:val="5AEF6656"/>
    <w:rsid w:val="5AF076C2"/>
    <w:rsid w:val="5AFC1BC3"/>
    <w:rsid w:val="5B055025"/>
    <w:rsid w:val="5B3F5F54"/>
    <w:rsid w:val="5B423A25"/>
    <w:rsid w:val="5B6D486F"/>
    <w:rsid w:val="5BD14DFE"/>
    <w:rsid w:val="5BD743DE"/>
    <w:rsid w:val="5BEA5EBF"/>
    <w:rsid w:val="5BF44F90"/>
    <w:rsid w:val="5C121CA4"/>
    <w:rsid w:val="5C1271C4"/>
    <w:rsid w:val="5C1B42CB"/>
    <w:rsid w:val="5C5477DD"/>
    <w:rsid w:val="5C5A1297"/>
    <w:rsid w:val="5C602626"/>
    <w:rsid w:val="5C6519EA"/>
    <w:rsid w:val="5C9108EC"/>
    <w:rsid w:val="5C9936CF"/>
    <w:rsid w:val="5CAB38A1"/>
    <w:rsid w:val="5CAF2C65"/>
    <w:rsid w:val="5CCC7122"/>
    <w:rsid w:val="5CE62A27"/>
    <w:rsid w:val="5CEE456C"/>
    <w:rsid w:val="5CF42D8C"/>
    <w:rsid w:val="5D2564AF"/>
    <w:rsid w:val="5D5C7A80"/>
    <w:rsid w:val="5D6D0F8A"/>
    <w:rsid w:val="5D773862"/>
    <w:rsid w:val="5D7E7207"/>
    <w:rsid w:val="5D8A5BAC"/>
    <w:rsid w:val="5D9011B3"/>
    <w:rsid w:val="5D9C7014"/>
    <w:rsid w:val="5DD93AB7"/>
    <w:rsid w:val="5DEF78BB"/>
    <w:rsid w:val="5E40706E"/>
    <w:rsid w:val="5E421C4D"/>
    <w:rsid w:val="5E806DB9"/>
    <w:rsid w:val="5EA53721"/>
    <w:rsid w:val="5EB56FB2"/>
    <w:rsid w:val="5EC40406"/>
    <w:rsid w:val="5ECC4F05"/>
    <w:rsid w:val="5EF84D97"/>
    <w:rsid w:val="5F074FDA"/>
    <w:rsid w:val="5F0E6369"/>
    <w:rsid w:val="5F182D44"/>
    <w:rsid w:val="5F322057"/>
    <w:rsid w:val="5F35264F"/>
    <w:rsid w:val="5F396F19"/>
    <w:rsid w:val="5F41673E"/>
    <w:rsid w:val="5F887EC9"/>
    <w:rsid w:val="5F943190"/>
    <w:rsid w:val="5F9E149B"/>
    <w:rsid w:val="5FAA5F75"/>
    <w:rsid w:val="5FAB718B"/>
    <w:rsid w:val="5FB92AD3"/>
    <w:rsid w:val="5FBF5C36"/>
    <w:rsid w:val="5FCA6734"/>
    <w:rsid w:val="5FE377F5"/>
    <w:rsid w:val="5FFA2BA8"/>
    <w:rsid w:val="60255718"/>
    <w:rsid w:val="602816AC"/>
    <w:rsid w:val="602B6AA7"/>
    <w:rsid w:val="604364E6"/>
    <w:rsid w:val="604C0766"/>
    <w:rsid w:val="605424A1"/>
    <w:rsid w:val="608A1A1F"/>
    <w:rsid w:val="60A07D32"/>
    <w:rsid w:val="60A26D69"/>
    <w:rsid w:val="60A30D33"/>
    <w:rsid w:val="60A46FF9"/>
    <w:rsid w:val="60AF592A"/>
    <w:rsid w:val="60B151FE"/>
    <w:rsid w:val="60B31FF5"/>
    <w:rsid w:val="60C2565D"/>
    <w:rsid w:val="60C51A2C"/>
    <w:rsid w:val="60DB04CD"/>
    <w:rsid w:val="60FF240D"/>
    <w:rsid w:val="61047A23"/>
    <w:rsid w:val="61077826"/>
    <w:rsid w:val="610E79A4"/>
    <w:rsid w:val="610E7EA6"/>
    <w:rsid w:val="613751C4"/>
    <w:rsid w:val="61761FA3"/>
    <w:rsid w:val="61785D1C"/>
    <w:rsid w:val="618446C0"/>
    <w:rsid w:val="618D5C6B"/>
    <w:rsid w:val="61906BE0"/>
    <w:rsid w:val="61B01959"/>
    <w:rsid w:val="61E33F36"/>
    <w:rsid w:val="61F45CEA"/>
    <w:rsid w:val="620A72BB"/>
    <w:rsid w:val="621F43E9"/>
    <w:rsid w:val="62281AA0"/>
    <w:rsid w:val="623B7475"/>
    <w:rsid w:val="623F0D34"/>
    <w:rsid w:val="62487DE4"/>
    <w:rsid w:val="625C5463"/>
    <w:rsid w:val="626F1110"/>
    <w:rsid w:val="627604AD"/>
    <w:rsid w:val="627B1F67"/>
    <w:rsid w:val="628030DA"/>
    <w:rsid w:val="62961CE2"/>
    <w:rsid w:val="62A468BF"/>
    <w:rsid w:val="62A56FE4"/>
    <w:rsid w:val="62A866D0"/>
    <w:rsid w:val="62BD60DC"/>
    <w:rsid w:val="62C7476E"/>
    <w:rsid w:val="62CC020C"/>
    <w:rsid w:val="62CC7726"/>
    <w:rsid w:val="62D41677"/>
    <w:rsid w:val="62EF025F"/>
    <w:rsid w:val="63071A4D"/>
    <w:rsid w:val="6309447C"/>
    <w:rsid w:val="630A5A6D"/>
    <w:rsid w:val="631A52DC"/>
    <w:rsid w:val="6349639D"/>
    <w:rsid w:val="634C49D0"/>
    <w:rsid w:val="63554A0D"/>
    <w:rsid w:val="63695DB0"/>
    <w:rsid w:val="63754C08"/>
    <w:rsid w:val="638E68ED"/>
    <w:rsid w:val="638F2DC6"/>
    <w:rsid w:val="63901A42"/>
    <w:rsid w:val="639D09CB"/>
    <w:rsid w:val="63B15515"/>
    <w:rsid w:val="63B87CBA"/>
    <w:rsid w:val="63C01AED"/>
    <w:rsid w:val="63C60FC0"/>
    <w:rsid w:val="63C65464"/>
    <w:rsid w:val="63D3125A"/>
    <w:rsid w:val="63DC07E4"/>
    <w:rsid w:val="63F73BD7"/>
    <w:rsid w:val="64055990"/>
    <w:rsid w:val="64340620"/>
    <w:rsid w:val="64410F8F"/>
    <w:rsid w:val="645D2D45"/>
    <w:rsid w:val="646125FE"/>
    <w:rsid w:val="64682077"/>
    <w:rsid w:val="64790728"/>
    <w:rsid w:val="648F5856"/>
    <w:rsid w:val="64972AB8"/>
    <w:rsid w:val="64A227CA"/>
    <w:rsid w:val="64DD4813"/>
    <w:rsid w:val="65180933"/>
    <w:rsid w:val="65362175"/>
    <w:rsid w:val="65566374"/>
    <w:rsid w:val="65766A16"/>
    <w:rsid w:val="65783F39"/>
    <w:rsid w:val="657C227E"/>
    <w:rsid w:val="659868BE"/>
    <w:rsid w:val="65A42E08"/>
    <w:rsid w:val="65B12A00"/>
    <w:rsid w:val="65C77271"/>
    <w:rsid w:val="65D11E9E"/>
    <w:rsid w:val="65DB7500"/>
    <w:rsid w:val="65DC4ACB"/>
    <w:rsid w:val="65DF4740"/>
    <w:rsid w:val="65E676F8"/>
    <w:rsid w:val="65EB7404"/>
    <w:rsid w:val="65F91B21"/>
    <w:rsid w:val="660356CA"/>
    <w:rsid w:val="66157FDD"/>
    <w:rsid w:val="661E50E3"/>
    <w:rsid w:val="662446C4"/>
    <w:rsid w:val="662E1F6F"/>
    <w:rsid w:val="664072A0"/>
    <w:rsid w:val="66632F66"/>
    <w:rsid w:val="66650F64"/>
    <w:rsid w:val="666A657B"/>
    <w:rsid w:val="66A51361"/>
    <w:rsid w:val="66AC1B17"/>
    <w:rsid w:val="66AE2FFF"/>
    <w:rsid w:val="66C8504F"/>
    <w:rsid w:val="66CD08B8"/>
    <w:rsid w:val="66E557FD"/>
    <w:rsid w:val="66F25116"/>
    <w:rsid w:val="66FD119D"/>
    <w:rsid w:val="66FD3B2B"/>
    <w:rsid w:val="670352EA"/>
    <w:rsid w:val="670C7632"/>
    <w:rsid w:val="6727621A"/>
    <w:rsid w:val="673D5A3D"/>
    <w:rsid w:val="67550FD9"/>
    <w:rsid w:val="676B2854"/>
    <w:rsid w:val="67796A82"/>
    <w:rsid w:val="68014955"/>
    <w:rsid w:val="681503E6"/>
    <w:rsid w:val="681A18DB"/>
    <w:rsid w:val="68330BEE"/>
    <w:rsid w:val="68511756"/>
    <w:rsid w:val="68784853"/>
    <w:rsid w:val="68AC43E6"/>
    <w:rsid w:val="68D0468F"/>
    <w:rsid w:val="68E87C2B"/>
    <w:rsid w:val="68F30B42"/>
    <w:rsid w:val="690540BF"/>
    <w:rsid w:val="691B1DAE"/>
    <w:rsid w:val="69450BD9"/>
    <w:rsid w:val="69603C65"/>
    <w:rsid w:val="69833F84"/>
    <w:rsid w:val="6994393A"/>
    <w:rsid w:val="69AF73BD"/>
    <w:rsid w:val="69B144C0"/>
    <w:rsid w:val="69B813AB"/>
    <w:rsid w:val="69C340F2"/>
    <w:rsid w:val="69C441F4"/>
    <w:rsid w:val="6A1F55DC"/>
    <w:rsid w:val="6A274783"/>
    <w:rsid w:val="6A3A2708"/>
    <w:rsid w:val="6A4021D8"/>
    <w:rsid w:val="6A461675"/>
    <w:rsid w:val="6A5F7653"/>
    <w:rsid w:val="6A7774B8"/>
    <w:rsid w:val="6A7E1204"/>
    <w:rsid w:val="6AA13260"/>
    <w:rsid w:val="6AA16168"/>
    <w:rsid w:val="6ABE0C43"/>
    <w:rsid w:val="6ACB7804"/>
    <w:rsid w:val="6AD541DF"/>
    <w:rsid w:val="6B0A20DA"/>
    <w:rsid w:val="6B767770"/>
    <w:rsid w:val="6B8359E9"/>
    <w:rsid w:val="6B9D4CFC"/>
    <w:rsid w:val="6BBA3B00"/>
    <w:rsid w:val="6BBB2524"/>
    <w:rsid w:val="6BBF5037"/>
    <w:rsid w:val="6BCE4EB6"/>
    <w:rsid w:val="6BE02E3B"/>
    <w:rsid w:val="6BF608B1"/>
    <w:rsid w:val="6C0E5BFA"/>
    <w:rsid w:val="6C2076DB"/>
    <w:rsid w:val="6C3525CB"/>
    <w:rsid w:val="6C3F7B62"/>
    <w:rsid w:val="6C4909E0"/>
    <w:rsid w:val="6C496C32"/>
    <w:rsid w:val="6C4C04D0"/>
    <w:rsid w:val="6C54385C"/>
    <w:rsid w:val="6C5C4BB7"/>
    <w:rsid w:val="6C5F1FB2"/>
    <w:rsid w:val="6C7E559F"/>
    <w:rsid w:val="6C87555A"/>
    <w:rsid w:val="6C952FB6"/>
    <w:rsid w:val="6CD209D6"/>
    <w:rsid w:val="6CD609CA"/>
    <w:rsid w:val="6CE122CE"/>
    <w:rsid w:val="6CF7668E"/>
    <w:rsid w:val="6D107750"/>
    <w:rsid w:val="6D321474"/>
    <w:rsid w:val="6D3B2A1F"/>
    <w:rsid w:val="6D6C15A7"/>
    <w:rsid w:val="6D83283D"/>
    <w:rsid w:val="6D8A5754"/>
    <w:rsid w:val="6DAA54AF"/>
    <w:rsid w:val="6DB06FF1"/>
    <w:rsid w:val="6DF8036A"/>
    <w:rsid w:val="6DFB5D0A"/>
    <w:rsid w:val="6E8D6DF3"/>
    <w:rsid w:val="6EA6211A"/>
    <w:rsid w:val="6EAD34A8"/>
    <w:rsid w:val="6EB011EB"/>
    <w:rsid w:val="6EC16F54"/>
    <w:rsid w:val="6EC86534"/>
    <w:rsid w:val="6ECC4E9C"/>
    <w:rsid w:val="6ECF6B20"/>
    <w:rsid w:val="6EFF1A27"/>
    <w:rsid w:val="6F0155A2"/>
    <w:rsid w:val="6F1C779D"/>
    <w:rsid w:val="6F3E040D"/>
    <w:rsid w:val="6F771D08"/>
    <w:rsid w:val="6F7E141F"/>
    <w:rsid w:val="6F984159"/>
    <w:rsid w:val="6FA81EC2"/>
    <w:rsid w:val="6FF15617"/>
    <w:rsid w:val="6FFD4727"/>
    <w:rsid w:val="70117A67"/>
    <w:rsid w:val="70291255"/>
    <w:rsid w:val="708104E7"/>
    <w:rsid w:val="708E3A71"/>
    <w:rsid w:val="70920657"/>
    <w:rsid w:val="70AE175A"/>
    <w:rsid w:val="70C4708B"/>
    <w:rsid w:val="70C66AA3"/>
    <w:rsid w:val="711C4915"/>
    <w:rsid w:val="71297032"/>
    <w:rsid w:val="714479C8"/>
    <w:rsid w:val="7157594D"/>
    <w:rsid w:val="715B116D"/>
    <w:rsid w:val="715F4802"/>
    <w:rsid w:val="71614A1E"/>
    <w:rsid w:val="71763E02"/>
    <w:rsid w:val="71812380"/>
    <w:rsid w:val="7189187F"/>
    <w:rsid w:val="718F158B"/>
    <w:rsid w:val="71963B10"/>
    <w:rsid w:val="719C388E"/>
    <w:rsid w:val="71BE3C1E"/>
    <w:rsid w:val="71CD3E62"/>
    <w:rsid w:val="71EC42E8"/>
    <w:rsid w:val="72121874"/>
    <w:rsid w:val="72225F5B"/>
    <w:rsid w:val="72270127"/>
    <w:rsid w:val="72273572"/>
    <w:rsid w:val="72532EB4"/>
    <w:rsid w:val="72655E48"/>
    <w:rsid w:val="727D5888"/>
    <w:rsid w:val="7295497F"/>
    <w:rsid w:val="729A5611"/>
    <w:rsid w:val="72A03324"/>
    <w:rsid w:val="72AB6D5F"/>
    <w:rsid w:val="72B2004F"/>
    <w:rsid w:val="72B34E05"/>
    <w:rsid w:val="72C60FDD"/>
    <w:rsid w:val="7309711B"/>
    <w:rsid w:val="73247A12"/>
    <w:rsid w:val="732D4F74"/>
    <w:rsid w:val="732D5549"/>
    <w:rsid w:val="73337CF4"/>
    <w:rsid w:val="733A72D5"/>
    <w:rsid w:val="734A6E8D"/>
    <w:rsid w:val="737A14CF"/>
    <w:rsid w:val="738911A2"/>
    <w:rsid w:val="73DA4614"/>
    <w:rsid w:val="73ED07EB"/>
    <w:rsid w:val="741137FD"/>
    <w:rsid w:val="742C30C1"/>
    <w:rsid w:val="74471CA9"/>
    <w:rsid w:val="747D1765"/>
    <w:rsid w:val="74940C67"/>
    <w:rsid w:val="74B15375"/>
    <w:rsid w:val="74B75CE7"/>
    <w:rsid w:val="74BD1F6B"/>
    <w:rsid w:val="74C01C92"/>
    <w:rsid w:val="74C75527"/>
    <w:rsid w:val="75114065"/>
    <w:rsid w:val="75461F61"/>
    <w:rsid w:val="75466405"/>
    <w:rsid w:val="754D5C67"/>
    <w:rsid w:val="755C3532"/>
    <w:rsid w:val="758B3E18"/>
    <w:rsid w:val="75982C83"/>
    <w:rsid w:val="759A405B"/>
    <w:rsid w:val="75B136A4"/>
    <w:rsid w:val="75B55338"/>
    <w:rsid w:val="75CC2672"/>
    <w:rsid w:val="75CD0053"/>
    <w:rsid w:val="75DB213B"/>
    <w:rsid w:val="75E8126A"/>
    <w:rsid w:val="761152BC"/>
    <w:rsid w:val="76215F9C"/>
    <w:rsid w:val="762B1026"/>
    <w:rsid w:val="762B73A9"/>
    <w:rsid w:val="76346CE5"/>
    <w:rsid w:val="76515061"/>
    <w:rsid w:val="765B7164"/>
    <w:rsid w:val="765F3E19"/>
    <w:rsid w:val="766034F6"/>
    <w:rsid w:val="76893B88"/>
    <w:rsid w:val="77122E6F"/>
    <w:rsid w:val="7735228D"/>
    <w:rsid w:val="773A5AF5"/>
    <w:rsid w:val="773D55E5"/>
    <w:rsid w:val="77514BED"/>
    <w:rsid w:val="7758241F"/>
    <w:rsid w:val="775F34D3"/>
    <w:rsid w:val="776204D1"/>
    <w:rsid w:val="77626DFA"/>
    <w:rsid w:val="777259B2"/>
    <w:rsid w:val="777A2396"/>
    <w:rsid w:val="77846D70"/>
    <w:rsid w:val="77975BED"/>
    <w:rsid w:val="779C230C"/>
    <w:rsid w:val="77BC475C"/>
    <w:rsid w:val="77BF249E"/>
    <w:rsid w:val="77C90C27"/>
    <w:rsid w:val="77D93560"/>
    <w:rsid w:val="77E963B5"/>
    <w:rsid w:val="781D0B46"/>
    <w:rsid w:val="781D72B5"/>
    <w:rsid w:val="78393FFF"/>
    <w:rsid w:val="784B788E"/>
    <w:rsid w:val="78615304"/>
    <w:rsid w:val="78663C24"/>
    <w:rsid w:val="78A551F0"/>
    <w:rsid w:val="78F02670"/>
    <w:rsid w:val="79134850"/>
    <w:rsid w:val="791F31F5"/>
    <w:rsid w:val="79231CC3"/>
    <w:rsid w:val="792A1B99"/>
    <w:rsid w:val="793C6D8A"/>
    <w:rsid w:val="79407A62"/>
    <w:rsid w:val="794669D3"/>
    <w:rsid w:val="794B1A7D"/>
    <w:rsid w:val="794D2D86"/>
    <w:rsid w:val="7962698E"/>
    <w:rsid w:val="79974DFF"/>
    <w:rsid w:val="79AB4A88"/>
    <w:rsid w:val="79BF322E"/>
    <w:rsid w:val="79C8388C"/>
    <w:rsid w:val="79D57D57"/>
    <w:rsid w:val="79F426E3"/>
    <w:rsid w:val="7A036672"/>
    <w:rsid w:val="7A0917AF"/>
    <w:rsid w:val="7A1253F6"/>
    <w:rsid w:val="7A431165"/>
    <w:rsid w:val="7A4F18B8"/>
    <w:rsid w:val="7A642FEE"/>
    <w:rsid w:val="7A770E0E"/>
    <w:rsid w:val="7A9C0875"/>
    <w:rsid w:val="7AAC160F"/>
    <w:rsid w:val="7AAF05A8"/>
    <w:rsid w:val="7ABC51E6"/>
    <w:rsid w:val="7AC34054"/>
    <w:rsid w:val="7AD46261"/>
    <w:rsid w:val="7AD85D51"/>
    <w:rsid w:val="7AFE1296"/>
    <w:rsid w:val="7B022DCE"/>
    <w:rsid w:val="7B072192"/>
    <w:rsid w:val="7B0F54EB"/>
    <w:rsid w:val="7B30793B"/>
    <w:rsid w:val="7B3D1CC7"/>
    <w:rsid w:val="7B46684D"/>
    <w:rsid w:val="7B4A207F"/>
    <w:rsid w:val="7B586F7C"/>
    <w:rsid w:val="7B593278"/>
    <w:rsid w:val="7B610DB2"/>
    <w:rsid w:val="7B783090"/>
    <w:rsid w:val="7B8D37DB"/>
    <w:rsid w:val="7B901215"/>
    <w:rsid w:val="7B9463F7"/>
    <w:rsid w:val="7B95779E"/>
    <w:rsid w:val="7BB302F8"/>
    <w:rsid w:val="7BB51BEE"/>
    <w:rsid w:val="7BCC6F38"/>
    <w:rsid w:val="7BE67FFA"/>
    <w:rsid w:val="7BF22D26"/>
    <w:rsid w:val="7BFA5853"/>
    <w:rsid w:val="7C0D1A2A"/>
    <w:rsid w:val="7C217284"/>
    <w:rsid w:val="7C2B1EB0"/>
    <w:rsid w:val="7C6929D9"/>
    <w:rsid w:val="7C704248"/>
    <w:rsid w:val="7C773348"/>
    <w:rsid w:val="7C8141C6"/>
    <w:rsid w:val="7C8B294F"/>
    <w:rsid w:val="7CA67C6C"/>
    <w:rsid w:val="7CB93960"/>
    <w:rsid w:val="7CC61BD9"/>
    <w:rsid w:val="7CCD11BA"/>
    <w:rsid w:val="7CE131F6"/>
    <w:rsid w:val="7CF528A5"/>
    <w:rsid w:val="7D0E21AB"/>
    <w:rsid w:val="7D127336"/>
    <w:rsid w:val="7D144395"/>
    <w:rsid w:val="7D20753B"/>
    <w:rsid w:val="7D250FF6"/>
    <w:rsid w:val="7D3354C1"/>
    <w:rsid w:val="7D4654C1"/>
    <w:rsid w:val="7D504DD1"/>
    <w:rsid w:val="7D5316BF"/>
    <w:rsid w:val="7D6A3EE0"/>
    <w:rsid w:val="7D6A6067"/>
    <w:rsid w:val="7D7358BD"/>
    <w:rsid w:val="7D7E4262"/>
    <w:rsid w:val="7D935F5F"/>
    <w:rsid w:val="7DB67EA0"/>
    <w:rsid w:val="7DC425BD"/>
    <w:rsid w:val="7DE646F8"/>
    <w:rsid w:val="7E745D91"/>
    <w:rsid w:val="7E7A49CB"/>
    <w:rsid w:val="7E915EB0"/>
    <w:rsid w:val="7E9A331D"/>
    <w:rsid w:val="7EAD3051"/>
    <w:rsid w:val="7EBF5EC4"/>
    <w:rsid w:val="7ECD724F"/>
    <w:rsid w:val="7EEE3597"/>
    <w:rsid w:val="7F052E8D"/>
    <w:rsid w:val="7F0A3FFF"/>
    <w:rsid w:val="7F231011"/>
    <w:rsid w:val="7F403EC5"/>
    <w:rsid w:val="7F6536D6"/>
    <w:rsid w:val="7F743B6E"/>
    <w:rsid w:val="7F820039"/>
    <w:rsid w:val="7F842003"/>
    <w:rsid w:val="7F961D37"/>
    <w:rsid w:val="7FC70142"/>
    <w:rsid w:val="7FCE14D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iPriority="0" w:name="footnote text"/>
    <w:lsdException w:qFormat="1" w:unhideWhenUsed="0" w:uiPriority="0" w:name="annotation text"/>
    <w:lsdException w:qFormat="1" w:unhideWhenUsed="0" w:uiPriority="99"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iPriority="0" w:name="annotation reference"/>
    <w:lsdException w:qFormat="1" w:unhideWhenUsed="0" w:uiPriority="0" w:semiHidden="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qFormat="1" w:unhideWhenUsed="0" w:uiPriority="0" w:semiHidden="0" w:name="List"/>
    <w:lsdException w:uiPriority="0" w:name="List Bullet"/>
    <w:lsdException w:unhideWhenUsed="0" w:uiPriority="0" w:semiHidden="0" w:name="List Number"/>
    <w:lsdException w:qFormat="1" w:unhideWhenUsed="0" w:uiPriority="0" w:semiHidden="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qFormat="1"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iPriority="0" w:name="E-mail Signature"/>
    <w:lsdException w:qFormat="1" w:unhideWhenUsed="0" w:uiPriority="0" w:semiHidden="0" w:name="Normal (Web)"/>
    <w:lsdException w:qFormat="1" w:uiPriority="0" w:name="HTML Acronym"/>
    <w:lsdException w:uiPriority="0" w:name="HTML Address"/>
    <w:lsdException w:qFormat="1" w:uiPriority="0" w:name="HTML Cite"/>
    <w:lsdException w:qFormat="1" w:uiPriority="0" w:name="HTML Code"/>
    <w:lsdException w:qFormat="1" w:uiPriority="0" w:name="HTML Definition"/>
    <w:lsdException w:qFormat="1" w:uiPriority="0" w:name="HTML Keyboard"/>
    <w:lsdException w:uiPriority="0" w:name="HTML Preformatted"/>
    <w:lsdException w:qFormat="1" w:uiPriority="0" w:name="HTML Sample"/>
    <w:lsdException w:qFormat="1" w:uiPriority="0" w:name="HTML Typewriter"/>
    <w:lsdException w:qFormat="1" w:uiPriority="0" w:name="HTML Variable"/>
    <w:lsdException w:qFormat="1" w:uiPriority="99" w:name="Normal Table"/>
    <w:lsdException w:qFormat="1"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59" w:semiHidden="0" w:name="Table Grid"/>
    <w:lsdException w:uiPriority="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29" w:semiHidden="0" w:name="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rPr>
      <w:rFonts w:ascii="Times New Roman" w:hAnsi="Times New Roman" w:eastAsia="宋体" w:cs="Times New Roman"/>
      <w:lang w:val="en-US" w:eastAsia="zh-CN" w:bidi="ar-SA"/>
    </w:rPr>
  </w:style>
  <w:style w:type="paragraph" w:styleId="3">
    <w:name w:val="heading 1"/>
    <w:basedOn w:val="1"/>
    <w:next w:val="1"/>
    <w:link w:val="64"/>
    <w:autoRedefine/>
    <w:qFormat/>
    <w:uiPriority w:val="0"/>
    <w:pPr>
      <w:keepNext/>
      <w:keepLines/>
      <w:spacing w:before="340" w:after="330" w:line="578" w:lineRule="auto"/>
      <w:outlineLvl w:val="0"/>
    </w:pPr>
    <w:rPr>
      <w:b/>
      <w:kern w:val="44"/>
      <w:sz w:val="44"/>
    </w:rPr>
  </w:style>
  <w:style w:type="paragraph" w:styleId="2">
    <w:name w:val="heading 2"/>
    <w:basedOn w:val="1"/>
    <w:next w:val="1"/>
    <w:autoRedefine/>
    <w:qFormat/>
    <w:uiPriority w:val="0"/>
    <w:pPr>
      <w:keepNext/>
      <w:keepLines/>
      <w:spacing w:before="260" w:after="260" w:line="416" w:lineRule="auto"/>
      <w:outlineLvl w:val="1"/>
    </w:pPr>
    <w:rPr>
      <w:rFonts w:ascii="Arial" w:hAnsi="Arial" w:eastAsia="黑体"/>
      <w:b/>
      <w:sz w:val="32"/>
    </w:rPr>
  </w:style>
  <w:style w:type="paragraph" w:styleId="4">
    <w:name w:val="heading 3"/>
    <w:basedOn w:val="1"/>
    <w:next w:val="1"/>
    <w:autoRedefine/>
    <w:qFormat/>
    <w:uiPriority w:val="0"/>
    <w:pPr>
      <w:keepNext/>
      <w:keepLines/>
      <w:spacing w:before="260" w:after="260" w:line="416" w:lineRule="auto"/>
      <w:outlineLvl w:val="2"/>
    </w:pPr>
    <w:rPr>
      <w:b/>
      <w:sz w:val="32"/>
    </w:rPr>
  </w:style>
  <w:style w:type="paragraph" w:styleId="5">
    <w:name w:val="heading 4"/>
    <w:basedOn w:val="1"/>
    <w:next w:val="6"/>
    <w:autoRedefine/>
    <w:qFormat/>
    <w:uiPriority w:val="0"/>
    <w:pPr>
      <w:keepNext/>
      <w:spacing w:line="460" w:lineRule="exact"/>
      <w:jc w:val="both"/>
      <w:outlineLvl w:val="3"/>
    </w:pPr>
    <w:rPr>
      <w:rFonts w:ascii="宋体"/>
      <w:sz w:val="24"/>
    </w:rPr>
  </w:style>
  <w:style w:type="paragraph" w:styleId="7">
    <w:name w:val="heading 5"/>
    <w:basedOn w:val="1"/>
    <w:next w:val="6"/>
    <w:autoRedefine/>
    <w:qFormat/>
    <w:uiPriority w:val="0"/>
    <w:pPr>
      <w:keepNext/>
      <w:keepLines/>
      <w:widowControl w:val="0"/>
      <w:spacing w:before="280" w:after="290" w:line="376" w:lineRule="auto"/>
      <w:jc w:val="both"/>
      <w:outlineLvl w:val="4"/>
    </w:pPr>
    <w:rPr>
      <w:b/>
      <w:kern w:val="2"/>
      <w:sz w:val="24"/>
    </w:rPr>
  </w:style>
  <w:style w:type="paragraph" w:styleId="8">
    <w:name w:val="heading 6"/>
    <w:basedOn w:val="1"/>
    <w:next w:val="6"/>
    <w:autoRedefine/>
    <w:qFormat/>
    <w:uiPriority w:val="0"/>
    <w:pPr>
      <w:keepNext/>
      <w:keepLines/>
      <w:widowControl w:val="0"/>
      <w:tabs>
        <w:tab w:val="left" w:pos="360"/>
      </w:tabs>
      <w:spacing w:before="240" w:after="64" w:line="320" w:lineRule="auto"/>
      <w:ind w:left="360" w:hanging="360"/>
      <w:jc w:val="both"/>
      <w:outlineLvl w:val="5"/>
    </w:pPr>
    <w:rPr>
      <w:rFonts w:ascii="Arial" w:hAnsi="Arial" w:eastAsia="黑体"/>
      <w:b/>
      <w:kern w:val="2"/>
      <w:sz w:val="24"/>
    </w:rPr>
  </w:style>
  <w:style w:type="paragraph" w:styleId="9">
    <w:name w:val="heading 7"/>
    <w:basedOn w:val="1"/>
    <w:next w:val="6"/>
    <w:autoRedefine/>
    <w:qFormat/>
    <w:uiPriority w:val="0"/>
    <w:pPr>
      <w:keepNext/>
      <w:keepLines/>
      <w:widowControl w:val="0"/>
      <w:tabs>
        <w:tab w:val="left" w:pos="360"/>
      </w:tabs>
      <w:spacing w:before="240" w:after="64" w:line="320" w:lineRule="auto"/>
      <w:ind w:left="360" w:hanging="360"/>
      <w:jc w:val="both"/>
      <w:outlineLvl w:val="6"/>
    </w:pPr>
    <w:rPr>
      <w:b/>
      <w:kern w:val="2"/>
      <w:sz w:val="24"/>
    </w:rPr>
  </w:style>
  <w:style w:type="paragraph" w:styleId="10">
    <w:name w:val="heading 8"/>
    <w:basedOn w:val="1"/>
    <w:next w:val="6"/>
    <w:autoRedefine/>
    <w:qFormat/>
    <w:uiPriority w:val="0"/>
    <w:pPr>
      <w:keepNext/>
      <w:keepLines/>
      <w:widowControl w:val="0"/>
      <w:tabs>
        <w:tab w:val="left" w:pos="360"/>
      </w:tabs>
      <w:spacing w:before="240" w:after="64" w:line="320" w:lineRule="auto"/>
      <w:ind w:left="360" w:hanging="360"/>
      <w:jc w:val="both"/>
      <w:outlineLvl w:val="7"/>
    </w:pPr>
    <w:rPr>
      <w:rFonts w:ascii="Arial" w:hAnsi="Arial" w:eastAsia="黑体"/>
      <w:kern w:val="2"/>
      <w:sz w:val="24"/>
    </w:rPr>
  </w:style>
  <w:style w:type="paragraph" w:styleId="11">
    <w:name w:val="heading 9"/>
    <w:basedOn w:val="1"/>
    <w:next w:val="6"/>
    <w:autoRedefine/>
    <w:qFormat/>
    <w:uiPriority w:val="0"/>
    <w:pPr>
      <w:keepNext/>
      <w:keepLines/>
      <w:widowControl w:val="0"/>
      <w:tabs>
        <w:tab w:val="left" w:pos="360"/>
      </w:tabs>
      <w:spacing w:before="240" w:after="64" w:line="320" w:lineRule="auto"/>
      <w:ind w:left="360" w:hanging="360"/>
      <w:jc w:val="both"/>
      <w:outlineLvl w:val="8"/>
    </w:pPr>
    <w:rPr>
      <w:rFonts w:ascii="Arial" w:hAnsi="Arial" w:eastAsia="黑体"/>
      <w:kern w:val="2"/>
      <w:sz w:val="21"/>
    </w:rPr>
  </w:style>
  <w:style w:type="character" w:default="1" w:styleId="46">
    <w:name w:val="Default Paragraph Font"/>
    <w:autoRedefine/>
    <w:semiHidden/>
    <w:unhideWhenUsed/>
    <w:qFormat/>
    <w:uiPriority w:val="1"/>
  </w:style>
  <w:style w:type="table" w:default="1" w:styleId="44">
    <w:name w:val="Normal Table"/>
    <w:autoRedefine/>
    <w:semiHidden/>
    <w:unhideWhenUsed/>
    <w:qFormat/>
    <w:uiPriority w:val="99"/>
    <w:tblPr>
      <w:tblCellMar>
        <w:top w:w="0" w:type="dxa"/>
        <w:left w:w="108" w:type="dxa"/>
        <w:bottom w:w="0" w:type="dxa"/>
        <w:right w:w="108" w:type="dxa"/>
      </w:tblCellMar>
    </w:tblPr>
  </w:style>
  <w:style w:type="paragraph" w:styleId="6">
    <w:name w:val="Normal Indent"/>
    <w:basedOn w:val="1"/>
    <w:autoRedefine/>
    <w:qFormat/>
    <w:uiPriority w:val="0"/>
    <w:pPr>
      <w:ind w:firstLine="420"/>
    </w:pPr>
  </w:style>
  <w:style w:type="paragraph" w:styleId="12">
    <w:name w:val="toc 7"/>
    <w:basedOn w:val="1"/>
    <w:next w:val="1"/>
    <w:autoRedefine/>
    <w:qFormat/>
    <w:uiPriority w:val="0"/>
    <w:pPr>
      <w:ind w:left="1200"/>
    </w:pPr>
    <w:rPr>
      <w:rFonts w:ascii="Calibri" w:hAnsi="Calibri" w:cs="Calibri"/>
      <w:sz w:val="18"/>
      <w:szCs w:val="18"/>
    </w:rPr>
  </w:style>
  <w:style w:type="paragraph" w:styleId="13">
    <w:name w:val="Document Map"/>
    <w:basedOn w:val="1"/>
    <w:autoRedefine/>
    <w:semiHidden/>
    <w:qFormat/>
    <w:uiPriority w:val="0"/>
    <w:pPr>
      <w:shd w:val="clear" w:color="auto" w:fill="000080"/>
    </w:pPr>
  </w:style>
  <w:style w:type="paragraph" w:styleId="14">
    <w:name w:val="annotation text"/>
    <w:basedOn w:val="1"/>
    <w:link w:val="138"/>
    <w:autoRedefine/>
    <w:semiHidden/>
    <w:qFormat/>
    <w:uiPriority w:val="0"/>
  </w:style>
  <w:style w:type="paragraph" w:styleId="15">
    <w:name w:val="Body Text 3"/>
    <w:basedOn w:val="1"/>
    <w:autoRedefine/>
    <w:qFormat/>
    <w:uiPriority w:val="0"/>
    <w:pPr>
      <w:spacing w:after="120"/>
    </w:pPr>
    <w:rPr>
      <w:sz w:val="16"/>
      <w:szCs w:val="16"/>
    </w:rPr>
  </w:style>
  <w:style w:type="paragraph" w:styleId="16">
    <w:name w:val="Body Text"/>
    <w:basedOn w:val="1"/>
    <w:link w:val="73"/>
    <w:autoRedefine/>
    <w:qFormat/>
    <w:uiPriority w:val="0"/>
    <w:pPr>
      <w:spacing w:after="120"/>
    </w:pPr>
  </w:style>
  <w:style w:type="paragraph" w:styleId="17">
    <w:name w:val="Body Text Indent"/>
    <w:basedOn w:val="1"/>
    <w:next w:val="1"/>
    <w:autoRedefine/>
    <w:qFormat/>
    <w:uiPriority w:val="0"/>
    <w:pPr>
      <w:spacing w:after="120"/>
      <w:ind w:left="420" w:leftChars="200"/>
    </w:pPr>
  </w:style>
  <w:style w:type="paragraph" w:styleId="18">
    <w:name w:val="List 2"/>
    <w:basedOn w:val="1"/>
    <w:autoRedefine/>
    <w:qFormat/>
    <w:uiPriority w:val="0"/>
    <w:pPr>
      <w:widowControl w:val="0"/>
      <w:adjustRightInd w:val="0"/>
      <w:spacing w:line="360" w:lineRule="auto"/>
      <w:jc w:val="both"/>
      <w:textAlignment w:val="baseline"/>
    </w:pPr>
    <w:rPr>
      <w:sz w:val="24"/>
    </w:rPr>
  </w:style>
  <w:style w:type="paragraph" w:styleId="19">
    <w:name w:val="Block Text"/>
    <w:basedOn w:val="1"/>
    <w:autoRedefine/>
    <w:qFormat/>
    <w:uiPriority w:val="0"/>
    <w:pPr>
      <w:widowControl w:val="0"/>
      <w:ind w:left="1155" w:right="40" w:rightChars="19"/>
      <w:jc w:val="both"/>
    </w:pPr>
    <w:rPr>
      <w:kern w:val="2"/>
      <w:sz w:val="21"/>
      <w:szCs w:val="24"/>
    </w:rPr>
  </w:style>
  <w:style w:type="paragraph" w:styleId="20">
    <w:name w:val="toc 5"/>
    <w:basedOn w:val="1"/>
    <w:next w:val="1"/>
    <w:autoRedefine/>
    <w:qFormat/>
    <w:uiPriority w:val="0"/>
    <w:pPr>
      <w:ind w:left="800"/>
    </w:pPr>
    <w:rPr>
      <w:rFonts w:ascii="Calibri" w:hAnsi="Calibri" w:cs="Calibri"/>
      <w:sz w:val="18"/>
      <w:szCs w:val="18"/>
    </w:rPr>
  </w:style>
  <w:style w:type="paragraph" w:styleId="21">
    <w:name w:val="toc 3"/>
    <w:basedOn w:val="1"/>
    <w:next w:val="1"/>
    <w:autoRedefine/>
    <w:semiHidden/>
    <w:qFormat/>
    <w:uiPriority w:val="0"/>
    <w:pPr>
      <w:ind w:left="400"/>
    </w:pPr>
    <w:rPr>
      <w:rFonts w:ascii="Calibri" w:hAnsi="Calibri" w:cs="Calibri"/>
      <w:i/>
      <w:iCs/>
    </w:rPr>
  </w:style>
  <w:style w:type="paragraph" w:styleId="22">
    <w:name w:val="Plain Text"/>
    <w:basedOn w:val="1"/>
    <w:link w:val="74"/>
    <w:autoRedefine/>
    <w:qFormat/>
    <w:uiPriority w:val="0"/>
    <w:rPr>
      <w:rFonts w:ascii="宋体" w:hAnsi="Courier New" w:cs="Century"/>
      <w:sz w:val="21"/>
      <w:szCs w:val="21"/>
    </w:rPr>
  </w:style>
  <w:style w:type="paragraph" w:styleId="23">
    <w:name w:val="toc 8"/>
    <w:basedOn w:val="1"/>
    <w:next w:val="1"/>
    <w:autoRedefine/>
    <w:qFormat/>
    <w:uiPriority w:val="0"/>
    <w:pPr>
      <w:ind w:left="1400"/>
    </w:pPr>
    <w:rPr>
      <w:rFonts w:ascii="Calibri" w:hAnsi="Calibri" w:cs="Calibri"/>
      <w:sz w:val="18"/>
      <w:szCs w:val="18"/>
    </w:rPr>
  </w:style>
  <w:style w:type="paragraph" w:styleId="24">
    <w:name w:val="Date"/>
    <w:basedOn w:val="1"/>
    <w:next w:val="1"/>
    <w:link w:val="71"/>
    <w:autoRedefine/>
    <w:qFormat/>
    <w:uiPriority w:val="0"/>
    <w:pPr>
      <w:jc w:val="both"/>
    </w:pPr>
    <w:rPr>
      <w:rFonts w:ascii="宋体"/>
      <w:sz w:val="24"/>
    </w:rPr>
  </w:style>
  <w:style w:type="paragraph" w:styleId="25">
    <w:name w:val="Body Text Indent 2"/>
    <w:basedOn w:val="1"/>
    <w:autoRedefine/>
    <w:qFormat/>
    <w:uiPriority w:val="0"/>
    <w:pPr>
      <w:spacing w:after="120" w:line="480" w:lineRule="auto"/>
      <w:ind w:left="420" w:leftChars="200"/>
    </w:pPr>
  </w:style>
  <w:style w:type="paragraph" w:styleId="26">
    <w:name w:val="Balloon Text"/>
    <w:basedOn w:val="1"/>
    <w:autoRedefine/>
    <w:semiHidden/>
    <w:qFormat/>
    <w:uiPriority w:val="0"/>
    <w:rPr>
      <w:sz w:val="18"/>
      <w:szCs w:val="18"/>
    </w:rPr>
  </w:style>
  <w:style w:type="paragraph" w:styleId="27">
    <w:name w:val="footer"/>
    <w:basedOn w:val="1"/>
    <w:autoRedefine/>
    <w:qFormat/>
    <w:uiPriority w:val="99"/>
    <w:pPr>
      <w:tabs>
        <w:tab w:val="center" w:pos="4153"/>
        <w:tab w:val="right" w:pos="8306"/>
      </w:tabs>
      <w:snapToGrid w:val="0"/>
    </w:pPr>
    <w:rPr>
      <w:sz w:val="18"/>
    </w:rPr>
  </w:style>
  <w:style w:type="paragraph" w:styleId="28">
    <w:name w:val="header"/>
    <w:basedOn w:val="1"/>
    <w:link w:val="82"/>
    <w:autoRedefine/>
    <w:qFormat/>
    <w:uiPriority w:val="99"/>
    <w:pPr>
      <w:pBdr>
        <w:bottom w:val="single" w:color="auto" w:sz="6" w:space="1"/>
      </w:pBdr>
      <w:tabs>
        <w:tab w:val="center" w:pos="4153"/>
        <w:tab w:val="right" w:pos="8306"/>
      </w:tabs>
      <w:snapToGrid w:val="0"/>
      <w:jc w:val="center"/>
    </w:pPr>
    <w:rPr>
      <w:sz w:val="18"/>
    </w:rPr>
  </w:style>
  <w:style w:type="paragraph" w:styleId="29">
    <w:name w:val="toc 1"/>
    <w:basedOn w:val="1"/>
    <w:next w:val="1"/>
    <w:autoRedefine/>
    <w:qFormat/>
    <w:uiPriority w:val="39"/>
    <w:pPr>
      <w:spacing w:before="120" w:after="120"/>
    </w:pPr>
    <w:rPr>
      <w:rFonts w:ascii="Calibri" w:hAnsi="Calibri" w:cs="Calibri"/>
      <w:b/>
      <w:bCs/>
      <w:caps/>
    </w:rPr>
  </w:style>
  <w:style w:type="paragraph" w:styleId="30">
    <w:name w:val="toc 4"/>
    <w:basedOn w:val="1"/>
    <w:next w:val="1"/>
    <w:autoRedefine/>
    <w:qFormat/>
    <w:uiPriority w:val="0"/>
    <w:pPr>
      <w:ind w:left="600"/>
    </w:pPr>
    <w:rPr>
      <w:rFonts w:ascii="Calibri" w:hAnsi="Calibri" w:cs="Calibri"/>
      <w:sz w:val="18"/>
      <w:szCs w:val="18"/>
    </w:rPr>
  </w:style>
  <w:style w:type="paragraph" w:styleId="31">
    <w:name w:val="List"/>
    <w:basedOn w:val="1"/>
    <w:autoRedefine/>
    <w:qFormat/>
    <w:uiPriority w:val="0"/>
    <w:pPr>
      <w:widowControl w:val="0"/>
      <w:adjustRightInd w:val="0"/>
      <w:spacing w:line="360" w:lineRule="auto"/>
      <w:jc w:val="both"/>
      <w:textAlignment w:val="baseline"/>
    </w:pPr>
    <w:rPr>
      <w:sz w:val="24"/>
    </w:rPr>
  </w:style>
  <w:style w:type="paragraph" w:styleId="32">
    <w:name w:val="toc 6"/>
    <w:basedOn w:val="1"/>
    <w:next w:val="1"/>
    <w:autoRedefine/>
    <w:qFormat/>
    <w:uiPriority w:val="0"/>
    <w:pPr>
      <w:ind w:left="1000"/>
    </w:pPr>
    <w:rPr>
      <w:rFonts w:ascii="Calibri" w:hAnsi="Calibri" w:cs="Calibri"/>
      <w:sz w:val="18"/>
      <w:szCs w:val="18"/>
    </w:rPr>
  </w:style>
  <w:style w:type="paragraph" w:styleId="33">
    <w:name w:val="Body Text Indent 3"/>
    <w:basedOn w:val="1"/>
    <w:autoRedefine/>
    <w:qFormat/>
    <w:uiPriority w:val="0"/>
    <w:pPr>
      <w:spacing w:after="120"/>
      <w:ind w:left="420" w:leftChars="200"/>
    </w:pPr>
    <w:rPr>
      <w:sz w:val="16"/>
      <w:szCs w:val="16"/>
    </w:rPr>
  </w:style>
  <w:style w:type="paragraph" w:styleId="34">
    <w:name w:val="toc 2"/>
    <w:basedOn w:val="1"/>
    <w:next w:val="1"/>
    <w:autoRedefine/>
    <w:qFormat/>
    <w:uiPriority w:val="39"/>
    <w:pPr>
      <w:ind w:left="200"/>
    </w:pPr>
    <w:rPr>
      <w:rFonts w:ascii="Calibri" w:hAnsi="Calibri" w:cs="Calibri"/>
      <w:smallCaps/>
    </w:rPr>
  </w:style>
  <w:style w:type="paragraph" w:styleId="35">
    <w:name w:val="toc 9"/>
    <w:basedOn w:val="1"/>
    <w:next w:val="1"/>
    <w:autoRedefine/>
    <w:qFormat/>
    <w:uiPriority w:val="0"/>
    <w:pPr>
      <w:ind w:left="1600"/>
    </w:pPr>
    <w:rPr>
      <w:rFonts w:ascii="Calibri" w:hAnsi="Calibri" w:cs="Calibri"/>
      <w:sz w:val="18"/>
      <w:szCs w:val="18"/>
    </w:rPr>
  </w:style>
  <w:style w:type="paragraph" w:styleId="36">
    <w:name w:val="Body Text 2"/>
    <w:basedOn w:val="1"/>
    <w:autoRedefine/>
    <w:qFormat/>
    <w:uiPriority w:val="0"/>
    <w:pPr>
      <w:spacing w:after="120" w:line="480" w:lineRule="auto"/>
    </w:pPr>
  </w:style>
  <w:style w:type="paragraph" w:styleId="37">
    <w:name w:val="Message Header"/>
    <w:basedOn w:val="1"/>
    <w:autoRedefine/>
    <w:qFormat/>
    <w:uiPriority w:val="0"/>
    <w:pPr>
      <w:widowControl w:val="0"/>
      <w:pBdr>
        <w:top w:val="single" w:color="auto" w:sz="6" w:space="1"/>
        <w:left w:val="single" w:color="auto" w:sz="6" w:space="1"/>
        <w:bottom w:val="single" w:color="auto" w:sz="6" w:space="1"/>
        <w:right w:val="single" w:color="auto" w:sz="6" w:space="1"/>
      </w:pBdr>
      <w:shd w:val="pct20" w:color="auto" w:fill="auto"/>
      <w:tabs>
        <w:tab w:val="left" w:pos="738"/>
      </w:tabs>
      <w:ind w:left="1080" w:leftChars="500" w:hanging="1080" w:hangingChars="500"/>
      <w:jc w:val="both"/>
    </w:pPr>
    <w:rPr>
      <w:rFonts w:ascii="Arial" w:hAnsi="Arial" w:cs="Arial"/>
      <w:kern w:val="2"/>
      <w:sz w:val="24"/>
      <w:szCs w:val="24"/>
    </w:rPr>
  </w:style>
  <w:style w:type="paragraph" w:styleId="38">
    <w:name w:val="Normal (Web)"/>
    <w:basedOn w:val="1"/>
    <w:autoRedefine/>
    <w:qFormat/>
    <w:uiPriority w:val="0"/>
    <w:rPr>
      <w:sz w:val="24"/>
      <w:szCs w:val="24"/>
    </w:rPr>
  </w:style>
  <w:style w:type="paragraph" w:styleId="39">
    <w:name w:val="index 1"/>
    <w:basedOn w:val="1"/>
    <w:next w:val="1"/>
    <w:autoRedefine/>
    <w:semiHidden/>
    <w:qFormat/>
    <w:uiPriority w:val="0"/>
  </w:style>
  <w:style w:type="paragraph" w:styleId="40">
    <w:name w:val="Title"/>
    <w:basedOn w:val="1"/>
    <w:next w:val="1"/>
    <w:autoRedefine/>
    <w:qFormat/>
    <w:uiPriority w:val="10"/>
    <w:pPr>
      <w:widowControl w:val="0"/>
      <w:tabs>
        <w:tab w:val="left" w:pos="738"/>
      </w:tabs>
      <w:spacing w:before="240" w:after="60"/>
      <w:ind w:left="738" w:hanging="454"/>
      <w:jc w:val="center"/>
      <w:outlineLvl w:val="0"/>
    </w:pPr>
    <w:rPr>
      <w:rFonts w:ascii="Arial" w:hAnsi="Arial" w:cs="Arial"/>
      <w:b/>
      <w:bCs/>
      <w:kern w:val="2"/>
      <w:sz w:val="32"/>
      <w:szCs w:val="32"/>
    </w:rPr>
  </w:style>
  <w:style w:type="paragraph" w:styleId="41">
    <w:name w:val="annotation subject"/>
    <w:basedOn w:val="14"/>
    <w:next w:val="14"/>
    <w:link w:val="139"/>
    <w:autoRedefine/>
    <w:semiHidden/>
    <w:unhideWhenUsed/>
    <w:qFormat/>
    <w:uiPriority w:val="0"/>
    <w:rPr>
      <w:b/>
      <w:bCs/>
    </w:rPr>
  </w:style>
  <w:style w:type="paragraph" w:styleId="42">
    <w:name w:val="Body Text First Indent"/>
    <w:basedOn w:val="16"/>
    <w:autoRedefine/>
    <w:qFormat/>
    <w:uiPriority w:val="0"/>
    <w:pPr>
      <w:widowControl w:val="0"/>
      <w:adjustRightInd w:val="0"/>
      <w:spacing w:after="0" w:line="312" w:lineRule="auto"/>
      <w:ind w:firstLine="567"/>
      <w:jc w:val="both"/>
      <w:textAlignment w:val="baseline"/>
    </w:pPr>
    <w:rPr>
      <w:sz w:val="28"/>
    </w:rPr>
  </w:style>
  <w:style w:type="paragraph" w:styleId="43">
    <w:name w:val="Body Text First Indent 2"/>
    <w:basedOn w:val="17"/>
    <w:next w:val="1"/>
    <w:autoRedefine/>
    <w:qFormat/>
    <w:uiPriority w:val="0"/>
    <w:pPr>
      <w:tabs>
        <w:tab w:val="left" w:pos="360"/>
      </w:tabs>
      <w:spacing w:after="120" w:afterLines="0"/>
      <w:ind w:firstLine="420"/>
    </w:pPr>
    <w:rPr>
      <w:rFonts w:ascii="仿宋_GB2312" w:hAnsi="Times New Roman" w:eastAsia="仿宋_GB2312" w:cs="Times New Roman"/>
      <w:sz w:val="24"/>
      <w:szCs w:val="20"/>
    </w:rPr>
  </w:style>
  <w:style w:type="table" w:styleId="45">
    <w:name w:val="Table Grid"/>
    <w:basedOn w:val="44"/>
    <w:autoRedefine/>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7">
    <w:name w:val="Strong"/>
    <w:basedOn w:val="46"/>
    <w:autoRedefine/>
    <w:qFormat/>
    <w:uiPriority w:val="0"/>
    <w:rPr>
      <w:b/>
      <w:bCs/>
    </w:rPr>
  </w:style>
  <w:style w:type="character" w:styleId="48">
    <w:name w:val="page number"/>
    <w:basedOn w:val="46"/>
    <w:autoRedefine/>
    <w:qFormat/>
    <w:uiPriority w:val="0"/>
  </w:style>
  <w:style w:type="character" w:styleId="49">
    <w:name w:val="FollowedHyperlink"/>
    <w:basedOn w:val="46"/>
    <w:autoRedefine/>
    <w:qFormat/>
    <w:uiPriority w:val="99"/>
    <w:rPr>
      <w:color w:val="800080"/>
      <w:u w:val="none"/>
    </w:rPr>
  </w:style>
  <w:style w:type="character" w:styleId="50">
    <w:name w:val="Emphasis"/>
    <w:basedOn w:val="46"/>
    <w:autoRedefine/>
    <w:qFormat/>
    <w:uiPriority w:val="0"/>
  </w:style>
  <w:style w:type="character" w:styleId="51">
    <w:name w:val="line number"/>
    <w:basedOn w:val="46"/>
    <w:autoRedefine/>
    <w:qFormat/>
    <w:uiPriority w:val="0"/>
  </w:style>
  <w:style w:type="character" w:styleId="52">
    <w:name w:val="HTML Definition"/>
    <w:basedOn w:val="46"/>
    <w:autoRedefine/>
    <w:semiHidden/>
    <w:unhideWhenUsed/>
    <w:qFormat/>
    <w:uiPriority w:val="0"/>
  </w:style>
  <w:style w:type="character" w:styleId="53">
    <w:name w:val="HTML Typewriter"/>
    <w:basedOn w:val="46"/>
    <w:autoRedefine/>
    <w:semiHidden/>
    <w:unhideWhenUsed/>
    <w:qFormat/>
    <w:uiPriority w:val="0"/>
    <w:rPr>
      <w:rFonts w:hint="default" w:ascii="monospace" w:hAnsi="monospace" w:eastAsia="monospace" w:cs="monospace"/>
      <w:sz w:val="20"/>
    </w:rPr>
  </w:style>
  <w:style w:type="character" w:styleId="54">
    <w:name w:val="HTML Acronym"/>
    <w:basedOn w:val="46"/>
    <w:autoRedefine/>
    <w:semiHidden/>
    <w:unhideWhenUsed/>
    <w:qFormat/>
    <w:uiPriority w:val="0"/>
  </w:style>
  <w:style w:type="character" w:styleId="55">
    <w:name w:val="HTML Variable"/>
    <w:basedOn w:val="46"/>
    <w:autoRedefine/>
    <w:semiHidden/>
    <w:unhideWhenUsed/>
    <w:qFormat/>
    <w:uiPriority w:val="0"/>
  </w:style>
  <w:style w:type="character" w:styleId="56">
    <w:name w:val="Hyperlink"/>
    <w:basedOn w:val="46"/>
    <w:autoRedefine/>
    <w:qFormat/>
    <w:uiPriority w:val="99"/>
    <w:rPr>
      <w:color w:val="0000FF"/>
      <w:u w:val="none"/>
    </w:rPr>
  </w:style>
  <w:style w:type="character" w:styleId="57">
    <w:name w:val="HTML Code"/>
    <w:basedOn w:val="46"/>
    <w:autoRedefine/>
    <w:semiHidden/>
    <w:unhideWhenUsed/>
    <w:qFormat/>
    <w:uiPriority w:val="0"/>
    <w:rPr>
      <w:rFonts w:hint="default" w:ascii="monospace" w:hAnsi="monospace" w:eastAsia="monospace" w:cs="monospace"/>
      <w:sz w:val="20"/>
    </w:rPr>
  </w:style>
  <w:style w:type="character" w:styleId="58">
    <w:name w:val="annotation reference"/>
    <w:basedOn w:val="46"/>
    <w:autoRedefine/>
    <w:semiHidden/>
    <w:unhideWhenUsed/>
    <w:qFormat/>
    <w:uiPriority w:val="0"/>
    <w:rPr>
      <w:sz w:val="21"/>
      <w:szCs w:val="21"/>
    </w:rPr>
  </w:style>
  <w:style w:type="character" w:styleId="59">
    <w:name w:val="HTML Cite"/>
    <w:basedOn w:val="46"/>
    <w:autoRedefine/>
    <w:semiHidden/>
    <w:unhideWhenUsed/>
    <w:qFormat/>
    <w:uiPriority w:val="0"/>
  </w:style>
  <w:style w:type="character" w:styleId="60">
    <w:name w:val="HTML Keyboard"/>
    <w:basedOn w:val="46"/>
    <w:autoRedefine/>
    <w:semiHidden/>
    <w:unhideWhenUsed/>
    <w:qFormat/>
    <w:uiPriority w:val="0"/>
    <w:rPr>
      <w:rFonts w:ascii="monospace" w:hAnsi="monospace" w:eastAsia="monospace" w:cs="monospace"/>
      <w:sz w:val="20"/>
    </w:rPr>
  </w:style>
  <w:style w:type="character" w:styleId="61">
    <w:name w:val="HTML Sample"/>
    <w:basedOn w:val="46"/>
    <w:autoRedefine/>
    <w:semiHidden/>
    <w:unhideWhenUsed/>
    <w:qFormat/>
    <w:uiPriority w:val="0"/>
    <w:rPr>
      <w:rFonts w:hint="default" w:ascii="monospace" w:hAnsi="monospace" w:eastAsia="monospace" w:cs="monospace"/>
    </w:rPr>
  </w:style>
  <w:style w:type="paragraph" w:customStyle="1" w:styleId="62">
    <w:name w:val="Default"/>
    <w:autoRedefine/>
    <w:qFormat/>
    <w:uiPriority w:val="0"/>
    <w:pPr>
      <w:widowControl w:val="0"/>
      <w:autoSpaceDE w:val="0"/>
      <w:autoSpaceDN w:val="0"/>
      <w:adjustRightInd w:val="0"/>
    </w:pPr>
    <w:rPr>
      <w:rFonts w:ascii="黑体" w:hAnsi="Times New Roman" w:eastAsia="黑体" w:cs="Times New Roman"/>
      <w:lang w:val="en-US" w:eastAsia="zh-CN" w:bidi="ar-SA"/>
    </w:rPr>
  </w:style>
  <w:style w:type="paragraph" w:customStyle="1" w:styleId="63">
    <w:name w:val="首行缩进"/>
    <w:basedOn w:val="1"/>
    <w:autoRedefine/>
    <w:qFormat/>
    <w:uiPriority w:val="0"/>
    <w:pPr>
      <w:tabs>
        <w:tab w:val="left" w:pos="540"/>
      </w:tabs>
      <w:spacing w:line="360" w:lineRule="auto"/>
    </w:pPr>
    <w:rPr>
      <w:rFonts w:eastAsia="仿宋_GB2312"/>
    </w:rPr>
  </w:style>
  <w:style w:type="character" w:customStyle="1" w:styleId="64">
    <w:name w:val="标题 1 Char"/>
    <w:basedOn w:val="46"/>
    <w:link w:val="3"/>
    <w:autoRedefine/>
    <w:qFormat/>
    <w:uiPriority w:val="0"/>
    <w:rPr>
      <w:b/>
      <w:kern w:val="44"/>
      <w:sz w:val="44"/>
    </w:rPr>
  </w:style>
  <w:style w:type="character" w:customStyle="1" w:styleId="65">
    <w:name w:val="普通文字 Char Char"/>
    <w:autoRedefine/>
    <w:qFormat/>
    <w:uiPriority w:val="0"/>
    <w:rPr>
      <w:rFonts w:ascii="宋体" w:hAnsi="Courier New" w:eastAsia="宋体" w:cs="Century"/>
      <w:sz w:val="21"/>
      <w:szCs w:val="21"/>
      <w:lang w:val="en-US" w:eastAsia="zh-CN" w:bidi="ar-SA"/>
    </w:rPr>
  </w:style>
  <w:style w:type="character" w:customStyle="1" w:styleId="66">
    <w:name w:val="font11"/>
    <w:basedOn w:val="46"/>
    <w:autoRedefine/>
    <w:qFormat/>
    <w:uiPriority w:val="0"/>
    <w:rPr>
      <w:rFonts w:hint="eastAsia" w:ascii="宋体" w:hAnsi="宋体" w:eastAsia="宋体" w:cs="宋体"/>
      <w:color w:val="000000"/>
      <w:sz w:val="22"/>
      <w:szCs w:val="22"/>
      <w:u w:val="none"/>
    </w:rPr>
  </w:style>
  <w:style w:type="character" w:customStyle="1" w:styleId="67">
    <w:name w:val="正文文本 Char"/>
    <w:autoRedefine/>
    <w:qFormat/>
    <w:uiPriority w:val="0"/>
    <w:rPr>
      <w:rFonts w:eastAsia="宋体"/>
      <w:lang w:val="en-US" w:eastAsia="zh-CN" w:bidi="ar-SA"/>
    </w:rPr>
  </w:style>
  <w:style w:type="character" w:customStyle="1" w:styleId="68">
    <w:name w:val="引用 Char"/>
    <w:basedOn w:val="46"/>
    <w:link w:val="69"/>
    <w:autoRedefine/>
    <w:qFormat/>
    <w:uiPriority w:val="29"/>
    <w:rPr>
      <w:i/>
      <w:iCs/>
      <w:color w:val="000000"/>
    </w:rPr>
  </w:style>
  <w:style w:type="paragraph" w:styleId="69">
    <w:name w:val="Quote"/>
    <w:basedOn w:val="1"/>
    <w:next w:val="1"/>
    <w:link w:val="68"/>
    <w:autoRedefine/>
    <w:qFormat/>
    <w:uiPriority w:val="29"/>
    <w:rPr>
      <w:i/>
      <w:iCs/>
      <w:color w:val="000000"/>
    </w:rPr>
  </w:style>
  <w:style w:type="character" w:customStyle="1" w:styleId="70">
    <w:name w:val="text"/>
    <w:basedOn w:val="46"/>
    <w:autoRedefine/>
    <w:qFormat/>
    <w:uiPriority w:val="0"/>
  </w:style>
  <w:style w:type="character" w:customStyle="1" w:styleId="71">
    <w:name w:val="日期 Char"/>
    <w:basedOn w:val="46"/>
    <w:link w:val="24"/>
    <w:autoRedefine/>
    <w:qFormat/>
    <w:uiPriority w:val="0"/>
    <w:rPr>
      <w:rFonts w:ascii="宋体"/>
      <w:sz w:val="24"/>
    </w:rPr>
  </w:style>
  <w:style w:type="character" w:customStyle="1" w:styleId="72">
    <w:name w:val="titlestyle10831"/>
    <w:basedOn w:val="46"/>
    <w:autoRedefine/>
    <w:qFormat/>
    <w:uiPriority w:val="0"/>
    <w:rPr>
      <w:rFonts w:hint="eastAsia" w:ascii="黑体" w:hAnsi="黑体" w:eastAsia="黑体"/>
      <w:b/>
      <w:bCs/>
      <w:sz w:val="36"/>
      <w:szCs w:val="36"/>
    </w:rPr>
  </w:style>
  <w:style w:type="character" w:customStyle="1" w:styleId="73">
    <w:name w:val="正文文本 Char1"/>
    <w:basedOn w:val="46"/>
    <w:link w:val="16"/>
    <w:autoRedefine/>
    <w:qFormat/>
    <w:uiPriority w:val="0"/>
    <w:rPr>
      <w:rFonts w:eastAsia="宋体"/>
      <w:lang w:val="en-US" w:eastAsia="zh-CN" w:bidi="ar-SA"/>
    </w:rPr>
  </w:style>
  <w:style w:type="character" w:customStyle="1" w:styleId="74">
    <w:name w:val="纯文本 Char"/>
    <w:basedOn w:val="46"/>
    <w:link w:val="22"/>
    <w:autoRedefine/>
    <w:qFormat/>
    <w:uiPriority w:val="0"/>
    <w:rPr>
      <w:rFonts w:ascii="宋体" w:hAnsi="Courier New" w:eastAsia="宋体" w:cs="Century"/>
      <w:sz w:val="21"/>
      <w:szCs w:val="21"/>
      <w:lang w:val="en-US" w:eastAsia="zh-CN" w:bidi="ar-SA"/>
    </w:rPr>
  </w:style>
  <w:style w:type="character" w:customStyle="1" w:styleId="75">
    <w:name w:val="apple-tab-span"/>
    <w:basedOn w:val="46"/>
    <w:autoRedefine/>
    <w:qFormat/>
    <w:uiPriority w:val="0"/>
  </w:style>
  <w:style w:type="character" w:customStyle="1" w:styleId="76">
    <w:name w:val="Char Char Char"/>
    <w:basedOn w:val="46"/>
    <w:autoRedefine/>
    <w:qFormat/>
    <w:uiPriority w:val="0"/>
    <w:rPr>
      <w:rFonts w:ascii="宋体" w:hAnsi="Courier New" w:eastAsia="宋体"/>
      <w:kern w:val="2"/>
      <w:sz w:val="24"/>
      <w:lang w:val="en-US" w:eastAsia="zh-CN" w:bidi="ar-SA"/>
    </w:rPr>
  </w:style>
  <w:style w:type="character" w:customStyle="1" w:styleId="77">
    <w:name w:val="para"/>
    <w:basedOn w:val="46"/>
    <w:autoRedefine/>
    <w:qFormat/>
    <w:uiPriority w:val="0"/>
  </w:style>
  <w:style w:type="character" w:customStyle="1" w:styleId="78">
    <w:name w:val="main14"/>
    <w:basedOn w:val="46"/>
    <w:autoRedefine/>
    <w:qFormat/>
    <w:uiPriority w:val="0"/>
  </w:style>
  <w:style w:type="character" w:customStyle="1" w:styleId="79">
    <w:name w:val="title_emph"/>
    <w:basedOn w:val="46"/>
    <w:autoRedefine/>
    <w:qFormat/>
    <w:uiPriority w:val="0"/>
  </w:style>
  <w:style w:type="character" w:customStyle="1" w:styleId="80">
    <w:name w:val="font01"/>
    <w:basedOn w:val="46"/>
    <w:autoRedefine/>
    <w:qFormat/>
    <w:uiPriority w:val="0"/>
    <w:rPr>
      <w:rFonts w:hint="eastAsia" w:ascii="宋体" w:hAnsi="宋体" w:eastAsia="宋体" w:cs="宋体"/>
      <w:color w:val="000000"/>
      <w:sz w:val="22"/>
      <w:szCs w:val="22"/>
      <w:u w:val="none"/>
    </w:rPr>
  </w:style>
  <w:style w:type="paragraph" w:customStyle="1" w:styleId="81">
    <w:name w:val="È±Ê¡ÎÄ±¾"/>
    <w:basedOn w:val="1"/>
    <w:autoRedefine/>
    <w:qFormat/>
    <w:uiPriority w:val="0"/>
    <w:pPr>
      <w:overflowPunct w:val="0"/>
      <w:autoSpaceDE w:val="0"/>
      <w:autoSpaceDN w:val="0"/>
      <w:adjustRightInd w:val="0"/>
      <w:textAlignment w:val="baseline"/>
    </w:pPr>
    <w:rPr>
      <w:sz w:val="24"/>
    </w:rPr>
  </w:style>
  <w:style w:type="character" w:customStyle="1" w:styleId="82">
    <w:name w:val="页眉 Char"/>
    <w:basedOn w:val="46"/>
    <w:link w:val="28"/>
    <w:autoRedefine/>
    <w:qFormat/>
    <w:uiPriority w:val="99"/>
    <w:rPr>
      <w:sz w:val="18"/>
    </w:rPr>
  </w:style>
  <w:style w:type="paragraph" w:customStyle="1" w:styleId="83">
    <w:name w:val="Char Char Char Char"/>
    <w:basedOn w:val="1"/>
    <w:autoRedefine/>
    <w:qFormat/>
    <w:uiPriority w:val="0"/>
    <w:pPr>
      <w:widowControl w:val="0"/>
      <w:jc w:val="both"/>
    </w:pPr>
    <w:rPr>
      <w:rFonts w:ascii="Tahoma" w:hAnsi="Tahoma"/>
      <w:kern w:val="2"/>
      <w:sz w:val="24"/>
    </w:rPr>
  </w:style>
  <w:style w:type="paragraph" w:customStyle="1" w:styleId="84">
    <w:name w:val="1"/>
    <w:basedOn w:val="1"/>
    <w:next w:val="38"/>
    <w:autoRedefine/>
    <w:qFormat/>
    <w:uiPriority w:val="0"/>
    <w:pPr>
      <w:spacing w:before="100" w:beforeAutospacing="1" w:after="100" w:afterAutospacing="1"/>
    </w:pPr>
    <w:rPr>
      <w:rFonts w:ascii="宋体" w:hAnsi="宋体" w:cs="黑体"/>
      <w:sz w:val="24"/>
      <w:szCs w:val="24"/>
    </w:rPr>
  </w:style>
  <w:style w:type="paragraph" w:customStyle="1" w:styleId="85">
    <w:name w:val="正文文本缩进1"/>
    <w:basedOn w:val="1"/>
    <w:autoRedefine/>
    <w:qFormat/>
    <w:uiPriority w:val="0"/>
    <w:pPr>
      <w:widowControl w:val="0"/>
      <w:ind w:firstLine="560" w:firstLineChars="200"/>
      <w:jc w:val="both"/>
    </w:pPr>
    <w:rPr>
      <w:kern w:val="2"/>
      <w:sz w:val="28"/>
      <w:szCs w:val="28"/>
    </w:rPr>
  </w:style>
  <w:style w:type="paragraph" w:customStyle="1" w:styleId="86">
    <w:name w:val="IBM 正文"/>
    <w:basedOn w:val="1"/>
    <w:autoRedefine/>
    <w:qFormat/>
    <w:uiPriority w:val="0"/>
    <w:pPr>
      <w:widowControl w:val="0"/>
      <w:spacing w:line="400" w:lineRule="exact"/>
      <w:jc w:val="both"/>
    </w:pPr>
    <w:rPr>
      <w:spacing w:val="20"/>
      <w:kern w:val="2"/>
      <w:sz w:val="24"/>
    </w:rPr>
  </w:style>
  <w:style w:type="paragraph" w:customStyle="1" w:styleId="87">
    <w:name w:val="Char"/>
    <w:basedOn w:val="1"/>
    <w:autoRedefine/>
    <w:qFormat/>
    <w:uiPriority w:val="0"/>
    <w:pPr>
      <w:spacing w:after="160" w:line="240" w:lineRule="exact"/>
    </w:pPr>
    <w:rPr>
      <w:rFonts w:ascii="宋体" w:hAnsi="宋体"/>
      <w:lang w:eastAsia="en-US"/>
    </w:rPr>
  </w:style>
  <w:style w:type="paragraph" w:customStyle="1" w:styleId="88">
    <w:name w:val="样式2"/>
    <w:basedOn w:val="1"/>
    <w:autoRedefine/>
    <w:qFormat/>
    <w:uiPriority w:val="0"/>
    <w:pPr>
      <w:widowControl w:val="0"/>
      <w:jc w:val="both"/>
    </w:pPr>
    <w:rPr>
      <w:rFonts w:ascii="仿宋_GB2312" w:eastAsia="仿宋_GB2312"/>
      <w:kern w:val="2"/>
      <w:sz w:val="32"/>
    </w:rPr>
  </w:style>
  <w:style w:type="paragraph" w:customStyle="1" w:styleId="89">
    <w:name w:val="Blockquote"/>
    <w:basedOn w:val="1"/>
    <w:autoRedefine/>
    <w:qFormat/>
    <w:uiPriority w:val="0"/>
    <w:pPr>
      <w:widowControl w:val="0"/>
      <w:autoSpaceDE w:val="0"/>
      <w:autoSpaceDN w:val="0"/>
      <w:adjustRightInd w:val="0"/>
      <w:spacing w:before="100" w:after="100"/>
      <w:ind w:left="360" w:right="360"/>
    </w:pPr>
    <w:rPr>
      <w:sz w:val="24"/>
      <w:szCs w:val="24"/>
    </w:rPr>
  </w:style>
  <w:style w:type="paragraph" w:customStyle="1" w:styleId="90">
    <w:name w:val="Char Char Char1 Char"/>
    <w:basedOn w:val="1"/>
    <w:autoRedefine/>
    <w:qFormat/>
    <w:uiPriority w:val="0"/>
    <w:pPr>
      <w:widowControl w:val="0"/>
      <w:jc w:val="both"/>
    </w:pPr>
    <w:rPr>
      <w:rFonts w:ascii="Tahoma" w:hAnsi="Tahoma"/>
      <w:kern w:val="2"/>
      <w:sz w:val="24"/>
    </w:rPr>
  </w:style>
  <w:style w:type="paragraph" w:customStyle="1" w:styleId="91">
    <w:name w:val="缺省文本:1"/>
    <w:basedOn w:val="1"/>
    <w:autoRedefine/>
    <w:qFormat/>
    <w:uiPriority w:val="0"/>
    <w:pPr>
      <w:widowControl w:val="0"/>
      <w:autoSpaceDE w:val="0"/>
      <w:autoSpaceDN w:val="0"/>
      <w:adjustRightInd w:val="0"/>
    </w:pPr>
    <w:rPr>
      <w:sz w:val="24"/>
      <w:szCs w:val="24"/>
    </w:rPr>
  </w:style>
  <w:style w:type="paragraph" w:customStyle="1" w:styleId="92">
    <w:name w:val="标题1.9"/>
    <w:basedOn w:val="1"/>
    <w:autoRedefine/>
    <w:qFormat/>
    <w:uiPriority w:val="0"/>
    <w:pPr>
      <w:widowControl w:val="0"/>
      <w:autoSpaceDE w:val="0"/>
      <w:autoSpaceDN w:val="0"/>
      <w:adjustRightInd w:val="0"/>
      <w:jc w:val="center"/>
    </w:pPr>
    <w:rPr>
      <w:rFonts w:ascii="黑体" w:eastAsia="黑体"/>
      <w:sz w:val="24"/>
      <w:szCs w:val="24"/>
    </w:rPr>
  </w:style>
  <w:style w:type="paragraph" w:customStyle="1" w:styleId="93">
    <w:name w:val="默认段落字体 Para Char Char Char Char Char Char Char Char Char1 Char Char Char Char"/>
    <w:basedOn w:val="1"/>
    <w:autoRedefine/>
    <w:qFormat/>
    <w:uiPriority w:val="0"/>
    <w:pPr>
      <w:widowControl w:val="0"/>
      <w:adjustRightInd w:val="0"/>
      <w:spacing w:line="312" w:lineRule="atLeast"/>
      <w:jc w:val="both"/>
      <w:textAlignment w:val="baseline"/>
    </w:pPr>
    <w:rPr>
      <w:b/>
      <w:bCs/>
      <w:sz w:val="36"/>
      <w:szCs w:val="32"/>
    </w:rPr>
  </w:style>
  <w:style w:type="paragraph" w:styleId="94">
    <w:name w:val="List Paragraph"/>
    <w:basedOn w:val="1"/>
    <w:link w:val="137"/>
    <w:autoRedefine/>
    <w:qFormat/>
    <w:uiPriority w:val="34"/>
    <w:pPr>
      <w:widowControl w:val="0"/>
      <w:spacing w:line="360" w:lineRule="auto"/>
      <w:ind w:left="720" w:firstLine="420" w:firstLineChars="200"/>
      <w:jc w:val="both"/>
    </w:pPr>
    <w:rPr>
      <w:rFonts w:ascii="Calibri" w:hAnsi="Calibri"/>
      <w:kern w:val="2"/>
      <w:sz w:val="21"/>
      <w:szCs w:val="22"/>
    </w:rPr>
  </w:style>
  <w:style w:type="paragraph" w:customStyle="1" w:styleId="95">
    <w:name w:val="正文文本缩进 21"/>
    <w:basedOn w:val="1"/>
    <w:autoRedefine/>
    <w:qFormat/>
    <w:uiPriority w:val="0"/>
    <w:pPr>
      <w:widowControl w:val="0"/>
      <w:adjustRightInd w:val="0"/>
      <w:spacing w:line="360" w:lineRule="atLeast"/>
      <w:ind w:firstLine="600"/>
      <w:jc w:val="both"/>
      <w:textAlignment w:val="baseline"/>
    </w:pPr>
    <w:rPr>
      <w:sz w:val="32"/>
    </w:rPr>
  </w:style>
  <w:style w:type="paragraph" w:customStyle="1" w:styleId="96">
    <w:name w:val="标题 4.1"/>
    <w:basedOn w:val="1"/>
    <w:autoRedefine/>
    <w:qFormat/>
    <w:uiPriority w:val="0"/>
    <w:pPr>
      <w:keepNext/>
      <w:keepLines/>
      <w:widowControl w:val="0"/>
      <w:spacing w:before="280" w:after="290" w:line="376" w:lineRule="auto"/>
      <w:jc w:val="both"/>
      <w:outlineLvl w:val="3"/>
    </w:pPr>
    <w:rPr>
      <w:rFonts w:ascii="Arial" w:hAnsi="Arial" w:eastAsia="黑体"/>
      <w:b/>
      <w:bCs/>
      <w:kern w:val="2"/>
      <w:sz w:val="28"/>
      <w:szCs w:val="28"/>
    </w:rPr>
  </w:style>
  <w:style w:type="paragraph" w:customStyle="1" w:styleId="97">
    <w:name w:val="reader-word-layer reader-word-s16-2"/>
    <w:basedOn w:val="1"/>
    <w:autoRedefine/>
    <w:qFormat/>
    <w:uiPriority w:val="0"/>
    <w:pPr>
      <w:spacing w:before="100" w:beforeAutospacing="1" w:after="100" w:afterAutospacing="1"/>
    </w:pPr>
    <w:rPr>
      <w:rFonts w:ascii="宋体" w:hAnsi="宋体" w:cs="宋体"/>
      <w:sz w:val="24"/>
      <w:szCs w:val="24"/>
    </w:rPr>
  </w:style>
  <w:style w:type="paragraph" w:customStyle="1" w:styleId="98">
    <w:name w:val="标题5"/>
    <w:basedOn w:val="1"/>
    <w:autoRedefine/>
    <w:qFormat/>
    <w:uiPriority w:val="0"/>
    <w:pPr>
      <w:widowControl w:val="0"/>
      <w:tabs>
        <w:tab w:val="left" w:pos="7035"/>
      </w:tabs>
      <w:jc w:val="both"/>
    </w:pPr>
    <w:rPr>
      <w:rFonts w:ascii="宋体" w:hAnsi="宋体"/>
      <w:b/>
      <w:color w:val="000000"/>
      <w:kern w:val="2"/>
      <w:sz w:val="24"/>
      <w:szCs w:val="24"/>
    </w:rPr>
  </w:style>
  <w:style w:type="paragraph" w:customStyle="1" w:styleId="99">
    <w:name w:val="正文文本 21"/>
    <w:basedOn w:val="1"/>
    <w:autoRedefine/>
    <w:qFormat/>
    <w:uiPriority w:val="0"/>
    <w:pPr>
      <w:widowControl w:val="0"/>
      <w:adjustRightInd w:val="0"/>
      <w:spacing w:line="360" w:lineRule="atLeast"/>
      <w:ind w:firstLine="720"/>
      <w:jc w:val="both"/>
      <w:textAlignment w:val="baseline"/>
    </w:pPr>
    <w:rPr>
      <w:sz w:val="32"/>
      <w:szCs w:val="24"/>
    </w:rPr>
  </w:style>
  <w:style w:type="paragraph" w:customStyle="1" w:styleId="100">
    <w:name w:val="reader-word-layer reader-word-s16-14"/>
    <w:basedOn w:val="1"/>
    <w:autoRedefine/>
    <w:qFormat/>
    <w:uiPriority w:val="0"/>
    <w:pPr>
      <w:spacing w:before="100" w:beforeAutospacing="1" w:after="100" w:afterAutospacing="1"/>
    </w:pPr>
    <w:rPr>
      <w:rFonts w:ascii="宋体" w:hAnsi="宋体" w:cs="宋体"/>
      <w:sz w:val="24"/>
      <w:szCs w:val="24"/>
    </w:rPr>
  </w:style>
  <w:style w:type="paragraph" w:customStyle="1" w:styleId="101">
    <w:name w:val="xl28"/>
    <w:basedOn w:val="1"/>
    <w:autoRedefine/>
    <w:qFormat/>
    <w:uiPriority w:val="0"/>
    <w:pPr>
      <w:pBdr>
        <w:left w:val="single" w:color="auto" w:sz="4" w:space="0"/>
        <w:bottom w:val="single" w:color="auto" w:sz="4" w:space="0"/>
        <w:right w:val="single" w:color="auto" w:sz="4" w:space="0"/>
      </w:pBdr>
      <w:spacing w:before="100" w:beforeAutospacing="1" w:after="100" w:afterAutospacing="1"/>
      <w:jc w:val="center"/>
    </w:pPr>
    <w:rPr>
      <w:rFonts w:ascii="宋体" w:hAnsi="宋体"/>
      <w:sz w:val="24"/>
      <w:szCs w:val="24"/>
    </w:rPr>
  </w:style>
  <w:style w:type="paragraph" w:customStyle="1" w:styleId="102">
    <w:name w:val="reader-word-layer reader-word-s16-16"/>
    <w:basedOn w:val="1"/>
    <w:autoRedefine/>
    <w:qFormat/>
    <w:uiPriority w:val="0"/>
    <w:pPr>
      <w:spacing w:before="100" w:beforeAutospacing="1" w:after="100" w:afterAutospacing="1"/>
    </w:pPr>
    <w:rPr>
      <w:rFonts w:ascii="宋体" w:hAnsi="宋体" w:cs="宋体"/>
      <w:sz w:val="24"/>
      <w:szCs w:val="24"/>
    </w:rPr>
  </w:style>
  <w:style w:type="paragraph" w:customStyle="1" w:styleId="103">
    <w:name w:val="o"/>
    <w:basedOn w:val="1"/>
    <w:autoRedefine/>
    <w:qFormat/>
    <w:uiPriority w:val="0"/>
    <w:pPr>
      <w:widowControl w:val="0"/>
      <w:adjustRightInd w:val="0"/>
      <w:spacing w:line="360" w:lineRule="atLeast"/>
      <w:textAlignment w:val="baseline"/>
    </w:pPr>
    <w:rPr>
      <w:rFonts w:ascii="宋体"/>
      <w:sz w:val="32"/>
    </w:rPr>
  </w:style>
  <w:style w:type="paragraph" w:customStyle="1" w:styleId="104">
    <w:name w:val="aspnumfaautoadjustright"/>
    <w:autoRedefine/>
    <w:qFormat/>
    <w:uiPriority w:val="0"/>
    <w:pPr>
      <w:widowControl w:val="0"/>
      <w:autoSpaceDE w:val="0"/>
      <w:autoSpaceDN w:val="0"/>
      <w:adjustRightInd w:val="0"/>
      <w:jc w:val="both"/>
    </w:pPr>
    <w:rPr>
      <w:rFonts w:ascii="宋体" w:hAnsi="Times New Roman" w:eastAsia="宋体" w:cs="Times New Roman"/>
      <w:lang w:val="en-US" w:eastAsia="zh-CN" w:bidi="ar-SA"/>
    </w:rPr>
  </w:style>
  <w:style w:type="paragraph" w:customStyle="1" w:styleId="105">
    <w:name w:val="小标题"/>
    <w:basedOn w:val="1"/>
    <w:autoRedefine/>
    <w:qFormat/>
    <w:uiPriority w:val="0"/>
    <w:pPr>
      <w:widowControl w:val="0"/>
      <w:adjustRightInd w:val="0"/>
      <w:spacing w:before="120" w:after="120" w:line="400" w:lineRule="atLeast"/>
      <w:jc w:val="both"/>
      <w:textAlignment w:val="baseline"/>
    </w:pPr>
    <w:rPr>
      <w:rFonts w:ascii="宋体" w:hAnsi="宋体"/>
      <w:sz w:val="24"/>
    </w:rPr>
  </w:style>
  <w:style w:type="paragraph" w:customStyle="1" w:styleId="106">
    <w:name w:val="默认段落字体 Para Char Char Char Char Char Char Char Char Char1 Char Char Char Char Char Char Char"/>
    <w:basedOn w:val="13"/>
    <w:autoRedefine/>
    <w:qFormat/>
    <w:uiPriority w:val="0"/>
    <w:pPr>
      <w:widowControl w:val="0"/>
      <w:jc w:val="both"/>
    </w:pPr>
    <w:rPr>
      <w:rFonts w:ascii="Tahoma" w:hAnsi="Tahoma" w:cs="Tahoma"/>
      <w:kern w:val="2"/>
      <w:sz w:val="24"/>
      <w:szCs w:val="24"/>
    </w:rPr>
  </w:style>
  <w:style w:type="paragraph" w:customStyle="1" w:styleId="107">
    <w:name w:val="?¡ì?¡ì?¡§¡è?¡ìo????¡§¡è?:1:1"/>
    <w:basedOn w:val="1"/>
    <w:autoRedefine/>
    <w:qFormat/>
    <w:uiPriority w:val="0"/>
    <w:pPr>
      <w:overflowPunct w:val="0"/>
      <w:autoSpaceDE w:val="0"/>
      <w:autoSpaceDN w:val="0"/>
      <w:adjustRightInd w:val="0"/>
    </w:pPr>
    <w:rPr>
      <w:sz w:val="24"/>
    </w:rPr>
  </w:style>
  <w:style w:type="paragraph" w:customStyle="1" w:styleId="108">
    <w:name w:val="Char Char2"/>
    <w:basedOn w:val="1"/>
    <w:autoRedefine/>
    <w:qFormat/>
    <w:uiPriority w:val="0"/>
    <w:pPr>
      <w:widowControl w:val="0"/>
      <w:jc w:val="both"/>
    </w:pPr>
    <w:rPr>
      <w:rFonts w:ascii="Tahoma" w:hAnsi="Tahoma"/>
      <w:kern w:val="2"/>
      <w:sz w:val="24"/>
    </w:rPr>
  </w:style>
  <w:style w:type="paragraph" w:customStyle="1" w:styleId="109">
    <w:name w:val="reader-word-layer reader-word-s16-12"/>
    <w:basedOn w:val="1"/>
    <w:autoRedefine/>
    <w:qFormat/>
    <w:uiPriority w:val="0"/>
    <w:pPr>
      <w:spacing w:before="100" w:beforeAutospacing="1" w:after="100" w:afterAutospacing="1"/>
    </w:pPr>
    <w:rPr>
      <w:rFonts w:ascii="宋体" w:hAnsi="宋体" w:cs="宋体"/>
      <w:sz w:val="24"/>
      <w:szCs w:val="24"/>
    </w:rPr>
  </w:style>
  <w:style w:type="paragraph" w:customStyle="1" w:styleId="110">
    <w:name w:val="reader-word-layer reader-word-s16-9"/>
    <w:basedOn w:val="1"/>
    <w:autoRedefine/>
    <w:qFormat/>
    <w:uiPriority w:val="0"/>
    <w:pPr>
      <w:spacing w:before="100" w:beforeAutospacing="1" w:after="100" w:afterAutospacing="1"/>
    </w:pPr>
    <w:rPr>
      <w:rFonts w:ascii="宋体" w:hAnsi="宋体" w:cs="宋体"/>
      <w:sz w:val="24"/>
      <w:szCs w:val="24"/>
    </w:rPr>
  </w:style>
  <w:style w:type="paragraph" w:customStyle="1" w:styleId="111">
    <w:name w:val="Char1 Char Char Char"/>
    <w:basedOn w:val="1"/>
    <w:autoRedefine/>
    <w:qFormat/>
    <w:uiPriority w:val="0"/>
    <w:pPr>
      <w:widowControl w:val="0"/>
      <w:jc w:val="both"/>
    </w:pPr>
    <w:rPr>
      <w:kern w:val="2"/>
      <w:sz w:val="21"/>
      <w:szCs w:val="24"/>
    </w:rPr>
  </w:style>
  <w:style w:type="paragraph" w:customStyle="1" w:styleId="112">
    <w:name w:val="默认段落字体 Para Char Char Char Char"/>
    <w:basedOn w:val="1"/>
    <w:autoRedefine/>
    <w:qFormat/>
    <w:uiPriority w:val="0"/>
    <w:pPr>
      <w:widowControl w:val="0"/>
      <w:jc w:val="both"/>
    </w:pPr>
    <w:rPr>
      <w:kern w:val="2"/>
      <w:sz w:val="21"/>
      <w:szCs w:val="24"/>
    </w:rPr>
  </w:style>
  <w:style w:type="paragraph" w:customStyle="1" w:styleId="113">
    <w:name w:val="?¡ì?¡ì?¡§¡è?¡ìo????¡§¡è?:1"/>
    <w:basedOn w:val="1"/>
    <w:autoRedefine/>
    <w:qFormat/>
    <w:uiPriority w:val="0"/>
    <w:pPr>
      <w:overflowPunct w:val="0"/>
      <w:autoSpaceDE w:val="0"/>
      <w:autoSpaceDN w:val="0"/>
      <w:adjustRightInd w:val="0"/>
    </w:pPr>
    <w:rPr>
      <w:sz w:val="24"/>
    </w:rPr>
  </w:style>
  <w:style w:type="paragraph" w:customStyle="1" w:styleId="114">
    <w:name w:val="默认段落字体 Para Char"/>
    <w:basedOn w:val="1"/>
    <w:autoRedefine/>
    <w:qFormat/>
    <w:uiPriority w:val="0"/>
    <w:pPr>
      <w:widowControl w:val="0"/>
      <w:jc w:val="both"/>
    </w:pPr>
    <w:rPr>
      <w:kern w:val="2"/>
      <w:sz w:val="21"/>
      <w:szCs w:val="24"/>
    </w:rPr>
  </w:style>
  <w:style w:type="paragraph" w:customStyle="1" w:styleId="115">
    <w:name w:val="表格02"/>
    <w:basedOn w:val="1"/>
    <w:autoRedefine/>
    <w:qFormat/>
    <w:uiPriority w:val="0"/>
    <w:pPr>
      <w:widowControl w:val="0"/>
      <w:adjustRightInd w:val="0"/>
      <w:snapToGrid w:val="0"/>
      <w:spacing w:line="400" w:lineRule="exact"/>
      <w:jc w:val="center"/>
      <w:textAlignment w:val="baseline"/>
    </w:pPr>
    <w:rPr>
      <w:snapToGrid w:val="0"/>
      <w:sz w:val="24"/>
      <w:szCs w:val="24"/>
      <w:lang w:val="en-GB"/>
    </w:rPr>
  </w:style>
  <w:style w:type="paragraph" w:customStyle="1" w:styleId="116">
    <w:name w:val="reader-word-layer reader-word-s16-17"/>
    <w:basedOn w:val="1"/>
    <w:autoRedefine/>
    <w:qFormat/>
    <w:uiPriority w:val="0"/>
    <w:pPr>
      <w:spacing w:before="100" w:beforeAutospacing="1" w:after="100" w:afterAutospacing="1"/>
    </w:pPr>
    <w:rPr>
      <w:rFonts w:ascii="宋体" w:hAnsi="宋体" w:cs="宋体"/>
      <w:sz w:val="24"/>
      <w:szCs w:val="24"/>
    </w:rPr>
  </w:style>
  <w:style w:type="paragraph" w:customStyle="1" w:styleId="117">
    <w:name w:val="CM22"/>
    <w:basedOn w:val="1"/>
    <w:next w:val="1"/>
    <w:autoRedefine/>
    <w:qFormat/>
    <w:uiPriority w:val="0"/>
    <w:pPr>
      <w:widowControl w:val="0"/>
      <w:autoSpaceDE w:val="0"/>
      <w:autoSpaceDN w:val="0"/>
      <w:adjustRightInd w:val="0"/>
      <w:spacing w:after="310"/>
    </w:pPr>
    <w:rPr>
      <w:rFonts w:ascii="宋体"/>
      <w:sz w:val="24"/>
      <w:szCs w:val="24"/>
    </w:rPr>
  </w:style>
  <w:style w:type="paragraph" w:customStyle="1" w:styleId="118">
    <w:name w:val="reader-word-layer reader-word-s16-11"/>
    <w:basedOn w:val="1"/>
    <w:autoRedefine/>
    <w:qFormat/>
    <w:uiPriority w:val="0"/>
    <w:pPr>
      <w:spacing w:before="100" w:beforeAutospacing="1" w:after="100" w:afterAutospacing="1"/>
    </w:pPr>
    <w:rPr>
      <w:rFonts w:ascii="宋体" w:hAnsi="宋体" w:cs="宋体"/>
      <w:sz w:val="24"/>
      <w:szCs w:val="24"/>
    </w:rPr>
  </w:style>
  <w:style w:type="paragraph" w:customStyle="1" w:styleId="119">
    <w:name w:val="È±Ê¡ÎÄ±¾:1:1"/>
    <w:basedOn w:val="1"/>
    <w:autoRedefine/>
    <w:qFormat/>
    <w:uiPriority w:val="0"/>
    <w:pPr>
      <w:overflowPunct w:val="0"/>
      <w:autoSpaceDE w:val="0"/>
      <w:autoSpaceDN w:val="0"/>
      <w:adjustRightInd w:val="0"/>
      <w:textAlignment w:val="baseline"/>
    </w:pPr>
    <w:rPr>
      <w:sz w:val="24"/>
    </w:rPr>
  </w:style>
  <w:style w:type="paragraph" w:customStyle="1" w:styleId="120">
    <w:name w:val="样式1"/>
    <w:basedOn w:val="1"/>
    <w:autoRedefine/>
    <w:qFormat/>
    <w:uiPriority w:val="0"/>
    <w:pPr>
      <w:widowControl w:val="0"/>
      <w:spacing w:before="120" w:after="120" w:line="300" w:lineRule="auto"/>
      <w:jc w:val="both"/>
    </w:pPr>
    <w:rPr>
      <w:rFonts w:ascii="宋体" w:hAnsi="宋体"/>
      <w:b/>
      <w:kern w:val="2"/>
      <w:sz w:val="24"/>
    </w:rPr>
  </w:style>
  <w:style w:type="paragraph" w:customStyle="1" w:styleId="121">
    <w:name w:val="_Style 17"/>
    <w:basedOn w:val="1"/>
    <w:next w:val="38"/>
    <w:autoRedefine/>
    <w:qFormat/>
    <w:uiPriority w:val="0"/>
    <w:pPr>
      <w:spacing w:before="100" w:beforeAutospacing="1" w:after="100" w:afterAutospacing="1"/>
    </w:pPr>
    <w:rPr>
      <w:rFonts w:ascii="宋体" w:hAnsi="宋体" w:cs="黑体"/>
      <w:sz w:val="24"/>
      <w:szCs w:val="24"/>
    </w:rPr>
  </w:style>
  <w:style w:type="paragraph" w:customStyle="1" w:styleId="122">
    <w:name w:val="Char Char Char Char1"/>
    <w:basedOn w:val="1"/>
    <w:autoRedefine/>
    <w:qFormat/>
    <w:uiPriority w:val="0"/>
    <w:pPr>
      <w:widowControl w:val="0"/>
      <w:jc w:val="both"/>
    </w:pPr>
    <w:rPr>
      <w:rFonts w:ascii="Tahoma" w:hAnsi="Tahoma"/>
      <w:kern w:val="2"/>
      <w:sz w:val="24"/>
    </w:rPr>
  </w:style>
  <w:style w:type="paragraph" w:customStyle="1" w:styleId="123">
    <w:name w:val="reader-word-layer reader-word-s16-7"/>
    <w:basedOn w:val="1"/>
    <w:autoRedefine/>
    <w:qFormat/>
    <w:uiPriority w:val="0"/>
    <w:pPr>
      <w:spacing w:before="100" w:beforeAutospacing="1" w:after="100" w:afterAutospacing="1"/>
    </w:pPr>
    <w:rPr>
      <w:rFonts w:ascii="宋体" w:hAnsi="宋体" w:cs="宋体"/>
      <w:sz w:val="24"/>
      <w:szCs w:val="24"/>
    </w:rPr>
  </w:style>
  <w:style w:type="paragraph" w:customStyle="1" w:styleId="124">
    <w:name w:val="正文文本缩进8"/>
    <w:basedOn w:val="1"/>
    <w:autoRedefine/>
    <w:qFormat/>
    <w:uiPriority w:val="0"/>
    <w:pPr>
      <w:widowControl w:val="0"/>
      <w:ind w:firstLine="560" w:firstLineChars="200"/>
      <w:jc w:val="both"/>
    </w:pPr>
    <w:rPr>
      <w:kern w:val="2"/>
      <w:sz w:val="28"/>
      <w:szCs w:val="28"/>
    </w:rPr>
  </w:style>
  <w:style w:type="paragraph" w:customStyle="1" w:styleId="125">
    <w:name w:val="_Style 110"/>
    <w:basedOn w:val="1"/>
    <w:next w:val="94"/>
    <w:autoRedefine/>
    <w:qFormat/>
    <w:uiPriority w:val="34"/>
    <w:pPr>
      <w:widowControl w:val="0"/>
      <w:ind w:firstLine="420" w:firstLineChars="200"/>
      <w:jc w:val="both"/>
    </w:pPr>
    <w:rPr>
      <w:kern w:val="2"/>
      <w:sz w:val="21"/>
    </w:rPr>
  </w:style>
  <w:style w:type="character" w:customStyle="1" w:styleId="126">
    <w:name w:val="页脚 Char"/>
    <w:link w:val="127"/>
    <w:autoRedefine/>
    <w:qFormat/>
    <w:uiPriority w:val="0"/>
    <w:rPr>
      <w:sz w:val="18"/>
    </w:rPr>
  </w:style>
  <w:style w:type="paragraph" w:customStyle="1" w:styleId="127">
    <w:name w:val="页脚1"/>
    <w:basedOn w:val="1"/>
    <w:link w:val="126"/>
    <w:autoRedefine/>
    <w:qFormat/>
    <w:uiPriority w:val="0"/>
    <w:pPr>
      <w:widowControl w:val="0"/>
      <w:tabs>
        <w:tab w:val="center" w:pos="4153"/>
        <w:tab w:val="right" w:pos="8306"/>
      </w:tabs>
      <w:snapToGrid w:val="0"/>
    </w:pPr>
    <w:rPr>
      <w:sz w:val="18"/>
    </w:rPr>
  </w:style>
  <w:style w:type="paragraph" w:customStyle="1" w:styleId="128">
    <w:name w:val="页眉1"/>
    <w:basedOn w:val="1"/>
    <w:autoRedefine/>
    <w:qFormat/>
    <w:uiPriority w:val="0"/>
    <w:pPr>
      <w:widowControl w:val="0"/>
      <w:pBdr>
        <w:bottom w:val="single" w:color="auto" w:sz="6" w:space="1"/>
      </w:pBdr>
      <w:tabs>
        <w:tab w:val="center" w:pos="4153"/>
        <w:tab w:val="right" w:pos="8306"/>
      </w:tabs>
      <w:snapToGrid w:val="0"/>
      <w:jc w:val="center"/>
    </w:pPr>
    <w:rPr>
      <w:kern w:val="2"/>
      <w:sz w:val="21"/>
    </w:rPr>
  </w:style>
  <w:style w:type="paragraph" w:customStyle="1" w:styleId="129">
    <w:name w:val="页眉11"/>
    <w:basedOn w:val="1"/>
    <w:autoRedefine/>
    <w:qFormat/>
    <w:uiPriority w:val="0"/>
    <w:pPr>
      <w:widowControl w:val="0"/>
      <w:pBdr>
        <w:bottom w:val="single" w:color="auto" w:sz="6" w:space="1"/>
      </w:pBdr>
      <w:tabs>
        <w:tab w:val="center" w:pos="4153"/>
        <w:tab w:val="right" w:pos="8306"/>
      </w:tabs>
      <w:snapToGrid w:val="0"/>
      <w:jc w:val="center"/>
    </w:pPr>
    <w:rPr>
      <w:kern w:val="2"/>
      <w:sz w:val="21"/>
    </w:rPr>
  </w:style>
  <w:style w:type="paragraph" w:customStyle="1" w:styleId="130">
    <w:name w:val="正文缩进1"/>
    <w:basedOn w:val="1"/>
    <w:autoRedefine/>
    <w:qFormat/>
    <w:uiPriority w:val="0"/>
    <w:pPr>
      <w:ind w:firstLine="420"/>
      <w:jc w:val="center"/>
    </w:pPr>
    <w:rPr>
      <w:b/>
      <w:sz w:val="44"/>
    </w:rPr>
  </w:style>
  <w:style w:type="paragraph" w:styleId="131">
    <w:name w:val="No Spacing"/>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132">
    <w:name w:val="列出段落1"/>
    <w:basedOn w:val="1"/>
    <w:autoRedefine/>
    <w:qFormat/>
    <w:uiPriority w:val="0"/>
    <w:pPr>
      <w:widowControl w:val="0"/>
      <w:ind w:firstLine="420"/>
      <w:jc w:val="both"/>
    </w:pPr>
    <w:rPr>
      <w:kern w:val="2"/>
      <w:sz w:val="21"/>
    </w:rPr>
  </w:style>
  <w:style w:type="character" w:customStyle="1" w:styleId="133">
    <w:name w:val="p0 Char"/>
    <w:link w:val="134"/>
    <w:autoRedefine/>
    <w:qFormat/>
    <w:locked/>
    <w:uiPriority w:val="0"/>
    <w:rPr>
      <w:sz w:val="21"/>
      <w:szCs w:val="21"/>
    </w:rPr>
  </w:style>
  <w:style w:type="paragraph" w:customStyle="1" w:styleId="134">
    <w:name w:val="p0"/>
    <w:basedOn w:val="1"/>
    <w:link w:val="133"/>
    <w:autoRedefine/>
    <w:qFormat/>
    <w:uiPriority w:val="0"/>
    <w:pPr>
      <w:jc w:val="both"/>
    </w:pPr>
    <w:rPr>
      <w:rFonts w:eastAsia="微软雅黑" w:asciiTheme="minorHAnsi" w:hAnsiTheme="minorHAnsi" w:cstheme="minorBidi"/>
      <w:sz w:val="21"/>
      <w:szCs w:val="21"/>
    </w:rPr>
  </w:style>
  <w:style w:type="paragraph" w:customStyle="1" w:styleId="135">
    <w:name w:val="正文缩进2格"/>
    <w:basedOn w:val="1"/>
    <w:link w:val="136"/>
    <w:autoRedefine/>
    <w:qFormat/>
    <w:uiPriority w:val="0"/>
    <w:pPr>
      <w:widowControl w:val="0"/>
      <w:spacing w:line="600" w:lineRule="exact"/>
      <w:ind w:firstLine="639" w:firstLineChars="206"/>
      <w:jc w:val="both"/>
    </w:pPr>
    <w:rPr>
      <w:rFonts w:ascii="仿宋_GB2312" w:hAnsi="宋体" w:eastAsia="仿宋_GB2312"/>
      <w:kern w:val="2"/>
      <w:sz w:val="31"/>
      <w:szCs w:val="28"/>
    </w:rPr>
  </w:style>
  <w:style w:type="character" w:customStyle="1" w:styleId="136">
    <w:name w:val="正文缩进2格 Char"/>
    <w:link w:val="135"/>
    <w:autoRedefine/>
    <w:qFormat/>
    <w:uiPriority w:val="0"/>
    <w:rPr>
      <w:rFonts w:ascii="仿宋_GB2312" w:hAnsi="宋体" w:eastAsia="仿宋_GB2312" w:cs="Times New Roman"/>
      <w:kern w:val="2"/>
      <w:sz w:val="31"/>
      <w:szCs w:val="28"/>
    </w:rPr>
  </w:style>
  <w:style w:type="character" w:customStyle="1" w:styleId="137">
    <w:name w:val="列出段落 Char"/>
    <w:link w:val="94"/>
    <w:autoRedefine/>
    <w:qFormat/>
    <w:uiPriority w:val="0"/>
    <w:rPr>
      <w:rFonts w:ascii="Calibri" w:hAnsi="Calibri" w:eastAsia="宋体" w:cs="Times New Roman"/>
      <w:kern w:val="2"/>
      <w:sz w:val="21"/>
      <w:szCs w:val="22"/>
    </w:rPr>
  </w:style>
  <w:style w:type="character" w:customStyle="1" w:styleId="138">
    <w:name w:val="批注文字 Char"/>
    <w:basedOn w:val="46"/>
    <w:link w:val="14"/>
    <w:autoRedefine/>
    <w:semiHidden/>
    <w:qFormat/>
    <w:uiPriority w:val="0"/>
    <w:rPr>
      <w:rFonts w:ascii="Times New Roman" w:hAnsi="Times New Roman" w:eastAsia="宋体" w:cs="Times New Roman"/>
    </w:rPr>
  </w:style>
  <w:style w:type="character" w:customStyle="1" w:styleId="139">
    <w:name w:val="批注主题 Char"/>
    <w:basedOn w:val="138"/>
    <w:link w:val="41"/>
    <w:autoRedefine/>
    <w:semiHidden/>
    <w:qFormat/>
    <w:uiPriority w:val="0"/>
    <w:rPr>
      <w:rFonts w:ascii="Times New Roman" w:hAnsi="Times New Roman" w:eastAsia="宋体" w:cs="Times New Roman"/>
      <w:b/>
      <w:bCs/>
    </w:rPr>
  </w:style>
  <w:style w:type="paragraph" w:customStyle="1" w:styleId="140">
    <w:name w:val="修订1"/>
    <w:autoRedefine/>
    <w:hidden/>
    <w:semiHidden/>
    <w:qFormat/>
    <w:uiPriority w:val="99"/>
    <w:rPr>
      <w:rFonts w:ascii="Times New Roman" w:hAnsi="Times New Roman" w:eastAsia="宋体" w:cs="Times New Roman"/>
      <w:lang w:val="en-US" w:eastAsia="zh-CN" w:bidi="ar-SA"/>
    </w:rPr>
  </w:style>
  <w:style w:type="character" w:customStyle="1" w:styleId="141">
    <w:name w:val="layui-layer-tabnow"/>
    <w:basedOn w:val="46"/>
    <w:autoRedefine/>
    <w:qFormat/>
    <w:uiPriority w:val="0"/>
    <w:rPr>
      <w:bdr w:val="single" w:color="CCCCCC" w:sz="6" w:space="0"/>
      <w:shd w:val="clear" w:color="auto" w:fill="FFFFFF"/>
    </w:rPr>
  </w:style>
  <w:style w:type="character" w:customStyle="1" w:styleId="142">
    <w:name w:val="first-child"/>
    <w:basedOn w:val="46"/>
    <w:autoRedefine/>
    <w:qFormat/>
    <w:uiPriority w:val="0"/>
  </w:style>
  <w:style w:type="character" w:customStyle="1" w:styleId="143">
    <w:name w:val="oblog_text"/>
    <w:basedOn w:val="46"/>
    <w:autoRedefine/>
    <w:qFormat/>
    <w:uiPriority w:val="0"/>
  </w:style>
  <w:style w:type="paragraph" w:customStyle="1" w:styleId="144">
    <w:name w:val="Table Text"/>
    <w:basedOn w:val="1"/>
    <w:autoRedefine/>
    <w:semiHidden/>
    <w:qFormat/>
    <w:uiPriority w:val="0"/>
    <w:rPr>
      <w:rFonts w:ascii="宋体" w:hAnsi="宋体" w:eastAsia="宋体" w:cs="宋体"/>
      <w:sz w:val="24"/>
      <w:szCs w:val="24"/>
      <w:lang w:val="en-US" w:eastAsia="en-US" w:bidi="ar-SA"/>
    </w:rPr>
  </w:style>
  <w:style w:type="table" w:customStyle="1" w:styleId="145">
    <w:name w:val="Table Normal"/>
    <w:autoRedefine/>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customXml" Target="../customXml/item2.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0553E03-D313-429D-99A3-EA4F2282F8AB}">
  <ds:schemaRefs/>
</ds:datastoreItem>
</file>

<file path=docProps/app.xml><?xml version="1.0" encoding="utf-8"?>
<Properties xmlns="http://schemas.openxmlformats.org/officeDocument/2006/extended-properties" xmlns:vt="http://schemas.openxmlformats.org/officeDocument/2006/docPropsVTypes">
  <Template>Normal</Template>
  <Company>中恒一信项目管理咨询有限公司</Company>
  <Pages>103</Pages>
  <Words>52153</Words>
  <Characters>56173</Characters>
  <Lines>271</Lines>
  <Paragraphs>76</Paragraphs>
  <TotalTime>58</TotalTime>
  <ScaleCrop>false</ScaleCrop>
  <LinksUpToDate>false</LinksUpToDate>
  <CharactersWithSpaces>58615</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2020-12-07T00:11:00Z</dcterms:created>
  <dc:creator>赵明</dc:creator>
  <cp:lastModifiedBy>微信用户</cp:lastModifiedBy>
  <cp:lastPrinted>2024-10-14T07:05:00Z</cp:lastPrinted>
  <dcterms:modified xsi:type="dcterms:W3CDTF">2024-10-18T07:06:04Z</dcterms:modified>
  <dc:title>招标文件</dc:title>
  <cp:revision>28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CCB6140DB20848E7A6D5704B5505EF1A_13</vt:lpwstr>
  </property>
</Properties>
</file>