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97156C">
      <w:pPr>
        <w:jc w:val="center"/>
        <w:rPr>
          <w:rFonts w:hint="eastAsia"/>
          <w:b/>
          <w:sz w:val="52"/>
          <w:szCs w:val="52"/>
          <w:lang w:eastAsia="zh-CN"/>
        </w:rPr>
      </w:pPr>
    </w:p>
    <w:p w14:paraId="0AF8518B">
      <w:pPr>
        <w:jc w:val="center"/>
        <w:rPr>
          <w:rFonts w:hint="eastAsia"/>
          <w:b/>
          <w:sz w:val="52"/>
          <w:szCs w:val="52"/>
          <w:lang w:eastAsia="zh-CN"/>
        </w:rPr>
      </w:pPr>
    </w:p>
    <w:p w14:paraId="511B9E40">
      <w:pPr>
        <w:jc w:val="center"/>
        <w:rPr>
          <w:rFonts w:hint="eastAsia" w:ascii="宋体" w:hAnsi="宋体" w:eastAsia="宋体" w:cs="宋体"/>
          <w:b/>
          <w:sz w:val="52"/>
          <w:szCs w:val="52"/>
          <w:lang w:eastAsia="zh-CN"/>
        </w:rPr>
      </w:pPr>
      <w:r>
        <w:rPr>
          <w:rFonts w:hint="eastAsia" w:ascii="宋体" w:hAnsi="宋体" w:cs="宋体"/>
          <w:b/>
          <w:sz w:val="52"/>
          <w:szCs w:val="52"/>
          <w:lang w:eastAsia="zh-CN"/>
        </w:rPr>
        <w:t>2024年度安图县国土变更调查项目</w:t>
      </w:r>
    </w:p>
    <w:p w14:paraId="5C08A659">
      <w:pPr>
        <w:rPr>
          <w:rFonts w:hint="eastAsia" w:ascii="宋体" w:hAnsi="宋体" w:eastAsia="宋体" w:cs="宋体"/>
          <w:b/>
          <w:sz w:val="44"/>
          <w:szCs w:val="44"/>
        </w:rPr>
      </w:pPr>
    </w:p>
    <w:p w14:paraId="034EDC27">
      <w:pPr>
        <w:rPr>
          <w:rFonts w:hint="eastAsia" w:ascii="宋体" w:hAnsi="宋体" w:eastAsia="宋体" w:cs="宋体"/>
          <w:b/>
          <w:sz w:val="44"/>
          <w:szCs w:val="44"/>
        </w:rPr>
      </w:pPr>
    </w:p>
    <w:p w14:paraId="06EB6336">
      <w:pPr>
        <w:jc w:val="center"/>
        <w:rPr>
          <w:rFonts w:hint="eastAsia" w:ascii="宋体" w:hAnsi="宋体" w:eastAsia="宋体" w:cs="宋体"/>
          <w:b/>
          <w:sz w:val="44"/>
          <w:szCs w:val="44"/>
        </w:rPr>
      </w:pPr>
      <w:r>
        <w:rPr>
          <w:rFonts w:hint="eastAsia" w:ascii="宋体" w:hAnsi="宋体" w:eastAsia="宋体" w:cs="宋体"/>
          <w:b/>
          <w:sz w:val="44"/>
          <w:szCs w:val="44"/>
        </w:rPr>
        <w:t>竞争性磋商文件</w:t>
      </w:r>
    </w:p>
    <w:p w14:paraId="295105EB">
      <w:pPr>
        <w:jc w:val="center"/>
        <w:rPr>
          <w:rFonts w:hint="eastAsia" w:ascii="宋体" w:hAnsi="宋体" w:eastAsia="宋体" w:cs="宋体"/>
          <w:b/>
          <w:sz w:val="44"/>
          <w:szCs w:val="44"/>
        </w:rPr>
      </w:pPr>
    </w:p>
    <w:p w14:paraId="5A04869F">
      <w:pPr>
        <w:jc w:val="center"/>
        <w:rPr>
          <w:rFonts w:hint="eastAsia" w:ascii="宋体" w:hAnsi="宋体" w:eastAsia="宋体" w:cs="宋体"/>
          <w:b/>
          <w:sz w:val="44"/>
          <w:szCs w:val="44"/>
        </w:rPr>
      </w:pPr>
    </w:p>
    <w:p w14:paraId="3C63BB00">
      <w:pPr>
        <w:jc w:val="center"/>
        <w:rPr>
          <w:rFonts w:hint="eastAsia" w:ascii="宋体" w:hAnsi="宋体" w:eastAsia="宋体" w:cs="宋体"/>
          <w:sz w:val="30"/>
          <w:szCs w:val="30"/>
        </w:rPr>
      </w:pPr>
      <w:r>
        <w:rPr>
          <w:rFonts w:hint="eastAsia" w:ascii="宋体" w:hAnsi="宋体" w:eastAsia="宋体" w:cs="宋体"/>
          <w:sz w:val="30"/>
          <w:szCs w:val="30"/>
        </w:rPr>
        <w:t>项目编号：</w:t>
      </w:r>
      <w:r>
        <w:rPr>
          <w:rFonts w:hint="eastAsia" w:ascii="宋体" w:hAnsi="宋体" w:cs="宋体"/>
          <w:sz w:val="30"/>
          <w:szCs w:val="30"/>
          <w:highlight w:val="none"/>
          <w:lang w:eastAsia="zh-CN"/>
        </w:rPr>
        <w:t>LYCZ2025-005</w:t>
      </w:r>
    </w:p>
    <w:p w14:paraId="21051D38">
      <w:pPr>
        <w:jc w:val="center"/>
        <w:rPr>
          <w:rFonts w:hint="eastAsia" w:ascii="宋体" w:hAnsi="宋体" w:eastAsia="宋体" w:cs="宋体"/>
          <w:sz w:val="30"/>
          <w:szCs w:val="30"/>
        </w:rPr>
      </w:pPr>
    </w:p>
    <w:p w14:paraId="673DEDA9">
      <w:pPr>
        <w:jc w:val="center"/>
        <w:rPr>
          <w:rFonts w:hint="eastAsia" w:ascii="宋体" w:hAnsi="宋体" w:eastAsia="宋体" w:cs="宋体"/>
          <w:sz w:val="28"/>
          <w:szCs w:val="28"/>
        </w:rPr>
      </w:pPr>
    </w:p>
    <w:p w14:paraId="4E9DFCC6">
      <w:pPr>
        <w:jc w:val="center"/>
        <w:rPr>
          <w:rFonts w:hint="eastAsia" w:ascii="宋体" w:hAnsi="宋体" w:eastAsia="宋体" w:cs="宋体"/>
          <w:sz w:val="28"/>
          <w:szCs w:val="28"/>
        </w:rPr>
      </w:pPr>
    </w:p>
    <w:p w14:paraId="2BD2C6DC">
      <w:pPr>
        <w:jc w:val="left"/>
        <w:rPr>
          <w:rFonts w:hint="eastAsia" w:ascii="宋体" w:hAnsi="宋体" w:eastAsia="宋体" w:cs="宋体"/>
          <w:sz w:val="28"/>
          <w:szCs w:val="28"/>
        </w:rPr>
      </w:pPr>
    </w:p>
    <w:p w14:paraId="65A29CB4">
      <w:pPr>
        <w:jc w:val="left"/>
        <w:rPr>
          <w:rFonts w:hint="eastAsia" w:ascii="宋体" w:hAnsi="宋体" w:eastAsia="宋体" w:cs="宋体"/>
          <w:sz w:val="28"/>
          <w:szCs w:val="28"/>
        </w:rPr>
      </w:pPr>
    </w:p>
    <w:p w14:paraId="0226F5D8">
      <w:pPr>
        <w:jc w:val="left"/>
        <w:rPr>
          <w:rFonts w:hint="eastAsia" w:ascii="宋体" w:hAnsi="宋体" w:eastAsia="宋体" w:cs="宋体"/>
          <w:sz w:val="28"/>
          <w:szCs w:val="28"/>
        </w:rPr>
      </w:pPr>
    </w:p>
    <w:p w14:paraId="01B4365A">
      <w:pPr>
        <w:jc w:val="left"/>
        <w:rPr>
          <w:rFonts w:hint="eastAsia" w:ascii="宋体" w:hAnsi="宋体" w:eastAsia="宋体" w:cs="宋体"/>
          <w:sz w:val="28"/>
          <w:szCs w:val="28"/>
        </w:rPr>
      </w:pPr>
    </w:p>
    <w:p w14:paraId="5372F498">
      <w:pPr>
        <w:jc w:val="left"/>
        <w:rPr>
          <w:rFonts w:hint="eastAsia" w:ascii="宋体" w:hAnsi="宋体" w:eastAsia="宋体" w:cs="宋体"/>
          <w:sz w:val="28"/>
          <w:szCs w:val="28"/>
        </w:rPr>
      </w:pPr>
    </w:p>
    <w:p w14:paraId="201F2472">
      <w:pPr>
        <w:jc w:val="left"/>
        <w:rPr>
          <w:rFonts w:hint="eastAsia" w:ascii="宋体" w:hAnsi="宋体" w:eastAsia="宋体" w:cs="宋体"/>
          <w:sz w:val="28"/>
          <w:szCs w:val="28"/>
        </w:rPr>
      </w:pPr>
    </w:p>
    <w:p w14:paraId="3071C62A">
      <w:pPr>
        <w:jc w:val="left"/>
        <w:rPr>
          <w:rFonts w:hint="eastAsia" w:ascii="宋体" w:hAnsi="宋体" w:eastAsia="宋体" w:cs="宋体"/>
          <w:sz w:val="28"/>
          <w:szCs w:val="28"/>
        </w:rPr>
      </w:pPr>
    </w:p>
    <w:p w14:paraId="4D1DFD09">
      <w:pPr>
        <w:jc w:val="left"/>
        <w:rPr>
          <w:rFonts w:hint="eastAsia" w:ascii="宋体" w:hAnsi="宋体" w:eastAsia="宋体" w:cs="宋体"/>
          <w:sz w:val="28"/>
          <w:szCs w:val="28"/>
        </w:rPr>
      </w:pPr>
    </w:p>
    <w:p w14:paraId="21661A1D">
      <w:pPr>
        <w:jc w:val="left"/>
        <w:rPr>
          <w:rFonts w:hint="eastAsia" w:ascii="宋体" w:hAnsi="宋体" w:eastAsia="宋体" w:cs="宋体"/>
          <w:sz w:val="28"/>
          <w:szCs w:val="28"/>
        </w:rPr>
      </w:pPr>
    </w:p>
    <w:p w14:paraId="0B5F2336">
      <w:pPr>
        <w:jc w:val="left"/>
        <w:rPr>
          <w:rFonts w:hint="eastAsia" w:ascii="宋体" w:hAnsi="宋体" w:eastAsia="宋体" w:cs="宋体"/>
          <w:sz w:val="28"/>
          <w:szCs w:val="28"/>
        </w:rPr>
      </w:pPr>
    </w:p>
    <w:p w14:paraId="06B5A254">
      <w:pPr>
        <w:jc w:val="left"/>
        <w:rPr>
          <w:rFonts w:hint="eastAsia" w:ascii="宋体" w:hAnsi="宋体" w:eastAsia="宋体" w:cs="宋体"/>
          <w:sz w:val="28"/>
          <w:szCs w:val="28"/>
        </w:rPr>
      </w:pPr>
    </w:p>
    <w:p w14:paraId="288095A9">
      <w:pPr>
        <w:jc w:val="left"/>
        <w:rPr>
          <w:rFonts w:hint="eastAsia" w:ascii="宋体" w:hAnsi="宋体" w:eastAsia="宋体" w:cs="宋体"/>
          <w:sz w:val="28"/>
          <w:szCs w:val="28"/>
        </w:rPr>
      </w:pPr>
    </w:p>
    <w:p w14:paraId="6FCAE775">
      <w:pPr>
        <w:jc w:val="left"/>
        <w:rPr>
          <w:rFonts w:hint="eastAsia" w:ascii="宋体" w:hAnsi="宋体" w:eastAsia="宋体" w:cs="宋体"/>
          <w:sz w:val="28"/>
          <w:szCs w:val="28"/>
        </w:rPr>
      </w:pPr>
    </w:p>
    <w:p w14:paraId="51237570">
      <w:pPr>
        <w:jc w:val="left"/>
        <w:rPr>
          <w:rFonts w:hint="eastAsia" w:ascii="宋体" w:hAnsi="宋体" w:eastAsia="宋体" w:cs="宋体"/>
          <w:sz w:val="28"/>
          <w:szCs w:val="28"/>
        </w:rPr>
      </w:pPr>
    </w:p>
    <w:p w14:paraId="7092E504">
      <w:pPr>
        <w:ind w:firstLine="1120" w:firstLineChars="400"/>
        <w:jc w:val="left"/>
        <w:rPr>
          <w:rFonts w:hint="eastAsia" w:ascii="宋体" w:hAnsi="宋体" w:eastAsia="宋体" w:cs="宋体"/>
          <w:sz w:val="28"/>
          <w:szCs w:val="28"/>
          <w:lang w:eastAsia="zh-CN"/>
        </w:rPr>
      </w:pPr>
      <w:r>
        <w:rPr>
          <w:rFonts w:hint="eastAsia" w:ascii="宋体" w:hAnsi="宋体" w:cs="宋体"/>
          <w:sz w:val="28"/>
          <w:szCs w:val="28"/>
          <w:lang w:val="en-US" w:eastAsia="zh-CN"/>
        </w:rPr>
        <w:t>采   购</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人：</w:t>
      </w:r>
      <w:r>
        <w:rPr>
          <w:rFonts w:hint="eastAsia" w:ascii="宋体" w:hAnsi="宋体" w:eastAsia="宋体" w:cs="宋体"/>
          <w:sz w:val="28"/>
          <w:szCs w:val="28"/>
          <w:lang w:eastAsia="zh-CN"/>
        </w:rPr>
        <w:t>安图县自然资源和林业局</w:t>
      </w:r>
    </w:p>
    <w:p w14:paraId="4B8B09CF">
      <w:pPr>
        <w:jc w:val="left"/>
        <w:rPr>
          <w:rFonts w:hint="eastAsia" w:ascii="宋体" w:hAnsi="宋体" w:eastAsia="宋体" w:cs="宋体"/>
          <w:sz w:val="28"/>
          <w:szCs w:val="28"/>
        </w:rPr>
      </w:pPr>
    </w:p>
    <w:p w14:paraId="439E45E5">
      <w:pPr>
        <w:jc w:val="left"/>
        <w:rPr>
          <w:rFonts w:hint="eastAsia" w:ascii="宋体" w:hAnsi="宋体" w:eastAsia="宋体" w:cs="宋体"/>
          <w:sz w:val="28"/>
          <w:szCs w:val="28"/>
        </w:rPr>
      </w:pPr>
    </w:p>
    <w:p w14:paraId="532907EC">
      <w:pPr>
        <w:spacing w:line="480" w:lineRule="exact"/>
        <w:ind w:firstLine="1120" w:firstLineChars="400"/>
        <w:jc w:val="left"/>
        <w:rPr>
          <w:rFonts w:hint="eastAsia" w:ascii="宋体" w:hAnsi="宋体" w:eastAsia="宋体" w:cs="宋体"/>
          <w:sz w:val="28"/>
          <w:szCs w:val="28"/>
          <w:lang w:eastAsia="zh-CN"/>
        </w:rPr>
      </w:pPr>
      <w:r>
        <w:rPr>
          <w:rFonts w:hint="eastAsia" w:ascii="宋体" w:hAnsi="宋体" w:eastAsia="宋体" w:cs="宋体"/>
          <w:sz w:val="28"/>
          <w:szCs w:val="28"/>
        </w:rPr>
        <w:t>招标代理机构：</w:t>
      </w:r>
      <w:r>
        <w:rPr>
          <w:rFonts w:hint="eastAsia" w:ascii="宋体" w:hAnsi="宋体" w:eastAsia="宋体" w:cs="宋体"/>
          <w:sz w:val="28"/>
          <w:szCs w:val="28"/>
          <w:lang w:eastAsia="zh-CN"/>
        </w:rPr>
        <w:t>吉林省隆元工程管理咨询有限公司</w:t>
      </w:r>
    </w:p>
    <w:p w14:paraId="028B4F06">
      <w:pPr>
        <w:jc w:val="center"/>
        <w:rPr>
          <w:rFonts w:hint="eastAsia" w:ascii="宋体" w:hAnsi="宋体" w:eastAsia="宋体" w:cs="宋体"/>
          <w:sz w:val="30"/>
          <w:szCs w:val="30"/>
        </w:rPr>
      </w:pPr>
    </w:p>
    <w:p w14:paraId="4E2D5306">
      <w:pPr>
        <w:jc w:val="center"/>
        <w:rPr>
          <w:rFonts w:hint="eastAsia" w:ascii="宋体" w:hAnsi="宋体" w:eastAsia="宋体" w:cs="宋体"/>
          <w:sz w:val="30"/>
          <w:szCs w:val="30"/>
        </w:rPr>
      </w:pPr>
      <w:r>
        <w:rPr>
          <w:rFonts w:hint="eastAsia" w:ascii="宋体" w:hAnsi="宋体" w:eastAsia="宋体" w:cs="宋体"/>
          <w:sz w:val="30"/>
          <w:szCs w:val="30"/>
        </w:rPr>
        <w:t>二〇二</w:t>
      </w:r>
      <w:r>
        <w:rPr>
          <w:rFonts w:hint="eastAsia" w:ascii="宋体" w:hAnsi="宋体" w:cs="宋体"/>
          <w:sz w:val="30"/>
          <w:szCs w:val="30"/>
          <w:lang w:val="en-US" w:eastAsia="zh-CN"/>
        </w:rPr>
        <w:t>五</w:t>
      </w:r>
      <w:r>
        <w:rPr>
          <w:rFonts w:hint="eastAsia" w:ascii="宋体" w:hAnsi="宋体" w:eastAsia="宋体" w:cs="宋体"/>
          <w:sz w:val="30"/>
          <w:szCs w:val="30"/>
        </w:rPr>
        <w:t>年</w:t>
      </w:r>
      <w:r>
        <w:rPr>
          <w:rFonts w:hint="eastAsia" w:ascii="宋体" w:hAnsi="宋体" w:cs="宋体"/>
          <w:sz w:val="30"/>
          <w:szCs w:val="30"/>
          <w:lang w:val="en-US" w:eastAsia="zh-CN"/>
        </w:rPr>
        <w:t>四</w:t>
      </w:r>
      <w:r>
        <w:rPr>
          <w:rFonts w:hint="eastAsia" w:ascii="宋体" w:hAnsi="宋体" w:eastAsia="宋体" w:cs="宋体"/>
          <w:sz w:val="30"/>
          <w:szCs w:val="30"/>
        </w:rPr>
        <w:t>月</w:t>
      </w:r>
    </w:p>
    <w:p w14:paraId="12D9AF37">
      <w:pPr>
        <w:pStyle w:val="28"/>
        <w:jc w:val="center"/>
        <w:rPr>
          <w:color w:val="auto"/>
          <w:lang w:val="zh-CN"/>
        </w:rPr>
        <w:sectPr>
          <w:footerReference r:id="rId5" w:type="first"/>
          <w:headerReference r:id="rId3" w:type="default"/>
          <w:footerReference r:id="rId4" w:type="default"/>
          <w:pgSz w:w="11910" w:h="16850"/>
          <w:pgMar w:top="1457" w:right="1701" w:bottom="1400" w:left="1701" w:header="1134" w:footer="1134" w:gutter="0"/>
          <w:cols w:space="720" w:num="1"/>
        </w:sectPr>
      </w:pPr>
    </w:p>
    <w:p w14:paraId="0DC5E7F3">
      <w:pPr>
        <w:rPr>
          <w:lang w:val="zh-CN"/>
        </w:rPr>
      </w:pPr>
    </w:p>
    <w:p w14:paraId="162B0EC6">
      <w:pPr>
        <w:pStyle w:val="28"/>
        <w:jc w:val="center"/>
        <w:rPr>
          <w:color w:val="auto"/>
          <w:sz w:val="32"/>
          <w:szCs w:val="32"/>
        </w:rPr>
      </w:pPr>
      <w:r>
        <w:rPr>
          <w:color w:val="auto"/>
          <w:sz w:val="32"/>
          <w:szCs w:val="32"/>
          <w:lang w:val="zh-CN"/>
        </w:rPr>
        <w:t>目</w:t>
      </w:r>
      <w:r>
        <w:rPr>
          <w:rFonts w:hint="eastAsia"/>
          <w:color w:val="auto"/>
          <w:sz w:val="32"/>
          <w:szCs w:val="32"/>
          <w:lang w:val="en-US" w:eastAsia="zh-CN"/>
        </w:rPr>
        <w:t xml:space="preserve">  </w:t>
      </w:r>
      <w:r>
        <w:rPr>
          <w:color w:val="auto"/>
          <w:sz w:val="32"/>
          <w:szCs w:val="32"/>
          <w:lang w:val="zh-CN"/>
        </w:rPr>
        <w:t>录</w:t>
      </w:r>
    </w:p>
    <w:p w14:paraId="6B24CB2C">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sz w:val="24"/>
          <w:szCs w:val="24"/>
        </w:rPr>
      </w:pPr>
      <w:r>
        <w:rPr>
          <w:sz w:val="24"/>
          <w:szCs w:val="24"/>
        </w:rPr>
        <w:fldChar w:fldCharType="begin"/>
      </w:r>
      <w:r>
        <w:rPr>
          <w:sz w:val="24"/>
          <w:szCs w:val="24"/>
        </w:rPr>
        <w:instrText xml:space="preserve"> TOC \o "1-3" \h \z \u </w:instrText>
      </w:r>
      <w:r>
        <w:rPr>
          <w:sz w:val="24"/>
          <w:szCs w:val="24"/>
        </w:rPr>
        <w:fldChar w:fldCharType="separate"/>
      </w:r>
      <w:r>
        <w:rPr>
          <w:sz w:val="24"/>
          <w:szCs w:val="24"/>
        </w:rPr>
        <w:fldChar w:fldCharType="begin"/>
      </w:r>
      <w:r>
        <w:rPr>
          <w:sz w:val="24"/>
          <w:szCs w:val="24"/>
        </w:rPr>
        <w:instrText xml:space="preserve"> HYPERLINK \l "_Toc505691140" </w:instrText>
      </w:r>
      <w:r>
        <w:rPr>
          <w:sz w:val="24"/>
          <w:szCs w:val="24"/>
        </w:rPr>
        <w:fldChar w:fldCharType="separate"/>
      </w:r>
      <w:r>
        <w:rPr>
          <w:rStyle w:val="26"/>
          <w:rFonts w:hint="eastAsia"/>
          <w:sz w:val="24"/>
          <w:szCs w:val="24"/>
        </w:rPr>
        <w:t>第一章竞争性磋商公告</w:t>
      </w:r>
      <w:r>
        <w:rPr>
          <w:sz w:val="24"/>
          <w:szCs w:val="24"/>
        </w:rPr>
        <w:tab/>
      </w:r>
      <w:r>
        <w:rPr>
          <w:rFonts w:hint="eastAsia"/>
          <w:sz w:val="24"/>
          <w:szCs w:val="24"/>
          <w:lang w:val="en-US" w:eastAsia="zh-CN"/>
        </w:rPr>
        <w:t>2</w:t>
      </w:r>
      <w:r>
        <w:rPr>
          <w:sz w:val="24"/>
          <w:szCs w:val="24"/>
        </w:rPr>
        <w:fldChar w:fldCharType="end"/>
      </w:r>
    </w:p>
    <w:p w14:paraId="6497089F">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sz w:val="24"/>
          <w:szCs w:val="24"/>
        </w:rPr>
      </w:pPr>
      <w:r>
        <w:rPr>
          <w:sz w:val="24"/>
          <w:szCs w:val="24"/>
        </w:rPr>
        <w:fldChar w:fldCharType="begin"/>
      </w:r>
      <w:r>
        <w:rPr>
          <w:sz w:val="24"/>
          <w:szCs w:val="24"/>
        </w:rPr>
        <w:instrText xml:space="preserve"> HYPERLINK \l "_Toc505691141" </w:instrText>
      </w:r>
      <w:r>
        <w:rPr>
          <w:sz w:val="24"/>
          <w:szCs w:val="24"/>
        </w:rPr>
        <w:fldChar w:fldCharType="separate"/>
      </w:r>
      <w:r>
        <w:rPr>
          <w:rStyle w:val="26"/>
          <w:rFonts w:hint="eastAsia"/>
          <w:sz w:val="24"/>
          <w:szCs w:val="24"/>
        </w:rPr>
        <w:t>第二章供应商须知</w:t>
      </w:r>
      <w:r>
        <w:rPr>
          <w:sz w:val="24"/>
          <w:szCs w:val="24"/>
        </w:rPr>
        <w:tab/>
      </w:r>
      <w:r>
        <w:rPr>
          <w:rFonts w:hint="eastAsia"/>
          <w:sz w:val="24"/>
          <w:szCs w:val="24"/>
          <w:lang w:val="en-US" w:eastAsia="zh-CN"/>
        </w:rPr>
        <w:t>6</w:t>
      </w:r>
      <w:r>
        <w:rPr>
          <w:sz w:val="24"/>
          <w:szCs w:val="24"/>
        </w:rPr>
        <w:fldChar w:fldCharType="end"/>
      </w:r>
    </w:p>
    <w:p w14:paraId="18E82034">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sz w:val="24"/>
          <w:szCs w:val="24"/>
        </w:rPr>
      </w:pPr>
      <w:r>
        <w:rPr>
          <w:sz w:val="24"/>
          <w:szCs w:val="24"/>
        </w:rPr>
        <w:fldChar w:fldCharType="begin"/>
      </w:r>
      <w:r>
        <w:rPr>
          <w:sz w:val="24"/>
          <w:szCs w:val="24"/>
        </w:rPr>
        <w:instrText xml:space="preserve"> HYPERLINK \l "_Toc505691142" </w:instrText>
      </w:r>
      <w:r>
        <w:rPr>
          <w:sz w:val="24"/>
          <w:szCs w:val="24"/>
        </w:rPr>
        <w:fldChar w:fldCharType="separate"/>
      </w:r>
      <w:r>
        <w:rPr>
          <w:rStyle w:val="26"/>
          <w:rFonts w:hint="eastAsia"/>
          <w:sz w:val="24"/>
          <w:szCs w:val="24"/>
        </w:rPr>
        <w:t>第三章评审办法</w:t>
      </w:r>
      <w:r>
        <w:rPr>
          <w:sz w:val="24"/>
          <w:szCs w:val="24"/>
        </w:rPr>
        <w:tab/>
      </w:r>
      <w:r>
        <w:rPr>
          <w:sz w:val="24"/>
          <w:szCs w:val="24"/>
        </w:rPr>
        <w:fldChar w:fldCharType="begin"/>
      </w:r>
      <w:r>
        <w:rPr>
          <w:sz w:val="24"/>
          <w:szCs w:val="24"/>
        </w:rPr>
        <w:instrText xml:space="preserve"> PAGEREF _Toc505691142 \h </w:instrText>
      </w:r>
      <w:r>
        <w:rPr>
          <w:sz w:val="24"/>
          <w:szCs w:val="24"/>
        </w:rPr>
        <w:fldChar w:fldCharType="separate"/>
      </w:r>
      <w:r>
        <w:rPr>
          <w:sz w:val="24"/>
          <w:szCs w:val="24"/>
        </w:rPr>
        <w:t>2</w:t>
      </w:r>
      <w:r>
        <w:rPr>
          <w:rFonts w:hint="eastAsia"/>
          <w:sz w:val="24"/>
          <w:szCs w:val="24"/>
          <w:lang w:val="en-US" w:eastAsia="zh-CN"/>
        </w:rPr>
        <w:t>8</w:t>
      </w:r>
      <w:r>
        <w:rPr>
          <w:sz w:val="24"/>
          <w:szCs w:val="24"/>
        </w:rPr>
        <w:fldChar w:fldCharType="end"/>
      </w:r>
      <w:r>
        <w:rPr>
          <w:sz w:val="24"/>
          <w:szCs w:val="24"/>
        </w:rPr>
        <w:fldChar w:fldCharType="end"/>
      </w:r>
    </w:p>
    <w:p w14:paraId="7933856B">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sz w:val="24"/>
          <w:szCs w:val="24"/>
        </w:rPr>
      </w:pPr>
      <w:r>
        <w:rPr>
          <w:sz w:val="24"/>
          <w:szCs w:val="24"/>
        </w:rPr>
        <w:fldChar w:fldCharType="begin"/>
      </w:r>
      <w:r>
        <w:rPr>
          <w:sz w:val="24"/>
          <w:szCs w:val="24"/>
        </w:rPr>
        <w:instrText xml:space="preserve"> HYPERLINK \l "_Toc505691143" </w:instrText>
      </w:r>
      <w:r>
        <w:rPr>
          <w:sz w:val="24"/>
          <w:szCs w:val="24"/>
        </w:rPr>
        <w:fldChar w:fldCharType="separate"/>
      </w:r>
      <w:r>
        <w:rPr>
          <w:rStyle w:val="26"/>
          <w:rFonts w:hint="eastAsia"/>
          <w:sz w:val="24"/>
          <w:szCs w:val="24"/>
        </w:rPr>
        <w:t>第四章合同格式</w:t>
      </w:r>
      <w:r>
        <w:rPr>
          <w:rStyle w:val="26"/>
          <w:sz w:val="24"/>
          <w:szCs w:val="24"/>
        </w:rPr>
        <w:t>(</w:t>
      </w:r>
      <w:r>
        <w:rPr>
          <w:rStyle w:val="26"/>
          <w:rFonts w:hint="eastAsia"/>
          <w:sz w:val="24"/>
          <w:szCs w:val="24"/>
        </w:rPr>
        <w:t>参考</w:t>
      </w:r>
      <w:r>
        <w:rPr>
          <w:rStyle w:val="26"/>
          <w:sz w:val="24"/>
          <w:szCs w:val="24"/>
        </w:rPr>
        <w:t>)</w:t>
      </w:r>
      <w:r>
        <w:rPr>
          <w:sz w:val="24"/>
          <w:szCs w:val="24"/>
        </w:rPr>
        <w:tab/>
      </w:r>
      <w:r>
        <w:rPr>
          <w:sz w:val="24"/>
          <w:szCs w:val="24"/>
        </w:rPr>
        <w:fldChar w:fldCharType="begin"/>
      </w:r>
      <w:r>
        <w:rPr>
          <w:sz w:val="24"/>
          <w:szCs w:val="24"/>
        </w:rPr>
        <w:instrText xml:space="preserve"> PAGEREF _Toc505691143 \h </w:instrText>
      </w:r>
      <w:r>
        <w:rPr>
          <w:sz w:val="24"/>
          <w:szCs w:val="24"/>
        </w:rPr>
        <w:fldChar w:fldCharType="separate"/>
      </w:r>
      <w:r>
        <w:rPr>
          <w:sz w:val="24"/>
          <w:szCs w:val="24"/>
        </w:rPr>
        <w:t>3</w:t>
      </w:r>
      <w:r>
        <w:rPr>
          <w:rFonts w:hint="eastAsia"/>
          <w:sz w:val="24"/>
          <w:szCs w:val="24"/>
          <w:lang w:val="en-US" w:eastAsia="zh-CN"/>
        </w:rPr>
        <w:t>6</w:t>
      </w:r>
      <w:r>
        <w:rPr>
          <w:sz w:val="24"/>
          <w:szCs w:val="24"/>
        </w:rPr>
        <w:fldChar w:fldCharType="end"/>
      </w:r>
      <w:r>
        <w:rPr>
          <w:sz w:val="24"/>
          <w:szCs w:val="24"/>
        </w:rPr>
        <w:fldChar w:fldCharType="end"/>
      </w:r>
    </w:p>
    <w:p w14:paraId="029549BD">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sz w:val="24"/>
          <w:szCs w:val="24"/>
        </w:rPr>
      </w:pPr>
      <w:r>
        <w:rPr>
          <w:sz w:val="24"/>
          <w:szCs w:val="24"/>
        </w:rPr>
        <w:fldChar w:fldCharType="begin"/>
      </w:r>
      <w:r>
        <w:rPr>
          <w:sz w:val="24"/>
          <w:szCs w:val="24"/>
        </w:rPr>
        <w:instrText xml:space="preserve"> HYPERLINK \l "_Toc505691144" </w:instrText>
      </w:r>
      <w:r>
        <w:rPr>
          <w:sz w:val="24"/>
          <w:szCs w:val="24"/>
        </w:rPr>
        <w:fldChar w:fldCharType="separate"/>
      </w:r>
      <w:r>
        <w:rPr>
          <w:rStyle w:val="26"/>
          <w:rFonts w:hint="eastAsia"/>
          <w:sz w:val="24"/>
          <w:szCs w:val="24"/>
        </w:rPr>
        <w:t>第五章技术标准和要求</w:t>
      </w:r>
      <w:r>
        <w:rPr>
          <w:sz w:val="24"/>
          <w:szCs w:val="24"/>
        </w:rPr>
        <w:tab/>
      </w:r>
      <w:r>
        <w:rPr>
          <w:sz w:val="24"/>
          <w:szCs w:val="24"/>
        </w:rPr>
        <w:fldChar w:fldCharType="begin"/>
      </w:r>
      <w:r>
        <w:rPr>
          <w:sz w:val="24"/>
          <w:szCs w:val="24"/>
        </w:rPr>
        <w:instrText xml:space="preserve"> PAGEREF _Toc505691144 \h </w:instrText>
      </w:r>
      <w:r>
        <w:rPr>
          <w:sz w:val="24"/>
          <w:szCs w:val="24"/>
        </w:rPr>
        <w:fldChar w:fldCharType="separate"/>
      </w:r>
      <w:r>
        <w:rPr>
          <w:sz w:val="24"/>
          <w:szCs w:val="24"/>
        </w:rPr>
        <w:t>37</w:t>
      </w:r>
      <w:r>
        <w:rPr>
          <w:sz w:val="24"/>
          <w:szCs w:val="24"/>
        </w:rPr>
        <w:fldChar w:fldCharType="end"/>
      </w:r>
      <w:r>
        <w:rPr>
          <w:sz w:val="24"/>
          <w:szCs w:val="24"/>
        </w:rPr>
        <w:fldChar w:fldCharType="end"/>
      </w:r>
    </w:p>
    <w:p w14:paraId="2DE632ED">
      <w:pPr>
        <w:pStyle w:val="18"/>
        <w:keepNext w:val="0"/>
        <w:keepLines w:val="0"/>
        <w:pageBreakBefore w:val="0"/>
        <w:widowControl w:val="0"/>
        <w:tabs>
          <w:tab w:val="right" w:leader="dot" w:pos="8296"/>
        </w:tabs>
        <w:kinsoku/>
        <w:wordWrap/>
        <w:overflowPunct/>
        <w:topLinePunct w:val="0"/>
        <w:autoSpaceDE/>
        <w:autoSpaceDN/>
        <w:bidi w:val="0"/>
        <w:adjustRightInd/>
        <w:snapToGrid/>
        <w:spacing w:line="600" w:lineRule="exact"/>
        <w:textAlignment w:val="auto"/>
        <w:rPr>
          <w:rStyle w:val="26"/>
          <w:sz w:val="24"/>
          <w:szCs w:val="24"/>
        </w:rPr>
      </w:pPr>
      <w:r>
        <w:rPr>
          <w:sz w:val="24"/>
          <w:szCs w:val="24"/>
        </w:rPr>
        <w:fldChar w:fldCharType="begin"/>
      </w:r>
      <w:r>
        <w:rPr>
          <w:sz w:val="24"/>
          <w:szCs w:val="24"/>
        </w:rPr>
        <w:instrText xml:space="preserve"> HYPERLINK \l "_Toc505691145" </w:instrText>
      </w:r>
      <w:r>
        <w:rPr>
          <w:sz w:val="24"/>
          <w:szCs w:val="24"/>
        </w:rPr>
        <w:fldChar w:fldCharType="separate"/>
      </w:r>
      <w:r>
        <w:rPr>
          <w:rStyle w:val="26"/>
          <w:rFonts w:hint="eastAsia"/>
          <w:sz w:val="24"/>
          <w:szCs w:val="24"/>
        </w:rPr>
        <w:t>第六章磋商响应文件格式</w:t>
      </w:r>
      <w:r>
        <w:rPr>
          <w:rStyle w:val="26"/>
          <w:sz w:val="24"/>
          <w:szCs w:val="24"/>
        </w:rPr>
        <w:tab/>
      </w:r>
      <w:r>
        <w:rPr>
          <w:sz w:val="24"/>
          <w:szCs w:val="24"/>
        </w:rPr>
        <w:fldChar w:fldCharType="begin"/>
      </w:r>
      <w:r>
        <w:rPr>
          <w:sz w:val="24"/>
          <w:szCs w:val="24"/>
        </w:rPr>
        <w:instrText xml:space="preserve"> PAGEREF _Toc505691145 \h </w:instrText>
      </w:r>
      <w:r>
        <w:rPr>
          <w:sz w:val="24"/>
          <w:szCs w:val="24"/>
        </w:rPr>
        <w:fldChar w:fldCharType="separate"/>
      </w:r>
      <w:r>
        <w:rPr>
          <w:rFonts w:hint="eastAsia"/>
          <w:sz w:val="24"/>
          <w:szCs w:val="24"/>
          <w:lang w:val="en-US" w:eastAsia="zh-CN"/>
        </w:rPr>
        <w:t>39</w:t>
      </w:r>
      <w:r>
        <w:rPr>
          <w:sz w:val="24"/>
          <w:szCs w:val="24"/>
        </w:rPr>
        <w:fldChar w:fldCharType="end"/>
      </w:r>
      <w:r>
        <w:rPr>
          <w:sz w:val="24"/>
          <w:szCs w:val="24"/>
        </w:rPr>
        <w:fldChar w:fldCharType="end"/>
      </w:r>
    </w:p>
    <w:p w14:paraId="5197DCE6">
      <w:pPr>
        <w:keepNext w:val="0"/>
        <w:keepLines w:val="0"/>
        <w:pageBreakBefore w:val="0"/>
        <w:widowControl w:val="0"/>
        <w:kinsoku/>
        <w:wordWrap/>
        <w:overflowPunct/>
        <w:topLinePunct w:val="0"/>
        <w:autoSpaceDE/>
        <w:autoSpaceDN/>
        <w:bidi w:val="0"/>
        <w:adjustRightInd/>
        <w:snapToGrid/>
        <w:spacing w:line="600" w:lineRule="exact"/>
        <w:textAlignment w:val="auto"/>
      </w:pPr>
      <w:r>
        <w:rPr>
          <w:sz w:val="24"/>
          <w:szCs w:val="24"/>
        </w:rPr>
        <w:fldChar w:fldCharType="end"/>
      </w:r>
    </w:p>
    <w:p w14:paraId="1D847FB4">
      <w:pPr>
        <w:widowControl/>
        <w:jc w:val="left"/>
        <w:rPr>
          <w:rFonts w:ascii="Cambria" w:hAnsi="Cambria"/>
          <w:b/>
          <w:bCs/>
          <w:sz w:val="28"/>
          <w:szCs w:val="28"/>
        </w:rPr>
      </w:pPr>
    </w:p>
    <w:p w14:paraId="5A230C8B">
      <w:pPr>
        <w:widowControl/>
        <w:jc w:val="left"/>
        <w:rPr>
          <w:rFonts w:ascii="Cambria" w:hAnsi="Cambria"/>
          <w:b/>
          <w:bCs/>
          <w:sz w:val="28"/>
          <w:szCs w:val="28"/>
        </w:rPr>
      </w:pPr>
      <w:bookmarkStart w:id="0" w:name="_Toc505691140"/>
      <w:r>
        <w:rPr>
          <w:sz w:val="28"/>
          <w:szCs w:val="28"/>
        </w:rPr>
        <w:br w:type="page"/>
      </w:r>
    </w:p>
    <w:p w14:paraId="7E5CA7CA">
      <w:pPr>
        <w:pStyle w:val="4"/>
        <w:jc w:val="center"/>
        <w:rPr>
          <w:sz w:val="28"/>
          <w:szCs w:val="28"/>
        </w:rPr>
      </w:pPr>
      <w:r>
        <w:rPr>
          <w:rFonts w:hint="eastAsia"/>
          <w:sz w:val="28"/>
          <w:szCs w:val="28"/>
        </w:rPr>
        <w:t xml:space="preserve">第一章 </w:t>
      </w:r>
      <w:r>
        <w:rPr>
          <w:rFonts w:hint="eastAsia"/>
        </w:rPr>
        <w:t>竞争性磋商公告</w:t>
      </w:r>
      <w:bookmarkEnd w:id="0"/>
    </w:p>
    <w:p w14:paraId="053CAD3E">
      <w:pPr>
        <w:pStyle w:val="3"/>
        <w:spacing w:before="0" w:after="0" w:line="240" w:lineRule="auto"/>
        <w:jc w:val="center"/>
        <w:rPr>
          <w:rFonts w:hint="eastAsia" w:ascii="宋体" w:hAnsi="宋体" w:cs="宋体"/>
          <w:b/>
          <w:bCs/>
          <w:color w:val="000000"/>
          <w:sz w:val="24"/>
          <w:szCs w:val="24"/>
          <w:lang w:val="en-US" w:eastAsia="zh-CN"/>
        </w:rPr>
      </w:pPr>
      <w:bookmarkStart w:id="1" w:name="_Toc505691141"/>
      <w:r>
        <w:rPr>
          <w:rFonts w:hint="eastAsia" w:ascii="宋体" w:hAnsi="宋体" w:cs="宋体"/>
          <w:b/>
          <w:bCs/>
          <w:color w:val="000000"/>
          <w:sz w:val="24"/>
          <w:szCs w:val="24"/>
          <w:lang w:val="en-US" w:eastAsia="zh-CN"/>
        </w:rPr>
        <w:t>2024年度安图县国土变更调查项目</w:t>
      </w:r>
    </w:p>
    <w:p w14:paraId="3ACFFC62">
      <w:pPr>
        <w:pStyle w:val="3"/>
        <w:spacing w:before="0" w:after="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lang w:val="en-US" w:eastAsia="zh-CN"/>
        </w:rPr>
        <w:t>招标采购</w:t>
      </w:r>
      <w:r>
        <w:rPr>
          <w:rFonts w:hint="eastAsia" w:ascii="宋体" w:hAnsi="宋体" w:cs="宋体"/>
          <w:b/>
          <w:bCs/>
          <w:color w:val="000000"/>
          <w:sz w:val="24"/>
          <w:szCs w:val="24"/>
        </w:rPr>
        <w:t>公告</w:t>
      </w:r>
    </w:p>
    <w:p w14:paraId="2920CCB0">
      <w:pPr>
        <w:autoSpaceDE w:val="0"/>
        <w:autoSpaceDN w:val="0"/>
        <w:adjustRightInd w:val="0"/>
        <w:spacing w:line="420" w:lineRule="exact"/>
        <w:ind w:right="97" w:rightChars="46" w:firstLine="315" w:firstLineChars="150"/>
        <w:jc w:val="left"/>
        <w:rPr>
          <w:rFonts w:hint="eastAsia"/>
          <w:color w:val="000000"/>
        </w:rPr>
      </w:pPr>
    </w:p>
    <w:tbl>
      <w:tblPr>
        <w:tblStyle w:val="2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125"/>
      </w:tblGrid>
      <w:tr w14:paraId="523484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125" w:type="dxa"/>
            <w:noWrap w:val="0"/>
            <w:vAlign w:val="top"/>
          </w:tcPr>
          <w:p w14:paraId="0E221F8E">
            <w:pPr>
              <w:spacing w:line="400" w:lineRule="exact"/>
              <w:ind w:right="18"/>
              <w:jc w:val="left"/>
              <w:rPr>
                <w:rFonts w:hint="eastAsia" w:ascii="宋体" w:hAnsi="宋体" w:cs="宋体"/>
                <w:color w:val="000000"/>
              </w:rPr>
            </w:pPr>
            <w:r>
              <w:rPr>
                <w:rFonts w:hint="eastAsia" w:ascii="宋体" w:hAnsi="宋体" w:cs="宋体"/>
                <w:color w:val="000000"/>
                <w:lang w:val="zh-CN"/>
              </w:rPr>
              <w:t>项目概况</w:t>
            </w:r>
            <w:r>
              <w:rPr>
                <w:rFonts w:hint="eastAsia" w:ascii="宋体" w:hAnsi="宋体" w:cs="宋体"/>
                <w:color w:val="000000"/>
              </w:rPr>
              <w:t>：</w:t>
            </w:r>
          </w:p>
          <w:p w14:paraId="68E1B7E3">
            <w:pPr>
              <w:spacing w:line="400" w:lineRule="exact"/>
              <w:ind w:right="18" w:firstLine="420" w:firstLineChars="200"/>
              <w:jc w:val="left"/>
              <w:rPr>
                <w:rFonts w:hint="eastAsia" w:ascii="宋体" w:hAnsi="宋体" w:cs="宋体"/>
                <w:color w:val="000000"/>
              </w:rPr>
            </w:pPr>
            <w:r>
              <w:rPr>
                <w:rFonts w:hint="eastAsia" w:ascii="宋体" w:hAnsi="宋体" w:cs="宋体"/>
                <w:color w:val="000000"/>
                <w:lang w:eastAsia="zh-CN"/>
              </w:rPr>
              <w:t>2024年度安图县国土变更调查项目</w:t>
            </w:r>
            <w:r>
              <w:rPr>
                <w:rFonts w:hint="eastAsia" w:ascii="宋体" w:hAnsi="宋体" w:cs="宋体"/>
                <w:color w:val="000000"/>
                <w:lang w:val="zh-CN"/>
              </w:rPr>
              <w:t>的潜在供应商应在</w:t>
            </w:r>
            <w:r>
              <w:rPr>
                <w:rFonts w:hint="eastAsia" w:ascii="宋体" w:hAnsi="宋体" w:cs="宋体"/>
                <w:color w:val="000000"/>
              </w:rPr>
              <w:t>“</w:t>
            </w:r>
            <w:r>
              <w:rPr>
                <w:rFonts w:hint="eastAsia" w:ascii="宋体" w:hAnsi="宋体" w:cs="宋体"/>
                <w:color w:val="000000"/>
                <w:lang w:val="zh-CN"/>
              </w:rPr>
              <w:t>政采云</w:t>
            </w:r>
            <w:r>
              <w:rPr>
                <w:rFonts w:hint="eastAsia" w:ascii="宋体" w:hAnsi="宋体" w:cs="宋体"/>
                <w:color w:val="000000"/>
              </w:rPr>
              <w:t>”</w:t>
            </w:r>
            <w:r>
              <w:rPr>
                <w:rFonts w:hint="eastAsia" w:ascii="宋体" w:hAnsi="宋体" w:cs="宋体"/>
                <w:color w:val="000000"/>
                <w:lang w:val="zh-CN"/>
              </w:rPr>
              <w:t>平台</w:t>
            </w:r>
            <w:r>
              <w:rPr>
                <w:rFonts w:hint="eastAsia" w:ascii="宋体" w:hAnsi="宋体" w:cs="宋体"/>
                <w:color w:val="000000"/>
              </w:rPr>
              <w:t>（http:// www.zcygov.cn）</w:t>
            </w:r>
            <w:r>
              <w:rPr>
                <w:rFonts w:hint="eastAsia" w:ascii="宋体" w:hAnsi="宋体" w:cs="宋体"/>
                <w:color w:val="000000"/>
                <w:lang w:val="zh-CN"/>
              </w:rPr>
              <w:t>获取</w:t>
            </w:r>
            <w:r>
              <w:rPr>
                <w:rFonts w:hint="eastAsia" w:ascii="宋体" w:hAnsi="宋体" w:cs="宋体"/>
                <w:color w:val="auto"/>
                <w:sz w:val="21"/>
                <w:szCs w:val="21"/>
                <w:lang w:val="en-US" w:eastAsia="zh-CN" w:bidi="ar"/>
              </w:rPr>
              <w:t>竞争性磋商</w:t>
            </w:r>
            <w:r>
              <w:rPr>
                <w:rFonts w:hint="eastAsia" w:ascii="宋体" w:hAnsi="宋体" w:cs="宋体"/>
                <w:color w:val="000000"/>
                <w:lang w:val="zh-CN"/>
              </w:rPr>
              <w:t>文件</w:t>
            </w:r>
            <w:r>
              <w:rPr>
                <w:rFonts w:hint="eastAsia" w:ascii="宋体" w:hAnsi="宋体" w:cs="宋体"/>
                <w:color w:val="000000"/>
              </w:rPr>
              <w:t>，</w:t>
            </w:r>
            <w:r>
              <w:rPr>
                <w:rFonts w:hint="eastAsia" w:ascii="宋体" w:hAnsi="宋体" w:cs="宋体"/>
                <w:color w:val="000000"/>
                <w:lang w:val="zh-CN"/>
              </w:rPr>
              <w:t>并</w:t>
            </w:r>
            <w:r>
              <w:rPr>
                <w:rFonts w:hint="eastAsia" w:ascii="宋体" w:hAnsi="宋体" w:cs="宋体"/>
                <w:color w:val="000000"/>
                <w:highlight w:val="none"/>
                <w:lang w:val="zh-CN"/>
              </w:rPr>
              <w:t>于</w:t>
            </w:r>
            <w:r>
              <w:rPr>
                <w:rFonts w:hint="eastAsia" w:ascii="宋体" w:hAnsi="宋体" w:cs="宋体"/>
                <w:color w:val="auto"/>
                <w:highlight w:val="none"/>
                <w:lang w:eastAsia="zh-CN"/>
              </w:rPr>
              <w:t>202</w:t>
            </w:r>
            <w:r>
              <w:rPr>
                <w:rFonts w:hint="eastAsia" w:ascii="宋体" w:hAnsi="宋体" w:cs="宋体"/>
                <w:color w:val="auto"/>
                <w:highlight w:val="none"/>
                <w:lang w:val="en-US" w:eastAsia="zh-CN"/>
              </w:rPr>
              <w:t>5</w:t>
            </w:r>
            <w:r>
              <w:rPr>
                <w:rFonts w:hint="eastAsia" w:ascii="宋体" w:hAnsi="宋体" w:cs="宋体"/>
                <w:color w:val="auto"/>
                <w:highlight w:val="none"/>
                <w:lang w:eastAsia="zh-CN"/>
              </w:rPr>
              <w:t>年</w:t>
            </w:r>
            <w:r>
              <w:rPr>
                <w:rFonts w:hint="eastAsia" w:ascii="宋体" w:hAnsi="宋体" w:cs="宋体"/>
                <w:color w:val="auto"/>
                <w:highlight w:val="none"/>
                <w:lang w:val="en-US" w:eastAsia="zh-CN"/>
              </w:rPr>
              <w:t>4</w:t>
            </w:r>
            <w:r>
              <w:rPr>
                <w:rFonts w:hint="eastAsia" w:ascii="宋体" w:hAnsi="宋体" w:cs="宋体"/>
                <w:color w:val="auto"/>
                <w:highlight w:val="none"/>
                <w:lang w:eastAsia="zh-CN"/>
              </w:rPr>
              <w:t>月</w:t>
            </w:r>
            <w:r>
              <w:rPr>
                <w:rFonts w:hint="eastAsia" w:ascii="宋体" w:hAnsi="宋体" w:cs="宋体"/>
                <w:color w:val="auto"/>
                <w:highlight w:val="none"/>
                <w:lang w:val="en-US" w:eastAsia="zh-CN"/>
              </w:rPr>
              <w:t>21</w:t>
            </w:r>
            <w:r>
              <w:rPr>
                <w:rFonts w:hint="eastAsia" w:ascii="宋体" w:hAnsi="宋体" w:cs="宋体"/>
                <w:color w:val="auto"/>
                <w:highlight w:val="none"/>
                <w:lang w:eastAsia="zh-CN"/>
              </w:rPr>
              <w:t>日09时00分</w:t>
            </w:r>
            <w:r>
              <w:rPr>
                <w:rFonts w:hint="eastAsia" w:ascii="宋体" w:hAnsi="宋体" w:cs="宋体"/>
                <w:color w:val="000000"/>
                <w:highlight w:val="none"/>
              </w:rPr>
              <w:t>（</w:t>
            </w:r>
            <w:r>
              <w:rPr>
                <w:rFonts w:hint="eastAsia" w:ascii="宋体" w:hAnsi="宋体" w:cs="宋体"/>
                <w:color w:val="000000"/>
                <w:highlight w:val="none"/>
                <w:lang w:val="zh-CN"/>
              </w:rPr>
              <w:t>北</w:t>
            </w:r>
            <w:r>
              <w:rPr>
                <w:rFonts w:hint="eastAsia" w:ascii="宋体" w:hAnsi="宋体" w:cs="宋体"/>
                <w:color w:val="000000"/>
                <w:lang w:val="zh-CN"/>
              </w:rPr>
              <w:t>京时间</w:t>
            </w:r>
            <w:r>
              <w:rPr>
                <w:rFonts w:hint="eastAsia" w:ascii="宋体" w:hAnsi="宋体" w:cs="宋体"/>
                <w:color w:val="000000"/>
              </w:rPr>
              <w:t>）</w:t>
            </w:r>
            <w:r>
              <w:rPr>
                <w:rFonts w:hint="eastAsia" w:ascii="宋体" w:hAnsi="宋体" w:cs="宋体"/>
                <w:color w:val="000000"/>
                <w:lang w:val="zh-CN"/>
              </w:rPr>
              <w:t>前提交响应文件。</w:t>
            </w:r>
          </w:p>
        </w:tc>
      </w:tr>
    </w:tbl>
    <w:p w14:paraId="2156C856">
      <w:pPr>
        <w:autoSpaceDE w:val="0"/>
        <w:autoSpaceDN w:val="0"/>
        <w:adjustRightInd w:val="0"/>
        <w:spacing w:line="420" w:lineRule="exact"/>
        <w:ind w:right="420" w:rightChars="200" w:firstLine="480" w:firstLineChars="200"/>
        <w:jc w:val="left"/>
        <w:rPr>
          <w:rFonts w:hint="eastAsia" w:ascii="宋体" w:hAnsi="宋体" w:cs="宋体"/>
          <w:color w:val="000000"/>
          <w:sz w:val="24"/>
          <w:szCs w:val="24"/>
        </w:rPr>
      </w:pPr>
    </w:p>
    <w:p w14:paraId="49CB6EA1">
      <w:pPr>
        <w:numPr>
          <w:ilvl w:val="0"/>
          <w:numId w:val="2"/>
        </w:numPr>
        <w:autoSpaceDE w:val="0"/>
        <w:autoSpaceDN w:val="0"/>
        <w:adjustRightInd w:val="0"/>
        <w:spacing w:line="420" w:lineRule="exact"/>
        <w:ind w:left="856" w:right="420" w:rightChars="200" w:hanging="856"/>
        <w:jc w:val="left"/>
        <w:rPr>
          <w:rFonts w:hint="eastAsia" w:ascii="宋体" w:hAnsi="宋体" w:cs="宋体"/>
          <w:b/>
          <w:bCs/>
          <w:color w:val="000000"/>
        </w:rPr>
      </w:pPr>
      <w:r>
        <w:rPr>
          <w:rFonts w:hint="eastAsia" w:ascii="宋体" w:hAnsi="宋体" w:cs="宋体"/>
          <w:b/>
          <w:bCs/>
          <w:color w:val="000000"/>
        </w:rPr>
        <w:t>项目基本情况：</w:t>
      </w:r>
    </w:p>
    <w:p w14:paraId="07F57041">
      <w:pPr>
        <w:numPr>
          <w:ilvl w:val="0"/>
          <w:numId w:val="0"/>
        </w:numPr>
        <w:autoSpaceDE w:val="0"/>
        <w:autoSpaceDN w:val="0"/>
        <w:adjustRightInd w:val="0"/>
        <w:spacing w:line="420" w:lineRule="exact"/>
        <w:ind w:leftChars="0" w:right="420" w:rightChars="200" w:firstLine="420" w:firstLineChars="200"/>
        <w:jc w:val="left"/>
        <w:rPr>
          <w:rFonts w:hint="eastAsia" w:ascii="宋体" w:hAnsi="宋体" w:cs="宋体"/>
          <w:color w:val="auto"/>
          <w:lang w:bidi="ar"/>
        </w:rPr>
      </w:pPr>
      <w:r>
        <w:rPr>
          <w:rFonts w:hint="eastAsia" w:ascii="宋体" w:hAnsi="宋体" w:cs="宋体"/>
          <w:color w:val="auto"/>
          <w:lang w:bidi="ar"/>
        </w:rPr>
        <w:t>1.项目名称：</w:t>
      </w:r>
      <w:r>
        <w:rPr>
          <w:rFonts w:hint="eastAsia" w:ascii="宋体" w:hAnsi="宋体" w:cs="宋体"/>
          <w:color w:val="auto"/>
          <w:lang w:val="zh-CN" w:bidi="ar"/>
        </w:rPr>
        <w:t>2024年度安图县国土变更调查项目</w:t>
      </w:r>
    </w:p>
    <w:p w14:paraId="7FECE182">
      <w:pPr>
        <w:autoSpaceDE w:val="0"/>
        <w:autoSpaceDN w:val="0"/>
        <w:adjustRightInd w:val="0"/>
        <w:spacing w:line="420" w:lineRule="exact"/>
        <w:ind w:right="97" w:rightChars="46" w:firstLine="420" w:firstLineChars="200"/>
        <w:jc w:val="left"/>
        <w:rPr>
          <w:rFonts w:hint="default" w:ascii="宋体" w:hAnsi="宋体" w:cs="宋体"/>
          <w:color w:val="auto"/>
          <w:lang w:val="en-US" w:bidi="ar"/>
        </w:rPr>
      </w:pPr>
      <w:r>
        <w:rPr>
          <w:rFonts w:hint="eastAsia" w:ascii="宋体" w:hAnsi="宋体" w:cs="宋体"/>
          <w:color w:val="auto"/>
          <w:lang w:bidi="ar"/>
        </w:rPr>
        <w:t>2.项目编号：</w:t>
      </w:r>
      <w:r>
        <w:rPr>
          <w:rFonts w:hint="eastAsia" w:ascii="宋体" w:hAnsi="宋体" w:cs="宋体"/>
          <w:color w:val="auto"/>
          <w:lang w:val="en-US" w:eastAsia="zh-CN" w:bidi="ar"/>
        </w:rPr>
        <w:t>LYCZ</w:t>
      </w:r>
      <w:r>
        <w:rPr>
          <w:rFonts w:hint="eastAsia" w:ascii="宋体" w:hAnsi="宋体" w:cs="宋体"/>
          <w:color w:val="auto"/>
          <w:lang w:val="zh-CN" w:bidi="ar"/>
        </w:rPr>
        <w:t>202</w:t>
      </w:r>
      <w:r>
        <w:rPr>
          <w:rFonts w:hint="eastAsia" w:ascii="宋体" w:hAnsi="宋体" w:cs="宋体"/>
          <w:color w:val="auto"/>
          <w:lang w:val="en-US" w:eastAsia="zh-CN" w:bidi="ar"/>
        </w:rPr>
        <w:t>5</w:t>
      </w:r>
      <w:r>
        <w:rPr>
          <w:rFonts w:hint="eastAsia" w:ascii="宋体" w:hAnsi="宋体" w:cs="宋体"/>
          <w:color w:val="auto"/>
          <w:lang w:val="zh-CN" w:bidi="ar"/>
        </w:rPr>
        <w:t>-</w:t>
      </w:r>
      <w:r>
        <w:rPr>
          <w:rFonts w:hint="eastAsia" w:ascii="宋体" w:hAnsi="宋体" w:cs="宋体"/>
          <w:color w:val="auto"/>
          <w:lang w:val="en-US" w:eastAsia="zh-CN" w:bidi="ar"/>
        </w:rPr>
        <w:t>005</w:t>
      </w:r>
    </w:p>
    <w:p w14:paraId="19BABD43">
      <w:pPr>
        <w:autoSpaceDE w:val="0"/>
        <w:autoSpaceDN w:val="0"/>
        <w:adjustRightInd w:val="0"/>
        <w:spacing w:line="420" w:lineRule="exact"/>
        <w:ind w:right="97" w:rightChars="46" w:firstLine="420" w:firstLineChars="200"/>
        <w:jc w:val="left"/>
        <w:rPr>
          <w:rFonts w:hint="eastAsia" w:ascii="宋体" w:hAnsi="宋体" w:cs="宋体"/>
          <w:color w:val="auto"/>
          <w:lang w:val="en-US" w:eastAsia="zh-CN" w:bidi="ar"/>
        </w:rPr>
      </w:pPr>
      <w:r>
        <w:rPr>
          <w:rFonts w:hint="eastAsia" w:ascii="宋体" w:hAnsi="宋体" w:cs="宋体"/>
          <w:color w:val="auto"/>
          <w:lang w:val="en-US" w:eastAsia="zh-CN" w:bidi="ar"/>
        </w:rPr>
        <w:t>3.政府采购编号：采购计划-【2025】00029号</w:t>
      </w:r>
    </w:p>
    <w:p w14:paraId="1CB93FC9">
      <w:pPr>
        <w:autoSpaceDE w:val="0"/>
        <w:autoSpaceDN w:val="0"/>
        <w:adjustRightInd w:val="0"/>
        <w:spacing w:line="420" w:lineRule="exact"/>
        <w:ind w:right="97" w:rightChars="46" w:firstLine="420" w:firstLineChars="200"/>
        <w:jc w:val="left"/>
        <w:rPr>
          <w:rFonts w:hint="eastAsia" w:ascii="宋体" w:hAnsi="宋体" w:cs="宋体"/>
          <w:color w:val="auto"/>
          <w:sz w:val="21"/>
          <w:szCs w:val="21"/>
          <w:lang w:val="en-US" w:eastAsia="zh-CN" w:bidi="ar"/>
        </w:rPr>
      </w:pPr>
      <w:r>
        <w:rPr>
          <w:rFonts w:hint="eastAsia" w:ascii="宋体" w:hAnsi="宋体" w:cs="宋体"/>
          <w:color w:val="auto"/>
          <w:sz w:val="21"/>
          <w:szCs w:val="21"/>
          <w:lang w:val="en-US" w:eastAsia="zh-CN" w:bidi="ar"/>
        </w:rPr>
        <w:t>4.采购方式：竞争性磋商</w:t>
      </w:r>
    </w:p>
    <w:p w14:paraId="130AE246">
      <w:pPr>
        <w:autoSpaceDE w:val="0"/>
        <w:autoSpaceDN w:val="0"/>
        <w:adjustRightInd w:val="0"/>
        <w:spacing w:line="420" w:lineRule="exact"/>
        <w:ind w:right="97" w:rightChars="46" w:firstLine="420" w:firstLineChars="200"/>
        <w:jc w:val="left"/>
        <w:rPr>
          <w:rFonts w:hint="default" w:ascii="宋体" w:hAnsi="宋体" w:cs="宋体"/>
          <w:color w:val="auto"/>
          <w:sz w:val="21"/>
          <w:szCs w:val="21"/>
          <w:lang w:val="en-US" w:eastAsia="zh-CN" w:bidi="ar"/>
        </w:rPr>
      </w:pPr>
      <w:r>
        <w:rPr>
          <w:rFonts w:hint="eastAsia" w:ascii="宋体" w:hAnsi="宋体" w:cs="宋体"/>
          <w:color w:val="auto"/>
          <w:sz w:val="21"/>
          <w:szCs w:val="21"/>
          <w:lang w:val="en-US" w:eastAsia="zh-CN" w:bidi="ar"/>
        </w:rPr>
        <w:t>5.预算金额：50.145万元</w:t>
      </w:r>
    </w:p>
    <w:p w14:paraId="241A6CC5">
      <w:pPr>
        <w:spacing w:line="360" w:lineRule="auto"/>
        <w:ind w:firstLine="420" w:firstLineChars="200"/>
        <w:rPr>
          <w:rFonts w:hint="eastAsia" w:ascii="宋体" w:hAnsi="宋体" w:cs="宋体"/>
          <w:color w:val="auto"/>
          <w:sz w:val="21"/>
          <w:szCs w:val="21"/>
          <w:lang w:bidi="ar"/>
        </w:rPr>
      </w:pPr>
      <w:r>
        <w:rPr>
          <w:rFonts w:hint="eastAsia" w:ascii="宋体" w:hAnsi="宋体" w:cs="宋体"/>
          <w:color w:val="auto"/>
          <w:sz w:val="21"/>
          <w:szCs w:val="21"/>
          <w:lang w:val="en-US" w:eastAsia="zh-CN" w:bidi="ar"/>
        </w:rPr>
        <w:t>6</w:t>
      </w:r>
      <w:r>
        <w:rPr>
          <w:rFonts w:hint="eastAsia" w:ascii="宋体" w:hAnsi="宋体" w:cs="宋体"/>
          <w:color w:val="auto"/>
          <w:sz w:val="21"/>
          <w:szCs w:val="21"/>
          <w:lang w:bidi="ar"/>
        </w:rPr>
        <w:t>.采购需求：</w:t>
      </w:r>
      <w:r>
        <w:rPr>
          <w:rFonts w:hint="eastAsia" w:ascii="宋体" w:hAnsi="宋体" w:cs="宋体"/>
          <w:color w:val="auto"/>
          <w:sz w:val="21"/>
          <w:szCs w:val="21"/>
          <w:lang w:eastAsia="zh-CN" w:bidi="ar"/>
        </w:rPr>
        <w:t>在2023年度国土变更调查成果基础上，结合2024年各类监测监管成果，开展全覆盖遥感监测工作，通过县级实地调查、逐级地类核查和全面检查，掌握2024年度国土利用变化情况，更新各级国土调查数据库，保持年度国土变更调查成果的现势性和准确性，加强日常变更调查工作</w:t>
      </w:r>
      <w:r>
        <w:rPr>
          <w:rFonts w:hint="eastAsia" w:ascii="宋体" w:hAnsi="宋体" w:cs="宋体"/>
          <w:color w:val="auto"/>
          <w:sz w:val="21"/>
          <w:szCs w:val="21"/>
          <w:lang w:bidi="ar"/>
        </w:rPr>
        <w:t>。</w:t>
      </w:r>
    </w:p>
    <w:p w14:paraId="70848686">
      <w:pPr>
        <w:autoSpaceDE w:val="0"/>
        <w:autoSpaceDN w:val="0"/>
        <w:adjustRightInd w:val="0"/>
        <w:spacing w:line="420" w:lineRule="exact"/>
        <w:ind w:right="97" w:rightChars="46" w:firstLine="420" w:firstLineChars="200"/>
        <w:jc w:val="left"/>
        <w:rPr>
          <w:rFonts w:hint="eastAsia" w:ascii="宋体" w:hAnsi="宋体" w:cs="宋体"/>
          <w:color w:val="auto"/>
          <w:sz w:val="21"/>
          <w:szCs w:val="21"/>
          <w:lang w:bidi="ar"/>
        </w:rPr>
      </w:pPr>
      <w:r>
        <w:rPr>
          <w:rFonts w:hint="eastAsia" w:ascii="宋体" w:hAnsi="宋体" w:cs="宋体"/>
          <w:color w:val="auto"/>
          <w:sz w:val="21"/>
          <w:szCs w:val="21"/>
          <w:lang w:val="en-US" w:eastAsia="zh-CN" w:bidi="ar"/>
        </w:rPr>
        <w:t>7</w:t>
      </w:r>
      <w:r>
        <w:rPr>
          <w:rFonts w:hint="eastAsia" w:ascii="宋体" w:hAnsi="宋体" w:cs="宋体"/>
          <w:color w:val="auto"/>
          <w:sz w:val="21"/>
          <w:szCs w:val="21"/>
          <w:lang w:bidi="ar"/>
        </w:rPr>
        <w:t>.</w:t>
      </w:r>
      <w:r>
        <w:rPr>
          <w:rFonts w:hint="eastAsia" w:ascii="宋体" w:hAnsi="宋体" w:cs="宋体"/>
          <w:color w:val="auto"/>
          <w:sz w:val="21"/>
          <w:szCs w:val="21"/>
          <w:lang w:val="en-US" w:eastAsia="zh-CN" w:bidi="ar"/>
        </w:rPr>
        <w:t>服务期限</w:t>
      </w:r>
      <w:r>
        <w:rPr>
          <w:rFonts w:hint="eastAsia" w:ascii="宋体" w:hAnsi="宋体" w:cs="宋体"/>
          <w:color w:val="auto"/>
          <w:sz w:val="21"/>
          <w:szCs w:val="21"/>
          <w:lang w:bidi="ar"/>
        </w:rPr>
        <w:t>：</w:t>
      </w:r>
      <w:r>
        <w:rPr>
          <w:rFonts w:hint="eastAsia" w:ascii="宋体" w:hAnsi="宋体" w:eastAsia="宋体" w:cs="宋体"/>
          <w:i w:val="0"/>
          <w:iCs w:val="0"/>
          <w:caps w:val="0"/>
          <w:color w:val="auto"/>
          <w:spacing w:val="0"/>
          <w:sz w:val="21"/>
          <w:szCs w:val="21"/>
          <w:shd w:val="clear" w:color="auto" w:fill="FFFFFF"/>
          <w:lang w:eastAsia="zh-CN"/>
        </w:rPr>
        <w:t>自合同签订之日起至通过国家级核查</w:t>
      </w:r>
      <w:r>
        <w:rPr>
          <w:rFonts w:hint="eastAsia" w:ascii="宋体" w:hAnsi="宋体" w:cs="宋体"/>
          <w:color w:val="auto"/>
          <w:sz w:val="21"/>
          <w:szCs w:val="21"/>
          <w:lang w:bidi="ar"/>
        </w:rPr>
        <w:t>。</w:t>
      </w:r>
    </w:p>
    <w:p w14:paraId="30997A93">
      <w:pPr>
        <w:autoSpaceDE w:val="0"/>
        <w:autoSpaceDN w:val="0"/>
        <w:adjustRightInd w:val="0"/>
        <w:spacing w:line="420" w:lineRule="exact"/>
        <w:ind w:right="97" w:rightChars="46" w:firstLine="420" w:firstLineChars="200"/>
        <w:jc w:val="left"/>
        <w:rPr>
          <w:rFonts w:ascii="宋体" w:hAnsi="宋体" w:cs="宋体"/>
          <w:color w:val="auto"/>
          <w:sz w:val="21"/>
          <w:szCs w:val="21"/>
          <w:lang w:bidi="ar"/>
        </w:rPr>
      </w:pPr>
      <w:r>
        <w:rPr>
          <w:rFonts w:hint="eastAsia" w:ascii="宋体" w:hAnsi="宋体" w:cs="宋体"/>
          <w:color w:val="auto"/>
          <w:sz w:val="21"/>
          <w:szCs w:val="21"/>
          <w:lang w:val="en-US" w:eastAsia="zh-CN" w:bidi="ar"/>
        </w:rPr>
        <w:t>8</w:t>
      </w:r>
      <w:r>
        <w:rPr>
          <w:rFonts w:hint="eastAsia" w:ascii="宋体" w:hAnsi="宋体" w:cs="宋体"/>
          <w:color w:val="auto"/>
          <w:sz w:val="21"/>
          <w:szCs w:val="21"/>
          <w:lang w:bidi="ar"/>
        </w:rPr>
        <w:t>.</w:t>
      </w:r>
      <w:r>
        <w:rPr>
          <w:rFonts w:hint="eastAsia" w:ascii="宋体" w:hAnsi="宋体" w:eastAsia="宋体" w:cs="宋体"/>
          <w:color w:val="auto"/>
          <w:kern w:val="0"/>
          <w:sz w:val="21"/>
          <w:szCs w:val="21"/>
          <w:highlight w:val="none"/>
          <w:lang w:val="en-US" w:eastAsia="zh-CN" w:bidi="ar-SA"/>
        </w:rPr>
        <w:t>工作质量标准</w:t>
      </w:r>
      <w:r>
        <w:rPr>
          <w:rFonts w:hint="eastAsia" w:ascii="宋体" w:hAnsi="宋体" w:cs="宋体"/>
          <w:color w:val="auto"/>
          <w:sz w:val="21"/>
          <w:szCs w:val="21"/>
          <w:lang w:bidi="ar"/>
        </w:rPr>
        <w:t>：</w:t>
      </w:r>
      <w:r>
        <w:rPr>
          <w:rFonts w:hint="eastAsia" w:ascii="宋体" w:hAnsi="宋体" w:eastAsia="宋体" w:cs="宋体"/>
          <w:i w:val="0"/>
          <w:iCs w:val="0"/>
          <w:caps w:val="0"/>
          <w:color w:val="auto"/>
          <w:spacing w:val="0"/>
          <w:sz w:val="21"/>
          <w:szCs w:val="21"/>
          <w:shd w:val="clear" w:color="auto" w:fill="FFFFFF"/>
          <w:lang w:eastAsia="zh-CN"/>
        </w:rPr>
        <w:t>符合国家及行业相关规定</w:t>
      </w:r>
      <w:r>
        <w:rPr>
          <w:rFonts w:hint="eastAsia" w:ascii="宋体" w:hAnsi="宋体" w:cs="宋体"/>
          <w:color w:val="auto"/>
          <w:sz w:val="21"/>
          <w:szCs w:val="21"/>
          <w:lang w:bidi="ar"/>
        </w:rPr>
        <w:t>。</w:t>
      </w:r>
    </w:p>
    <w:p w14:paraId="171686FF">
      <w:pPr>
        <w:autoSpaceDE w:val="0"/>
        <w:autoSpaceDN w:val="0"/>
        <w:adjustRightInd w:val="0"/>
        <w:spacing w:line="420" w:lineRule="exact"/>
        <w:ind w:right="97" w:rightChars="46" w:firstLine="420" w:firstLineChars="200"/>
        <w:jc w:val="left"/>
        <w:rPr>
          <w:rFonts w:hint="eastAsia" w:ascii="宋体" w:hAnsi="宋体" w:cs="宋体"/>
          <w:color w:val="auto"/>
          <w:sz w:val="21"/>
          <w:szCs w:val="21"/>
          <w:lang w:bidi="ar"/>
        </w:rPr>
      </w:pPr>
      <w:r>
        <w:rPr>
          <w:rFonts w:hint="eastAsia" w:ascii="宋体" w:hAnsi="宋体" w:cs="宋体"/>
          <w:color w:val="auto"/>
          <w:sz w:val="21"/>
          <w:szCs w:val="21"/>
          <w:lang w:val="en-US" w:eastAsia="zh-CN" w:bidi="ar"/>
        </w:rPr>
        <w:t>9</w:t>
      </w:r>
      <w:r>
        <w:rPr>
          <w:rFonts w:hint="eastAsia" w:ascii="宋体" w:hAnsi="宋体" w:cs="宋体"/>
          <w:color w:val="auto"/>
          <w:sz w:val="21"/>
          <w:szCs w:val="21"/>
          <w:lang w:bidi="ar"/>
        </w:rPr>
        <w:t>.本项目不接受联合体。</w:t>
      </w:r>
    </w:p>
    <w:p w14:paraId="7AA87AAD">
      <w:pPr>
        <w:autoSpaceDE w:val="0"/>
        <w:autoSpaceDN w:val="0"/>
        <w:adjustRightInd w:val="0"/>
        <w:spacing w:line="420" w:lineRule="exact"/>
        <w:ind w:left="856" w:right="420" w:rightChars="200" w:hanging="856"/>
        <w:jc w:val="left"/>
        <w:rPr>
          <w:rFonts w:hint="eastAsia" w:ascii="宋体" w:hAnsi="宋体" w:cs="宋体"/>
          <w:b/>
          <w:color w:val="auto"/>
          <w:sz w:val="21"/>
          <w:szCs w:val="21"/>
        </w:rPr>
      </w:pPr>
      <w:r>
        <w:rPr>
          <w:rFonts w:hint="eastAsia" w:ascii="宋体" w:hAnsi="宋体" w:cs="宋体"/>
          <w:b/>
          <w:bCs/>
          <w:color w:val="auto"/>
          <w:sz w:val="21"/>
          <w:szCs w:val="21"/>
          <w:lang w:val="zh-CN"/>
        </w:rPr>
        <w:t>二、供应商的资格条件：</w:t>
      </w:r>
    </w:p>
    <w:p w14:paraId="65C7A26C">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1.满足《中华人民共和国政府采购法》第二十二条规定；</w:t>
      </w:r>
    </w:p>
    <w:p w14:paraId="66702B76">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val="zh-CN" w:bidi="ar"/>
        </w:rPr>
      </w:pPr>
      <w:r>
        <w:rPr>
          <w:rFonts w:hint="eastAsia" w:ascii="宋体" w:hAnsi="宋体" w:cs="宋体"/>
          <w:color w:val="auto"/>
          <w:sz w:val="21"/>
          <w:szCs w:val="21"/>
          <w:lang w:val="zh-CN" w:bidi="ar"/>
        </w:rPr>
        <w:t>2.落实政府采购政策需满足的资格要求：</w:t>
      </w:r>
      <w:r>
        <w:rPr>
          <w:rFonts w:hint="eastAsia" w:ascii="宋体" w:hAnsi="宋体" w:cs="宋体"/>
          <w:color w:val="auto"/>
          <w:sz w:val="21"/>
          <w:szCs w:val="21"/>
          <w:lang w:val="zh-CN"/>
        </w:rPr>
        <w:t>本项目专门面向中小企业；</w:t>
      </w:r>
    </w:p>
    <w:p w14:paraId="2ACE351A">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val="zh-CN" w:bidi="ar"/>
        </w:rPr>
        <w:t>（1）</w:t>
      </w:r>
      <w:r>
        <w:rPr>
          <w:rFonts w:hint="eastAsia" w:ascii="宋体" w:hAnsi="宋体" w:cs="宋体"/>
          <w:color w:val="auto"/>
          <w:sz w:val="21"/>
          <w:szCs w:val="21"/>
          <w:lang w:bidi="ar"/>
        </w:rPr>
        <w:t>《政府采购促进中小企业发展管理办法》(财库[2020]46号)；</w:t>
      </w:r>
    </w:p>
    <w:p w14:paraId="630A5B0F">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val="zh-CN" w:bidi="ar"/>
        </w:rPr>
        <w:t>（</w:t>
      </w:r>
      <w:r>
        <w:rPr>
          <w:rFonts w:hint="eastAsia" w:ascii="宋体" w:hAnsi="宋体" w:cs="宋体"/>
          <w:color w:val="auto"/>
          <w:sz w:val="21"/>
          <w:szCs w:val="21"/>
          <w:lang w:bidi="ar"/>
        </w:rPr>
        <w:t>2</w:t>
      </w:r>
      <w:r>
        <w:rPr>
          <w:rFonts w:hint="eastAsia" w:ascii="宋体" w:hAnsi="宋体" w:cs="宋体"/>
          <w:color w:val="auto"/>
          <w:sz w:val="21"/>
          <w:szCs w:val="21"/>
          <w:lang w:val="zh-CN" w:bidi="ar"/>
        </w:rPr>
        <w:t>）</w:t>
      </w:r>
      <w:r>
        <w:rPr>
          <w:rFonts w:hint="eastAsia" w:ascii="宋体" w:hAnsi="宋体" w:cs="宋体"/>
          <w:color w:val="auto"/>
          <w:sz w:val="21"/>
          <w:szCs w:val="21"/>
          <w:lang w:bidi="ar"/>
        </w:rPr>
        <w:t>《关于政府采购支持监狱企业发展有关问题的通知》(财库[2014]68号)；</w:t>
      </w:r>
    </w:p>
    <w:p w14:paraId="5908FF15">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val="zh-CN" w:bidi="ar"/>
        </w:rPr>
        <w:t>（</w:t>
      </w:r>
      <w:r>
        <w:rPr>
          <w:rFonts w:hint="eastAsia" w:ascii="宋体" w:hAnsi="宋体" w:cs="宋体"/>
          <w:color w:val="auto"/>
          <w:sz w:val="21"/>
          <w:szCs w:val="21"/>
          <w:lang w:bidi="ar"/>
        </w:rPr>
        <w:t>3</w:t>
      </w:r>
      <w:r>
        <w:rPr>
          <w:rFonts w:hint="eastAsia" w:ascii="宋体" w:hAnsi="宋体" w:cs="宋体"/>
          <w:color w:val="auto"/>
          <w:sz w:val="21"/>
          <w:szCs w:val="21"/>
          <w:lang w:val="zh-CN" w:bidi="ar"/>
        </w:rPr>
        <w:t>）</w:t>
      </w:r>
      <w:r>
        <w:rPr>
          <w:rFonts w:hint="eastAsia" w:ascii="宋体" w:hAnsi="宋体" w:cs="宋体"/>
          <w:color w:val="auto"/>
          <w:sz w:val="21"/>
          <w:szCs w:val="21"/>
          <w:lang w:bidi="ar"/>
        </w:rPr>
        <w:t>《关于促进残疾人就业政府采购政策的通知》(财库[2017]141号)；</w:t>
      </w:r>
    </w:p>
    <w:p w14:paraId="69B321BA">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3.本项目的特定资格要求：</w:t>
      </w:r>
    </w:p>
    <w:p w14:paraId="5269CD0A">
      <w:pPr>
        <w:autoSpaceDE w:val="0"/>
        <w:autoSpaceDN w:val="0"/>
        <w:adjustRightInd w:val="0"/>
        <w:spacing w:line="420" w:lineRule="exact"/>
        <w:ind w:right="97" w:rightChars="46" w:firstLine="420" w:firstLineChars="200"/>
        <w:jc w:val="left"/>
        <w:rPr>
          <w:rFonts w:hint="eastAsia" w:ascii="宋体" w:hAnsi="宋体" w:eastAsia="宋体" w:cs="宋体"/>
          <w:color w:val="auto"/>
          <w:sz w:val="21"/>
          <w:szCs w:val="21"/>
          <w:lang w:val="zh-CN" w:bidi="ar"/>
        </w:rPr>
      </w:pPr>
      <w:r>
        <w:rPr>
          <w:rFonts w:hint="eastAsia" w:ascii="宋体" w:hAnsi="宋体" w:cs="宋体"/>
          <w:color w:val="auto"/>
          <w:sz w:val="21"/>
          <w:szCs w:val="21"/>
          <w:lang w:val="zh-CN" w:bidi="ar"/>
        </w:rPr>
        <w:t>（1）</w:t>
      </w:r>
      <w:r>
        <w:rPr>
          <w:rFonts w:hint="eastAsia" w:ascii="宋体" w:hAnsi="宋体" w:eastAsia="宋体" w:cs="宋体"/>
          <w:i w:val="0"/>
          <w:iCs w:val="0"/>
          <w:caps w:val="0"/>
          <w:color w:val="auto"/>
          <w:spacing w:val="0"/>
          <w:sz w:val="21"/>
          <w:szCs w:val="21"/>
        </w:rPr>
        <w:t>投标人申请人须在中华人民共和国境内注册，持有效营业执照或事业单位法人证书，具有独立企业法人资格，</w:t>
      </w:r>
      <w:r>
        <w:rPr>
          <w:rFonts w:hint="eastAsia" w:ascii="宋体" w:hAnsi="宋体" w:eastAsia="宋体" w:cs="宋体"/>
          <w:i w:val="0"/>
          <w:iCs w:val="0"/>
          <w:caps w:val="0"/>
          <w:color w:val="auto"/>
          <w:spacing w:val="0"/>
          <w:sz w:val="21"/>
          <w:szCs w:val="21"/>
          <w:shd w:val="clear" w:color="auto" w:fill="FFFFFF"/>
        </w:rPr>
        <w:t>具有</w:t>
      </w:r>
      <w:r>
        <w:rPr>
          <w:rFonts w:hint="eastAsia" w:ascii="宋体" w:hAnsi="宋体" w:eastAsia="宋体" w:cs="宋体"/>
          <w:color w:val="auto"/>
          <w:kern w:val="0"/>
          <w:sz w:val="21"/>
          <w:szCs w:val="21"/>
          <w:highlight w:val="none"/>
          <w:lang w:val="en-US" w:eastAsia="zh-CN" w:bidi="ar-SA"/>
        </w:rPr>
        <w:t>测绘乙级及以上资质，并在人员、设备、资金等方面具有相应的实施能力</w:t>
      </w:r>
      <w:r>
        <w:rPr>
          <w:rFonts w:hint="eastAsia" w:ascii="宋体" w:hAnsi="宋体" w:eastAsia="宋体" w:cs="宋体"/>
          <w:color w:val="auto"/>
          <w:sz w:val="21"/>
          <w:szCs w:val="21"/>
          <w:lang w:val="zh-CN" w:bidi="ar"/>
        </w:rPr>
        <w:t>。</w:t>
      </w:r>
    </w:p>
    <w:p w14:paraId="0AF791D7">
      <w:pPr>
        <w:autoSpaceDE w:val="0"/>
        <w:autoSpaceDN w:val="0"/>
        <w:adjustRightInd w:val="0"/>
        <w:spacing w:line="420" w:lineRule="exact"/>
        <w:ind w:right="97" w:rightChars="46" w:firstLine="420" w:firstLineChars="200"/>
        <w:jc w:val="left"/>
        <w:rPr>
          <w:rFonts w:hint="eastAsia" w:ascii="宋体" w:hAnsi="宋体" w:eastAsia="宋体" w:cs="宋体"/>
          <w:color w:val="auto"/>
          <w:sz w:val="21"/>
          <w:szCs w:val="21"/>
          <w:lang w:val="zh-CN" w:eastAsia="zh-CN" w:bidi="ar"/>
        </w:rPr>
      </w:pP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2</w:t>
      </w:r>
      <w:r>
        <w:rPr>
          <w:rFonts w:hint="eastAsia" w:ascii="宋体" w:hAnsi="宋体" w:eastAsia="宋体" w:cs="宋体"/>
          <w:color w:val="auto"/>
          <w:sz w:val="21"/>
          <w:szCs w:val="21"/>
          <w:lang w:val="zh-CN" w:bidi="ar"/>
        </w:rPr>
        <w:t>）</w:t>
      </w:r>
      <w:r>
        <w:rPr>
          <w:rFonts w:hint="eastAsia" w:ascii="宋体" w:hAnsi="宋体" w:eastAsia="宋体" w:cs="宋体"/>
          <w:color w:val="auto"/>
          <w:kern w:val="0"/>
          <w:sz w:val="21"/>
          <w:szCs w:val="21"/>
        </w:rPr>
        <w:t>项目负责人须具有</w:t>
      </w:r>
      <w:r>
        <w:rPr>
          <w:rFonts w:hint="eastAsia" w:ascii="宋体" w:hAnsi="宋体" w:eastAsia="宋体" w:cs="宋体"/>
          <w:color w:val="auto"/>
          <w:kern w:val="0"/>
          <w:sz w:val="21"/>
          <w:szCs w:val="21"/>
          <w:lang w:val="en-US" w:eastAsia="zh-CN"/>
        </w:rPr>
        <w:t>测绘</w:t>
      </w:r>
      <w:r>
        <w:rPr>
          <w:rFonts w:hint="eastAsia" w:ascii="宋体" w:hAnsi="宋体" w:eastAsia="宋体" w:cs="宋体"/>
          <w:color w:val="auto"/>
          <w:kern w:val="0"/>
          <w:sz w:val="21"/>
          <w:szCs w:val="21"/>
        </w:rPr>
        <w:t>相关专业</w:t>
      </w:r>
      <w:r>
        <w:rPr>
          <w:rFonts w:hint="eastAsia" w:ascii="宋体" w:hAnsi="宋体" w:eastAsia="宋体" w:cs="宋体"/>
          <w:color w:val="auto"/>
          <w:kern w:val="0"/>
          <w:sz w:val="21"/>
          <w:szCs w:val="21"/>
          <w:lang w:val="en-US" w:eastAsia="zh-CN"/>
        </w:rPr>
        <w:t>中</w:t>
      </w:r>
      <w:r>
        <w:rPr>
          <w:rFonts w:hint="eastAsia" w:ascii="宋体" w:hAnsi="宋体" w:eastAsia="宋体" w:cs="宋体"/>
          <w:color w:val="auto"/>
          <w:kern w:val="0"/>
          <w:sz w:val="21"/>
          <w:szCs w:val="21"/>
        </w:rPr>
        <w:t>级</w:t>
      </w:r>
      <w:r>
        <w:rPr>
          <w:rFonts w:hint="eastAsia" w:ascii="宋体" w:hAnsi="宋体" w:eastAsia="宋体" w:cs="宋体"/>
          <w:color w:val="auto"/>
          <w:kern w:val="0"/>
          <w:sz w:val="21"/>
          <w:szCs w:val="21"/>
          <w:lang w:val="en-US" w:eastAsia="zh-CN"/>
        </w:rPr>
        <w:t>及以上</w:t>
      </w:r>
      <w:r>
        <w:rPr>
          <w:rFonts w:hint="eastAsia" w:ascii="宋体" w:hAnsi="宋体" w:eastAsia="宋体" w:cs="宋体"/>
          <w:color w:val="auto"/>
          <w:kern w:val="0"/>
          <w:sz w:val="21"/>
          <w:szCs w:val="21"/>
        </w:rPr>
        <w:t>资格</w:t>
      </w:r>
      <w:r>
        <w:rPr>
          <w:rFonts w:hint="eastAsia" w:ascii="宋体" w:hAnsi="宋体" w:eastAsia="宋体" w:cs="宋体"/>
          <w:color w:val="auto"/>
          <w:kern w:val="0"/>
          <w:sz w:val="21"/>
          <w:szCs w:val="21"/>
          <w:lang w:eastAsia="zh-CN"/>
        </w:rPr>
        <w:t>。</w:t>
      </w:r>
    </w:p>
    <w:p w14:paraId="4107FA26">
      <w:pPr>
        <w:autoSpaceDE w:val="0"/>
        <w:autoSpaceDN w:val="0"/>
        <w:adjustRightInd w:val="0"/>
        <w:spacing w:line="420" w:lineRule="exact"/>
        <w:ind w:right="97" w:rightChars="46" w:firstLine="420" w:firstLineChars="200"/>
        <w:jc w:val="left"/>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w:t>
      </w:r>
      <w:r>
        <w:rPr>
          <w:rFonts w:hint="eastAsia" w:ascii="宋体" w:hAnsi="宋体" w:eastAsia="宋体" w:cs="宋体"/>
          <w:color w:val="auto"/>
          <w:sz w:val="21"/>
          <w:szCs w:val="21"/>
          <w:lang w:val="en-US" w:eastAsia="zh-CN" w:bidi="ar"/>
        </w:rPr>
        <w:t>3</w:t>
      </w:r>
      <w:r>
        <w:rPr>
          <w:rFonts w:hint="eastAsia" w:ascii="宋体" w:hAnsi="宋体" w:eastAsia="宋体" w:cs="宋体"/>
          <w:color w:val="auto"/>
          <w:sz w:val="21"/>
          <w:szCs w:val="21"/>
          <w:lang w:bidi="ar"/>
        </w:rPr>
        <w:t>）</w:t>
      </w:r>
      <w:r>
        <w:rPr>
          <w:rFonts w:hint="eastAsia" w:ascii="宋体" w:hAnsi="宋体" w:eastAsia="宋体" w:cs="宋体"/>
          <w:i w:val="0"/>
          <w:iCs w:val="0"/>
          <w:caps w:val="0"/>
          <w:color w:val="auto"/>
          <w:spacing w:val="0"/>
          <w:sz w:val="21"/>
          <w:szCs w:val="21"/>
          <w:shd w:val="clear" w:color="auto" w:fill="FFFFFF"/>
          <w:lang w:eastAsia="zh-CN"/>
        </w:rPr>
        <w:t>具有2023年度的财务审计报告（新成立不足一年的企业须提供自成立之日起至今企业财务状况良好的承诺书。）</w:t>
      </w:r>
      <w:r>
        <w:rPr>
          <w:rFonts w:hint="eastAsia" w:ascii="宋体" w:hAnsi="宋体" w:eastAsia="宋体" w:cs="宋体"/>
          <w:color w:val="auto"/>
          <w:sz w:val="21"/>
          <w:szCs w:val="21"/>
          <w:lang w:bidi="ar"/>
        </w:rPr>
        <w:t>。</w:t>
      </w:r>
    </w:p>
    <w:p w14:paraId="2A9EF8D1">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投标人须提供（202</w:t>
      </w: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rPr>
        <w:t>年</w:t>
      </w:r>
      <w:r>
        <w:rPr>
          <w:rFonts w:hint="eastAsia" w:ascii="宋体" w:hAnsi="宋体" w:eastAsia="宋体" w:cs="宋体"/>
          <w:i w:val="0"/>
          <w:iCs w:val="0"/>
          <w:caps w:val="0"/>
          <w:color w:val="auto"/>
          <w:spacing w:val="0"/>
          <w:sz w:val="21"/>
          <w:szCs w:val="21"/>
          <w:shd w:val="clear" w:color="auto" w:fill="FFFFFF"/>
          <w:lang w:val="en-US" w:eastAsia="zh-CN"/>
        </w:rPr>
        <w:t>1</w:t>
      </w:r>
      <w:r>
        <w:rPr>
          <w:rFonts w:hint="eastAsia" w:ascii="宋体" w:hAnsi="宋体" w:eastAsia="宋体" w:cs="宋体"/>
          <w:i w:val="0"/>
          <w:iCs w:val="0"/>
          <w:caps w:val="0"/>
          <w:color w:val="auto"/>
          <w:spacing w:val="0"/>
          <w:sz w:val="21"/>
          <w:szCs w:val="21"/>
          <w:shd w:val="clear" w:color="auto" w:fill="FFFFFF"/>
        </w:rPr>
        <w:t>月至今）任意一个月依法缴纳税收和依法缴纳社会保障资金的良好记录证明材料（依法免税的需提供免税证明文件）；</w:t>
      </w:r>
    </w:p>
    <w:p w14:paraId="74CF64B9">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5</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投标单位和个人（指法定代表人）未在“中国裁判文书（wenshu.court.gov.cn）上有行贿犯罪行为；</w:t>
      </w:r>
    </w:p>
    <w:p w14:paraId="245E358D">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6</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投标人未被列入“失信被执行人、重大税收违法案件当事人”的记录名单（通过“信用中国”网站www.creditchina.gov.cn查询）；</w:t>
      </w:r>
    </w:p>
    <w:p w14:paraId="103C70A5">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7</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投标人未被列入“政府采购严重违法失信行为记录名单”（通过“中国政府采购网”www.ccgp.gov.cn查询）；</w:t>
      </w:r>
    </w:p>
    <w:p w14:paraId="69A2B4FB">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8</w:t>
      </w:r>
      <w:r>
        <w:rPr>
          <w:rFonts w:hint="eastAsia" w:ascii="宋体" w:hAnsi="宋体" w:eastAsia="宋体" w:cs="宋体"/>
          <w:i w:val="0"/>
          <w:iCs w:val="0"/>
          <w:caps w:val="0"/>
          <w:color w:val="auto"/>
          <w:spacing w:val="0"/>
          <w:sz w:val="21"/>
          <w:szCs w:val="21"/>
          <w:shd w:val="clear" w:color="auto" w:fill="FFFFFF"/>
          <w:lang w:eastAsia="zh-CN"/>
        </w:rPr>
        <w:t>）与采购人存在利害关系可能影响采购公正性的法人、其他组织或者个人，不得参加磋商。具有投资参股关系的关联企业，或者有直接管理或被管理关系的母子公司，或者同一母公司的子公司，或法定代表人为同一人的两个及两个以上法人不得同时对同一标段投标，否则均按废标处理</w:t>
      </w:r>
      <w:r>
        <w:rPr>
          <w:rFonts w:hint="eastAsia" w:ascii="宋体" w:hAnsi="宋体" w:eastAsia="宋体" w:cs="宋体"/>
          <w:i w:val="0"/>
          <w:iCs w:val="0"/>
          <w:caps w:val="0"/>
          <w:color w:val="auto"/>
          <w:spacing w:val="0"/>
          <w:sz w:val="21"/>
          <w:szCs w:val="21"/>
          <w:shd w:val="clear" w:color="auto" w:fill="FFFFFF"/>
        </w:rPr>
        <w:t>。</w:t>
      </w:r>
    </w:p>
    <w:p w14:paraId="1D32D254">
      <w:pPr>
        <w:autoSpaceDE w:val="0"/>
        <w:autoSpaceDN w:val="0"/>
        <w:adjustRightInd w:val="0"/>
        <w:spacing w:line="420" w:lineRule="exact"/>
        <w:ind w:right="97" w:rightChars="46" w:firstLine="420" w:firstLineChars="200"/>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9</w:t>
      </w:r>
      <w:r>
        <w:rPr>
          <w:rFonts w:hint="eastAsia" w:ascii="宋体" w:hAnsi="宋体" w:eastAsia="宋体" w:cs="宋体"/>
          <w:color w:val="auto"/>
          <w:sz w:val="21"/>
          <w:szCs w:val="21"/>
          <w:lang w:val="zh-CN" w:bidi="ar"/>
        </w:rPr>
        <w:t>）拒绝列入政府取消投标资格记录期间的企业或个人参加本次</w:t>
      </w:r>
      <w:r>
        <w:rPr>
          <w:rFonts w:hint="eastAsia" w:ascii="宋体" w:hAnsi="宋体" w:eastAsia="宋体" w:cs="宋体"/>
          <w:color w:val="auto"/>
          <w:sz w:val="21"/>
          <w:szCs w:val="21"/>
          <w:lang w:val="en-US" w:eastAsia="zh-CN" w:bidi="ar"/>
        </w:rPr>
        <w:t>投标</w:t>
      </w:r>
      <w:r>
        <w:rPr>
          <w:rFonts w:hint="eastAsia" w:ascii="宋体" w:hAnsi="宋体" w:eastAsia="宋体" w:cs="宋体"/>
          <w:color w:val="auto"/>
          <w:sz w:val="21"/>
          <w:szCs w:val="21"/>
          <w:lang w:val="zh-CN" w:bidi="ar"/>
        </w:rPr>
        <w:t>活动。</w:t>
      </w:r>
    </w:p>
    <w:p w14:paraId="4D9AF987">
      <w:pPr>
        <w:autoSpaceDE w:val="0"/>
        <w:autoSpaceDN w:val="0"/>
        <w:adjustRightInd w:val="0"/>
        <w:spacing w:line="420" w:lineRule="exact"/>
        <w:ind w:right="97" w:rightChars="46"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lang w:val="zh-CN"/>
        </w:rPr>
        <w:t>（</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lang w:val="zh-CN"/>
        </w:rPr>
        <w:t>）法律、行政法规规定的其他条件。</w:t>
      </w:r>
    </w:p>
    <w:p w14:paraId="115493BD">
      <w:pPr>
        <w:autoSpaceDE w:val="0"/>
        <w:autoSpaceDN w:val="0"/>
        <w:adjustRightInd w:val="0"/>
        <w:spacing w:line="420" w:lineRule="exact"/>
        <w:ind w:left="856" w:right="420" w:rightChars="200" w:hanging="856"/>
        <w:jc w:val="left"/>
        <w:rPr>
          <w:rFonts w:hint="eastAsia" w:ascii="宋体" w:hAnsi="宋体" w:eastAsia="宋体" w:cs="宋体"/>
          <w:b/>
          <w:color w:val="auto"/>
          <w:sz w:val="21"/>
          <w:szCs w:val="21"/>
        </w:rPr>
      </w:pPr>
      <w:r>
        <w:rPr>
          <w:rFonts w:hint="eastAsia" w:ascii="宋体" w:hAnsi="宋体" w:eastAsia="宋体" w:cs="宋体"/>
          <w:b/>
          <w:color w:val="auto"/>
          <w:sz w:val="21"/>
          <w:szCs w:val="21"/>
          <w:lang w:bidi="ar"/>
        </w:rPr>
        <w:t>三、获取</w:t>
      </w:r>
      <w:r>
        <w:rPr>
          <w:rFonts w:hint="eastAsia" w:ascii="宋体" w:hAnsi="宋体" w:eastAsia="宋体" w:cs="宋体"/>
          <w:b/>
          <w:color w:val="auto"/>
          <w:sz w:val="21"/>
          <w:szCs w:val="21"/>
          <w:lang w:val="en-US" w:eastAsia="zh-CN" w:bidi="ar"/>
        </w:rPr>
        <w:t>竞争性磋商</w:t>
      </w:r>
      <w:r>
        <w:rPr>
          <w:rFonts w:hint="eastAsia" w:ascii="宋体" w:hAnsi="宋体" w:eastAsia="宋体" w:cs="宋体"/>
          <w:b/>
          <w:color w:val="auto"/>
          <w:sz w:val="21"/>
          <w:szCs w:val="21"/>
          <w:lang w:bidi="ar"/>
        </w:rPr>
        <w:t>文件的时间、地点和方式：</w:t>
      </w:r>
    </w:p>
    <w:p w14:paraId="23C967DA">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val="zh-CN" w:bidi="ar"/>
        </w:rPr>
      </w:pPr>
      <w:r>
        <w:rPr>
          <w:rFonts w:hint="eastAsia" w:ascii="宋体" w:hAnsi="宋体" w:cs="宋体"/>
          <w:color w:val="auto"/>
          <w:sz w:val="21"/>
          <w:szCs w:val="21"/>
          <w:lang w:bidi="ar"/>
        </w:rPr>
        <w:t>1.时间：凡有意参加</w:t>
      </w:r>
      <w:r>
        <w:rPr>
          <w:rFonts w:hint="eastAsia" w:ascii="宋体" w:hAnsi="宋体" w:cs="宋体"/>
          <w:color w:val="auto"/>
          <w:sz w:val="21"/>
          <w:szCs w:val="21"/>
          <w:lang w:val="en-US" w:eastAsia="zh-CN" w:bidi="ar"/>
        </w:rPr>
        <w:t>投标</w:t>
      </w:r>
      <w:r>
        <w:rPr>
          <w:rFonts w:hint="eastAsia" w:ascii="宋体" w:hAnsi="宋体" w:cs="宋体"/>
          <w:color w:val="auto"/>
          <w:sz w:val="21"/>
          <w:szCs w:val="21"/>
          <w:lang w:bidi="ar"/>
        </w:rPr>
        <w:t>活动者，请于</w:t>
      </w:r>
      <w:r>
        <w:rPr>
          <w:rFonts w:hint="eastAsia" w:ascii="宋体" w:hAnsi="宋体" w:cs="宋体"/>
          <w:color w:val="auto"/>
          <w:sz w:val="21"/>
          <w:szCs w:val="21"/>
          <w:highlight w:val="none"/>
          <w:lang w:bidi="ar"/>
        </w:rPr>
        <w:t>202</w:t>
      </w:r>
      <w:r>
        <w:rPr>
          <w:rFonts w:hint="eastAsia" w:ascii="宋体" w:hAnsi="宋体" w:cs="宋体"/>
          <w:color w:val="auto"/>
          <w:sz w:val="21"/>
          <w:szCs w:val="21"/>
          <w:highlight w:val="none"/>
          <w:lang w:val="en-US" w:eastAsia="zh-CN" w:bidi="ar"/>
        </w:rPr>
        <w:t>5</w:t>
      </w:r>
      <w:r>
        <w:rPr>
          <w:rFonts w:hint="eastAsia" w:ascii="宋体" w:hAnsi="宋体" w:cs="宋体"/>
          <w:color w:val="auto"/>
          <w:sz w:val="21"/>
          <w:szCs w:val="21"/>
          <w:highlight w:val="none"/>
          <w:lang w:bidi="ar"/>
        </w:rPr>
        <w:t>年</w:t>
      </w:r>
      <w:r>
        <w:rPr>
          <w:rFonts w:hint="eastAsia" w:ascii="宋体" w:hAnsi="宋体" w:cs="宋体"/>
          <w:color w:val="auto"/>
          <w:sz w:val="21"/>
          <w:szCs w:val="21"/>
          <w:highlight w:val="none"/>
          <w:lang w:val="en-US" w:eastAsia="zh-CN" w:bidi="ar"/>
        </w:rPr>
        <w:t>4</w:t>
      </w:r>
      <w:r>
        <w:rPr>
          <w:rFonts w:hint="eastAsia" w:ascii="宋体" w:hAnsi="宋体" w:cs="宋体"/>
          <w:color w:val="auto"/>
          <w:sz w:val="21"/>
          <w:szCs w:val="21"/>
          <w:highlight w:val="none"/>
          <w:lang w:bidi="ar"/>
        </w:rPr>
        <w:t>月</w:t>
      </w:r>
      <w:r>
        <w:rPr>
          <w:rFonts w:hint="eastAsia" w:ascii="宋体" w:hAnsi="宋体" w:cs="宋体"/>
          <w:color w:val="auto"/>
          <w:sz w:val="21"/>
          <w:szCs w:val="21"/>
          <w:highlight w:val="none"/>
          <w:lang w:val="en-US" w:eastAsia="zh-CN" w:bidi="ar"/>
        </w:rPr>
        <w:t>8</w:t>
      </w:r>
      <w:r>
        <w:rPr>
          <w:rFonts w:hint="eastAsia" w:ascii="宋体" w:hAnsi="宋体" w:cs="宋体"/>
          <w:color w:val="auto"/>
          <w:sz w:val="21"/>
          <w:szCs w:val="21"/>
          <w:highlight w:val="none"/>
          <w:lang w:bidi="ar"/>
        </w:rPr>
        <w:t>日至202</w:t>
      </w:r>
      <w:r>
        <w:rPr>
          <w:rFonts w:hint="eastAsia" w:ascii="宋体" w:hAnsi="宋体" w:cs="宋体"/>
          <w:color w:val="auto"/>
          <w:sz w:val="21"/>
          <w:szCs w:val="21"/>
          <w:highlight w:val="none"/>
          <w:lang w:val="en-US" w:eastAsia="zh-CN" w:bidi="ar"/>
        </w:rPr>
        <w:t>5</w:t>
      </w:r>
      <w:r>
        <w:rPr>
          <w:rFonts w:hint="eastAsia" w:ascii="宋体" w:hAnsi="宋体" w:cs="宋体"/>
          <w:color w:val="auto"/>
          <w:sz w:val="21"/>
          <w:szCs w:val="21"/>
          <w:highlight w:val="none"/>
          <w:lang w:bidi="ar"/>
        </w:rPr>
        <w:t>年</w:t>
      </w:r>
      <w:r>
        <w:rPr>
          <w:rFonts w:hint="eastAsia" w:ascii="宋体" w:hAnsi="宋体" w:cs="宋体"/>
          <w:color w:val="auto"/>
          <w:sz w:val="21"/>
          <w:szCs w:val="21"/>
          <w:highlight w:val="none"/>
          <w:lang w:val="en-US" w:eastAsia="zh-CN" w:bidi="ar"/>
        </w:rPr>
        <w:t>4</w:t>
      </w:r>
      <w:r>
        <w:rPr>
          <w:rFonts w:hint="eastAsia" w:ascii="宋体" w:hAnsi="宋体" w:cs="宋体"/>
          <w:color w:val="auto"/>
          <w:sz w:val="21"/>
          <w:szCs w:val="21"/>
          <w:highlight w:val="none"/>
          <w:lang w:bidi="ar"/>
        </w:rPr>
        <w:t>月</w:t>
      </w:r>
      <w:r>
        <w:rPr>
          <w:rFonts w:hint="eastAsia" w:ascii="宋体" w:hAnsi="宋体" w:cs="宋体"/>
          <w:color w:val="auto"/>
          <w:sz w:val="21"/>
          <w:szCs w:val="21"/>
          <w:highlight w:val="none"/>
          <w:lang w:val="en-US" w:eastAsia="zh-CN" w:bidi="ar"/>
        </w:rPr>
        <w:t>14</w:t>
      </w:r>
      <w:r>
        <w:rPr>
          <w:rFonts w:hint="eastAsia" w:ascii="宋体" w:hAnsi="宋体" w:cs="宋体"/>
          <w:color w:val="auto"/>
          <w:sz w:val="21"/>
          <w:szCs w:val="21"/>
          <w:highlight w:val="none"/>
          <w:lang w:bidi="ar"/>
        </w:rPr>
        <w:t>日</w:t>
      </w:r>
      <w:r>
        <w:rPr>
          <w:rFonts w:hint="eastAsia" w:ascii="宋体" w:hAnsi="宋体" w:cs="宋体"/>
          <w:color w:val="auto"/>
          <w:sz w:val="21"/>
          <w:szCs w:val="21"/>
          <w:highlight w:val="none"/>
          <w:lang w:val="zh-CN" w:bidi="ar"/>
        </w:rPr>
        <w:t>(法定</w:t>
      </w:r>
      <w:r>
        <w:rPr>
          <w:rFonts w:hint="eastAsia" w:ascii="宋体" w:hAnsi="宋体" w:cs="宋体"/>
          <w:color w:val="auto"/>
          <w:sz w:val="21"/>
          <w:szCs w:val="21"/>
          <w:lang w:val="zh-CN" w:bidi="ar"/>
        </w:rPr>
        <w:t>公休日、法定节假日除外)，每日上午8:30时至11:00时，下午13:30时至1</w:t>
      </w:r>
      <w:r>
        <w:rPr>
          <w:rFonts w:hint="eastAsia" w:ascii="宋体" w:hAnsi="宋体" w:cs="宋体"/>
          <w:color w:val="auto"/>
          <w:sz w:val="21"/>
          <w:szCs w:val="21"/>
          <w:lang w:val="en-US" w:eastAsia="zh-CN" w:bidi="ar"/>
        </w:rPr>
        <w:t>6</w:t>
      </w:r>
      <w:r>
        <w:rPr>
          <w:rFonts w:hint="eastAsia" w:ascii="宋体" w:hAnsi="宋体" w:cs="宋体"/>
          <w:color w:val="auto"/>
          <w:sz w:val="21"/>
          <w:szCs w:val="21"/>
          <w:lang w:val="zh-CN" w:bidi="ar"/>
        </w:rPr>
        <w:t>:00时(北京时间，下同)。</w:t>
      </w:r>
    </w:p>
    <w:p w14:paraId="41E02700">
      <w:pPr>
        <w:autoSpaceDE w:val="0"/>
        <w:autoSpaceDN w:val="0"/>
        <w:adjustRightInd w:val="0"/>
        <w:spacing w:line="420" w:lineRule="exact"/>
        <w:ind w:right="97" w:rightChars="46" w:firstLine="315" w:firstLineChars="150"/>
        <w:jc w:val="left"/>
        <w:rPr>
          <w:rFonts w:ascii="宋体" w:hAnsi="宋体" w:cs="宋体"/>
          <w:color w:val="auto"/>
          <w:sz w:val="21"/>
          <w:szCs w:val="21"/>
          <w:lang w:bidi="ar"/>
        </w:rPr>
      </w:pPr>
      <w:r>
        <w:rPr>
          <w:rFonts w:hint="eastAsia" w:ascii="宋体" w:hAnsi="宋体" w:cs="宋体"/>
          <w:color w:val="auto"/>
          <w:sz w:val="21"/>
          <w:szCs w:val="21"/>
          <w:lang w:bidi="ar"/>
        </w:rPr>
        <w:t>2.地点：</w:t>
      </w:r>
      <w:r>
        <w:rPr>
          <w:rFonts w:hint="eastAsia" w:ascii="宋体" w:hAnsi="宋体" w:cs="宋体"/>
          <w:color w:val="auto"/>
          <w:sz w:val="21"/>
          <w:szCs w:val="21"/>
          <w:lang w:val="zh-CN" w:bidi="ar"/>
        </w:rPr>
        <w:t>在“政采云”平台（http:// www.zcygov.cn）</w:t>
      </w:r>
      <w:r>
        <w:rPr>
          <w:rFonts w:hint="eastAsia" w:ascii="宋体" w:hAnsi="宋体" w:cs="宋体"/>
          <w:color w:val="auto"/>
          <w:sz w:val="21"/>
          <w:szCs w:val="21"/>
          <w:lang w:bidi="ar"/>
        </w:rPr>
        <w:t>自行下载</w:t>
      </w:r>
      <w:r>
        <w:rPr>
          <w:rFonts w:hint="eastAsia" w:ascii="宋体" w:hAnsi="宋体" w:cs="宋体"/>
          <w:color w:val="auto"/>
          <w:sz w:val="21"/>
          <w:szCs w:val="21"/>
          <w:lang w:val="en-US" w:eastAsia="zh-CN" w:bidi="ar"/>
        </w:rPr>
        <w:t>磋商</w:t>
      </w:r>
      <w:r>
        <w:rPr>
          <w:rFonts w:hint="eastAsia" w:ascii="宋体" w:hAnsi="宋体" w:cs="宋体"/>
          <w:color w:val="auto"/>
          <w:sz w:val="21"/>
          <w:szCs w:val="21"/>
          <w:lang w:val="zh-CN" w:bidi="ar"/>
        </w:rPr>
        <w:t>文件</w:t>
      </w:r>
      <w:r>
        <w:rPr>
          <w:rFonts w:hint="eastAsia"/>
          <w:color w:val="auto"/>
          <w:sz w:val="21"/>
          <w:szCs w:val="21"/>
          <w:shd w:val="clear" w:color="auto" w:fill="FFFFFF"/>
          <w:lang w:val="zh-CN"/>
        </w:rPr>
        <w:t>。</w:t>
      </w:r>
    </w:p>
    <w:p w14:paraId="1067697B">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val="zh-CN" w:bidi="ar"/>
        </w:rPr>
      </w:pPr>
      <w:r>
        <w:rPr>
          <w:rFonts w:hint="eastAsia" w:ascii="宋体" w:hAnsi="宋体" w:cs="宋体"/>
          <w:color w:val="auto"/>
          <w:sz w:val="21"/>
          <w:szCs w:val="21"/>
          <w:lang w:val="zh-CN" w:bidi="ar"/>
        </w:rPr>
        <w:t>3.方式：凡有意参加者，应当注册成为“政采云”平台供应商。凡已注册的供应商，按照授予的操作权限自行在“政采云”平台（http：//www.zcygov.cn）（操作路径：登录“政采云”平台-项目采购-获取采购文件-找到本项目-点击“申请获取采购文件”）按采购包下载</w:t>
      </w:r>
      <w:r>
        <w:rPr>
          <w:rFonts w:hint="eastAsia" w:ascii="宋体" w:hAnsi="宋体" w:cs="宋体"/>
          <w:color w:val="auto"/>
          <w:sz w:val="21"/>
          <w:szCs w:val="21"/>
          <w:lang w:val="en-US" w:eastAsia="zh-CN" w:bidi="ar"/>
        </w:rPr>
        <w:t>磋商</w:t>
      </w:r>
      <w:r>
        <w:rPr>
          <w:rFonts w:hint="eastAsia" w:ascii="宋体" w:hAnsi="宋体" w:cs="宋体"/>
          <w:color w:val="auto"/>
          <w:sz w:val="21"/>
          <w:szCs w:val="21"/>
          <w:lang w:val="zh-CN" w:bidi="ar"/>
        </w:rPr>
        <w:t>文件并点击下载确认参加本项目</w:t>
      </w:r>
      <w:r>
        <w:rPr>
          <w:rFonts w:hint="eastAsia" w:ascii="宋体" w:hAnsi="宋体" w:cs="宋体"/>
          <w:color w:val="auto"/>
          <w:sz w:val="21"/>
          <w:szCs w:val="21"/>
          <w:lang w:val="en-US" w:eastAsia="zh-CN" w:bidi="ar"/>
        </w:rPr>
        <w:t>投标</w:t>
      </w:r>
      <w:r>
        <w:rPr>
          <w:rFonts w:hint="eastAsia" w:ascii="宋体" w:hAnsi="宋体" w:cs="宋体"/>
          <w:color w:val="auto"/>
          <w:sz w:val="21"/>
          <w:szCs w:val="21"/>
          <w:lang w:val="zh-CN" w:bidi="ar"/>
        </w:rPr>
        <w:t>活动。具体注册及下载</w:t>
      </w:r>
      <w:r>
        <w:rPr>
          <w:rFonts w:hint="eastAsia" w:ascii="宋体" w:hAnsi="宋体" w:cs="宋体"/>
          <w:color w:val="auto"/>
          <w:sz w:val="21"/>
          <w:szCs w:val="21"/>
          <w:lang w:val="en-US" w:eastAsia="zh-CN" w:bidi="ar"/>
        </w:rPr>
        <w:t>磋商</w:t>
      </w:r>
      <w:r>
        <w:rPr>
          <w:rFonts w:hint="eastAsia" w:ascii="宋体" w:hAnsi="宋体" w:cs="宋体"/>
          <w:color w:val="auto"/>
          <w:sz w:val="21"/>
          <w:szCs w:val="21"/>
          <w:lang w:val="zh-CN" w:bidi="ar"/>
        </w:rPr>
        <w:t>文件方法请访问“政采云”平台查询相关信息</w:t>
      </w:r>
      <w:r>
        <w:rPr>
          <w:rFonts w:hint="eastAsia" w:ascii="宋体" w:hAnsi="宋体" w:cs="宋体"/>
          <w:color w:val="auto"/>
          <w:sz w:val="21"/>
          <w:szCs w:val="21"/>
          <w:lang w:bidi="ar"/>
        </w:rPr>
        <w:t>。未进行网上注册的供应商将无法参与本次</w:t>
      </w:r>
      <w:r>
        <w:rPr>
          <w:rFonts w:hint="eastAsia" w:ascii="宋体" w:hAnsi="宋体" w:cs="宋体"/>
          <w:color w:val="auto"/>
          <w:sz w:val="21"/>
          <w:szCs w:val="21"/>
          <w:lang w:val="en-US" w:eastAsia="zh-CN" w:bidi="ar"/>
        </w:rPr>
        <w:t>投标</w:t>
      </w:r>
      <w:r>
        <w:rPr>
          <w:rFonts w:hint="eastAsia" w:ascii="宋体" w:hAnsi="宋体" w:cs="宋体"/>
          <w:color w:val="auto"/>
          <w:sz w:val="21"/>
          <w:szCs w:val="21"/>
          <w:lang w:bidi="ar"/>
        </w:rPr>
        <w:t>活动</w:t>
      </w:r>
      <w:r>
        <w:rPr>
          <w:rFonts w:hint="eastAsia" w:ascii="宋体" w:hAnsi="宋体" w:cs="宋体"/>
          <w:color w:val="auto"/>
          <w:sz w:val="21"/>
          <w:szCs w:val="21"/>
          <w:lang w:val="zh-CN" w:bidi="ar"/>
        </w:rPr>
        <w:t>。</w:t>
      </w:r>
    </w:p>
    <w:p w14:paraId="3F519C18">
      <w:pPr>
        <w:autoSpaceDE w:val="0"/>
        <w:autoSpaceDN w:val="0"/>
        <w:adjustRightInd w:val="0"/>
        <w:spacing w:line="420" w:lineRule="exact"/>
        <w:ind w:right="97" w:rightChars="46" w:firstLine="315" w:firstLineChars="150"/>
        <w:jc w:val="left"/>
        <w:rPr>
          <w:rFonts w:hint="eastAsia"/>
          <w:color w:val="auto"/>
          <w:sz w:val="21"/>
          <w:szCs w:val="21"/>
        </w:rPr>
      </w:pPr>
      <w:r>
        <w:rPr>
          <w:rFonts w:hint="eastAsia" w:ascii="宋体" w:hAnsi="宋体" w:cs="宋体"/>
          <w:color w:val="auto"/>
          <w:sz w:val="21"/>
          <w:szCs w:val="21"/>
          <w:lang w:bidi="ar"/>
        </w:rPr>
        <w:t>4.售价：免费。</w:t>
      </w:r>
    </w:p>
    <w:p w14:paraId="4E8F6386">
      <w:pPr>
        <w:autoSpaceDE w:val="0"/>
        <w:autoSpaceDN w:val="0"/>
        <w:adjustRightInd w:val="0"/>
        <w:spacing w:line="420" w:lineRule="exact"/>
        <w:ind w:left="856" w:right="420" w:rightChars="200" w:hanging="856"/>
        <w:jc w:val="left"/>
        <w:rPr>
          <w:rFonts w:hint="eastAsia" w:ascii="宋体" w:hAnsi="宋体" w:cs="宋体"/>
          <w:b/>
          <w:color w:val="auto"/>
          <w:sz w:val="21"/>
          <w:szCs w:val="21"/>
        </w:rPr>
      </w:pPr>
      <w:r>
        <w:rPr>
          <w:rFonts w:hint="eastAsia" w:ascii="宋体" w:hAnsi="宋体" w:cs="宋体"/>
          <w:b/>
          <w:color w:val="auto"/>
          <w:sz w:val="21"/>
          <w:szCs w:val="21"/>
          <w:lang w:bidi="ar"/>
        </w:rPr>
        <w:t>四、响应文件的提交方式、提交截止时间和地点，开启方式、时间和地点：</w:t>
      </w:r>
    </w:p>
    <w:p w14:paraId="18767AB0">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val="zh-CN" w:bidi="ar"/>
        </w:rPr>
      </w:pPr>
      <w:r>
        <w:rPr>
          <w:rFonts w:hint="eastAsia" w:ascii="宋体" w:hAnsi="宋体" w:cs="宋体"/>
          <w:color w:val="auto"/>
          <w:sz w:val="21"/>
          <w:szCs w:val="21"/>
          <w:lang w:bidi="ar"/>
        </w:rPr>
        <w:t>1.提交响应文件</w:t>
      </w:r>
      <w:r>
        <w:rPr>
          <w:rFonts w:hint="eastAsia" w:ascii="宋体" w:hAnsi="宋体" w:cs="宋体"/>
          <w:color w:val="auto"/>
          <w:sz w:val="21"/>
          <w:szCs w:val="21"/>
          <w:lang w:val="zh-CN" w:bidi="ar"/>
        </w:rPr>
        <w:t>截止时间：</w:t>
      </w:r>
      <w:r>
        <w:rPr>
          <w:rFonts w:hint="eastAsia" w:ascii="宋体" w:hAnsi="宋体" w:cs="宋体"/>
          <w:color w:val="auto"/>
          <w:sz w:val="21"/>
          <w:szCs w:val="21"/>
          <w:highlight w:val="none"/>
          <w:lang w:val="zh-CN" w:bidi="ar"/>
        </w:rPr>
        <w:t>202</w:t>
      </w:r>
      <w:r>
        <w:rPr>
          <w:rFonts w:hint="eastAsia" w:ascii="宋体" w:hAnsi="宋体" w:cs="宋体"/>
          <w:color w:val="auto"/>
          <w:sz w:val="21"/>
          <w:szCs w:val="21"/>
          <w:highlight w:val="none"/>
          <w:lang w:val="en-US" w:eastAsia="zh-CN" w:bidi="ar"/>
        </w:rPr>
        <w:t>5</w:t>
      </w:r>
      <w:r>
        <w:rPr>
          <w:rFonts w:hint="eastAsia" w:ascii="宋体" w:hAnsi="宋体" w:cs="宋体"/>
          <w:color w:val="auto"/>
          <w:sz w:val="21"/>
          <w:szCs w:val="21"/>
          <w:highlight w:val="none"/>
          <w:lang w:val="zh-CN" w:bidi="ar"/>
        </w:rPr>
        <w:t>年</w:t>
      </w:r>
      <w:r>
        <w:rPr>
          <w:rFonts w:hint="eastAsia" w:ascii="宋体" w:hAnsi="宋体" w:cs="宋体"/>
          <w:color w:val="auto"/>
          <w:sz w:val="21"/>
          <w:szCs w:val="21"/>
          <w:highlight w:val="none"/>
          <w:lang w:val="en-US" w:eastAsia="zh-CN" w:bidi="ar"/>
        </w:rPr>
        <w:t>4</w:t>
      </w:r>
      <w:r>
        <w:rPr>
          <w:rFonts w:hint="eastAsia" w:ascii="宋体" w:hAnsi="宋体" w:cs="宋体"/>
          <w:color w:val="auto"/>
          <w:sz w:val="21"/>
          <w:szCs w:val="21"/>
          <w:highlight w:val="none"/>
          <w:lang w:val="zh-CN" w:bidi="ar"/>
        </w:rPr>
        <w:t>月</w:t>
      </w:r>
      <w:r>
        <w:rPr>
          <w:rFonts w:hint="eastAsia" w:ascii="宋体" w:hAnsi="宋体" w:cs="宋体"/>
          <w:color w:val="auto"/>
          <w:sz w:val="21"/>
          <w:szCs w:val="21"/>
          <w:highlight w:val="none"/>
          <w:lang w:val="en-US" w:eastAsia="zh-CN" w:bidi="ar"/>
        </w:rPr>
        <w:t>21</w:t>
      </w:r>
      <w:r>
        <w:rPr>
          <w:rFonts w:hint="eastAsia" w:ascii="宋体" w:hAnsi="宋体" w:cs="宋体"/>
          <w:color w:val="auto"/>
          <w:sz w:val="21"/>
          <w:szCs w:val="21"/>
          <w:highlight w:val="none"/>
          <w:lang w:val="zh-CN" w:bidi="ar"/>
        </w:rPr>
        <w:t>日09时00分</w:t>
      </w:r>
      <w:r>
        <w:rPr>
          <w:rFonts w:hint="eastAsia" w:ascii="宋体" w:hAnsi="宋体" w:cs="宋体"/>
          <w:color w:val="auto"/>
          <w:sz w:val="21"/>
          <w:szCs w:val="21"/>
          <w:lang w:val="zh-CN" w:bidi="ar"/>
        </w:rPr>
        <w:t>（北京时间）。</w:t>
      </w:r>
    </w:p>
    <w:p w14:paraId="3A7B4A66">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2.响应文件的提交方式：</w:t>
      </w:r>
      <w:r>
        <w:rPr>
          <w:rFonts w:hint="eastAsia" w:ascii="宋体" w:hAnsi="宋体" w:cs="宋体"/>
          <w:color w:val="auto"/>
          <w:sz w:val="21"/>
          <w:szCs w:val="21"/>
          <w:lang w:val="zh-CN" w:bidi="ar"/>
        </w:rPr>
        <w:t>本项目为全流程电子化项目</w:t>
      </w:r>
      <w:r>
        <w:rPr>
          <w:rFonts w:hint="eastAsia" w:ascii="宋体" w:hAnsi="宋体" w:cs="宋体"/>
          <w:color w:val="auto"/>
          <w:sz w:val="21"/>
          <w:szCs w:val="21"/>
          <w:lang w:bidi="ar"/>
        </w:rPr>
        <w:t>，</w:t>
      </w:r>
      <w:r>
        <w:rPr>
          <w:rFonts w:hint="eastAsia" w:ascii="宋体" w:hAnsi="宋体" w:cs="宋体"/>
          <w:color w:val="auto"/>
          <w:sz w:val="21"/>
          <w:szCs w:val="21"/>
          <w:lang w:val="zh-CN" w:bidi="ar"/>
        </w:rPr>
        <w:t>通过</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w:t>
      </w:r>
      <w:r>
        <w:rPr>
          <w:rFonts w:hint="eastAsia" w:ascii="宋体" w:hAnsi="宋体" w:cs="宋体"/>
          <w:color w:val="auto"/>
          <w:sz w:val="21"/>
          <w:szCs w:val="21"/>
          <w:lang w:bidi="ar"/>
        </w:rPr>
        <w:t>”</w:t>
      </w:r>
      <w:r>
        <w:rPr>
          <w:rFonts w:hint="eastAsia" w:ascii="宋体" w:hAnsi="宋体" w:cs="宋体"/>
          <w:color w:val="auto"/>
          <w:sz w:val="21"/>
          <w:szCs w:val="21"/>
          <w:lang w:val="zh-CN" w:bidi="ar"/>
        </w:rPr>
        <w:t>平台</w:t>
      </w:r>
      <w:r>
        <w:rPr>
          <w:rFonts w:hint="eastAsia" w:ascii="宋体" w:hAnsi="宋体" w:cs="宋体"/>
          <w:color w:val="auto"/>
          <w:sz w:val="21"/>
          <w:szCs w:val="21"/>
          <w:lang w:bidi="ar"/>
        </w:rPr>
        <w:t>（http：//www.zcygov.cn）</w:t>
      </w:r>
      <w:r>
        <w:rPr>
          <w:rFonts w:hint="eastAsia" w:ascii="宋体" w:hAnsi="宋体" w:cs="宋体"/>
          <w:color w:val="auto"/>
          <w:sz w:val="21"/>
          <w:szCs w:val="21"/>
          <w:lang w:val="zh-CN" w:bidi="ar"/>
        </w:rPr>
        <w:t>实行在线电子投标</w:t>
      </w:r>
      <w:r>
        <w:rPr>
          <w:rFonts w:hint="eastAsia" w:ascii="宋体" w:hAnsi="宋体" w:cs="宋体"/>
          <w:color w:val="auto"/>
          <w:sz w:val="21"/>
          <w:szCs w:val="21"/>
          <w:lang w:bidi="ar"/>
        </w:rPr>
        <w:t>，</w:t>
      </w:r>
      <w:r>
        <w:rPr>
          <w:rFonts w:hint="eastAsia" w:ascii="宋体" w:hAnsi="宋体" w:cs="宋体"/>
          <w:color w:val="auto"/>
          <w:sz w:val="21"/>
          <w:szCs w:val="21"/>
          <w:lang w:val="zh-CN" w:bidi="ar"/>
        </w:rPr>
        <w:t>供应商应先安装</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政采云投标客户端</w:t>
      </w:r>
      <w:r>
        <w:rPr>
          <w:rFonts w:hint="eastAsia" w:ascii="宋体" w:hAnsi="宋体" w:cs="宋体"/>
          <w:color w:val="auto"/>
          <w:sz w:val="21"/>
          <w:szCs w:val="21"/>
          <w:lang w:bidi="ar"/>
        </w:rPr>
        <w:t>”（</w:t>
      </w:r>
      <w:r>
        <w:rPr>
          <w:rFonts w:hint="eastAsia" w:ascii="宋体" w:hAnsi="宋体" w:cs="宋体"/>
          <w:color w:val="auto"/>
          <w:sz w:val="21"/>
          <w:szCs w:val="21"/>
          <w:lang w:val="zh-CN" w:bidi="ar"/>
        </w:rPr>
        <w:t>请自行前往</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w:t>
      </w:r>
      <w:r>
        <w:rPr>
          <w:rFonts w:hint="eastAsia" w:ascii="宋体" w:hAnsi="宋体" w:cs="宋体"/>
          <w:color w:val="auto"/>
          <w:sz w:val="21"/>
          <w:szCs w:val="21"/>
          <w:lang w:bidi="ar"/>
        </w:rPr>
        <w:t>”</w:t>
      </w:r>
      <w:r>
        <w:rPr>
          <w:rFonts w:hint="eastAsia" w:ascii="宋体" w:hAnsi="宋体" w:cs="宋体"/>
          <w:color w:val="auto"/>
          <w:sz w:val="21"/>
          <w:szCs w:val="21"/>
          <w:lang w:val="zh-CN" w:bidi="ar"/>
        </w:rPr>
        <w:t>平台进行下载</w:t>
      </w:r>
      <w:r>
        <w:rPr>
          <w:rFonts w:hint="eastAsia" w:ascii="宋体" w:hAnsi="宋体" w:cs="宋体"/>
          <w:color w:val="auto"/>
          <w:sz w:val="21"/>
          <w:szCs w:val="21"/>
          <w:lang w:bidi="ar"/>
        </w:rPr>
        <w:t>），</w:t>
      </w:r>
      <w:r>
        <w:rPr>
          <w:rFonts w:hint="eastAsia" w:ascii="宋体" w:hAnsi="宋体" w:cs="宋体"/>
          <w:color w:val="auto"/>
          <w:sz w:val="21"/>
          <w:szCs w:val="21"/>
          <w:lang w:val="zh-CN" w:bidi="ar"/>
        </w:rPr>
        <w:t>并按照本项目</w:t>
      </w:r>
      <w:r>
        <w:rPr>
          <w:rFonts w:hint="eastAsia" w:ascii="宋体" w:hAnsi="宋体" w:cs="宋体"/>
          <w:color w:val="auto"/>
          <w:sz w:val="21"/>
          <w:szCs w:val="21"/>
          <w:lang w:val="en-US" w:eastAsia="zh-CN" w:bidi="ar"/>
        </w:rPr>
        <w:t>磋商</w:t>
      </w:r>
      <w:r>
        <w:rPr>
          <w:rFonts w:hint="eastAsia" w:ascii="宋体" w:hAnsi="宋体" w:cs="宋体"/>
          <w:color w:val="auto"/>
          <w:sz w:val="21"/>
          <w:szCs w:val="21"/>
          <w:lang w:val="zh-CN" w:bidi="ar"/>
        </w:rPr>
        <w:t>文件和</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w:t>
      </w:r>
      <w:r>
        <w:rPr>
          <w:rFonts w:hint="eastAsia" w:ascii="宋体" w:hAnsi="宋体" w:cs="宋体"/>
          <w:color w:val="auto"/>
          <w:sz w:val="21"/>
          <w:szCs w:val="21"/>
          <w:lang w:bidi="ar"/>
        </w:rPr>
        <w:t>”</w:t>
      </w:r>
      <w:r>
        <w:rPr>
          <w:rFonts w:hint="eastAsia" w:ascii="宋体" w:hAnsi="宋体" w:cs="宋体"/>
          <w:color w:val="auto"/>
          <w:sz w:val="21"/>
          <w:szCs w:val="21"/>
          <w:lang w:val="zh-CN" w:bidi="ar"/>
        </w:rPr>
        <w:t>平台的要求编制、加密后在投标截止时间前通过网络上传至</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w:t>
      </w:r>
      <w:r>
        <w:rPr>
          <w:rFonts w:hint="eastAsia" w:ascii="宋体" w:hAnsi="宋体" w:cs="宋体"/>
          <w:color w:val="auto"/>
          <w:sz w:val="21"/>
          <w:szCs w:val="21"/>
          <w:lang w:bidi="ar"/>
        </w:rPr>
        <w:t>”</w:t>
      </w:r>
      <w:r>
        <w:rPr>
          <w:rFonts w:hint="eastAsia" w:ascii="宋体" w:hAnsi="宋体" w:cs="宋体"/>
          <w:color w:val="auto"/>
          <w:sz w:val="21"/>
          <w:szCs w:val="21"/>
          <w:lang w:val="zh-CN" w:bidi="ar"/>
        </w:rPr>
        <w:t>平台</w:t>
      </w:r>
      <w:r>
        <w:rPr>
          <w:rFonts w:hint="eastAsia" w:ascii="宋体" w:hAnsi="宋体" w:cs="宋体"/>
          <w:color w:val="auto"/>
          <w:sz w:val="21"/>
          <w:szCs w:val="21"/>
          <w:lang w:bidi="ar"/>
        </w:rPr>
        <w:t>，</w:t>
      </w:r>
      <w:r>
        <w:rPr>
          <w:rFonts w:hint="eastAsia" w:ascii="宋体" w:hAnsi="宋体" w:cs="宋体"/>
          <w:color w:val="auto"/>
          <w:sz w:val="21"/>
          <w:szCs w:val="21"/>
          <w:lang w:val="zh-CN" w:bidi="ar"/>
        </w:rPr>
        <w:t>供应商在</w:t>
      </w:r>
      <w:r>
        <w:rPr>
          <w:rFonts w:hint="eastAsia" w:ascii="宋体" w:hAnsi="宋体" w:cs="宋体"/>
          <w:color w:val="auto"/>
          <w:sz w:val="21"/>
          <w:szCs w:val="21"/>
          <w:lang w:bidi="ar"/>
        </w:rPr>
        <w:t>“</w:t>
      </w:r>
      <w:r>
        <w:rPr>
          <w:rFonts w:hint="eastAsia" w:ascii="宋体" w:hAnsi="宋体" w:cs="宋体"/>
          <w:color w:val="auto"/>
          <w:sz w:val="21"/>
          <w:szCs w:val="21"/>
          <w:lang w:val="zh-CN" w:bidi="ar"/>
        </w:rPr>
        <w:t>政采云</w:t>
      </w:r>
      <w:r>
        <w:rPr>
          <w:rFonts w:hint="eastAsia" w:ascii="宋体" w:hAnsi="宋体" w:cs="宋体"/>
          <w:color w:val="auto"/>
          <w:sz w:val="21"/>
          <w:szCs w:val="21"/>
          <w:lang w:bidi="ar"/>
        </w:rPr>
        <w:t>”</w:t>
      </w:r>
      <w:r>
        <w:rPr>
          <w:rFonts w:hint="eastAsia" w:ascii="宋体" w:hAnsi="宋体" w:cs="宋体"/>
          <w:color w:val="auto"/>
          <w:sz w:val="21"/>
          <w:szCs w:val="21"/>
          <w:lang w:val="zh-CN" w:bidi="ar"/>
        </w:rPr>
        <w:t>平台提交电子版响应文件时</w:t>
      </w:r>
      <w:r>
        <w:rPr>
          <w:rFonts w:hint="eastAsia" w:ascii="宋体" w:hAnsi="宋体" w:cs="宋体"/>
          <w:color w:val="auto"/>
          <w:sz w:val="21"/>
          <w:szCs w:val="21"/>
          <w:lang w:bidi="ar"/>
        </w:rPr>
        <w:t>，</w:t>
      </w:r>
      <w:r>
        <w:rPr>
          <w:rFonts w:hint="eastAsia" w:ascii="宋体" w:hAnsi="宋体" w:cs="宋体"/>
          <w:color w:val="auto"/>
          <w:sz w:val="21"/>
          <w:szCs w:val="21"/>
          <w:lang w:val="zh-CN" w:bidi="ar"/>
        </w:rPr>
        <w:t>请填写参加开标活动经办人联系方式</w:t>
      </w:r>
      <w:r>
        <w:rPr>
          <w:rFonts w:hint="eastAsia" w:ascii="宋体" w:hAnsi="宋体" w:cs="宋体"/>
          <w:color w:val="auto"/>
          <w:sz w:val="21"/>
          <w:szCs w:val="21"/>
          <w:lang w:bidi="ar"/>
        </w:rPr>
        <w:t>。</w:t>
      </w:r>
    </w:p>
    <w:p w14:paraId="2F53F886">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ascii="宋体" w:hAnsi="宋体" w:cs="宋体"/>
          <w:color w:val="auto"/>
          <w:sz w:val="21"/>
          <w:szCs w:val="21"/>
          <w:lang w:bidi="ar"/>
        </w:rPr>
        <w:t>3</w:t>
      </w:r>
      <w:r>
        <w:rPr>
          <w:rFonts w:hint="eastAsia" w:ascii="宋体" w:hAnsi="宋体" w:cs="宋体"/>
          <w:color w:val="auto"/>
          <w:sz w:val="21"/>
          <w:szCs w:val="21"/>
          <w:lang w:bidi="ar"/>
        </w:rPr>
        <w:t>.开启方式：</w:t>
      </w:r>
      <w:r>
        <w:rPr>
          <w:rFonts w:hint="eastAsia" w:ascii="宋体" w:hAnsi="宋体" w:cs="宋体"/>
          <w:color w:val="auto"/>
          <w:sz w:val="21"/>
          <w:szCs w:val="21"/>
          <w:lang w:val="zh-CN" w:bidi="ar"/>
        </w:rPr>
        <w:t>响应文件解密截止时间后，“政采云”平台手动公布响应报价信息，供应商持企业数字证书登录“政采云”平台在线查询响应报价信息</w:t>
      </w:r>
      <w:r>
        <w:rPr>
          <w:rFonts w:hint="eastAsia" w:ascii="宋体" w:hAnsi="宋体" w:cs="宋体"/>
          <w:color w:val="auto"/>
          <w:sz w:val="21"/>
          <w:szCs w:val="21"/>
          <w:lang w:bidi="ar"/>
        </w:rPr>
        <w:t>。</w:t>
      </w:r>
    </w:p>
    <w:p w14:paraId="1F851B1B">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val="zh-CN" w:bidi="ar"/>
        </w:rPr>
      </w:pPr>
      <w:r>
        <w:rPr>
          <w:rFonts w:ascii="宋体" w:hAnsi="宋体" w:cs="宋体"/>
          <w:color w:val="auto"/>
          <w:sz w:val="21"/>
          <w:szCs w:val="21"/>
          <w:lang w:bidi="ar"/>
        </w:rPr>
        <w:t>4</w:t>
      </w:r>
      <w:r>
        <w:rPr>
          <w:rFonts w:hint="eastAsia" w:ascii="宋体" w:hAnsi="宋体" w:cs="宋体"/>
          <w:color w:val="auto"/>
          <w:sz w:val="21"/>
          <w:szCs w:val="21"/>
          <w:lang w:bidi="ar"/>
        </w:rPr>
        <w:t>.开启时间：同提交响应文件</w:t>
      </w:r>
      <w:r>
        <w:rPr>
          <w:rFonts w:hint="eastAsia" w:ascii="宋体" w:hAnsi="宋体" w:cs="宋体"/>
          <w:color w:val="auto"/>
          <w:sz w:val="21"/>
          <w:szCs w:val="21"/>
          <w:lang w:val="zh-CN" w:bidi="ar"/>
        </w:rPr>
        <w:t>截止时间。</w:t>
      </w:r>
    </w:p>
    <w:p w14:paraId="3B19B02B">
      <w:pPr>
        <w:autoSpaceDE w:val="0"/>
        <w:autoSpaceDN w:val="0"/>
        <w:adjustRightInd w:val="0"/>
        <w:spacing w:line="420" w:lineRule="exact"/>
        <w:ind w:right="97" w:rightChars="46" w:firstLine="315" w:firstLineChars="150"/>
        <w:jc w:val="left"/>
        <w:rPr>
          <w:rFonts w:hint="eastAsia"/>
          <w:color w:val="auto"/>
        </w:rPr>
      </w:pPr>
      <w:r>
        <w:rPr>
          <w:rFonts w:hint="eastAsia" w:ascii="宋体" w:hAnsi="宋体" w:cs="宋体"/>
          <w:color w:val="auto"/>
          <w:sz w:val="21"/>
          <w:szCs w:val="21"/>
          <w:lang w:val="zh-CN" w:bidi="ar"/>
        </w:rPr>
        <w:t>电子响应文件解密期限及方式：开启时间后</w:t>
      </w:r>
      <w:r>
        <w:rPr>
          <w:rFonts w:hint="eastAsia" w:ascii="宋体" w:hAnsi="宋体" w:cs="宋体"/>
          <w:color w:val="auto"/>
          <w:sz w:val="21"/>
          <w:szCs w:val="21"/>
          <w:lang w:bidi="ar"/>
        </w:rPr>
        <w:t>3</w:t>
      </w:r>
      <w:r>
        <w:rPr>
          <w:rFonts w:hint="eastAsia" w:ascii="宋体" w:hAnsi="宋体" w:cs="宋体"/>
          <w:color w:val="auto"/>
          <w:sz w:val="21"/>
          <w:szCs w:val="21"/>
          <w:lang w:val="zh-CN" w:bidi="ar"/>
        </w:rPr>
        <w:t>0分钟内，由供应商持制作该电子响应文件的同一数字证书（CA锁）及电脑进行远程解密（各供应商开标前及网上开评标系统公布供应商名单前，不要提前进行远程解密；具体解密时间在开标直播时采购代理机构工作人员</w:t>
      </w:r>
      <w:r>
        <w:rPr>
          <w:rFonts w:hint="eastAsia" w:ascii="宋体" w:hAnsi="宋体" w:cs="宋体"/>
          <w:color w:val="auto"/>
          <w:lang w:val="zh-CN" w:bidi="ar"/>
        </w:rPr>
        <w:t>会进行通知）。</w:t>
      </w:r>
    </w:p>
    <w:p w14:paraId="2BF2ADBC">
      <w:pPr>
        <w:autoSpaceDE w:val="0"/>
        <w:autoSpaceDN w:val="0"/>
        <w:adjustRightInd w:val="0"/>
        <w:spacing w:line="420" w:lineRule="exact"/>
        <w:ind w:right="97" w:rightChars="46" w:firstLine="315" w:firstLineChars="150"/>
        <w:jc w:val="left"/>
        <w:rPr>
          <w:rFonts w:hint="eastAsia" w:ascii="宋体" w:hAnsi="宋体" w:cs="宋体"/>
          <w:color w:val="auto"/>
          <w:lang w:bidi="ar"/>
        </w:rPr>
      </w:pPr>
      <w:r>
        <w:rPr>
          <w:rFonts w:ascii="宋体" w:hAnsi="宋体" w:cs="宋体"/>
          <w:color w:val="auto"/>
          <w:lang w:bidi="ar"/>
        </w:rPr>
        <w:t>5</w:t>
      </w:r>
      <w:r>
        <w:rPr>
          <w:rFonts w:hint="eastAsia" w:ascii="宋体" w:hAnsi="宋体" w:cs="宋体"/>
          <w:color w:val="auto"/>
          <w:lang w:bidi="ar"/>
        </w:rPr>
        <w:t>.开启地点：</w:t>
      </w:r>
      <w:r>
        <w:rPr>
          <w:rFonts w:hint="eastAsia" w:ascii="宋体" w:hAnsi="宋体" w:cs="宋体"/>
          <w:b/>
          <w:bCs/>
          <w:color w:val="auto"/>
          <w:u w:val="single"/>
          <w:lang w:eastAsia="zh-CN" w:bidi="ar"/>
        </w:rPr>
        <w:t>安图县明月镇延安路8号安图县政务服务中心（4楼公共资源交易中心）</w:t>
      </w:r>
      <w:r>
        <w:rPr>
          <w:rFonts w:hint="eastAsia" w:ascii="宋体" w:hAnsi="宋体" w:cs="宋体"/>
          <w:b/>
          <w:bCs/>
          <w:color w:val="auto"/>
          <w:u w:val="single"/>
          <w:lang w:bidi="ar"/>
        </w:rPr>
        <w:t>。</w:t>
      </w:r>
    </w:p>
    <w:p w14:paraId="6011ECDE">
      <w:pPr>
        <w:autoSpaceDE w:val="0"/>
        <w:autoSpaceDN w:val="0"/>
        <w:adjustRightInd w:val="0"/>
        <w:spacing w:line="420" w:lineRule="exact"/>
        <w:ind w:left="856" w:right="420" w:rightChars="200" w:hanging="856"/>
        <w:jc w:val="left"/>
        <w:rPr>
          <w:rFonts w:hint="eastAsia" w:ascii="宋体" w:hAnsi="宋体" w:cs="宋体"/>
          <w:b/>
          <w:color w:val="auto"/>
          <w:lang w:val="zh-CN" w:bidi="ar"/>
        </w:rPr>
      </w:pPr>
      <w:r>
        <w:rPr>
          <w:rFonts w:hint="eastAsia" w:ascii="宋体" w:hAnsi="宋体" w:cs="宋体"/>
          <w:b/>
          <w:color w:val="auto"/>
          <w:lang w:bidi="ar"/>
        </w:rPr>
        <w:t>五</w:t>
      </w:r>
      <w:r>
        <w:rPr>
          <w:rFonts w:hint="eastAsia" w:ascii="宋体" w:hAnsi="宋体" w:cs="宋体"/>
          <w:b/>
          <w:color w:val="auto"/>
          <w:lang w:val="zh-CN" w:bidi="ar"/>
        </w:rPr>
        <w:t>、公告期限</w:t>
      </w:r>
    </w:p>
    <w:p w14:paraId="5D3527FB">
      <w:pPr>
        <w:autoSpaceDE w:val="0"/>
        <w:autoSpaceDN w:val="0"/>
        <w:adjustRightInd w:val="0"/>
        <w:spacing w:line="420" w:lineRule="exact"/>
        <w:ind w:right="97" w:rightChars="46" w:firstLine="315" w:firstLineChars="150"/>
        <w:jc w:val="left"/>
        <w:rPr>
          <w:rFonts w:hint="eastAsia" w:ascii="宋体" w:hAnsi="宋体" w:cs="宋体"/>
          <w:color w:val="auto"/>
          <w:lang w:bidi="ar"/>
        </w:rPr>
      </w:pPr>
      <w:r>
        <w:rPr>
          <w:rFonts w:hint="eastAsia" w:ascii="宋体" w:hAnsi="宋体" w:cs="宋体"/>
          <w:color w:val="auto"/>
          <w:lang w:bidi="ar"/>
        </w:rPr>
        <w:t>自本公告发出之日起5个工作日。</w:t>
      </w:r>
    </w:p>
    <w:p w14:paraId="1981CDCA">
      <w:pPr>
        <w:autoSpaceDE w:val="0"/>
        <w:autoSpaceDN w:val="0"/>
        <w:adjustRightInd w:val="0"/>
        <w:spacing w:line="420" w:lineRule="exact"/>
        <w:ind w:left="856" w:right="420" w:rightChars="200" w:hanging="856"/>
        <w:jc w:val="left"/>
        <w:rPr>
          <w:rFonts w:hint="eastAsia" w:ascii="宋体" w:hAnsi="宋体" w:cs="宋体"/>
          <w:b/>
          <w:color w:val="auto"/>
          <w:lang w:val="zh-CN" w:bidi="ar"/>
        </w:rPr>
      </w:pPr>
      <w:r>
        <w:rPr>
          <w:rFonts w:hint="eastAsia" w:ascii="宋体" w:hAnsi="宋体" w:cs="宋体"/>
          <w:b/>
          <w:color w:val="auto"/>
          <w:lang w:bidi="ar"/>
        </w:rPr>
        <w:t>六、</w:t>
      </w:r>
      <w:r>
        <w:rPr>
          <w:rFonts w:hint="eastAsia" w:ascii="宋体" w:hAnsi="宋体" w:cs="宋体"/>
          <w:b/>
          <w:color w:val="auto"/>
          <w:lang w:val="zh-CN" w:bidi="ar"/>
        </w:rPr>
        <w:t>其他补充事宜</w:t>
      </w:r>
    </w:p>
    <w:p w14:paraId="030B01CF">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宋体" w:hAnsi="宋体" w:cs="宋体"/>
          <w:color w:val="auto"/>
          <w:sz w:val="21"/>
          <w:szCs w:val="21"/>
          <w:lang w:val="en-US" w:eastAsia="zh-CN" w:bidi="ar"/>
        </w:rPr>
      </w:pPr>
      <w:r>
        <w:rPr>
          <w:rFonts w:hint="eastAsia" w:ascii="宋体" w:hAnsi="宋体" w:cs="宋体"/>
          <w:i w:val="0"/>
          <w:iCs w:val="0"/>
          <w:caps w:val="0"/>
          <w:color w:val="auto"/>
          <w:spacing w:val="0"/>
          <w:sz w:val="21"/>
          <w:szCs w:val="21"/>
          <w:shd w:val="clear" w:color="auto" w:fill="FFFFFF"/>
          <w:lang w:val="en-US" w:eastAsia="zh-CN"/>
        </w:rPr>
        <w:t>1</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rPr>
        <w:t>投标人在政府采购云平台网注册入库成为正式投标人后，在平台上按《政府采购项目电子交易管理操作指南-投标人》进行投标操作。投标人须办理数字证书方可参加投标。</w:t>
      </w:r>
    </w:p>
    <w:p w14:paraId="47935233">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val="en-US" w:eastAsia="zh-CN" w:bidi="ar"/>
        </w:rPr>
        <w:t>2</w:t>
      </w:r>
      <w:r>
        <w:rPr>
          <w:rFonts w:hint="eastAsia" w:ascii="宋体" w:hAnsi="宋体" w:cs="宋体"/>
          <w:color w:val="auto"/>
          <w:sz w:val="21"/>
          <w:szCs w:val="21"/>
          <w:lang w:bidi="ar"/>
        </w:rPr>
        <w:t>.CA 办理方式：</w:t>
      </w:r>
    </w:p>
    <w:p w14:paraId="5A4E4171">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（1）准备材料：①企业营业执照；② 法定代表人身份证；③经办人身份证；④数字证书申请表 (在获取响应文件附件处下载模板)；⑤授权委托书 (在获取响应文件附件处下载模板) 。</w:t>
      </w:r>
    </w:p>
    <w:p w14:paraId="019C896E">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（2）办理流程：第一步：吉林省公共资源交易平台主体库注册：请先在主体库中注册、完善企业基本信息并上传企业相关资料 ，请进入以下链接进入供应商注册界面。http://139.215.214.77/PSPBidder/memberLogin；第二步：完成主体库注册的用户持以上材料联系软件公司现场或邮寄办理 CA 锁。</w:t>
      </w:r>
    </w:p>
    <w:p w14:paraId="2D7518AE">
      <w:pPr>
        <w:autoSpaceDE w:val="0"/>
        <w:autoSpaceDN w:val="0"/>
        <w:adjustRightInd w:val="0"/>
        <w:spacing w:line="420" w:lineRule="exact"/>
        <w:ind w:right="97" w:rightChars="46" w:firstLine="315" w:firstLineChars="150"/>
        <w:jc w:val="left"/>
        <w:rPr>
          <w:rFonts w:ascii="宋体" w:hAnsi="宋体" w:cs="宋体"/>
          <w:color w:val="auto"/>
          <w:sz w:val="21"/>
          <w:szCs w:val="21"/>
          <w:lang w:bidi="ar"/>
        </w:rPr>
      </w:pPr>
      <w:r>
        <w:rPr>
          <w:rFonts w:hint="eastAsia" w:ascii="宋体" w:hAnsi="宋体" w:cs="宋体"/>
          <w:color w:val="auto"/>
          <w:sz w:val="21"/>
          <w:szCs w:val="21"/>
          <w:lang w:bidi="ar"/>
        </w:rPr>
        <w:t>（3）软件公司联系方式：安信CA 联系电话：0431-85177688；翔晟CA咨询电话：</w:t>
      </w:r>
      <w:r>
        <w:rPr>
          <w:rFonts w:hint="eastAsia" w:ascii="宋体" w:hAnsi="宋体" w:cs="宋体"/>
          <w:color w:val="auto"/>
          <w:sz w:val="21"/>
          <w:szCs w:val="21"/>
          <w:lang w:val="zh-CN"/>
        </w:rPr>
        <w:t>0431-88779428（长春）、15604331467（延边）</w:t>
      </w:r>
      <w:r>
        <w:rPr>
          <w:rFonts w:hint="eastAsia" w:ascii="宋体" w:hAnsi="宋体" w:cs="宋体"/>
          <w:color w:val="auto"/>
          <w:sz w:val="21"/>
          <w:szCs w:val="21"/>
          <w:lang w:bidi="ar"/>
        </w:rPr>
        <w:t>。</w:t>
      </w:r>
    </w:p>
    <w:p w14:paraId="3956F36C">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（4）收到 CA 以后在“政采云”登陆界面，点击 CA 登录-CA 驱动下载-下载并安装政采云投标客户端和安信CA 驱动，账号绑定 CA 后才能进行响应文件制作。</w:t>
      </w:r>
    </w:p>
    <w:p w14:paraId="523C2628">
      <w:pPr>
        <w:autoSpaceDE w:val="0"/>
        <w:autoSpaceDN w:val="0"/>
        <w:adjustRightInd w:val="0"/>
        <w:spacing w:line="420" w:lineRule="exact"/>
        <w:ind w:right="97" w:rightChars="46" w:firstLine="315" w:firstLineChars="150"/>
        <w:jc w:val="left"/>
        <w:rPr>
          <w:rFonts w:hint="eastAsia" w:ascii="宋体" w:hAnsi="宋体" w:cs="宋体"/>
          <w:color w:val="auto"/>
          <w:sz w:val="21"/>
          <w:szCs w:val="21"/>
          <w:lang w:bidi="ar"/>
        </w:rPr>
      </w:pPr>
      <w:r>
        <w:rPr>
          <w:rFonts w:hint="eastAsia" w:ascii="宋体" w:hAnsi="宋体" w:cs="宋体"/>
          <w:color w:val="auto"/>
          <w:sz w:val="21"/>
          <w:szCs w:val="21"/>
          <w:lang w:bidi="ar"/>
        </w:rPr>
        <w:t>（5）未进行网上注册并办理 CA 认证的供应商将无法参与本次采购活动。数字证书办理时限为3-5个工作日，供应商须自行考虑办理时间，由于供应商自身原因在开启前无法完成办理，后果自负。</w:t>
      </w:r>
    </w:p>
    <w:p w14:paraId="3800BF2C">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微软雅黑" w:hAnsi="微软雅黑" w:eastAsia="微软雅黑" w:cs="微软雅黑"/>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rPr>
        <w:t>3</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rPr>
        <w:t>若对项目采购电子交易系统操作有疑问，可登录“政采云”平台，点击右侧咨询小采，获取采小蜜智能服务管家帮助，或拨打政采云服务热线95763获取帮助。</w:t>
      </w:r>
    </w:p>
    <w:p w14:paraId="718E9B90">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微软雅黑" w:hAnsi="微软雅黑" w:eastAsia="微软雅黑" w:cs="微软雅黑"/>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rPr>
        <w:t>有效投标人不足三家时，采购人另行组织采购。</w:t>
      </w:r>
    </w:p>
    <w:p w14:paraId="48A35640">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left="0" w:right="0" w:firstLine="420" w:firstLineChars="200"/>
        <w:rPr>
          <w:rFonts w:hint="eastAsia" w:ascii="微软雅黑" w:hAnsi="微软雅黑" w:eastAsia="微软雅黑" w:cs="微软雅黑"/>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5.</w:t>
      </w:r>
      <w:r>
        <w:rPr>
          <w:rFonts w:hint="eastAsia" w:ascii="宋体" w:hAnsi="宋体" w:eastAsia="宋体" w:cs="宋体"/>
          <w:i w:val="0"/>
          <w:iCs w:val="0"/>
          <w:caps w:val="0"/>
          <w:color w:val="auto"/>
          <w:spacing w:val="0"/>
          <w:sz w:val="21"/>
          <w:szCs w:val="21"/>
          <w:shd w:val="clear" w:color="auto" w:fill="FFFFFF"/>
        </w:rPr>
        <w:t>当投标人的有效投标报价超出招标控制价（预算金额、拦标价）的，该投标报价视为无效报价。</w:t>
      </w:r>
    </w:p>
    <w:p w14:paraId="434B9339">
      <w:pPr>
        <w:autoSpaceDE w:val="0"/>
        <w:autoSpaceDN w:val="0"/>
        <w:adjustRightInd w:val="0"/>
        <w:spacing w:line="420" w:lineRule="exact"/>
        <w:ind w:right="97" w:rightChars="46" w:firstLine="420" w:firstLineChars="200"/>
        <w:jc w:val="left"/>
        <w:rPr>
          <w:rFonts w:hint="eastAsia" w:ascii="宋体" w:hAnsi="宋体" w:cs="宋体"/>
          <w:color w:val="000000"/>
          <w:lang w:bidi="ar"/>
        </w:rPr>
      </w:pPr>
      <w:r>
        <w:rPr>
          <w:rFonts w:hint="eastAsia" w:ascii="宋体" w:hAnsi="宋体" w:eastAsia="宋体" w:cs="宋体"/>
          <w:i w:val="0"/>
          <w:iCs w:val="0"/>
          <w:caps w:val="0"/>
          <w:color w:val="333333"/>
          <w:spacing w:val="0"/>
          <w:sz w:val="21"/>
          <w:szCs w:val="21"/>
          <w:shd w:val="clear" w:color="auto" w:fill="FFFFFF"/>
          <w:lang w:val="en-US" w:eastAsia="zh-CN"/>
        </w:rPr>
        <w:t>6.</w:t>
      </w:r>
      <w:r>
        <w:rPr>
          <w:rFonts w:hint="eastAsia" w:ascii="宋体" w:hAnsi="宋体" w:eastAsia="宋体" w:cs="宋体"/>
          <w:i w:val="0"/>
          <w:iCs w:val="0"/>
          <w:caps w:val="0"/>
          <w:color w:val="333333"/>
          <w:spacing w:val="0"/>
          <w:sz w:val="21"/>
          <w:szCs w:val="21"/>
          <w:shd w:val="clear" w:color="auto" w:fill="FFFFFF"/>
        </w:rPr>
        <w:t>本次招标公告在“政采云”平台 (http:// www.zcygov.cn)</w:t>
      </w:r>
      <w:r>
        <w:rPr>
          <w:rFonts w:hint="eastAsia" w:ascii="宋体" w:hAnsi="宋体" w:cs="宋体"/>
          <w:color w:val="000000"/>
          <w:sz w:val="21"/>
          <w:szCs w:val="21"/>
          <w:lang w:val="zh-CN" w:bidi="ar"/>
        </w:rPr>
        <w:t>、《中国政府采购网》、《吉林省公共资源交易公共服务平台》</w:t>
      </w:r>
      <w:bookmarkStart w:id="293" w:name="_GoBack"/>
      <w:bookmarkEnd w:id="293"/>
      <w:r>
        <w:rPr>
          <w:rFonts w:hint="eastAsia" w:ascii="宋体" w:hAnsi="宋体" w:cs="宋体"/>
          <w:color w:val="000000"/>
          <w:sz w:val="21"/>
          <w:szCs w:val="21"/>
          <w:lang w:bidi="ar"/>
        </w:rPr>
        <w:t>上发布</w:t>
      </w:r>
      <w:r>
        <w:rPr>
          <w:rFonts w:hint="eastAsia" w:ascii="宋体" w:hAnsi="宋体" w:cs="宋体"/>
          <w:color w:val="000000"/>
          <w:sz w:val="21"/>
          <w:szCs w:val="21"/>
          <w:lang w:val="zh-CN" w:bidi="ar"/>
        </w:rPr>
        <w:t>。</w:t>
      </w:r>
    </w:p>
    <w:p w14:paraId="3B445ECE">
      <w:pPr>
        <w:autoSpaceDE w:val="0"/>
        <w:autoSpaceDN w:val="0"/>
        <w:adjustRightInd w:val="0"/>
        <w:spacing w:line="420" w:lineRule="exact"/>
        <w:ind w:left="856" w:right="420" w:rightChars="200" w:hanging="856"/>
        <w:jc w:val="left"/>
        <w:rPr>
          <w:rFonts w:hint="eastAsia" w:ascii="宋体" w:hAnsi="宋体" w:cs="宋体"/>
          <w:b/>
          <w:color w:val="000000"/>
          <w:lang w:val="zh-CN" w:bidi="ar"/>
        </w:rPr>
      </w:pPr>
      <w:r>
        <w:rPr>
          <w:rFonts w:hint="eastAsia" w:ascii="宋体" w:hAnsi="宋体" w:cs="宋体"/>
          <w:b/>
          <w:color w:val="000000"/>
          <w:lang w:val="zh-CN" w:bidi="ar"/>
        </w:rPr>
        <w:t>七、联系方式。</w:t>
      </w:r>
    </w:p>
    <w:p w14:paraId="7D1F930F">
      <w:pPr>
        <w:autoSpaceDE w:val="0"/>
        <w:autoSpaceDN w:val="0"/>
        <w:adjustRightInd w:val="0"/>
        <w:spacing w:line="420" w:lineRule="exact"/>
        <w:ind w:right="97" w:rightChars="46" w:firstLine="315" w:firstLineChars="150"/>
        <w:jc w:val="left"/>
        <w:rPr>
          <w:rFonts w:hint="eastAsia" w:ascii="宋体" w:hAnsi="宋体" w:cs="宋体"/>
          <w:color w:val="000000"/>
          <w:lang w:val="zh-CN" w:bidi="ar"/>
        </w:rPr>
      </w:pPr>
      <w:r>
        <w:rPr>
          <w:rFonts w:hint="eastAsia" w:ascii="宋体" w:hAnsi="宋体" w:cs="宋体"/>
          <w:color w:val="000000"/>
          <w:lang w:bidi="ar"/>
        </w:rPr>
        <w:t>1</w:t>
      </w:r>
      <w:r>
        <w:rPr>
          <w:rFonts w:hint="eastAsia" w:ascii="宋体" w:hAnsi="宋体" w:cs="宋体"/>
          <w:color w:val="000000"/>
          <w:lang w:val="zh-CN" w:bidi="ar"/>
        </w:rPr>
        <w:t>.</w:t>
      </w:r>
      <w:r>
        <w:rPr>
          <w:rFonts w:hint="eastAsia" w:ascii="宋体" w:hAnsi="宋体" w:cs="宋体"/>
          <w:color w:val="000000"/>
          <w:lang w:val="en-US" w:eastAsia="zh-CN" w:bidi="ar"/>
        </w:rPr>
        <w:t>采购</w:t>
      </w:r>
      <w:r>
        <w:rPr>
          <w:rFonts w:hint="eastAsia" w:ascii="宋体" w:hAnsi="宋体" w:cs="宋体"/>
          <w:color w:val="000000"/>
          <w:lang w:bidi="ar"/>
        </w:rPr>
        <w:t>人</w:t>
      </w:r>
      <w:r>
        <w:rPr>
          <w:rFonts w:hint="eastAsia" w:ascii="宋体" w:hAnsi="宋体" w:cs="宋体"/>
          <w:color w:val="000000"/>
          <w:lang w:val="zh-CN" w:bidi="ar"/>
        </w:rPr>
        <w:t>信息</w:t>
      </w:r>
    </w:p>
    <w:p w14:paraId="1E591D89">
      <w:pPr>
        <w:autoSpaceDE w:val="0"/>
        <w:autoSpaceDN w:val="0"/>
        <w:adjustRightInd w:val="0"/>
        <w:spacing w:line="420" w:lineRule="exact"/>
        <w:ind w:right="97" w:rightChars="46" w:firstLine="315" w:firstLineChars="150"/>
        <w:jc w:val="left"/>
        <w:rPr>
          <w:rFonts w:hint="eastAsia" w:ascii="宋体" w:hAnsi="宋体" w:eastAsia="宋体" w:cs="宋体"/>
          <w:color w:val="auto"/>
          <w:lang w:eastAsia="zh-CN" w:bidi="ar"/>
        </w:rPr>
      </w:pPr>
      <w:r>
        <w:rPr>
          <w:rFonts w:hint="eastAsia" w:ascii="宋体" w:hAnsi="宋体" w:cs="宋体"/>
          <w:color w:val="auto"/>
          <w:lang w:bidi="ar"/>
        </w:rPr>
        <w:t>名    称：</w:t>
      </w:r>
      <w:r>
        <w:rPr>
          <w:rFonts w:hint="eastAsia" w:ascii="宋体" w:hAnsi="宋体" w:cs="宋体"/>
          <w:color w:val="auto"/>
          <w:lang w:eastAsia="zh-CN" w:bidi="ar"/>
        </w:rPr>
        <w:t>安图县自然资源和林业局</w:t>
      </w:r>
    </w:p>
    <w:p w14:paraId="2B2622B8">
      <w:pPr>
        <w:autoSpaceDE w:val="0"/>
        <w:autoSpaceDN w:val="0"/>
        <w:adjustRightInd w:val="0"/>
        <w:spacing w:line="420" w:lineRule="exact"/>
        <w:ind w:right="97" w:rightChars="46" w:firstLine="315" w:firstLineChars="150"/>
        <w:jc w:val="left"/>
        <w:rPr>
          <w:rFonts w:hint="default" w:ascii="宋体" w:hAnsi="宋体" w:eastAsia="宋体" w:cs="宋体"/>
          <w:color w:val="auto"/>
          <w:lang w:val="en-US" w:eastAsia="zh-CN" w:bidi="ar"/>
        </w:rPr>
      </w:pPr>
      <w:r>
        <w:rPr>
          <w:rFonts w:hint="eastAsia" w:ascii="宋体" w:hAnsi="宋体" w:cs="宋体"/>
          <w:color w:val="auto"/>
          <w:lang w:bidi="ar"/>
        </w:rPr>
        <w:t>地    址：</w:t>
      </w:r>
      <w:r>
        <w:rPr>
          <w:rFonts w:hint="eastAsia" w:ascii="宋体" w:hAnsi="宋体" w:cs="宋体"/>
          <w:color w:val="auto"/>
          <w:lang w:val="en-US" w:eastAsia="zh-CN" w:bidi="ar"/>
        </w:rPr>
        <w:t>安图县明月镇</w:t>
      </w:r>
    </w:p>
    <w:p w14:paraId="34FF21C9">
      <w:pPr>
        <w:autoSpaceDE w:val="0"/>
        <w:autoSpaceDN w:val="0"/>
        <w:adjustRightInd w:val="0"/>
        <w:spacing w:line="420" w:lineRule="exact"/>
        <w:ind w:right="97" w:rightChars="46" w:firstLine="315" w:firstLineChars="150"/>
        <w:jc w:val="left"/>
        <w:rPr>
          <w:rFonts w:hint="default" w:ascii="宋体" w:hAnsi="宋体" w:eastAsia="宋体" w:cs="宋体"/>
          <w:color w:val="auto"/>
          <w:highlight w:val="none"/>
          <w:lang w:val="en-US" w:eastAsia="zh-CN" w:bidi="ar"/>
        </w:rPr>
      </w:pPr>
      <w:r>
        <w:rPr>
          <w:rFonts w:hint="eastAsia" w:ascii="宋体" w:hAnsi="宋体" w:cs="宋体"/>
          <w:color w:val="auto"/>
          <w:highlight w:val="none"/>
          <w:lang w:bidi="ar"/>
        </w:rPr>
        <w:t>联 系 人：</w:t>
      </w:r>
      <w:r>
        <w:rPr>
          <w:rFonts w:hint="eastAsia" w:ascii="宋体" w:hAnsi="宋体" w:cs="宋体"/>
          <w:color w:val="auto"/>
          <w:highlight w:val="none"/>
          <w:lang w:val="en-US" w:eastAsia="zh-CN" w:bidi="ar"/>
        </w:rPr>
        <w:t>杨斐</w:t>
      </w:r>
    </w:p>
    <w:p w14:paraId="501CEF44">
      <w:pPr>
        <w:autoSpaceDE w:val="0"/>
        <w:autoSpaceDN w:val="0"/>
        <w:adjustRightInd w:val="0"/>
        <w:spacing w:line="420" w:lineRule="exact"/>
        <w:ind w:right="97" w:rightChars="46" w:firstLine="315" w:firstLineChars="150"/>
        <w:jc w:val="left"/>
        <w:rPr>
          <w:rFonts w:hint="default" w:ascii="宋体" w:hAnsi="宋体" w:eastAsia="宋体" w:cs="宋体"/>
          <w:color w:val="auto"/>
          <w:highlight w:val="none"/>
          <w:u w:val="single"/>
          <w:lang w:val="en-US" w:eastAsia="zh-CN" w:bidi="ar"/>
        </w:rPr>
      </w:pPr>
      <w:r>
        <w:rPr>
          <w:rFonts w:hint="eastAsia" w:ascii="宋体" w:hAnsi="宋体" w:cs="宋体"/>
          <w:color w:val="auto"/>
          <w:highlight w:val="none"/>
          <w:lang w:bidi="ar"/>
        </w:rPr>
        <w:t>联系方式：</w:t>
      </w:r>
      <w:r>
        <w:rPr>
          <w:rFonts w:hint="eastAsia" w:ascii="宋体" w:hAnsi="宋体" w:cs="宋体"/>
          <w:color w:val="auto"/>
          <w:highlight w:val="none"/>
          <w:lang w:val="en-US" w:eastAsia="zh-CN" w:bidi="ar"/>
        </w:rPr>
        <w:t>0433-5822113</w:t>
      </w:r>
    </w:p>
    <w:p w14:paraId="54DAC07D">
      <w:pPr>
        <w:autoSpaceDE w:val="0"/>
        <w:autoSpaceDN w:val="0"/>
        <w:adjustRightInd w:val="0"/>
        <w:spacing w:line="420" w:lineRule="exact"/>
        <w:ind w:right="97" w:rightChars="46" w:firstLine="315" w:firstLineChars="150"/>
        <w:jc w:val="left"/>
        <w:rPr>
          <w:rFonts w:hint="eastAsia" w:ascii="宋体" w:hAnsi="宋体" w:cs="宋体"/>
          <w:color w:val="000000"/>
          <w:lang w:bidi="ar"/>
        </w:rPr>
      </w:pPr>
      <w:r>
        <w:rPr>
          <w:rFonts w:hint="eastAsia" w:ascii="宋体" w:hAnsi="宋体" w:cs="宋体"/>
          <w:color w:val="000000"/>
          <w:lang w:bidi="ar"/>
        </w:rPr>
        <w:t>2.采购代理机构信息</w:t>
      </w:r>
    </w:p>
    <w:p w14:paraId="149B7E76">
      <w:pPr>
        <w:autoSpaceDE w:val="0"/>
        <w:autoSpaceDN w:val="0"/>
        <w:adjustRightInd w:val="0"/>
        <w:spacing w:line="420" w:lineRule="exact"/>
        <w:ind w:right="97" w:rightChars="46" w:firstLine="315" w:firstLineChars="150"/>
        <w:jc w:val="left"/>
        <w:rPr>
          <w:rFonts w:hint="default" w:ascii="宋体" w:hAnsi="宋体" w:eastAsia="宋体" w:cs="宋体"/>
          <w:color w:val="000000"/>
          <w:lang w:val="en-US" w:eastAsia="zh-CN" w:bidi="ar"/>
        </w:rPr>
      </w:pPr>
      <w:r>
        <w:rPr>
          <w:rFonts w:hint="eastAsia" w:ascii="宋体" w:hAnsi="宋体" w:cs="宋体"/>
          <w:color w:val="000000"/>
          <w:lang w:bidi="ar"/>
        </w:rPr>
        <w:t>名称：</w:t>
      </w:r>
      <w:r>
        <w:rPr>
          <w:rFonts w:hint="eastAsia" w:ascii="宋体" w:hAnsi="宋体" w:cs="宋体"/>
          <w:color w:val="000000"/>
          <w:lang w:val="en-US" w:eastAsia="zh-CN" w:bidi="ar"/>
        </w:rPr>
        <w:t>吉林省隆元工程管理咨询有限公司</w:t>
      </w:r>
    </w:p>
    <w:p w14:paraId="19F4340E">
      <w:pPr>
        <w:autoSpaceDE w:val="0"/>
        <w:autoSpaceDN w:val="0"/>
        <w:adjustRightInd w:val="0"/>
        <w:spacing w:line="420" w:lineRule="exact"/>
        <w:ind w:right="97" w:rightChars="46" w:firstLine="315" w:firstLineChars="150"/>
        <w:jc w:val="left"/>
        <w:rPr>
          <w:rFonts w:hint="default" w:ascii="宋体" w:hAnsi="宋体" w:eastAsia="宋体" w:cs="宋体"/>
          <w:color w:val="000000"/>
          <w:lang w:val="en-US" w:eastAsia="zh-CN" w:bidi="ar"/>
        </w:rPr>
      </w:pPr>
      <w:r>
        <w:rPr>
          <w:rFonts w:hint="eastAsia" w:ascii="宋体" w:hAnsi="宋体" w:cs="宋体"/>
          <w:color w:val="000000"/>
          <w:lang w:bidi="ar"/>
        </w:rPr>
        <w:t>地址：</w:t>
      </w:r>
      <w:r>
        <w:rPr>
          <w:rFonts w:hint="eastAsia" w:ascii="宋体" w:hAnsi="宋体" w:cs="宋体"/>
          <w:color w:val="000000"/>
          <w:lang w:val="en-US" w:eastAsia="zh-CN" w:bidi="ar"/>
        </w:rPr>
        <w:t>安图县明月镇明月路101号</w:t>
      </w:r>
    </w:p>
    <w:p w14:paraId="48703B39">
      <w:pPr>
        <w:autoSpaceDE w:val="0"/>
        <w:autoSpaceDN w:val="0"/>
        <w:adjustRightInd w:val="0"/>
        <w:spacing w:line="420" w:lineRule="exact"/>
        <w:ind w:right="97" w:rightChars="46" w:firstLine="315" w:firstLineChars="150"/>
        <w:jc w:val="left"/>
        <w:rPr>
          <w:rFonts w:hint="default" w:ascii="宋体" w:hAnsi="宋体" w:eastAsia="宋体" w:cs="宋体"/>
          <w:color w:val="000000"/>
          <w:lang w:val="en-US" w:eastAsia="zh-CN" w:bidi="ar"/>
        </w:rPr>
      </w:pPr>
      <w:r>
        <w:rPr>
          <w:rFonts w:hint="eastAsia" w:ascii="宋体" w:hAnsi="宋体" w:cs="宋体"/>
          <w:color w:val="000000"/>
          <w:lang w:bidi="ar"/>
        </w:rPr>
        <w:t>联系方式：</w:t>
      </w:r>
      <w:r>
        <w:rPr>
          <w:rFonts w:hint="eastAsia" w:ascii="宋体" w:hAnsi="宋体" w:cs="宋体"/>
          <w:color w:val="000000"/>
          <w:lang w:eastAsia="zh-CN" w:bidi="ar"/>
        </w:rPr>
        <w:t>0433</w:t>
      </w:r>
      <w:r>
        <w:rPr>
          <w:rFonts w:hint="eastAsia" w:ascii="宋体" w:hAnsi="宋体" w:cs="宋体"/>
          <w:color w:val="000000"/>
          <w:lang w:val="en-US" w:eastAsia="zh-CN" w:bidi="ar"/>
        </w:rPr>
        <w:t>-5812769</w:t>
      </w:r>
    </w:p>
    <w:p w14:paraId="400FB885">
      <w:pPr>
        <w:autoSpaceDE w:val="0"/>
        <w:autoSpaceDN w:val="0"/>
        <w:adjustRightInd w:val="0"/>
        <w:spacing w:line="420" w:lineRule="exact"/>
        <w:ind w:right="97" w:rightChars="46" w:firstLine="315" w:firstLineChars="150"/>
        <w:jc w:val="left"/>
        <w:rPr>
          <w:rFonts w:hint="eastAsia" w:ascii="宋体" w:hAnsi="宋体" w:cs="宋体"/>
          <w:color w:val="000000"/>
          <w:lang w:bidi="ar"/>
        </w:rPr>
      </w:pPr>
      <w:r>
        <w:rPr>
          <w:rFonts w:hint="eastAsia" w:ascii="宋体" w:hAnsi="宋体" w:cs="宋体"/>
          <w:color w:val="000000"/>
          <w:lang w:bidi="ar"/>
        </w:rPr>
        <w:t>3.项目联系方式</w:t>
      </w:r>
    </w:p>
    <w:p w14:paraId="3EBD27AF">
      <w:pPr>
        <w:autoSpaceDE w:val="0"/>
        <w:autoSpaceDN w:val="0"/>
        <w:adjustRightInd w:val="0"/>
        <w:spacing w:line="420" w:lineRule="exact"/>
        <w:ind w:right="97" w:rightChars="46" w:firstLine="315" w:firstLineChars="150"/>
        <w:jc w:val="left"/>
        <w:rPr>
          <w:rFonts w:hint="default" w:ascii="宋体" w:hAnsi="宋体" w:eastAsia="宋体" w:cs="宋体"/>
          <w:color w:val="000000"/>
          <w:lang w:val="en-US" w:eastAsia="zh-CN" w:bidi="ar"/>
        </w:rPr>
      </w:pPr>
      <w:r>
        <w:rPr>
          <w:rFonts w:hint="eastAsia" w:ascii="宋体" w:hAnsi="宋体" w:cs="宋体"/>
          <w:color w:val="000000"/>
          <w:lang w:bidi="ar"/>
        </w:rPr>
        <w:t>项目联系人：</w:t>
      </w:r>
      <w:r>
        <w:rPr>
          <w:rFonts w:hint="eastAsia" w:ascii="宋体" w:hAnsi="宋体" w:cs="宋体"/>
          <w:color w:val="000000"/>
          <w:lang w:val="en-US" w:eastAsia="zh-CN" w:bidi="ar"/>
        </w:rPr>
        <w:t>王怀成</w:t>
      </w:r>
    </w:p>
    <w:p w14:paraId="0BEF3DD1">
      <w:pPr>
        <w:autoSpaceDE w:val="0"/>
        <w:autoSpaceDN w:val="0"/>
        <w:adjustRightInd w:val="0"/>
        <w:spacing w:line="420" w:lineRule="exact"/>
        <w:ind w:right="97" w:rightChars="46" w:firstLine="315" w:firstLineChars="150"/>
        <w:jc w:val="left"/>
        <w:rPr>
          <w:rFonts w:hint="default" w:ascii="宋体" w:hAnsi="宋体" w:eastAsia="宋体" w:cs="宋体"/>
          <w:color w:val="000000"/>
          <w:lang w:val="en-US" w:eastAsia="zh-CN" w:bidi="ar"/>
        </w:rPr>
      </w:pPr>
      <w:r>
        <w:rPr>
          <w:rFonts w:hint="eastAsia" w:ascii="宋体" w:hAnsi="宋体" w:cs="宋体"/>
          <w:color w:val="000000"/>
          <w:lang w:bidi="ar"/>
        </w:rPr>
        <w:t>电话：</w:t>
      </w:r>
      <w:r>
        <w:rPr>
          <w:rFonts w:hint="eastAsia" w:ascii="宋体" w:hAnsi="宋体" w:cs="宋体"/>
          <w:color w:val="000000"/>
          <w:lang w:eastAsia="zh-CN" w:bidi="ar"/>
        </w:rPr>
        <w:t>0433</w:t>
      </w:r>
      <w:r>
        <w:rPr>
          <w:rFonts w:hint="eastAsia" w:ascii="宋体" w:hAnsi="宋体" w:cs="宋体"/>
          <w:color w:val="000000"/>
          <w:lang w:val="en-US" w:eastAsia="zh-CN" w:bidi="ar"/>
        </w:rPr>
        <w:t>-5812769</w:t>
      </w:r>
    </w:p>
    <w:p w14:paraId="11B4E7A1">
      <w:pPr>
        <w:autoSpaceDE w:val="0"/>
        <w:autoSpaceDN w:val="0"/>
        <w:adjustRightInd w:val="0"/>
        <w:spacing w:line="420" w:lineRule="exact"/>
        <w:ind w:right="97" w:rightChars="46" w:firstLine="315" w:firstLineChars="150"/>
        <w:jc w:val="left"/>
        <w:rPr>
          <w:rFonts w:hint="default" w:ascii="宋体" w:hAnsi="宋体" w:cs="宋体"/>
          <w:color w:val="000000"/>
          <w:lang w:val="en-US" w:bidi="ar"/>
        </w:rPr>
      </w:pPr>
      <w:r>
        <w:rPr>
          <w:rFonts w:hint="eastAsia" w:ascii="宋体" w:hAnsi="宋体" w:cs="宋体"/>
          <w:color w:val="000000"/>
          <w:lang w:bidi="ar"/>
        </w:rPr>
        <w:t>5</w:t>
      </w:r>
      <w:r>
        <w:rPr>
          <w:rFonts w:hint="eastAsia" w:ascii="宋体" w:hAnsi="宋体" w:cs="宋体"/>
          <w:color w:val="000000"/>
          <w:lang w:val="zh-CN" w:bidi="ar"/>
        </w:rPr>
        <w:t>.监督管理部门：</w:t>
      </w:r>
      <w:r>
        <w:rPr>
          <w:rFonts w:hint="eastAsia" w:ascii="宋体" w:hAnsi="宋体" w:cs="宋体"/>
          <w:color w:val="000000"/>
          <w:lang w:val="en-US" w:eastAsia="zh-CN" w:bidi="ar"/>
        </w:rPr>
        <w:t>安图县财政局采购监督管理办公室</w:t>
      </w:r>
    </w:p>
    <w:p w14:paraId="675EE482">
      <w:pPr>
        <w:autoSpaceDE w:val="0"/>
        <w:autoSpaceDN w:val="0"/>
        <w:adjustRightInd w:val="0"/>
        <w:spacing w:before="120" w:beforeLines="50" w:after="120" w:afterLines="50"/>
        <w:ind w:firstLine="420" w:firstLineChars="200"/>
        <w:jc w:val="left"/>
        <w:rPr>
          <w:rFonts w:hint="eastAsia" w:ascii="宋体" w:hAnsi="宋体" w:cs="宋体"/>
          <w:color w:val="000000"/>
          <w:lang w:val="zh-CN"/>
        </w:rPr>
      </w:pPr>
    </w:p>
    <w:p w14:paraId="0552DCB4">
      <w:pPr>
        <w:spacing w:line="360" w:lineRule="auto"/>
        <w:ind w:right="480" w:firstLine="4410" w:firstLineChars="2100"/>
        <w:rPr>
          <w:rFonts w:hint="eastAsia" w:ascii="宋体" w:hAnsi="宋体" w:cs="宋体"/>
          <w:color w:val="000000"/>
          <w:lang w:val="zh-CN"/>
        </w:rPr>
      </w:pPr>
      <w:r>
        <w:rPr>
          <w:rFonts w:hint="eastAsia" w:ascii="宋体" w:hAnsi="宋体" w:cs="宋体"/>
          <w:color w:val="000000"/>
          <w:lang w:val="zh-CN"/>
        </w:rPr>
        <w:t>吉林省降元工程管理咨询有限公司</w:t>
      </w:r>
    </w:p>
    <w:p w14:paraId="715EA4DA">
      <w:pPr>
        <w:jc w:val="center"/>
        <w:rPr>
          <w:rFonts w:hint="eastAsia" w:ascii="宋体" w:hAnsi="宋体" w:cs="宋体"/>
          <w:color w:val="auto"/>
          <w:highlight w:val="none"/>
          <w:lang w:val="zh-CN"/>
        </w:rPr>
      </w:pPr>
      <w:bookmarkStart w:id="2" w:name="_Toc32728"/>
      <w:r>
        <w:rPr>
          <w:rFonts w:hint="eastAsia" w:ascii="宋体" w:hAnsi="宋体" w:cs="宋体"/>
          <w:color w:val="auto"/>
        </w:rPr>
        <w:t xml:space="preserve">    </w:t>
      </w:r>
      <w:r>
        <w:rPr>
          <w:rFonts w:hint="eastAsia" w:ascii="宋体" w:hAnsi="宋体" w:cs="宋体"/>
          <w:color w:val="auto"/>
          <w:highlight w:val="none"/>
        </w:rPr>
        <w:t xml:space="preserve"> </w:t>
      </w:r>
      <w:r>
        <w:rPr>
          <w:rFonts w:hint="eastAsia" w:ascii="宋体" w:hAnsi="宋体" w:cs="宋体"/>
          <w:color w:val="auto"/>
          <w:highlight w:val="none"/>
          <w:lang w:val="en-US" w:eastAsia="zh-CN"/>
        </w:rPr>
        <w:t xml:space="preserve">                                 </w:t>
      </w:r>
      <w:r>
        <w:rPr>
          <w:rFonts w:hint="eastAsia" w:ascii="宋体" w:hAnsi="宋体" w:cs="宋体"/>
          <w:color w:val="auto"/>
          <w:highlight w:val="none"/>
          <w:lang w:val="zh-CN"/>
        </w:rPr>
        <w:t>202</w:t>
      </w:r>
      <w:r>
        <w:rPr>
          <w:rFonts w:hint="eastAsia" w:ascii="宋体" w:hAnsi="宋体" w:cs="宋体"/>
          <w:color w:val="auto"/>
          <w:highlight w:val="none"/>
          <w:lang w:val="en-US" w:eastAsia="zh-CN"/>
        </w:rPr>
        <w:t>5</w:t>
      </w:r>
      <w:r>
        <w:rPr>
          <w:rFonts w:hint="eastAsia" w:ascii="宋体" w:hAnsi="宋体" w:cs="宋体"/>
          <w:color w:val="auto"/>
          <w:highlight w:val="none"/>
          <w:lang w:val="zh-CN"/>
        </w:rPr>
        <w:t>年</w:t>
      </w:r>
      <w:r>
        <w:rPr>
          <w:rFonts w:hint="eastAsia" w:ascii="宋体" w:hAnsi="宋体" w:cs="宋体"/>
          <w:color w:val="auto"/>
          <w:highlight w:val="none"/>
          <w:lang w:val="en-US" w:eastAsia="zh-CN"/>
        </w:rPr>
        <w:t>4</w:t>
      </w:r>
      <w:r>
        <w:rPr>
          <w:rFonts w:hint="eastAsia" w:ascii="宋体" w:hAnsi="宋体" w:cs="宋体"/>
          <w:color w:val="auto"/>
          <w:highlight w:val="none"/>
          <w:lang w:val="zh-CN"/>
        </w:rPr>
        <w:t>月</w:t>
      </w:r>
      <w:r>
        <w:rPr>
          <w:rFonts w:hint="eastAsia" w:ascii="宋体" w:hAnsi="宋体" w:cs="宋体"/>
          <w:color w:val="auto"/>
          <w:highlight w:val="none"/>
          <w:lang w:val="en-US" w:eastAsia="zh-CN"/>
        </w:rPr>
        <w:t>7</w:t>
      </w:r>
      <w:r>
        <w:rPr>
          <w:rFonts w:hint="eastAsia" w:ascii="宋体" w:hAnsi="宋体" w:cs="宋体"/>
          <w:color w:val="auto"/>
          <w:highlight w:val="none"/>
          <w:lang w:val="zh-CN"/>
        </w:rPr>
        <w:t>日</w:t>
      </w:r>
      <w:bookmarkEnd w:id="2"/>
    </w:p>
    <w:p w14:paraId="3B100840">
      <w:pPr>
        <w:jc w:val="center"/>
        <w:rPr>
          <w:rFonts w:hint="eastAsia" w:ascii="宋体" w:hAnsi="宋体" w:cs="宋体"/>
          <w:color w:val="auto"/>
          <w:highlight w:val="none"/>
          <w:lang w:val="zh-CN"/>
        </w:rPr>
      </w:pPr>
    </w:p>
    <w:p w14:paraId="3EFB8FB8">
      <w:pPr>
        <w:jc w:val="center"/>
        <w:rPr>
          <w:rFonts w:hint="eastAsia" w:ascii="宋体" w:hAnsi="宋体" w:cs="宋体"/>
          <w:color w:val="auto"/>
          <w:highlight w:val="none"/>
          <w:lang w:val="zh-CN"/>
        </w:rPr>
      </w:pPr>
    </w:p>
    <w:p w14:paraId="7F088666">
      <w:pPr>
        <w:jc w:val="center"/>
        <w:rPr>
          <w:rFonts w:hint="eastAsia" w:ascii="宋体" w:hAnsi="宋体" w:cs="宋体"/>
          <w:color w:val="auto"/>
          <w:highlight w:val="none"/>
          <w:lang w:val="zh-CN"/>
        </w:rPr>
      </w:pPr>
    </w:p>
    <w:p w14:paraId="517AC705">
      <w:pPr>
        <w:jc w:val="center"/>
        <w:rPr>
          <w:rFonts w:hint="eastAsia" w:ascii="宋体" w:hAnsi="宋体" w:cs="宋体"/>
          <w:color w:val="auto"/>
          <w:highlight w:val="none"/>
          <w:lang w:val="zh-CN"/>
        </w:rPr>
      </w:pPr>
    </w:p>
    <w:p w14:paraId="5A013407">
      <w:pPr>
        <w:jc w:val="center"/>
        <w:rPr>
          <w:rFonts w:hint="eastAsia" w:ascii="宋体" w:hAnsi="宋体" w:cs="宋体"/>
          <w:color w:val="auto"/>
          <w:highlight w:val="none"/>
          <w:lang w:val="zh-CN"/>
        </w:rPr>
      </w:pPr>
    </w:p>
    <w:p w14:paraId="331A473A">
      <w:pPr>
        <w:jc w:val="center"/>
        <w:rPr>
          <w:rFonts w:hint="eastAsia" w:ascii="宋体" w:hAnsi="宋体" w:cs="宋体"/>
          <w:color w:val="auto"/>
          <w:highlight w:val="none"/>
          <w:lang w:val="zh-CN"/>
        </w:rPr>
      </w:pPr>
    </w:p>
    <w:p w14:paraId="7B0E1E5E">
      <w:pPr>
        <w:jc w:val="center"/>
        <w:rPr>
          <w:rFonts w:hint="eastAsia" w:ascii="宋体" w:hAnsi="宋体" w:cs="宋体"/>
          <w:color w:val="auto"/>
          <w:highlight w:val="none"/>
          <w:lang w:val="zh-CN"/>
        </w:rPr>
      </w:pPr>
    </w:p>
    <w:p w14:paraId="6FDD5EEF">
      <w:pPr>
        <w:jc w:val="center"/>
        <w:rPr>
          <w:rFonts w:hint="eastAsia" w:ascii="宋体" w:hAnsi="宋体" w:cs="宋体"/>
          <w:color w:val="auto"/>
          <w:highlight w:val="none"/>
          <w:lang w:val="zh-CN"/>
        </w:rPr>
      </w:pPr>
    </w:p>
    <w:p w14:paraId="3533807D">
      <w:pPr>
        <w:jc w:val="center"/>
        <w:rPr>
          <w:rFonts w:hint="eastAsia" w:ascii="宋体" w:hAnsi="宋体" w:cs="宋体"/>
          <w:color w:val="auto"/>
          <w:highlight w:val="none"/>
          <w:lang w:val="zh-CN"/>
        </w:rPr>
      </w:pPr>
    </w:p>
    <w:p w14:paraId="6EDC9737">
      <w:pPr>
        <w:jc w:val="center"/>
        <w:rPr>
          <w:rFonts w:hint="eastAsia" w:ascii="宋体" w:hAnsi="宋体" w:cs="宋体"/>
          <w:color w:val="auto"/>
          <w:highlight w:val="none"/>
          <w:lang w:val="zh-CN"/>
        </w:rPr>
      </w:pPr>
    </w:p>
    <w:p w14:paraId="0B4E3064">
      <w:pPr>
        <w:jc w:val="center"/>
        <w:rPr>
          <w:rFonts w:hint="eastAsia" w:ascii="宋体" w:hAnsi="宋体" w:cs="宋体"/>
          <w:color w:val="auto"/>
          <w:highlight w:val="none"/>
          <w:lang w:val="zh-CN"/>
        </w:rPr>
      </w:pPr>
    </w:p>
    <w:p w14:paraId="2EB6CDE1">
      <w:pPr>
        <w:jc w:val="center"/>
        <w:rPr>
          <w:rFonts w:hint="eastAsia" w:ascii="宋体" w:hAnsi="宋体" w:cs="宋体"/>
          <w:color w:val="auto"/>
          <w:highlight w:val="none"/>
          <w:lang w:val="zh-CN"/>
        </w:rPr>
      </w:pPr>
    </w:p>
    <w:p w14:paraId="6B59DCBA">
      <w:pPr>
        <w:jc w:val="center"/>
        <w:rPr>
          <w:rFonts w:hint="eastAsia" w:ascii="宋体" w:hAnsi="宋体" w:cs="宋体"/>
          <w:color w:val="auto"/>
          <w:highlight w:val="none"/>
          <w:lang w:val="zh-CN"/>
        </w:rPr>
      </w:pPr>
    </w:p>
    <w:p w14:paraId="397E49FB">
      <w:pPr>
        <w:jc w:val="center"/>
        <w:rPr>
          <w:rFonts w:hint="eastAsia" w:ascii="宋体" w:hAnsi="宋体" w:cs="宋体"/>
          <w:color w:val="auto"/>
          <w:highlight w:val="none"/>
          <w:lang w:val="zh-CN"/>
        </w:rPr>
      </w:pPr>
    </w:p>
    <w:p w14:paraId="68D49C3A">
      <w:pPr>
        <w:jc w:val="center"/>
        <w:rPr>
          <w:rFonts w:hint="eastAsia" w:ascii="宋体" w:hAnsi="宋体" w:cs="宋体"/>
          <w:color w:val="auto"/>
          <w:highlight w:val="none"/>
          <w:lang w:val="zh-CN"/>
        </w:rPr>
      </w:pPr>
    </w:p>
    <w:p w14:paraId="74E64C9C">
      <w:pPr>
        <w:jc w:val="center"/>
        <w:rPr>
          <w:rFonts w:hint="eastAsia" w:ascii="宋体" w:hAnsi="宋体" w:cs="宋体"/>
          <w:color w:val="auto"/>
          <w:highlight w:val="none"/>
          <w:lang w:val="zh-CN"/>
        </w:rPr>
      </w:pPr>
    </w:p>
    <w:p w14:paraId="6AADD6C3">
      <w:pPr>
        <w:jc w:val="center"/>
        <w:rPr>
          <w:rFonts w:hint="eastAsia" w:ascii="宋体" w:hAnsi="宋体" w:cs="宋体"/>
          <w:color w:val="auto"/>
          <w:highlight w:val="none"/>
          <w:lang w:val="zh-CN"/>
        </w:rPr>
      </w:pPr>
    </w:p>
    <w:p w14:paraId="59DF9E70">
      <w:pPr>
        <w:jc w:val="center"/>
        <w:rPr>
          <w:rFonts w:hint="eastAsia" w:ascii="宋体" w:hAnsi="宋体" w:cs="宋体"/>
          <w:color w:val="auto"/>
          <w:highlight w:val="none"/>
          <w:lang w:val="zh-CN"/>
        </w:rPr>
      </w:pPr>
    </w:p>
    <w:p w14:paraId="4C72CFF6">
      <w:pPr>
        <w:jc w:val="center"/>
        <w:rPr>
          <w:rFonts w:hint="eastAsia" w:ascii="宋体" w:hAnsi="宋体" w:cs="宋体"/>
          <w:color w:val="auto"/>
          <w:highlight w:val="none"/>
          <w:lang w:val="zh-CN"/>
        </w:rPr>
      </w:pPr>
    </w:p>
    <w:p w14:paraId="64560D21">
      <w:pPr>
        <w:jc w:val="center"/>
        <w:rPr>
          <w:rFonts w:hint="eastAsia" w:ascii="宋体" w:hAnsi="宋体" w:cs="宋体"/>
          <w:color w:val="auto"/>
          <w:highlight w:val="none"/>
          <w:lang w:val="zh-CN"/>
        </w:rPr>
      </w:pPr>
    </w:p>
    <w:p w14:paraId="42116618">
      <w:pPr>
        <w:jc w:val="center"/>
        <w:rPr>
          <w:rFonts w:hint="eastAsia" w:ascii="宋体" w:hAnsi="宋体" w:cs="宋体"/>
          <w:color w:val="auto"/>
          <w:highlight w:val="none"/>
          <w:lang w:val="zh-CN"/>
        </w:rPr>
      </w:pPr>
    </w:p>
    <w:p w14:paraId="0A6208BC"/>
    <w:p w14:paraId="73C0DFD9">
      <w:pPr>
        <w:pStyle w:val="4"/>
        <w:jc w:val="center"/>
      </w:pPr>
      <w:r>
        <w:rPr>
          <w:sz w:val="30"/>
          <w:szCs w:val="30"/>
        </w:rPr>
        <w:t>第二章</w:t>
      </w:r>
      <w:r>
        <w:rPr>
          <w:rFonts w:hint="eastAsia"/>
        </w:rPr>
        <w:t>供应商须知</w:t>
      </w:r>
      <w:bookmarkEnd w:id="1"/>
    </w:p>
    <w:p w14:paraId="1C5B47E6">
      <w:pPr>
        <w:jc w:val="center"/>
        <w:rPr>
          <w:rFonts w:ascii="宋体" w:hAnsi="宋体"/>
          <w:b/>
          <w:bCs/>
          <w:sz w:val="26"/>
        </w:rPr>
      </w:pPr>
      <w:bookmarkStart w:id="3" w:name="_Toc28831"/>
      <w:r>
        <w:rPr>
          <w:rFonts w:hint="eastAsia" w:ascii="宋体" w:hAnsi="宋体"/>
          <w:b/>
          <w:bCs/>
          <w:sz w:val="26"/>
        </w:rPr>
        <w:t>供应商须知前附表</w:t>
      </w:r>
      <w:bookmarkEnd w:id="3"/>
    </w:p>
    <w:tbl>
      <w:tblPr>
        <w:tblStyle w:val="22"/>
        <w:tblW w:w="90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2080"/>
        <w:gridCol w:w="6116"/>
      </w:tblGrid>
      <w:tr w14:paraId="24088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4DC62912">
            <w:pPr>
              <w:spacing w:line="360" w:lineRule="auto"/>
              <w:rPr>
                <w:rFonts w:ascii="宋体" w:hAnsi="宋体"/>
                <w:szCs w:val="21"/>
              </w:rPr>
            </w:pPr>
            <w:r>
              <w:rPr>
                <w:rFonts w:hint="eastAsia" w:ascii="宋体" w:hAnsi="宋体"/>
                <w:szCs w:val="21"/>
              </w:rPr>
              <w:t>条款号</w:t>
            </w:r>
          </w:p>
        </w:tc>
        <w:tc>
          <w:tcPr>
            <w:tcW w:w="2080" w:type="dxa"/>
            <w:vAlign w:val="center"/>
          </w:tcPr>
          <w:p w14:paraId="0A74A556">
            <w:pPr>
              <w:spacing w:line="360" w:lineRule="auto"/>
              <w:rPr>
                <w:rFonts w:ascii="宋体" w:hAnsi="宋体"/>
                <w:szCs w:val="21"/>
              </w:rPr>
            </w:pPr>
            <w:r>
              <w:rPr>
                <w:rFonts w:hint="eastAsia" w:ascii="宋体" w:hAnsi="宋体"/>
                <w:szCs w:val="21"/>
              </w:rPr>
              <w:t>条  款  名  称</w:t>
            </w:r>
          </w:p>
        </w:tc>
        <w:tc>
          <w:tcPr>
            <w:tcW w:w="6116" w:type="dxa"/>
            <w:vAlign w:val="center"/>
          </w:tcPr>
          <w:p w14:paraId="5A07D5DD">
            <w:pPr>
              <w:spacing w:line="360" w:lineRule="auto"/>
              <w:rPr>
                <w:rFonts w:ascii="宋体" w:hAnsi="宋体"/>
                <w:szCs w:val="21"/>
              </w:rPr>
            </w:pPr>
            <w:r>
              <w:rPr>
                <w:rFonts w:hint="eastAsia" w:ascii="宋体" w:hAnsi="宋体"/>
                <w:szCs w:val="21"/>
              </w:rPr>
              <w:t>编  列  内  容</w:t>
            </w:r>
          </w:p>
        </w:tc>
      </w:tr>
      <w:tr w14:paraId="19BCB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shd w:val="clear" w:color="auto" w:fill="auto"/>
            <w:vAlign w:val="center"/>
          </w:tcPr>
          <w:p w14:paraId="56CC37A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1.1.1</w:t>
            </w:r>
          </w:p>
        </w:tc>
        <w:tc>
          <w:tcPr>
            <w:tcW w:w="2080" w:type="dxa"/>
            <w:shd w:val="clear" w:color="auto" w:fill="auto"/>
            <w:vAlign w:val="center"/>
          </w:tcPr>
          <w:p w14:paraId="6573447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采购人</w:t>
            </w:r>
          </w:p>
        </w:tc>
        <w:tc>
          <w:tcPr>
            <w:tcW w:w="6116" w:type="dxa"/>
            <w:shd w:val="clear" w:color="auto" w:fill="FFFFFF"/>
            <w:vAlign w:val="center"/>
          </w:tcPr>
          <w:p w14:paraId="583FFA43">
            <w:pPr>
              <w:keepNext w:val="0"/>
              <w:keepLines w:val="0"/>
              <w:pageBreakBefore w:val="0"/>
              <w:kinsoku/>
              <w:wordWrap/>
              <w:overflowPunct/>
              <w:topLinePunct w:val="0"/>
              <w:bidi w:val="0"/>
              <w:adjustRightInd/>
              <w:snapToGrid/>
              <w:spacing w:line="320" w:lineRule="exact"/>
              <w:textAlignment w:val="auto"/>
              <w:rPr>
                <w:rFonts w:hint="eastAsia" w:eastAsia="宋体"/>
                <w:sz w:val="21"/>
                <w:szCs w:val="21"/>
                <w:lang w:eastAsia="zh-CN"/>
              </w:rPr>
            </w:pPr>
            <w:r>
              <w:rPr>
                <w:rFonts w:hint="eastAsia"/>
                <w:sz w:val="21"/>
                <w:szCs w:val="21"/>
              </w:rPr>
              <w:t>招标人：</w:t>
            </w:r>
            <w:r>
              <w:rPr>
                <w:rFonts w:hint="eastAsia"/>
                <w:sz w:val="21"/>
                <w:szCs w:val="21"/>
                <w:lang w:eastAsia="zh-CN"/>
              </w:rPr>
              <w:t>安图县自然资源和林业局</w:t>
            </w:r>
          </w:p>
          <w:p w14:paraId="76E31839">
            <w:pPr>
              <w:keepNext w:val="0"/>
              <w:keepLines w:val="0"/>
              <w:pageBreakBefore w:val="0"/>
              <w:kinsoku/>
              <w:wordWrap/>
              <w:overflowPunct/>
              <w:topLinePunct w:val="0"/>
              <w:bidi w:val="0"/>
              <w:adjustRightInd/>
              <w:snapToGrid/>
              <w:spacing w:line="320" w:lineRule="exact"/>
              <w:textAlignment w:val="auto"/>
              <w:rPr>
                <w:rFonts w:hint="default"/>
                <w:sz w:val="21"/>
                <w:szCs w:val="21"/>
                <w:lang w:val="en-US"/>
              </w:rPr>
            </w:pPr>
            <w:r>
              <w:rPr>
                <w:rFonts w:hint="eastAsia"/>
                <w:sz w:val="21"/>
                <w:szCs w:val="21"/>
              </w:rPr>
              <w:t>地  址：</w:t>
            </w:r>
            <w:r>
              <w:rPr>
                <w:rFonts w:hint="eastAsia" w:ascii="宋体" w:hAnsi="宋体" w:cs="宋体"/>
                <w:bCs/>
                <w:color w:val="0C0C0C"/>
                <w:sz w:val="21"/>
                <w:szCs w:val="21"/>
                <w:lang w:val="en-US" w:eastAsia="zh-CN"/>
              </w:rPr>
              <w:t>安图县明月镇</w:t>
            </w:r>
          </w:p>
          <w:p w14:paraId="395339FD">
            <w:pPr>
              <w:keepNext w:val="0"/>
              <w:keepLines w:val="0"/>
              <w:pageBreakBefore w:val="0"/>
              <w:kinsoku/>
              <w:wordWrap/>
              <w:overflowPunct/>
              <w:topLinePunct w:val="0"/>
              <w:bidi w:val="0"/>
              <w:adjustRightInd/>
              <w:snapToGrid/>
              <w:spacing w:line="320" w:lineRule="exact"/>
              <w:textAlignment w:val="auto"/>
              <w:rPr>
                <w:rFonts w:hint="eastAsia" w:eastAsia="宋体"/>
                <w:sz w:val="21"/>
                <w:szCs w:val="21"/>
                <w:lang w:eastAsia="zh-CN"/>
              </w:rPr>
            </w:pPr>
            <w:r>
              <w:rPr>
                <w:rFonts w:hint="eastAsia"/>
                <w:sz w:val="21"/>
                <w:szCs w:val="21"/>
              </w:rPr>
              <w:t>联系人：</w:t>
            </w:r>
            <w:r>
              <w:rPr>
                <w:rFonts w:hint="eastAsia"/>
                <w:sz w:val="21"/>
                <w:szCs w:val="21"/>
                <w:lang w:eastAsia="zh-CN"/>
              </w:rPr>
              <w:t>杨斐</w:t>
            </w:r>
          </w:p>
          <w:p w14:paraId="3B6BC014">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sz w:val="21"/>
                <w:szCs w:val="21"/>
                <w:highlight w:val="yellow"/>
                <w:lang w:eastAsia="zh-CN"/>
              </w:rPr>
            </w:pPr>
            <w:r>
              <w:rPr>
                <w:rFonts w:hint="eastAsia"/>
                <w:sz w:val="21"/>
                <w:szCs w:val="21"/>
              </w:rPr>
              <w:t>联系电话：</w:t>
            </w:r>
            <w:r>
              <w:rPr>
                <w:rFonts w:hint="eastAsia"/>
                <w:sz w:val="21"/>
                <w:szCs w:val="21"/>
                <w:lang w:eastAsia="zh-CN"/>
              </w:rPr>
              <w:t>0433-5822113</w:t>
            </w:r>
          </w:p>
        </w:tc>
      </w:tr>
      <w:tr w14:paraId="4CFF4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897" w:type="dxa"/>
            <w:vAlign w:val="center"/>
          </w:tcPr>
          <w:p w14:paraId="4BA73B6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1.1.2</w:t>
            </w:r>
          </w:p>
        </w:tc>
        <w:tc>
          <w:tcPr>
            <w:tcW w:w="2080" w:type="dxa"/>
            <w:vAlign w:val="center"/>
          </w:tcPr>
          <w:p w14:paraId="2503F09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采购代理机构</w:t>
            </w:r>
          </w:p>
        </w:tc>
        <w:tc>
          <w:tcPr>
            <w:tcW w:w="6116" w:type="dxa"/>
            <w:vAlign w:val="center"/>
          </w:tcPr>
          <w:p w14:paraId="2E6541C4">
            <w:pPr>
              <w:keepNext w:val="0"/>
              <w:keepLines w:val="0"/>
              <w:pageBreakBefore w:val="0"/>
              <w:kinsoku/>
              <w:wordWrap/>
              <w:overflowPunct/>
              <w:topLinePunct w:val="0"/>
              <w:autoSpaceDE w:val="0"/>
              <w:autoSpaceDN w:val="0"/>
              <w:bidi w:val="0"/>
              <w:adjustRightInd/>
              <w:snapToGrid/>
              <w:spacing w:line="320" w:lineRule="exact"/>
              <w:jc w:val="left"/>
              <w:textAlignment w:val="auto"/>
              <w:rPr>
                <w:rFonts w:ascii="宋体" w:hAnsi="宋体"/>
                <w:sz w:val="21"/>
                <w:szCs w:val="21"/>
                <w:lang w:val="zh-CN"/>
              </w:rPr>
            </w:pPr>
            <w:r>
              <w:rPr>
                <w:rFonts w:hint="eastAsia" w:ascii="宋体" w:hAnsi="宋体"/>
                <w:sz w:val="21"/>
                <w:szCs w:val="21"/>
                <w:lang w:val="zh-CN"/>
              </w:rPr>
              <w:t>招标代理机构：吉林省隆元工程管理咨询有限公司</w:t>
            </w:r>
          </w:p>
          <w:p w14:paraId="500552F0">
            <w:pPr>
              <w:keepNext w:val="0"/>
              <w:keepLines w:val="0"/>
              <w:pageBreakBefore w:val="0"/>
              <w:kinsoku/>
              <w:wordWrap/>
              <w:overflowPunct/>
              <w:topLinePunct w:val="0"/>
              <w:autoSpaceDE w:val="0"/>
              <w:autoSpaceDN w:val="0"/>
              <w:bidi w:val="0"/>
              <w:adjustRightInd/>
              <w:snapToGrid/>
              <w:spacing w:line="320" w:lineRule="exact"/>
              <w:jc w:val="left"/>
              <w:textAlignment w:val="auto"/>
              <w:rPr>
                <w:rFonts w:ascii="宋体" w:hAnsi="宋体"/>
                <w:sz w:val="21"/>
                <w:szCs w:val="21"/>
                <w:lang w:val="zh-CN"/>
              </w:rPr>
            </w:pPr>
            <w:r>
              <w:rPr>
                <w:rFonts w:hint="eastAsia" w:ascii="宋体" w:hAnsi="宋体"/>
                <w:sz w:val="21"/>
                <w:szCs w:val="21"/>
                <w:lang w:val="zh-CN"/>
              </w:rPr>
              <w:t xml:space="preserve">地址：吉林省安图县明月镇明月路101号  </w:t>
            </w:r>
          </w:p>
          <w:p w14:paraId="09EB31F2">
            <w:pPr>
              <w:keepNext w:val="0"/>
              <w:keepLines w:val="0"/>
              <w:pageBreakBefore w:val="0"/>
              <w:kinsoku/>
              <w:wordWrap/>
              <w:overflowPunct/>
              <w:topLinePunct w:val="0"/>
              <w:autoSpaceDE w:val="0"/>
              <w:autoSpaceDN w:val="0"/>
              <w:bidi w:val="0"/>
              <w:adjustRightInd/>
              <w:snapToGrid/>
              <w:spacing w:line="320" w:lineRule="exact"/>
              <w:jc w:val="left"/>
              <w:textAlignment w:val="auto"/>
              <w:rPr>
                <w:rFonts w:ascii="宋体" w:hAnsi="宋体"/>
                <w:sz w:val="21"/>
                <w:szCs w:val="21"/>
                <w:lang w:val="zh-CN"/>
              </w:rPr>
            </w:pPr>
            <w:r>
              <w:rPr>
                <w:rFonts w:hint="eastAsia" w:ascii="宋体" w:hAnsi="宋体"/>
                <w:sz w:val="21"/>
                <w:szCs w:val="21"/>
                <w:lang w:val="zh-CN"/>
              </w:rPr>
              <w:t>联系人：王怀成</w:t>
            </w:r>
          </w:p>
          <w:p w14:paraId="0B69EBBF">
            <w:pPr>
              <w:keepNext w:val="0"/>
              <w:keepLines w:val="0"/>
              <w:pageBreakBefore w:val="0"/>
              <w:kinsoku/>
              <w:wordWrap/>
              <w:overflowPunct/>
              <w:topLinePunct w:val="0"/>
              <w:bidi w:val="0"/>
              <w:adjustRightInd/>
              <w:snapToGrid/>
              <w:spacing w:line="320" w:lineRule="exact"/>
              <w:jc w:val="left"/>
              <w:textAlignment w:val="auto"/>
              <w:rPr>
                <w:rFonts w:ascii="宋体" w:hAnsi="宋体"/>
                <w:sz w:val="21"/>
                <w:szCs w:val="21"/>
                <w:lang w:val="zh-CN"/>
              </w:rPr>
            </w:pPr>
            <w:r>
              <w:rPr>
                <w:rFonts w:hint="eastAsia" w:ascii="宋体" w:hAnsi="宋体"/>
                <w:sz w:val="21"/>
                <w:szCs w:val="21"/>
                <w:lang w:val="zh-CN"/>
              </w:rPr>
              <w:t>联系电话：0433-5812769</w:t>
            </w:r>
          </w:p>
        </w:tc>
      </w:tr>
      <w:tr w14:paraId="2B765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897" w:type="dxa"/>
            <w:vAlign w:val="center"/>
          </w:tcPr>
          <w:p w14:paraId="6F2DDB6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1.1.3</w:t>
            </w:r>
          </w:p>
        </w:tc>
        <w:tc>
          <w:tcPr>
            <w:tcW w:w="2080" w:type="dxa"/>
            <w:vAlign w:val="center"/>
          </w:tcPr>
          <w:p w14:paraId="02B2263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项目名称</w:t>
            </w:r>
          </w:p>
        </w:tc>
        <w:tc>
          <w:tcPr>
            <w:tcW w:w="6116" w:type="dxa"/>
            <w:vAlign w:val="center"/>
          </w:tcPr>
          <w:p w14:paraId="64EE2023">
            <w:pPr>
              <w:keepNext w:val="0"/>
              <w:keepLines w:val="0"/>
              <w:pageBreakBefore w:val="0"/>
              <w:kinsoku/>
              <w:wordWrap/>
              <w:overflowPunct/>
              <w:topLinePunct w:val="0"/>
              <w:bidi w:val="0"/>
              <w:adjustRightInd/>
              <w:snapToGrid/>
              <w:spacing w:line="320" w:lineRule="exact"/>
              <w:textAlignment w:val="auto"/>
              <w:rPr>
                <w:rFonts w:hint="eastAsia" w:eastAsia="宋体"/>
                <w:sz w:val="21"/>
                <w:szCs w:val="21"/>
                <w:lang w:eastAsia="zh-CN"/>
              </w:rPr>
            </w:pPr>
            <w:r>
              <w:rPr>
                <w:rFonts w:hint="eastAsia"/>
                <w:sz w:val="21"/>
                <w:szCs w:val="21"/>
                <w:lang w:eastAsia="zh-CN"/>
              </w:rPr>
              <w:t>2024年度安图县国土变更调查项目</w:t>
            </w:r>
          </w:p>
        </w:tc>
      </w:tr>
      <w:tr w14:paraId="58CFF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97" w:type="dxa"/>
            <w:vAlign w:val="center"/>
          </w:tcPr>
          <w:p w14:paraId="4A9B477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1.2.1</w:t>
            </w:r>
          </w:p>
        </w:tc>
        <w:tc>
          <w:tcPr>
            <w:tcW w:w="2080" w:type="dxa"/>
            <w:vAlign w:val="center"/>
          </w:tcPr>
          <w:p w14:paraId="526EC766">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资金来源</w:t>
            </w:r>
          </w:p>
        </w:tc>
        <w:tc>
          <w:tcPr>
            <w:tcW w:w="6116" w:type="dxa"/>
            <w:vAlign w:val="center"/>
          </w:tcPr>
          <w:p w14:paraId="7ADD1F3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财政资金</w:t>
            </w:r>
          </w:p>
        </w:tc>
      </w:tr>
      <w:tr w14:paraId="0C65F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97" w:type="dxa"/>
            <w:vAlign w:val="center"/>
          </w:tcPr>
          <w:p w14:paraId="76B185C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1.2.2</w:t>
            </w:r>
          </w:p>
        </w:tc>
        <w:tc>
          <w:tcPr>
            <w:tcW w:w="2080" w:type="dxa"/>
            <w:vAlign w:val="center"/>
          </w:tcPr>
          <w:p w14:paraId="134FF76B">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出资比例</w:t>
            </w:r>
          </w:p>
        </w:tc>
        <w:tc>
          <w:tcPr>
            <w:tcW w:w="6116" w:type="dxa"/>
            <w:vAlign w:val="center"/>
          </w:tcPr>
          <w:p w14:paraId="12D9C9F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100%</w:t>
            </w:r>
          </w:p>
        </w:tc>
      </w:tr>
      <w:tr w14:paraId="60E47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97" w:type="dxa"/>
            <w:vAlign w:val="center"/>
          </w:tcPr>
          <w:p w14:paraId="533ADE5A">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1.2.3</w:t>
            </w:r>
          </w:p>
        </w:tc>
        <w:tc>
          <w:tcPr>
            <w:tcW w:w="2080" w:type="dxa"/>
            <w:vAlign w:val="center"/>
          </w:tcPr>
          <w:p w14:paraId="39CDC39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资金落实情况</w:t>
            </w:r>
          </w:p>
        </w:tc>
        <w:tc>
          <w:tcPr>
            <w:tcW w:w="6116" w:type="dxa"/>
            <w:vAlign w:val="center"/>
          </w:tcPr>
          <w:p w14:paraId="2DC1327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已落实</w:t>
            </w:r>
          </w:p>
        </w:tc>
      </w:tr>
      <w:tr w14:paraId="3D832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97" w:type="dxa"/>
            <w:vAlign w:val="center"/>
          </w:tcPr>
          <w:p w14:paraId="4650641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1.3.1</w:t>
            </w:r>
          </w:p>
        </w:tc>
        <w:tc>
          <w:tcPr>
            <w:tcW w:w="2080" w:type="dxa"/>
            <w:vAlign w:val="center"/>
          </w:tcPr>
          <w:p w14:paraId="101FAE1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采购范围</w:t>
            </w:r>
          </w:p>
        </w:tc>
        <w:tc>
          <w:tcPr>
            <w:tcW w:w="6116" w:type="dxa"/>
            <w:vAlign w:val="center"/>
          </w:tcPr>
          <w:p w14:paraId="5BB2A58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cs="宋体"/>
                <w:color w:val="000000"/>
                <w:sz w:val="21"/>
                <w:szCs w:val="21"/>
                <w:lang w:eastAsia="zh-CN" w:bidi="ar"/>
              </w:rPr>
              <w:t>在2023年度国土变更调查成果基础上，结合2024年各类监测监管成果，开展全覆盖遥感监测工作，通过县级实地调查、逐级地类核查和全面检查，掌握2024年度国土利用变化情况，更新各级国土调查数据库，保持年度国土变更调查成果的现势性和准确性，加强日常变更调查工作</w:t>
            </w:r>
            <w:r>
              <w:rPr>
                <w:rFonts w:hint="eastAsia" w:ascii="宋体" w:hAnsi="宋体" w:cs="宋体"/>
                <w:color w:val="000000"/>
                <w:sz w:val="21"/>
                <w:szCs w:val="21"/>
                <w:lang w:bidi="ar"/>
              </w:rPr>
              <w:t>。</w:t>
            </w:r>
          </w:p>
        </w:tc>
      </w:tr>
      <w:tr w14:paraId="40B2E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897" w:type="dxa"/>
            <w:vAlign w:val="center"/>
          </w:tcPr>
          <w:p w14:paraId="7C4CF78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1.3.2</w:t>
            </w:r>
          </w:p>
        </w:tc>
        <w:tc>
          <w:tcPr>
            <w:tcW w:w="2080" w:type="dxa"/>
            <w:vAlign w:val="top"/>
          </w:tcPr>
          <w:p w14:paraId="0AD3FC34">
            <w:pPr>
              <w:pStyle w:val="50"/>
              <w:keepNext w:val="0"/>
              <w:keepLines w:val="0"/>
              <w:pageBreakBefore w:val="0"/>
              <w:kinsoku/>
              <w:wordWrap/>
              <w:overflowPunct/>
              <w:topLinePunct w:val="0"/>
              <w:bidi w:val="0"/>
              <w:adjustRightInd/>
              <w:snapToGrid/>
              <w:spacing w:before="201" w:line="320" w:lineRule="exact"/>
              <w:textAlignment w:val="auto"/>
              <w:rPr>
                <w:rFonts w:ascii="宋体" w:hAnsi="宋体"/>
                <w:sz w:val="21"/>
                <w:szCs w:val="21"/>
              </w:rPr>
            </w:pPr>
            <w:r>
              <w:rPr>
                <w:spacing w:val="-2"/>
                <w:sz w:val="21"/>
                <w:szCs w:val="21"/>
              </w:rPr>
              <w:t>服务期限</w:t>
            </w:r>
          </w:p>
        </w:tc>
        <w:tc>
          <w:tcPr>
            <w:tcW w:w="6116" w:type="dxa"/>
            <w:vAlign w:val="top"/>
          </w:tcPr>
          <w:p w14:paraId="6255D068">
            <w:pPr>
              <w:pStyle w:val="50"/>
              <w:keepNext w:val="0"/>
              <w:keepLines w:val="0"/>
              <w:pageBreakBefore w:val="0"/>
              <w:kinsoku/>
              <w:wordWrap/>
              <w:overflowPunct/>
              <w:topLinePunct w:val="0"/>
              <w:bidi w:val="0"/>
              <w:adjustRightInd/>
              <w:snapToGrid/>
              <w:spacing w:before="213" w:line="320" w:lineRule="exact"/>
              <w:textAlignment w:val="auto"/>
              <w:rPr>
                <w:rFonts w:hint="eastAsia" w:ascii="宋体" w:hAnsi="宋体" w:eastAsia="宋体"/>
                <w:sz w:val="21"/>
                <w:szCs w:val="21"/>
                <w:lang w:eastAsia="zh-CN"/>
              </w:rPr>
            </w:pPr>
            <w:r>
              <w:rPr>
                <w:rFonts w:hint="eastAsia" w:ascii="宋体" w:hAnsi="宋体" w:eastAsia="宋体" w:cs="宋体"/>
                <w:i w:val="0"/>
                <w:iCs w:val="0"/>
                <w:caps w:val="0"/>
                <w:color w:val="auto"/>
                <w:spacing w:val="0"/>
                <w:sz w:val="21"/>
                <w:szCs w:val="21"/>
                <w:shd w:val="clear" w:color="auto" w:fill="FFFFFF"/>
                <w:lang w:eastAsia="zh-CN"/>
              </w:rPr>
              <w:t>自合同签订之日起至通过国家级核查</w:t>
            </w:r>
          </w:p>
        </w:tc>
      </w:tr>
      <w:tr w14:paraId="78538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897" w:type="dxa"/>
            <w:vAlign w:val="center"/>
          </w:tcPr>
          <w:p w14:paraId="645F080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1.4.1</w:t>
            </w:r>
          </w:p>
        </w:tc>
        <w:tc>
          <w:tcPr>
            <w:tcW w:w="2080" w:type="dxa"/>
            <w:vAlign w:val="center"/>
          </w:tcPr>
          <w:p w14:paraId="3CDE000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供应商资质条件、</w:t>
            </w:r>
          </w:p>
          <w:p w14:paraId="53CEA87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能力和信誉</w:t>
            </w:r>
          </w:p>
        </w:tc>
        <w:tc>
          <w:tcPr>
            <w:tcW w:w="6116" w:type="dxa"/>
            <w:vAlign w:val="center"/>
          </w:tcPr>
          <w:p w14:paraId="23E1B2ED">
            <w:pPr>
              <w:autoSpaceDE w:val="0"/>
              <w:autoSpaceDN w:val="0"/>
              <w:adjustRightInd w:val="0"/>
              <w:spacing w:line="420" w:lineRule="exact"/>
              <w:ind w:right="97" w:rightChars="46"/>
              <w:jc w:val="left"/>
              <w:rPr>
                <w:rFonts w:hint="eastAsia" w:ascii="宋体" w:hAnsi="宋体" w:cs="宋体"/>
                <w:color w:val="auto"/>
                <w:sz w:val="21"/>
                <w:szCs w:val="21"/>
                <w:lang w:bidi="ar"/>
              </w:rPr>
            </w:pPr>
            <w:r>
              <w:rPr>
                <w:rFonts w:hint="eastAsia" w:ascii="宋体" w:hAnsi="宋体" w:cs="宋体"/>
                <w:color w:val="auto"/>
                <w:sz w:val="21"/>
                <w:szCs w:val="21"/>
                <w:lang w:bidi="ar"/>
              </w:rPr>
              <w:t>1.满足《中华人民共和国政府采购法》第二十二条规定；</w:t>
            </w:r>
          </w:p>
          <w:p w14:paraId="102B341A">
            <w:pPr>
              <w:autoSpaceDE w:val="0"/>
              <w:autoSpaceDN w:val="0"/>
              <w:adjustRightInd w:val="0"/>
              <w:spacing w:line="420" w:lineRule="exact"/>
              <w:ind w:right="97" w:rightChars="46"/>
              <w:jc w:val="left"/>
              <w:rPr>
                <w:rFonts w:hint="eastAsia" w:ascii="宋体" w:hAnsi="宋体" w:cs="宋体"/>
                <w:color w:val="auto"/>
                <w:sz w:val="21"/>
                <w:szCs w:val="21"/>
                <w:lang w:val="zh-CN" w:bidi="ar"/>
              </w:rPr>
            </w:pPr>
            <w:r>
              <w:rPr>
                <w:rFonts w:hint="eastAsia" w:ascii="宋体" w:hAnsi="宋体" w:cs="宋体"/>
                <w:color w:val="auto"/>
                <w:sz w:val="21"/>
                <w:szCs w:val="21"/>
                <w:lang w:val="zh-CN" w:bidi="ar"/>
              </w:rPr>
              <w:t>2.落实政府采购政策需满足的资格要求：</w:t>
            </w:r>
            <w:r>
              <w:rPr>
                <w:rFonts w:hint="eastAsia" w:ascii="宋体" w:hAnsi="宋体" w:cs="宋体"/>
                <w:color w:val="auto"/>
                <w:sz w:val="21"/>
                <w:szCs w:val="21"/>
                <w:lang w:val="zh-CN"/>
              </w:rPr>
              <w:t>本项目专门面向中小企业；</w:t>
            </w:r>
          </w:p>
          <w:p w14:paraId="15D34505">
            <w:pPr>
              <w:autoSpaceDE w:val="0"/>
              <w:autoSpaceDN w:val="0"/>
              <w:adjustRightInd w:val="0"/>
              <w:spacing w:line="420" w:lineRule="exact"/>
              <w:ind w:right="97" w:rightChars="46"/>
              <w:jc w:val="left"/>
              <w:rPr>
                <w:rFonts w:hint="eastAsia" w:ascii="宋体" w:hAnsi="宋体" w:cs="宋体"/>
                <w:color w:val="auto"/>
                <w:sz w:val="21"/>
                <w:szCs w:val="21"/>
                <w:lang w:bidi="ar"/>
              </w:rPr>
            </w:pPr>
            <w:r>
              <w:rPr>
                <w:rFonts w:hint="eastAsia" w:ascii="宋体" w:hAnsi="宋体" w:cs="宋体"/>
                <w:color w:val="auto"/>
                <w:sz w:val="21"/>
                <w:szCs w:val="21"/>
                <w:lang w:val="zh-CN" w:bidi="ar"/>
              </w:rPr>
              <w:t>（1）</w:t>
            </w:r>
            <w:r>
              <w:rPr>
                <w:rFonts w:hint="eastAsia" w:ascii="宋体" w:hAnsi="宋体" w:cs="宋体"/>
                <w:color w:val="auto"/>
                <w:sz w:val="21"/>
                <w:szCs w:val="21"/>
                <w:lang w:bidi="ar"/>
              </w:rPr>
              <w:t>《政府采购促进中小企业发展管理办法》(财库[2020]46号)；</w:t>
            </w:r>
          </w:p>
          <w:p w14:paraId="0B6E2CAF">
            <w:pPr>
              <w:autoSpaceDE w:val="0"/>
              <w:autoSpaceDN w:val="0"/>
              <w:adjustRightInd w:val="0"/>
              <w:spacing w:line="420" w:lineRule="exact"/>
              <w:ind w:right="97" w:rightChars="46"/>
              <w:jc w:val="left"/>
              <w:rPr>
                <w:rFonts w:hint="eastAsia" w:ascii="宋体" w:hAnsi="宋体" w:cs="宋体"/>
                <w:color w:val="auto"/>
                <w:sz w:val="21"/>
                <w:szCs w:val="21"/>
                <w:lang w:bidi="ar"/>
              </w:rPr>
            </w:pPr>
            <w:r>
              <w:rPr>
                <w:rFonts w:hint="eastAsia" w:ascii="宋体" w:hAnsi="宋体" w:cs="宋体"/>
                <w:color w:val="auto"/>
                <w:sz w:val="21"/>
                <w:szCs w:val="21"/>
                <w:lang w:val="zh-CN" w:bidi="ar"/>
              </w:rPr>
              <w:t>（</w:t>
            </w:r>
            <w:r>
              <w:rPr>
                <w:rFonts w:hint="eastAsia" w:ascii="宋体" w:hAnsi="宋体" w:cs="宋体"/>
                <w:color w:val="auto"/>
                <w:sz w:val="21"/>
                <w:szCs w:val="21"/>
                <w:lang w:bidi="ar"/>
              </w:rPr>
              <w:t>2</w:t>
            </w:r>
            <w:r>
              <w:rPr>
                <w:rFonts w:hint="eastAsia" w:ascii="宋体" w:hAnsi="宋体" w:cs="宋体"/>
                <w:color w:val="auto"/>
                <w:sz w:val="21"/>
                <w:szCs w:val="21"/>
                <w:lang w:val="zh-CN" w:bidi="ar"/>
              </w:rPr>
              <w:t>）</w:t>
            </w:r>
            <w:r>
              <w:rPr>
                <w:rFonts w:hint="eastAsia" w:ascii="宋体" w:hAnsi="宋体" w:cs="宋体"/>
                <w:color w:val="auto"/>
                <w:sz w:val="21"/>
                <w:szCs w:val="21"/>
                <w:lang w:bidi="ar"/>
              </w:rPr>
              <w:t>《关于政府采购支持监狱企业发展有关问题的通知》(财库[2014]68号)；</w:t>
            </w:r>
          </w:p>
          <w:p w14:paraId="3B8CE15B">
            <w:pPr>
              <w:autoSpaceDE w:val="0"/>
              <w:autoSpaceDN w:val="0"/>
              <w:adjustRightInd w:val="0"/>
              <w:spacing w:line="420" w:lineRule="exact"/>
              <w:ind w:right="97" w:rightChars="46"/>
              <w:jc w:val="left"/>
              <w:rPr>
                <w:rFonts w:hint="eastAsia" w:ascii="宋体" w:hAnsi="宋体" w:cs="宋体"/>
                <w:color w:val="auto"/>
                <w:sz w:val="21"/>
                <w:szCs w:val="21"/>
                <w:lang w:bidi="ar"/>
              </w:rPr>
            </w:pPr>
            <w:r>
              <w:rPr>
                <w:rFonts w:hint="eastAsia" w:ascii="宋体" w:hAnsi="宋体" w:cs="宋体"/>
                <w:color w:val="auto"/>
                <w:sz w:val="21"/>
                <w:szCs w:val="21"/>
                <w:lang w:val="zh-CN" w:bidi="ar"/>
              </w:rPr>
              <w:t>（</w:t>
            </w:r>
            <w:r>
              <w:rPr>
                <w:rFonts w:hint="eastAsia" w:ascii="宋体" w:hAnsi="宋体" w:cs="宋体"/>
                <w:color w:val="auto"/>
                <w:sz w:val="21"/>
                <w:szCs w:val="21"/>
                <w:lang w:bidi="ar"/>
              </w:rPr>
              <w:t>3</w:t>
            </w:r>
            <w:r>
              <w:rPr>
                <w:rFonts w:hint="eastAsia" w:ascii="宋体" w:hAnsi="宋体" w:cs="宋体"/>
                <w:color w:val="auto"/>
                <w:sz w:val="21"/>
                <w:szCs w:val="21"/>
                <w:lang w:val="zh-CN" w:bidi="ar"/>
              </w:rPr>
              <w:t>）</w:t>
            </w:r>
            <w:r>
              <w:rPr>
                <w:rFonts w:hint="eastAsia" w:ascii="宋体" w:hAnsi="宋体" w:cs="宋体"/>
                <w:color w:val="auto"/>
                <w:sz w:val="21"/>
                <w:szCs w:val="21"/>
                <w:lang w:bidi="ar"/>
              </w:rPr>
              <w:t>《关于促进残疾人就业政府采购政策的通知》(财库[2017]141号)；</w:t>
            </w:r>
          </w:p>
          <w:p w14:paraId="52FBAD15">
            <w:pPr>
              <w:autoSpaceDE w:val="0"/>
              <w:autoSpaceDN w:val="0"/>
              <w:adjustRightInd w:val="0"/>
              <w:spacing w:line="420" w:lineRule="exact"/>
              <w:ind w:right="97" w:rightChars="46"/>
              <w:jc w:val="left"/>
              <w:rPr>
                <w:rFonts w:hint="eastAsia" w:ascii="宋体" w:hAnsi="宋体" w:cs="宋体"/>
                <w:color w:val="auto"/>
                <w:sz w:val="21"/>
                <w:szCs w:val="21"/>
                <w:lang w:bidi="ar"/>
              </w:rPr>
            </w:pPr>
            <w:r>
              <w:rPr>
                <w:rFonts w:hint="eastAsia" w:ascii="宋体" w:hAnsi="宋体" w:cs="宋体"/>
                <w:color w:val="auto"/>
                <w:sz w:val="21"/>
                <w:szCs w:val="21"/>
                <w:lang w:bidi="ar"/>
              </w:rPr>
              <w:t>3.本项目的特定资格要求：</w:t>
            </w:r>
          </w:p>
          <w:p w14:paraId="4C29CA39">
            <w:pPr>
              <w:autoSpaceDE w:val="0"/>
              <w:autoSpaceDN w:val="0"/>
              <w:adjustRightInd w:val="0"/>
              <w:spacing w:line="420" w:lineRule="exact"/>
              <w:ind w:right="97" w:rightChars="46"/>
              <w:jc w:val="left"/>
              <w:rPr>
                <w:rFonts w:hint="eastAsia" w:ascii="宋体" w:hAnsi="宋体" w:eastAsia="宋体" w:cs="宋体"/>
                <w:color w:val="auto"/>
                <w:sz w:val="21"/>
                <w:szCs w:val="21"/>
                <w:lang w:val="zh-CN" w:bidi="ar"/>
              </w:rPr>
            </w:pPr>
            <w:r>
              <w:rPr>
                <w:rFonts w:hint="eastAsia" w:ascii="宋体" w:hAnsi="宋体" w:cs="宋体"/>
                <w:color w:val="auto"/>
                <w:sz w:val="21"/>
                <w:szCs w:val="21"/>
                <w:lang w:val="zh-CN" w:bidi="ar"/>
              </w:rPr>
              <w:t>（1）</w:t>
            </w:r>
            <w:r>
              <w:rPr>
                <w:rFonts w:hint="eastAsia" w:ascii="宋体" w:hAnsi="宋体" w:eastAsia="宋体" w:cs="宋体"/>
                <w:i w:val="0"/>
                <w:iCs w:val="0"/>
                <w:caps w:val="0"/>
                <w:color w:val="auto"/>
                <w:spacing w:val="0"/>
                <w:sz w:val="21"/>
                <w:szCs w:val="21"/>
              </w:rPr>
              <w:t>投标人申请人须在中华人民共和国境内注册，持有效营业执照或事业单位法人证书，具有独立企业法人资格，</w:t>
            </w:r>
            <w:r>
              <w:rPr>
                <w:rFonts w:hint="eastAsia" w:ascii="宋体" w:hAnsi="宋体" w:eastAsia="宋体" w:cs="宋体"/>
                <w:i w:val="0"/>
                <w:iCs w:val="0"/>
                <w:caps w:val="0"/>
                <w:color w:val="auto"/>
                <w:spacing w:val="0"/>
                <w:sz w:val="21"/>
                <w:szCs w:val="21"/>
                <w:shd w:val="clear" w:color="auto" w:fill="FFFFFF"/>
              </w:rPr>
              <w:t>具有</w:t>
            </w:r>
            <w:r>
              <w:rPr>
                <w:rFonts w:hint="eastAsia" w:ascii="宋体" w:hAnsi="宋体" w:eastAsia="宋体" w:cs="宋体"/>
                <w:color w:val="auto"/>
                <w:kern w:val="0"/>
                <w:sz w:val="21"/>
                <w:szCs w:val="21"/>
                <w:highlight w:val="none"/>
                <w:lang w:val="en-US" w:eastAsia="zh-CN" w:bidi="ar-SA"/>
              </w:rPr>
              <w:t>测绘乙级及以上资质，并在人员、设备、资金等方面具有相应的实施能力</w:t>
            </w:r>
            <w:r>
              <w:rPr>
                <w:rFonts w:hint="eastAsia" w:ascii="宋体" w:hAnsi="宋体" w:eastAsia="宋体" w:cs="宋体"/>
                <w:color w:val="auto"/>
                <w:sz w:val="21"/>
                <w:szCs w:val="21"/>
                <w:lang w:val="zh-CN" w:bidi="ar"/>
              </w:rPr>
              <w:t>。</w:t>
            </w:r>
          </w:p>
          <w:p w14:paraId="3BAB1DFC">
            <w:pPr>
              <w:autoSpaceDE w:val="0"/>
              <w:autoSpaceDN w:val="0"/>
              <w:adjustRightInd w:val="0"/>
              <w:spacing w:line="420" w:lineRule="exact"/>
              <w:ind w:right="97" w:rightChars="46"/>
              <w:jc w:val="left"/>
              <w:rPr>
                <w:rFonts w:hint="eastAsia" w:ascii="宋体" w:hAnsi="宋体" w:eastAsia="宋体" w:cs="宋体"/>
                <w:color w:val="auto"/>
                <w:sz w:val="21"/>
                <w:szCs w:val="21"/>
                <w:lang w:val="zh-CN" w:eastAsia="zh-CN" w:bidi="ar"/>
              </w:rPr>
            </w:pP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2</w:t>
            </w:r>
            <w:r>
              <w:rPr>
                <w:rFonts w:hint="eastAsia" w:ascii="宋体" w:hAnsi="宋体" w:eastAsia="宋体" w:cs="宋体"/>
                <w:color w:val="auto"/>
                <w:sz w:val="21"/>
                <w:szCs w:val="21"/>
                <w:lang w:val="zh-CN" w:bidi="ar"/>
              </w:rPr>
              <w:t>）</w:t>
            </w:r>
            <w:r>
              <w:rPr>
                <w:rFonts w:hint="eastAsia" w:ascii="宋体" w:hAnsi="宋体" w:eastAsia="宋体" w:cs="宋体"/>
                <w:color w:val="auto"/>
                <w:kern w:val="0"/>
                <w:sz w:val="21"/>
                <w:szCs w:val="21"/>
              </w:rPr>
              <w:t>项目负责人须具有</w:t>
            </w:r>
            <w:r>
              <w:rPr>
                <w:rFonts w:hint="eastAsia" w:ascii="宋体" w:hAnsi="宋体" w:eastAsia="宋体" w:cs="宋体"/>
                <w:color w:val="auto"/>
                <w:kern w:val="0"/>
                <w:sz w:val="21"/>
                <w:szCs w:val="21"/>
                <w:lang w:val="en-US" w:eastAsia="zh-CN"/>
              </w:rPr>
              <w:t>测绘</w:t>
            </w:r>
            <w:r>
              <w:rPr>
                <w:rFonts w:hint="eastAsia" w:ascii="宋体" w:hAnsi="宋体" w:eastAsia="宋体" w:cs="宋体"/>
                <w:color w:val="auto"/>
                <w:kern w:val="0"/>
                <w:sz w:val="21"/>
                <w:szCs w:val="21"/>
              </w:rPr>
              <w:t>相关专业</w:t>
            </w:r>
            <w:r>
              <w:rPr>
                <w:rFonts w:hint="eastAsia" w:ascii="宋体" w:hAnsi="宋体" w:eastAsia="宋体" w:cs="宋体"/>
                <w:color w:val="auto"/>
                <w:kern w:val="0"/>
                <w:sz w:val="21"/>
                <w:szCs w:val="21"/>
                <w:lang w:val="en-US" w:eastAsia="zh-CN"/>
              </w:rPr>
              <w:t>中</w:t>
            </w:r>
            <w:r>
              <w:rPr>
                <w:rFonts w:hint="eastAsia" w:ascii="宋体" w:hAnsi="宋体" w:eastAsia="宋体" w:cs="宋体"/>
                <w:color w:val="auto"/>
                <w:kern w:val="0"/>
                <w:sz w:val="21"/>
                <w:szCs w:val="21"/>
              </w:rPr>
              <w:t>级</w:t>
            </w:r>
            <w:r>
              <w:rPr>
                <w:rFonts w:hint="eastAsia" w:ascii="宋体" w:hAnsi="宋体" w:eastAsia="宋体" w:cs="宋体"/>
                <w:color w:val="auto"/>
                <w:kern w:val="0"/>
                <w:sz w:val="21"/>
                <w:szCs w:val="21"/>
                <w:lang w:val="en-US" w:eastAsia="zh-CN"/>
              </w:rPr>
              <w:t>及以上</w:t>
            </w:r>
            <w:r>
              <w:rPr>
                <w:rFonts w:hint="eastAsia" w:ascii="宋体" w:hAnsi="宋体" w:eastAsia="宋体" w:cs="宋体"/>
                <w:color w:val="auto"/>
                <w:kern w:val="0"/>
                <w:sz w:val="21"/>
                <w:szCs w:val="21"/>
              </w:rPr>
              <w:t>资格</w:t>
            </w:r>
            <w:r>
              <w:rPr>
                <w:rFonts w:hint="eastAsia" w:ascii="宋体" w:hAnsi="宋体" w:eastAsia="宋体" w:cs="宋体"/>
                <w:color w:val="auto"/>
                <w:kern w:val="0"/>
                <w:sz w:val="21"/>
                <w:szCs w:val="21"/>
                <w:lang w:eastAsia="zh-CN"/>
              </w:rPr>
              <w:t>。</w:t>
            </w:r>
          </w:p>
          <w:p w14:paraId="4DEDDCE3">
            <w:pPr>
              <w:autoSpaceDE w:val="0"/>
              <w:autoSpaceDN w:val="0"/>
              <w:adjustRightInd w:val="0"/>
              <w:spacing w:line="420" w:lineRule="exact"/>
              <w:ind w:right="97" w:rightChars="46"/>
              <w:jc w:val="left"/>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w:t>
            </w:r>
            <w:r>
              <w:rPr>
                <w:rFonts w:hint="eastAsia" w:ascii="宋体" w:hAnsi="宋体" w:eastAsia="宋体" w:cs="宋体"/>
                <w:color w:val="auto"/>
                <w:sz w:val="21"/>
                <w:szCs w:val="21"/>
                <w:lang w:val="en-US" w:eastAsia="zh-CN" w:bidi="ar"/>
              </w:rPr>
              <w:t>3</w:t>
            </w:r>
            <w:r>
              <w:rPr>
                <w:rFonts w:hint="eastAsia" w:ascii="宋体" w:hAnsi="宋体" w:eastAsia="宋体" w:cs="宋体"/>
                <w:color w:val="auto"/>
                <w:sz w:val="21"/>
                <w:szCs w:val="21"/>
                <w:lang w:bidi="ar"/>
              </w:rPr>
              <w:t>）</w:t>
            </w:r>
            <w:r>
              <w:rPr>
                <w:rFonts w:hint="eastAsia" w:ascii="宋体" w:hAnsi="宋体" w:eastAsia="宋体" w:cs="宋体"/>
                <w:i w:val="0"/>
                <w:iCs w:val="0"/>
                <w:caps w:val="0"/>
                <w:color w:val="auto"/>
                <w:spacing w:val="0"/>
                <w:sz w:val="21"/>
                <w:szCs w:val="21"/>
                <w:shd w:val="clear" w:color="auto" w:fill="FFFFFF"/>
                <w:lang w:eastAsia="zh-CN"/>
              </w:rPr>
              <w:t>具有2023年度的财务审计报告（新成立不足一年的企业须提供自成立之日起至今企业财务状况良好的承诺书。）</w:t>
            </w:r>
            <w:r>
              <w:rPr>
                <w:rFonts w:hint="eastAsia" w:ascii="宋体" w:hAnsi="宋体" w:eastAsia="宋体" w:cs="宋体"/>
                <w:color w:val="auto"/>
                <w:sz w:val="21"/>
                <w:szCs w:val="21"/>
                <w:lang w:bidi="ar"/>
              </w:rPr>
              <w:t>。</w:t>
            </w:r>
          </w:p>
          <w:p w14:paraId="45D6CAB1">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投标人须提供（202</w:t>
            </w: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rPr>
              <w:t>年</w:t>
            </w:r>
            <w:r>
              <w:rPr>
                <w:rFonts w:hint="eastAsia" w:ascii="宋体" w:hAnsi="宋体" w:eastAsia="宋体" w:cs="宋体"/>
                <w:i w:val="0"/>
                <w:iCs w:val="0"/>
                <w:caps w:val="0"/>
                <w:color w:val="auto"/>
                <w:spacing w:val="0"/>
                <w:sz w:val="21"/>
                <w:szCs w:val="21"/>
                <w:shd w:val="clear" w:color="auto" w:fill="FFFFFF"/>
                <w:lang w:val="en-US" w:eastAsia="zh-CN"/>
              </w:rPr>
              <w:t>1</w:t>
            </w:r>
            <w:r>
              <w:rPr>
                <w:rFonts w:hint="eastAsia" w:ascii="宋体" w:hAnsi="宋体" w:eastAsia="宋体" w:cs="宋体"/>
                <w:i w:val="0"/>
                <w:iCs w:val="0"/>
                <w:caps w:val="0"/>
                <w:color w:val="auto"/>
                <w:spacing w:val="0"/>
                <w:sz w:val="21"/>
                <w:szCs w:val="21"/>
                <w:shd w:val="clear" w:color="auto" w:fill="FFFFFF"/>
              </w:rPr>
              <w:t>月至今）任意一个月依法缴纳税收和依法缴纳社会保障资金的良好记录证明材料（依法免税的需提供免税证明文件）；</w:t>
            </w:r>
          </w:p>
          <w:p w14:paraId="148E3D42">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5</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投标单位和个人（指法定代表人）未在“中国裁判文书（wenshu.court.gov.cn）上有行贿犯罪行为；</w:t>
            </w:r>
          </w:p>
          <w:p w14:paraId="7B2F3873">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6</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投标人未被列入“失信被执行人、重大税收违法案件当事人”的记录名单（通过“信用中国”网站www.creditchina.gov.cn查询）；</w:t>
            </w:r>
          </w:p>
          <w:p w14:paraId="6C2272CE">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7</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投标人未被列入“政府采购严重违法失信行为记录名单”（通过“中国政府采购网”www.ccgp.gov.cn查询）；</w:t>
            </w:r>
          </w:p>
          <w:p w14:paraId="116BB261">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8</w:t>
            </w:r>
            <w:r>
              <w:rPr>
                <w:rFonts w:hint="eastAsia" w:ascii="宋体" w:hAnsi="宋体" w:eastAsia="宋体" w:cs="宋体"/>
                <w:i w:val="0"/>
                <w:iCs w:val="0"/>
                <w:caps w:val="0"/>
                <w:color w:val="auto"/>
                <w:spacing w:val="0"/>
                <w:sz w:val="21"/>
                <w:szCs w:val="21"/>
                <w:shd w:val="clear" w:color="auto" w:fill="FFFFFF"/>
                <w:lang w:eastAsia="zh-CN"/>
              </w:rPr>
              <w:t>）与采购人存在利害关系可能影响采购公正性的法人、其他组织或者个人，不得参加磋商。具有投资参股关系的关联企业，或者有直接管理或被管理关系的母子公司，或者同一母公司的子公司，或法定代表人为同一人的两个及两个以上法人不得同时对同一标段投标，否则均按废标处理</w:t>
            </w:r>
            <w:r>
              <w:rPr>
                <w:rFonts w:hint="eastAsia" w:ascii="宋体" w:hAnsi="宋体" w:eastAsia="宋体" w:cs="宋体"/>
                <w:i w:val="0"/>
                <w:iCs w:val="0"/>
                <w:caps w:val="0"/>
                <w:color w:val="auto"/>
                <w:spacing w:val="0"/>
                <w:sz w:val="21"/>
                <w:szCs w:val="21"/>
                <w:shd w:val="clear" w:color="auto" w:fill="FFFFFF"/>
              </w:rPr>
              <w:t>。</w:t>
            </w:r>
          </w:p>
          <w:p w14:paraId="276979BC">
            <w:pPr>
              <w:autoSpaceDE w:val="0"/>
              <w:autoSpaceDN w:val="0"/>
              <w:adjustRightInd w:val="0"/>
              <w:spacing w:line="420" w:lineRule="exact"/>
              <w:ind w:right="97" w:rightChars="46"/>
              <w:jc w:val="lef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9</w:t>
            </w:r>
            <w:r>
              <w:rPr>
                <w:rFonts w:hint="eastAsia" w:ascii="宋体" w:hAnsi="宋体" w:eastAsia="宋体" w:cs="宋体"/>
                <w:color w:val="auto"/>
                <w:sz w:val="21"/>
                <w:szCs w:val="21"/>
                <w:lang w:val="zh-CN" w:bidi="ar"/>
              </w:rPr>
              <w:t>）拒绝列入政府取消投标资格记录期间的企业或个人参加本次</w:t>
            </w:r>
            <w:r>
              <w:rPr>
                <w:rFonts w:hint="eastAsia" w:ascii="宋体" w:hAnsi="宋体" w:eastAsia="宋体" w:cs="宋体"/>
                <w:color w:val="auto"/>
                <w:sz w:val="21"/>
                <w:szCs w:val="21"/>
                <w:lang w:val="en-US" w:eastAsia="zh-CN" w:bidi="ar"/>
              </w:rPr>
              <w:t>投标</w:t>
            </w:r>
            <w:r>
              <w:rPr>
                <w:rFonts w:hint="eastAsia" w:ascii="宋体" w:hAnsi="宋体" w:eastAsia="宋体" w:cs="宋体"/>
                <w:color w:val="auto"/>
                <w:sz w:val="21"/>
                <w:szCs w:val="21"/>
                <w:lang w:val="zh-CN" w:bidi="ar"/>
              </w:rPr>
              <w:t>活动。</w:t>
            </w:r>
          </w:p>
          <w:p w14:paraId="3E887F2F">
            <w:pPr>
              <w:autoSpaceDE w:val="0"/>
              <w:autoSpaceDN w:val="0"/>
              <w:adjustRightInd w:val="0"/>
              <w:spacing w:line="420" w:lineRule="exact"/>
              <w:ind w:right="97" w:rightChars="46"/>
              <w:jc w:val="left"/>
              <w:rPr>
                <w:rFonts w:ascii="宋体" w:hAnsi="宋体"/>
                <w:sz w:val="21"/>
                <w:szCs w:val="21"/>
              </w:rPr>
            </w:pPr>
            <w:r>
              <w:rPr>
                <w:rFonts w:hint="eastAsia" w:ascii="宋体" w:hAnsi="宋体" w:eastAsia="宋体" w:cs="宋体"/>
                <w:color w:val="auto"/>
                <w:sz w:val="21"/>
                <w:szCs w:val="21"/>
                <w:lang w:val="zh-CN"/>
              </w:rPr>
              <w:t>（</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lang w:val="zh-CN"/>
              </w:rPr>
              <w:t>）法律、行政法规规定的其他条件。</w:t>
            </w:r>
          </w:p>
        </w:tc>
      </w:tr>
      <w:tr w14:paraId="40237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897" w:type="dxa"/>
            <w:vAlign w:val="center"/>
          </w:tcPr>
          <w:p w14:paraId="49E3E6E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1.4.2</w:t>
            </w:r>
          </w:p>
        </w:tc>
        <w:tc>
          <w:tcPr>
            <w:tcW w:w="2080" w:type="dxa"/>
            <w:vAlign w:val="center"/>
          </w:tcPr>
          <w:p w14:paraId="0D40DFA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是否接受联合体</w:t>
            </w:r>
          </w:p>
        </w:tc>
        <w:tc>
          <w:tcPr>
            <w:tcW w:w="6116" w:type="dxa"/>
            <w:vAlign w:val="center"/>
          </w:tcPr>
          <w:p w14:paraId="7D5B973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☑不接受</w:t>
            </w:r>
          </w:p>
          <w:p w14:paraId="470948E6">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□接受，应满足下列要求：                 </w:t>
            </w:r>
          </w:p>
          <w:p w14:paraId="04C2CB0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联合体业务分工按照联合体协议约定的分工认定。</w:t>
            </w:r>
          </w:p>
        </w:tc>
      </w:tr>
      <w:tr w14:paraId="0AFD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trPr>
        <w:tc>
          <w:tcPr>
            <w:tcW w:w="897" w:type="dxa"/>
            <w:vAlign w:val="center"/>
          </w:tcPr>
          <w:p w14:paraId="255B6D8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1.5.1</w:t>
            </w:r>
          </w:p>
        </w:tc>
        <w:tc>
          <w:tcPr>
            <w:tcW w:w="2080" w:type="dxa"/>
            <w:vAlign w:val="center"/>
          </w:tcPr>
          <w:p w14:paraId="0A78822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踏勘现场</w:t>
            </w:r>
          </w:p>
        </w:tc>
        <w:tc>
          <w:tcPr>
            <w:tcW w:w="6116" w:type="dxa"/>
            <w:vAlign w:val="center"/>
          </w:tcPr>
          <w:p w14:paraId="44CD6F1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☑不组织</w:t>
            </w:r>
          </w:p>
          <w:p w14:paraId="6675E01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□组织，踏勘时间：</w:t>
            </w:r>
          </w:p>
          <w:p w14:paraId="6FCDF71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        踏勘集中地点：</w:t>
            </w:r>
          </w:p>
        </w:tc>
      </w:tr>
      <w:tr w14:paraId="4A4D5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897" w:type="dxa"/>
            <w:vAlign w:val="center"/>
          </w:tcPr>
          <w:p w14:paraId="6C49F45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1.6.1</w:t>
            </w:r>
          </w:p>
        </w:tc>
        <w:tc>
          <w:tcPr>
            <w:tcW w:w="2080" w:type="dxa"/>
            <w:vAlign w:val="center"/>
          </w:tcPr>
          <w:p w14:paraId="77794B0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预备会</w:t>
            </w:r>
          </w:p>
        </w:tc>
        <w:tc>
          <w:tcPr>
            <w:tcW w:w="6116" w:type="dxa"/>
            <w:vAlign w:val="center"/>
          </w:tcPr>
          <w:p w14:paraId="53E69306">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☑不召开</w:t>
            </w:r>
          </w:p>
          <w:p w14:paraId="3EFED2B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□召开，召开时间：</w:t>
            </w:r>
          </w:p>
          <w:p w14:paraId="260DE3B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        召开地点：</w:t>
            </w:r>
          </w:p>
        </w:tc>
      </w:tr>
      <w:tr w14:paraId="27418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97" w:type="dxa"/>
            <w:vAlign w:val="center"/>
          </w:tcPr>
          <w:p w14:paraId="37BE10A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1.6.2</w:t>
            </w:r>
          </w:p>
        </w:tc>
        <w:tc>
          <w:tcPr>
            <w:tcW w:w="2080" w:type="dxa"/>
            <w:vAlign w:val="center"/>
          </w:tcPr>
          <w:p w14:paraId="31DAFD1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供应商提出问题的</w:t>
            </w:r>
          </w:p>
          <w:p w14:paraId="3AE66C7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截止时间</w:t>
            </w:r>
          </w:p>
        </w:tc>
        <w:tc>
          <w:tcPr>
            <w:tcW w:w="6116" w:type="dxa"/>
            <w:vAlign w:val="center"/>
          </w:tcPr>
          <w:p w14:paraId="64358C8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召开竞争性磋商之日5个工作日前</w:t>
            </w:r>
          </w:p>
        </w:tc>
      </w:tr>
      <w:tr w14:paraId="1C0D1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 w:hRule="atLeast"/>
        </w:trPr>
        <w:tc>
          <w:tcPr>
            <w:tcW w:w="897" w:type="dxa"/>
            <w:vAlign w:val="center"/>
          </w:tcPr>
          <w:p w14:paraId="12671E3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1.7</w:t>
            </w:r>
          </w:p>
        </w:tc>
        <w:tc>
          <w:tcPr>
            <w:tcW w:w="2080" w:type="dxa"/>
            <w:vAlign w:val="center"/>
          </w:tcPr>
          <w:p w14:paraId="6ABFBA47">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分  包</w:t>
            </w:r>
          </w:p>
        </w:tc>
        <w:tc>
          <w:tcPr>
            <w:tcW w:w="6116" w:type="dxa"/>
            <w:vAlign w:val="center"/>
          </w:tcPr>
          <w:p w14:paraId="652B2759">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☑不允许</w:t>
            </w:r>
          </w:p>
          <w:p w14:paraId="091635B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□允许，分包内容要求：</w:t>
            </w:r>
          </w:p>
          <w:p w14:paraId="0141F89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        分包金额要求：</w:t>
            </w:r>
          </w:p>
          <w:p w14:paraId="78853FD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        接受分包的第三人资质要求：</w:t>
            </w:r>
          </w:p>
        </w:tc>
      </w:tr>
      <w:tr w14:paraId="31864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897" w:type="dxa"/>
            <w:vAlign w:val="center"/>
          </w:tcPr>
          <w:p w14:paraId="0D6F929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1.8</w:t>
            </w:r>
          </w:p>
        </w:tc>
        <w:tc>
          <w:tcPr>
            <w:tcW w:w="2080" w:type="dxa"/>
            <w:vAlign w:val="center"/>
          </w:tcPr>
          <w:p w14:paraId="3123A95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偏  离</w:t>
            </w:r>
          </w:p>
        </w:tc>
        <w:tc>
          <w:tcPr>
            <w:tcW w:w="6116" w:type="dxa"/>
            <w:vAlign w:val="center"/>
          </w:tcPr>
          <w:p w14:paraId="5907B19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□不允许</w:t>
            </w:r>
          </w:p>
          <w:p w14:paraId="43F6590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☑允许</w:t>
            </w:r>
          </w:p>
          <w:p w14:paraId="519F7B49">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接受细微偏离有助于项目的顺利开展</w:t>
            </w:r>
          </w:p>
        </w:tc>
      </w:tr>
      <w:tr w14:paraId="35AB4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14C2BD1E">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1.10.2</w:t>
            </w:r>
          </w:p>
        </w:tc>
        <w:tc>
          <w:tcPr>
            <w:tcW w:w="2080" w:type="dxa"/>
            <w:vAlign w:val="center"/>
          </w:tcPr>
          <w:p w14:paraId="552298C2">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lang w:eastAsia="zh-CN"/>
              </w:rPr>
              <w:t>供应商</w:t>
            </w:r>
            <w:r>
              <w:rPr>
                <w:rFonts w:hint="eastAsia" w:ascii="宋体" w:hAnsi="宋体" w:cs="宋体"/>
                <w:sz w:val="21"/>
                <w:szCs w:val="21"/>
              </w:rPr>
              <w:t>提出问题的截止时间</w:t>
            </w:r>
          </w:p>
        </w:tc>
        <w:tc>
          <w:tcPr>
            <w:tcW w:w="6116" w:type="dxa"/>
            <w:vAlign w:val="center"/>
          </w:tcPr>
          <w:p w14:paraId="35D0BEB1">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rPr>
            </w:pPr>
            <w:r>
              <w:rPr>
                <w:rFonts w:hint="eastAsia" w:ascii="宋体" w:hAnsi="宋体" w:cs="宋体"/>
                <w:bCs/>
                <w:sz w:val="21"/>
                <w:szCs w:val="21"/>
                <w:lang w:eastAsia="zh-CN"/>
              </w:rPr>
              <w:t>供应商</w:t>
            </w:r>
            <w:r>
              <w:rPr>
                <w:rFonts w:hint="eastAsia" w:ascii="宋体" w:hAnsi="宋体" w:cs="宋体"/>
                <w:bCs/>
                <w:sz w:val="21"/>
                <w:szCs w:val="21"/>
              </w:rPr>
              <w:t>在下载</w:t>
            </w:r>
            <w:r>
              <w:rPr>
                <w:rFonts w:hint="eastAsia" w:ascii="宋体" w:hAnsi="宋体" w:cs="宋体"/>
                <w:sz w:val="21"/>
                <w:szCs w:val="21"/>
              </w:rPr>
              <w:t>磋商</w:t>
            </w:r>
            <w:r>
              <w:rPr>
                <w:rFonts w:hint="eastAsia" w:ascii="宋体" w:hAnsi="宋体" w:cs="宋体"/>
                <w:bCs/>
                <w:sz w:val="21"/>
                <w:szCs w:val="21"/>
              </w:rPr>
              <w:t>文件后，应仔细检查</w:t>
            </w:r>
            <w:r>
              <w:rPr>
                <w:rFonts w:hint="eastAsia" w:ascii="宋体" w:hAnsi="宋体" w:cs="宋体"/>
                <w:sz w:val="21"/>
                <w:szCs w:val="21"/>
              </w:rPr>
              <w:t>磋商</w:t>
            </w:r>
            <w:r>
              <w:rPr>
                <w:rFonts w:hint="eastAsia" w:ascii="宋体" w:hAnsi="宋体" w:cs="宋体"/>
                <w:bCs/>
                <w:sz w:val="21"/>
                <w:szCs w:val="21"/>
              </w:rPr>
              <w:t>文件的所有内容，如有残缺或文字表述不清，图纸尺寸标注不明以及存在错、碰、漏、缺、概念模糊和有可能出现歧义或理解上的偏差的内容等应在</w:t>
            </w:r>
            <w:r>
              <w:rPr>
                <w:rFonts w:hint="eastAsia" w:ascii="宋体" w:hAnsi="宋体" w:cs="宋体"/>
                <w:sz w:val="21"/>
                <w:szCs w:val="21"/>
              </w:rPr>
              <w:t>投标截止时间5天前</w:t>
            </w:r>
            <w:r>
              <w:rPr>
                <w:rFonts w:hint="eastAsia" w:ascii="宋体" w:hAnsi="宋体" w:cs="宋体"/>
                <w:bCs/>
                <w:sz w:val="21"/>
                <w:szCs w:val="21"/>
              </w:rPr>
              <w:t>在“政采云”平台（https://www.zcygov.cn）提出，并按照招标公告中载明的招标代理机构的联系方式电话通知招标代理机构。</w:t>
            </w:r>
          </w:p>
        </w:tc>
      </w:tr>
      <w:tr w14:paraId="60B9D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897" w:type="dxa"/>
            <w:vAlign w:val="center"/>
          </w:tcPr>
          <w:p w14:paraId="4042123E">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1.10.3</w:t>
            </w:r>
          </w:p>
        </w:tc>
        <w:tc>
          <w:tcPr>
            <w:tcW w:w="2080" w:type="dxa"/>
            <w:vAlign w:val="center"/>
          </w:tcPr>
          <w:p w14:paraId="7F0C1DBA">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采购人书面澄清的时间</w:t>
            </w:r>
          </w:p>
        </w:tc>
        <w:tc>
          <w:tcPr>
            <w:tcW w:w="6116" w:type="dxa"/>
            <w:vAlign w:val="center"/>
          </w:tcPr>
          <w:p w14:paraId="30B3A1F1">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投标截止时间前 5 天前</w:t>
            </w:r>
          </w:p>
        </w:tc>
      </w:tr>
      <w:tr w14:paraId="73338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7A78E7AA">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2.1</w:t>
            </w:r>
          </w:p>
        </w:tc>
        <w:tc>
          <w:tcPr>
            <w:tcW w:w="2080" w:type="dxa"/>
            <w:vAlign w:val="center"/>
          </w:tcPr>
          <w:p w14:paraId="192871B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构成竞争性磋商文件的其他材料</w:t>
            </w:r>
          </w:p>
        </w:tc>
        <w:tc>
          <w:tcPr>
            <w:tcW w:w="6116" w:type="dxa"/>
            <w:vAlign w:val="center"/>
          </w:tcPr>
          <w:p w14:paraId="1140E7B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p>
        </w:tc>
      </w:tr>
      <w:tr w14:paraId="5BFFC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07B0261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2.2</w:t>
            </w:r>
          </w:p>
        </w:tc>
        <w:tc>
          <w:tcPr>
            <w:tcW w:w="2080" w:type="dxa"/>
            <w:vAlign w:val="center"/>
          </w:tcPr>
          <w:p w14:paraId="01F45BC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供应商要求</w:t>
            </w:r>
          </w:p>
          <w:p w14:paraId="6CC41E8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澄清竞争性磋商文件的截止时间</w:t>
            </w:r>
          </w:p>
        </w:tc>
        <w:tc>
          <w:tcPr>
            <w:tcW w:w="6116" w:type="dxa"/>
            <w:vAlign w:val="center"/>
          </w:tcPr>
          <w:p w14:paraId="7B1A862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cs="宋体"/>
                <w:sz w:val="21"/>
                <w:szCs w:val="21"/>
              </w:rPr>
              <w:t>代理机构及招标人将视所提问题具体情况进行答复澄清，在“政采云”平台（https://www.zcygov.cn）发布。</w:t>
            </w:r>
            <w:r>
              <w:rPr>
                <w:rFonts w:hint="eastAsia" w:ascii="宋体" w:hAnsi="宋体" w:cs="宋体"/>
                <w:sz w:val="21"/>
                <w:szCs w:val="21"/>
                <w:lang w:eastAsia="zh-CN"/>
              </w:rPr>
              <w:t>供应商</w:t>
            </w:r>
            <w:r>
              <w:rPr>
                <w:rFonts w:hint="eastAsia" w:ascii="宋体" w:hAnsi="宋体" w:cs="宋体"/>
                <w:sz w:val="21"/>
                <w:szCs w:val="21"/>
              </w:rPr>
              <w:t>自行在“政采云”平台（https://www.zcygov.cn）查看。否则，后果自负。招标代理机构及采购人不接受供应商的书面质疑。为使</w:t>
            </w:r>
            <w:r>
              <w:rPr>
                <w:rFonts w:hint="eastAsia" w:ascii="宋体" w:hAnsi="宋体" w:cs="宋体"/>
                <w:sz w:val="21"/>
                <w:szCs w:val="21"/>
                <w:lang w:eastAsia="zh-CN"/>
              </w:rPr>
              <w:t>供应商</w:t>
            </w:r>
            <w:r>
              <w:rPr>
                <w:rFonts w:hint="eastAsia" w:ascii="宋体" w:hAnsi="宋体" w:cs="宋体"/>
                <w:sz w:val="21"/>
                <w:szCs w:val="21"/>
              </w:rPr>
              <w:t>有充分的时间对磋商文件的澄清、修改、补充部分进行研究，采购人可在投标截止时间3日前（含）自行决定酌情延长投标截止时间，延长投标截止时间的公告将在发布招标公告的媒体上发布并在“政采云”平台（https://www.zcygov.cn）向所有潜在</w:t>
            </w:r>
            <w:r>
              <w:rPr>
                <w:rFonts w:hint="eastAsia" w:ascii="宋体" w:hAnsi="宋体" w:cs="宋体"/>
                <w:sz w:val="21"/>
                <w:szCs w:val="21"/>
                <w:lang w:eastAsia="zh-CN"/>
              </w:rPr>
              <w:t>供应商</w:t>
            </w:r>
            <w:r>
              <w:rPr>
                <w:rFonts w:hint="eastAsia" w:ascii="宋体" w:hAnsi="宋体" w:cs="宋体"/>
                <w:sz w:val="21"/>
                <w:szCs w:val="21"/>
              </w:rPr>
              <w:t>发布。在这种情况下，采购人和</w:t>
            </w:r>
            <w:r>
              <w:rPr>
                <w:rFonts w:hint="eastAsia" w:ascii="宋体" w:hAnsi="宋体" w:cs="宋体"/>
                <w:sz w:val="21"/>
                <w:szCs w:val="21"/>
                <w:lang w:eastAsia="zh-CN"/>
              </w:rPr>
              <w:t>供应商</w:t>
            </w:r>
            <w:r>
              <w:rPr>
                <w:rFonts w:hint="eastAsia" w:ascii="宋体" w:hAnsi="宋体" w:cs="宋体"/>
                <w:sz w:val="21"/>
                <w:szCs w:val="21"/>
              </w:rPr>
              <w:t>受投标截止时间制约的所有权利和义务均相应延长至新的投标截止时间。</w:t>
            </w:r>
          </w:p>
        </w:tc>
      </w:tr>
      <w:tr w14:paraId="35B5A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4C9D47C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3.1.1</w:t>
            </w:r>
          </w:p>
        </w:tc>
        <w:tc>
          <w:tcPr>
            <w:tcW w:w="2080" w:type="dxa"/>
            <w:vAlign w:val="center"/>
          </w:tcPr>
          <w:p w14:paraId="19A929F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构成响应文件的其他材料</w:t>
            </w:r>
          </w:p>
        </w:tc>
        <w:tc>
          <w:tcPr>
            <w:tcW w:w="6116" w:type="dxa"/>
            <w:vAlign w:val="center"/>
          </w:tcPr>
          <w:p w14:paraId="5B805529">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w:t>
            </w:r>
          </w:p>
        </w:tc>
      </w:tr>
      <w:tr w14:paraId="79DDE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3C3FF8F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3.2.1</w:t>
            </w:r>
          </w:p>
        </w:tc>
        <w:tc>
          <w:tcPr>
            <w:tcW w:w="2080" w:type="dxa"/>
            <w:vAlign w:val="center"/>
          </w:tcPr>
          <w:p w14:paraId="65B17F06">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预算控制价</w:t>
            </w:r>
          </w:p>
        </w:tc>
        <w:tc>
          <w:tcPr>
            <w:tcW w:w="6116" w:type="dxa"/>
            <w:vAlign w:val="center"/>
          </w:tcPr>
          <w:p w14:paraId="1D77324B">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sz w:val="21"/>
                <w:szCs w:val="21"/>
                <w:lang w:eastAsia="zh-CN"/>
              </w:rPr>
            </w:pPr>
            <w:r>
              <w:rPr>
                <w:rFonts w:hint="eastAsia" w:ascii="宋体" w:hAnsi="宋体"/>
                <w:sz w:val="21"/>
                <w:szCs w:val="21"/>
                <w:lang w:val="en-US" w:eastAsia="zh-CN"/>
              </w:rPr>
              <w:t>50.145</w:t>
            </w:r>
            <w:r>
              <w:rPr>
                <w:rFonts w:hint="eastAsia" w:ascii="宋体" w:hAnsi="宋体"/>
                <w:sz w:val="21"/>
                <w:szCs w:val="21"/>
                <w:lang w:eastAsia="zh-CN"/>
              </w:rPr>
              <w:t>万元</w:t>
            </w:r>
          </w:p>
        </w:tc>
      </w:tr>
      <w:tr w14:paraId="5EC07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36DF690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3.3.1</w:t>
            </w:r>
          </w:p>
        </w:tc>
        <w:tc>
          <w:tcPr>
            <w:tcW w:w="2080" w:type="dxa"/>
            <w:vAlign w:val="center"/>
          </w:tcPr>
          <w:p w14:paraId="5183C71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响应文件有效期</w:t>
            </w:r>
          </w:p>
        </w:tc>
        <w:tc>
          <w:tcPr>
            <w:tcW w:w="6116" w:type="dxa"/>
            <w:vAlign w:val="center"/>
          </w:tcPr>
          <w:p w14:paraId="66DD738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 xml:space="preserve"> </w:t>
            </w:r>
            <w:r>
              <w:rPr>
                <w:rFonts w:hint="eastAsia" w:ascii="宋体" w:hAnsi="宋体"/>
                <w:sz w:val="21"/>
                <w:szCs w:val="21"/>
                <w:lang w:val="en-US" w:eastAsia="zh-CN"/>
              </w:rPr>
              <w:t>90</w:t>
            </w:r>
            <w:r>
              <w:rPr>
                <w:rFonts w:hint="eastAsia" w:ascii="宋体" w:hAnsi="宋体"/>
                <w:sz w:val="21"/>
                <w:szCs w:val="21"/>
              </w:rPr>
              <w:t xml:space="preserve"> 天</w:t>
            </w:r>
          </w:p>
        </w:tc>
      </w:tr>
      <w:tr w14:paraId="25D95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trPr>
        <w:tc>
          <w:tcPr>
            <w:tcW w:w="897" w:type="dxa"/>
            <w:vAlign w:val="center"/>
          </w:tcPr>
          <w:p w14:paraId="23CBB94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3.4.1</w:t>
            </w:r>
          </w:p>
        </w:tc>
        <w:tc>
          <w:tcPr>
            <w:tcW w:w="2080" w:type="dxa"/>
            <w:vAlign w:val="center"/>
          </w:tcPr>
          <w:p w14:paraId="55FDF1A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磋商保证金</w:t>
            </w:r>
          </w:p>
        </w:tc>
        <w:tc>
          <w:tcPr>
            <w:tcW w:w="6116" w:type="dxa"/>
            <w:vAlign w:val="center"/>
          </w:tcPr>
          <w:p w14:paraId="0E10ED2C">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磋商保证金额：</w:t>
            </w:r>
            <w:r>
              <w:rPr>
                <w:rFonts w:hint="eastAsia" w:ascii="宋体" w:hAnsi="宋体" w:cs="宋体"/>
                <w:sz w:val="21"/>
                <w:szCs w:val="21"/>
                <w:lang w:val="en-US" w:eastAsia="zh-CN"/>
              </w:rPr>
              <w:t>5000</w:t>
            </w:r>
            <w:r>
              <w:rPr>
                <w:rFonts w:hint="eastAsia" w:ascii="宋体" w:hAnsi="宋体" w:cs="宋体"/>
                <w:sz w:val="21"/>
                <w:szCs w:val="21"/>
              </w:rPr>
              <w:t>元。保证金应当以支票、汇票、本票或者金融机构、担保机构出具的保函等非现金形式提交。保证金应从基本账户转出。银行电汇单据扫描件及基本账户开户许可证扫描件应放入响应文件中。</w:t>
            </w:r>
          </w:p>
          <w:p w14:paraId="3D2366C7">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磋商保证金的递交时间及地点：于</w:t>
            </w:r>
            <w:r>
              <w:rPr>
                <w:rFonts w:hint="eastAsia" w:ascii="宋体" w:hAnsi="宋体" w:cs="宋体"/>
                <w:sz w:val="21"/>
                <w:szCs w:val="21"/>
                <w:lang w:eastAsia="zh-CN"/>
              </w:rPr>
              <w:t>202</w:t>
            </w:r>
            <w:r>
              <w:rPr>
                <w:rFonts w:hint="eastAsia" w:ascii="宋体" w:hAnsi="宋体" w:cs="宋体"/>
                <w:sz w:val="21"/>
                <w:szCs w:val="21"/>
                <w:lang w:val="en-US" w:eastAsia="zh-CN"/>
              </w:rPr>
              <w:t>5</w:t>
            </w:r>
            <w:r>
              <w:rPr>
                <w:rFonts w:hint="eastAsia" w:ascii="宋体" w:hAnsi="宋体" w:cs="宋体"/>
                <w:sz w:val="21"/>
                <w:szCs w:val="21"/>
                <w:lang w:eastAsia="zh-CN"/>
              </w:rPr>
              <w:t>年</w:t>
            </w:r>
            <w:r>
              <w:rPr>
                <w:rFonts w:hint="eastAsia" w:ascii="宋体" w:hAnsi="宋体" w:cs="宋体"/>
                <w:sz w:val="21"/>
                <w:szCs w:val="21"/>
                <w:lang w:val="en-US" w:eastAsia="zh-CN"/>
              </w:rPr>
              <w:t>4</w:t>
            </w:r>
            <w:r>
              <w:rPr>
                <w:rFonts w:hint="eastAsia" w:ascii="宋体" w:hAnsi="宋体" w:cs="宋体"/>
                <w:sz w:val="21"/>
                <w:szCs w:val="21"/>
                <w:lang w:eastAsia="zh-CN"/>
              </w:rPr>
              <w:t>月</w:t>
            </w:r>
            <w:r>
              <w:rPr>
                <w:rFonts w:hint="eastAsia" w:ascii="宋体" w:hAnsi="宋体" w:cs="宋体"/>
                <w:sz w:val="21"/>
                <w:szCs w:val="21"/>
                <w:lang w:val="en-US" w:eastAsia="zh-CN"/>
              </w:rPr>
              <w:t>21</w:t>
            </w:r>
            <w:r>
              <w:rPr>
                <w:rFonts w:hint="eastAsia" w:ascii="宋体" w:hAnsi="宋体" w:cs="宋体"/>
                <w:sz w:val="21"/>
                <w:szCs w:val="21"/>
                <w:lang w:eastAsia="zh-CN"/>
              </w:rPr>
              <w:t>日</w:t>
            </w:r>
            <w:r>
              <w:rPr>
                <w:rFonts w:hint="eastAsia" w:ascii="宋体" w:hAnsi="宋体" w:cs="宋体"/>
                <w:sz w:val="21"/>
                <w:szCs w:val="21"/>
                <w:lang w:val="en-US" w:eastAsia="zh-CN"/>
              </w:rPr>
              <w:t>9</w:t>
            </w:r>
            <w:r>
              <w:rPr>
                <w:rFonts w:hint="eastAsia" w:ascii="宋体" w:hAnsi="宋体" w:cs="宋体"/>
                <w:sz w:val="21"/>
                <w:szCs w:val="21"/>
                <w:lang w:eastAsia="zh-CN"/>
              </w:rPr>
              <w:t>时00分</w:t>
            </w:r>
            <w:r>
              <w:rPr>
                <w:rFonts w:hint="eastAsia" w:ascii="宋体" w:hAnsi="宋体" w:cs="宋体"/>
                <w:sz w:val="21"/>
                <w:szCs w:val="21"/>
              </w:rPr>
              <w:t>（北京时间）前请电汇至</w:t>
            </w:r>
          </w:p>
          <w:p w14:paraId="176CB574">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lang w:val="zh-CN"/>
              </w:rPr>
            </w:pPr>
            <w:r>
              <w:rPr>
                <w:rFonts w:hint="eastAsia" w:ascii="宋体" w:hAnsi="宋体" w:cs="宋体"/>
                <w:bCs/>
                <w:sz w:val="21"/>
                <w:szCs w:val="21"/>
                <w:lang w:val="zh-CN"/>
              </w:rPr>
              <w:t>收款单位：</w:t>
            </w:r>
            <w:r>
              <w:rPr>
                <w:rFonts w:hint="eastAsia"/>
                <w:sz w:val="21"/>
                <w:szCs w:val="21"/>
                <w:lang w:val="en-US" w:eastAsia="zh-CN"/>
              </w:rPr>
              <w:t>吉林省隆元工程管理咨询有限公司</w:t>
            </w:r>
          </w:p>
          <w:p w14:paraId="33C72F98">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lang w:val="zh-CN"/>
              </w:rPr>
            </w:pPr>
            <w:r>
              <w:rPr>
                <w:rFonts w:hint="eastAsia" w:ascii="宋体" w:hAnsi="宋体" w:cs="宋体"/>
                <w:bCs/>
                <w:sz w:val="21"/>
                <w:szCs w:val="21"/>
                <w:lang w:val="zh-CN"/>
              </w:rPr>
              <w:t>开户行：</w:t>
            </w:r>
            <w:r>
              <w:rPr>
                <w:rFonts w:hint="eastAsia"/>
                <w:sz w:val="21"/>
                <w:szCs w:val="21"/>
              </w:rPr>
              <w:t>吉林安图农村商业银行股份有限公司营业部</w:t>
            </w:r>
          </w:p>
          <w:p w14:paraId="21F2A690">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lang w:val="zh-CN"/>
              </w:rPr>
            </w:pPr>
            <w:r>
              <w:rPr>
                <w:rFonts w:hint="eastAsia" w:ascii="宋体" w:hAnsi="宋体" w:cs="宋体"/>
                <w:bCs/>
                <w:sz w:val="21"/>
                <w:szCs w:val="21"/>
                <w:lang w:val="zh-CN"/>
              </w:rPr>
              <w:t>帐  号：</w:t>
            </w:r>
            <w:r>
              <w:rPr>
                <w:rFonts w:hint="eastAsia"/>
                <w:sz w:val="21"/>
                <w:szCs w:val="21"/>
              </w:rPr>
              <w:t>0790802011015200011660</w:t>
            </w:r>
          </w:p>
          <w:p w14:paraId="17270003">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lang w:val="zh-CN"/>
              </w:rPr>
            </w:pPr>
            <w:r>
              <w:rPr>
                <w:rFonts w:hint="eastAsia" w:ascii="宋体" w:hAnsi="宋体" w:cs="宋体"/>
                <w:bCs/>
                <w:sz w:val="21"/>
                <w:szCs w:val="21"/>
                <w:lang w:val="zh-CN"/>
              </w:rPr>
              <w:t>联系人：王怀成</w:t>
            </w:r>
          </w:p>
          <w:p w14:paraId="21EC04B1">
            <w:pPr>
              <w:keepNext w:val="0"/>
              <w:keepLines w:val="0"/>
              <w:pageBreakBefore w:val="0"/>
              <w:kinsoku/>
              <w:wordWrap/>
              <w:overflowPunct/>
              <w:topLinePunct w:val="0"/>
              <w:bidi w:val="0"/>
              <w:adjustRightInd/>
              <w:snapToGrid/>
              <w:spacing w:line="320" w:lineRule="exact"/>
              <w:textAlignment w:val="auto"/>
              <w:rPr>
                <w:rFonts w:ascii="宋体" w:hAnsi="宋体" w:cs="宋体"/>
                <w:bCs/>
                <w:sz w:val="21"/>
                <w:szCs w:val="21"/>
                <w:lang w:val="zh-CN"/>
              </w:rPr>
            </w:pPr>
            <w:r>
              <w:rPr>
                <w:rFonts w:hint="eastAsia" w:ascii="宋体" w:hAnsi="宋体" w:cs="宋体"/>
                <w:bCs/>
                <w:sz w:val="21"/>
                <w:szCs w:val="21"/>
                <w:lang w:val="zh-CN"/>
              </w:rPr>
              <w:t>联系电话：0433-5812769</w:t>
            </w:r>
          </w:p>
          <w:p w14:paraId="5994E172">
            <w:pPr>
              <w:keepNext w:val="0"/>
              <w:keepLines w:val="0"/>
              <w:pageBreakBefore w:val="0"/>
              <w:kinsoku/>
              <w:wordWrap/>
              <w:overflowPunct/>
              <w:topLinePunct w:val="0"/>
              <w:bidi w:val="0"/>
              <w:adjustRightInd/>
              <w:snapToGrid/>
              <w:spacing w:line="320" w:lineRule="exact"/>
              <w:textAlignment w:val="auto"/>
              <w:rPr>
                <w:b/>
                <w:bCs/>
                <w:sz w:val="21"/>
                <w:szCs w:val="21"/>
                <w:lang w:val="zh-CN"/>
              </w:rPr>
            </w:pPr>
            <w:r>
              <w:rPr>
                <w:rFonts w:hint="eastAsia"/>
                <w:b/>
                <w:bCs/>
                <w:sz w:val="21"/>
                <w:szCs w:val="21"/>
                <w:lang w:val="zh-CN"/>
              </w:rPr>
              <w:t>注：各投标单位应在汇款时认真核对收款单位、开户行名称、账号准确无误，确保保证金按时到账，否则后果自负。</w:t>
            </w:r>
          </w:p>
          <w:p w14:paraId="135DF2A6">
            <w:pPr>
              <w:keepNext w:val="0"/>
              <w:keepLines w:val="0"/>
              <w:pageBreakBefore w:val="0"/>
              <w:kinsoku/>
              <w:wordWrap/>
              <w:overflowPunct/>
              <w:topLinePunct w:val="0"/>
              <w:autoSpaceDE w:val="0"/>
              <w:autoSpaceDN w:val="0"/>
              <w:bidi w:val="0"/>
              <w:adjustRightInd/>
              <w:snapToGrid/>
              <w:spacing w:line="320" w:lineRule="exact"/>
              <w:jc w:val="left"/>
              <w:textAlignment w:val="auto"/>
              <w:rPr>
                <w:rFonts w:ascii="宋体" w:hAnsi="宋体"/>
                <w:sz w:val="21"/>
                <w:szCs w:val="21"/>
              </w:rPr>
            </w:pPr>
            <w:r>
              <w:rPr>
                <w:rFonts w:hint="eastAsia"/>
                <w:b/>
                <w:bCs/>
                <w:sz w:val="21"/>
                <w:szCs w:val="21"/>
                <w:lang w:val="zh-CN"/>
              </w:rPr>
              <w:t>投标保证金应写明项目全称或简称</w:t>
            </w:r>
            <w:r>
              <w:rPr>
                <w:rFonts w:hint="eastAsia"/>
                <w:b/>
                <w:bCs/>
                <w:sz w:val="21"/>
                <w:szCs w:val="21"/>
              </w:rPr>
              <w:t>,</w:t>
            </w:r>
            <w:r>
              <w:rPr>
                <w:rFonts w:hint="eastAsia"/>
                <w:b/>
                <w:bCs/>
                <w:sz w:val="21"/>
                <w:szCs w:val="21"/>
                <w:lang w:val="zh-CN"/>
              </w:rPr>
              <w:t>否则后果自负。</w:t>
            </w:r>
          </w:p>
        </w:tc>
      </w:tr>
      <w:tr w14:paraId="1A56B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897" w:type="dxa"/>
            <w:vAlign w:val="center"/>
          </w:tcPr>
          <w:p w14:paraId="68B83E5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3.4.2</w:t>
            </w:r>
          </w:p>
        </w:tc>
        <w:tc>
          <w:tcPr>
            <w:tcW w:w="2080" w:type="dxa"/>
            <w:vAlign w:val="center"/>
          </w:tcPr>
          <w:p w14:paraId="26CA5E0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退还响应保证金</w:t>
            </w:r>
          </w:p>
        </w:tc>
        <w:tc>
          <w:tcPr>
            <w:tcW w:w="6116" w:type="dxa"/>
            <w:vAlign w:val="center"/>
          </w:tcPr>
          <w:p w14:paraId="28740CA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退还办法：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tc>
      </w:tr>
      <w:tr w14:paraId="0E99C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897" w:type="dxa"/>
            <w:vAlign w:val="center"/>
          </w:tcPr>
          <w:p w14:paraId="53ACF393">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3.5.2</w:t>
            </w:r>
          </w:p>
        </w:tc>
        <w:tc>
          <w:tcPr>
            <w:tcW w:w="2080" w:type="dxa"/>
            <w:vAlign w:val="center"/>
          </w:tcPr>
          <w:p w14:paraId="22F8FFD8">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近年财务状况的年份要求</w:t>
            </w:r>
          </w:p>
        </w:tc>
        <w:tc>
          <w:tcPr>
            <w:tcW w:w="6116" w:type="dxa"/>
            <w:vAlign w:val="center"/>
          </w:tcPr>
          <w:p w14:paraId="028A5C4A">
            <w:pPr>
              <w:pStyle w:val="50"/>
              <w:keepNext w:val="0"/>
              <w:keepLines w:val="0"/>
              <w:pageBreakBefore w:val="0"/>
              <w:kinsoku/>
              <w:wordWrap/>
              <w:overflowPunct/>
              <w:topLinePunct w:val="0"/>
              <w:bidi w:val="0"/>
              <w:adjustRightInd/>
              <w:snapToGrid/>
              <w:spacing w:before="72" w:line="320" w:lineRule="exact"/>
              <w:jc w:val="both"/>
              <w:textAlignment w:val="auto"/>
              <w:rPr>
                <w:rFonts w:ascii="宋体" w:hAnsi="宋体" w:cs="宋体"/>
                <w:sz w:val="21"/>
                <w:szCs w:val="21"/>
              </w:rPr>
            </w:pPr>
            <w:r>
              <w:rPr>
                <w:spacing w:val="-1"/>
                <w:sz w:val="21"/>
                <w:szCs w:val="21"/>
              </w:rPr>
              <w:t>指202</w:t>
            </w:r>
            <w:r>
              <w:rPr>
                <w:rFonts w:hint="eastAsia"/>
                <w:spacing w:val="-1"/>
                <w:sz w:val="21"/>
                <w:szCs w:val="21"/>
                <w:lang w:val="en-US" w:eastAsia="zh-CN"/>
              </w:rPr>
              <w:t>3</w:t>
            </w:r>
            <w:r>
              <w:rPr>
                <w:spacing w:val="-1"/>
                <w:sz w:val="21"/>
                <w:szCs w:val="21"/>
              </w:rPr>
              <w:t>年。</w:t>
            </w:r>
          </w:p>
        </w:tc>
      </w:tr>
      <w:tr w14:paraId="6CDCF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897" w:type="dxa"/>
            <w:vAlign w:val="center"/>
          </w:tcPr>
          <w:p w14:paraId="701ACE7D">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3.5.3</w:t>
            </w:r>
          </w:p>
        </w:tc>
        <w:tc>
          <w:tcPr>
            <w:tcW w:w="2080" w:type="dxa"/>
            <w:vAlign w:val="center"/>
          </w:tcPr>
          <w:p w14:paraId="3BB95EEA">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近年完成的类似项目的年份要求</w:t>
            </w:r>
          </w:p>
        </w:tc>
        <w:tc>
          <w:tcPr>
            <w:tcW w:w="6116" w:type="dxa"/>
            <w:vAlign w:val="center"/>
          </w:tcPr>
          <w:p w14:paraId="44465889">
            <w:pPr>
              <w:pStyle w:val="50"/>
              <w:keepNext w:val="0"/>
              <w:keepLines w:val="0"/>
              <w:pageBreakBefore w:val="0"/>
              <w:kinsoku/>
              <w:wordWrap/>
              <w:overflowPunct/>
              <w:topLinePunct w:val="0"/>
              <w:bidi w:val="0"/>
              <w:adjustRightInd/>
              <w:snapToGrid/>
              <w:spacing w:before="71" w:line="320" w:lineRule="exact"/>
              <w:jc w:val="both"/>
              <w:textAlignment w:val="auto"/>
              <w:rPr>
                <w:rFonts w:ascii="宋体" w:hAnsi="宋体" w:cs="宋体"/>
                <w:sz w:val="21"/>
                <w:szCs w:val="21"/>
              </w:rPr>
            </w:pPr>
            <w:r>
              <w:rPr>
                <w:spacing w:val="-1"/>
                <w:sz w:val="21"/>
                <w:szCs w:val="21"/>
              </w:rPr>
              <w:t>3年，指202</w:t>
            </w:r>
            <w:r>
              <w:rPr>
                <w:rFonts w:hint="eastAsia"/>
                <w:spacing w:val="-1"/>
                <w:sz w:val="21"/>
                <w:szCs w:val="21"/>
                <w:lang w:val="en-US" w:eastAsia="zh-CN"/>
              </w:rPr>
              <w:t>2</w:t>
            </w:r>
            <w:r>
              <w:rPr>
                <w:spacing w:val="-1"/>
                <w:sz w:val="21"/>
                <w:szCs w:val="21"/>
              </w:rPr>
              <w:t>年</w:t>
            </w:r>
            <w:r>
              <w:rPr>
                <w:rFonts w:hint="eastAsia"/>
                <w:spacing w:val="-1"/>
                <w:sz w:val="21"/>
                <w:szCs w:val="21"/>
                <w:lang w:val="en-US" w:eastAsia="zh-CN"/>
              </w:rPr>
              <w:t>4</w:t>
            </w:r>
            <w:r>
              <w:rPr>
                <w:spacing w:val="-1"/>
                <w:sz w:val="21"/>
                <w:szCs w:val="21"/>
              </w:rPr>
              <w:t>月1日起至今。</w:t>
            </w:r>
          </w:p>
        </w:tc>
      </w:tr>
      <w:tr w14:paraId="6772D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73D96E5D">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3.5.5</w:t>
            </w:r>
          </w:p>
        </w:tc>
        <w:tc>
          <w:tcPr>
            <w:tcW w:w="2080" w:type="dxa"/>
            <w:vAlign w:val="center"/>
          </w:tcPr>
          <w:p w14:paraId="00F10E12">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近年发生的诉讼及仲裁情况的年份要求</w:t>
            </w:r>
          </w:p>
        </w:tc>
        <w:tc>
          <w:tcPr>
            <w:tcW w:w="6116" w:type="dxa"/>
            <w:vAlign w:val="center"/>
          </w:tcPr>
          <w:p w14:paraId="1450B563">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202</w:t>
            </w:r>
            <w:r>
              <w:rPr>
                <w:rFonts w:hint="eastAsia" w:ascii="宋体" w:hAnsi="宋体" w:cs="宋体"/>
                <w:sz w:val="21"/>
                <w:szCs w:val="21"/>
                <w:lang w:val="en-US" w:eastAsia="zh-CN"/>
              </w:rPr>
              <w:t>2</w:t>
            </w:r>
            <w:r>
              <w:rPr>
                <w:rFonts w:hint="eastAsia" w:ascii="宋体" w:hAnsi="宋体" w:cs="宋体"/>
                <w:sz w:val="21"/>
                <w:szCs w:val="21"/>
              </w:rPr>
              <w:t>年0</w:t>
            </w:r>
            <w:r>
              <w:rPr>
                <w:rFonts w:hint="eastAsia" w:ascii="宋体" w:hAnsi="宋体" w:cs="宋体"/>
                <w:sz w:val="21"/>
                <w:szCs w:val="21"/>
                <w:lang w:val="en-US" w:eastAsia="zh-CN"/>
              </w:rPr>
              <w:t>4</w:t>
            </w:r>
            <w:r>
              <w:rPr>
                <w:rFonts w:hint="eastAsia" w:ascii="宋体" w:hAnsi="宋体" w:cs="宋体"/>
                <w:sz w:val="21"/>
                <w:szCs w:val="21"/>
              </w:rPr>
              <w:t>月01日至今</w:t>
            </w:r>
          </w:p>
        </w:tc>
      </w:tr>
      <w:tr w14:paraId="5CBB4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97" w:type="dxa"/>
            <w:vAlign w:val="center"/>
          </w:tcPr>
          <w:p w14:paraId="505E53C7">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3.6</w:t>
            </w:r>
          </w:p>
        </w:tc>
        <w:tc>
          <w:tcPr>
            <w:tcW w:w="2080" w:type="dxa"/>
            <w:vAlign w:val="center"/>
          </w:tcPr>
          <w:p w14:paraId="0297319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是否允许递交</w:t>
            </w:r>
          </w:p>
          <w:p w14:paraId="32239C4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备选响应方案</w:t>
            </w:r>
          </w:p>
        </w:tc>
        <w:tc>
          <w:tcPr>
            <w:tcW w:w="6116" w:type="dxa"/>
            <w:vAlign w:val="center"/>
          </w:tcPr>
          <w:p w14:paraId="3003F0D5">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不允许</w:t>
            </w:r>
          </w:p>
        </w:tc>
      </w:tr>
      <w:tr w14:paraId="62B69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897" w:type="dxa"/>
            <w:vAlign w:val="center"/>
          </w:tcPr>
          <w:p w14:paraId="11AB0F8D">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3.7.3</w:t>
            </w:r>
          </w:p>
        </w:tc>
        <w:tc>
          <w:tcPr>
            <w:tcW w:w="2080" w:type="dxa"/>
            <w:vAlign w:val="center"/>
          </w:tcPr>
          <w:p w14:paraId="04DFDEFF">
            <w:pPr>
              <w:keepNext w:val="0"/>
              <w:keepLines w:val="0"/>
              <w:pageBreakBefore w:val="0"/>
              <w:kinsoku/>
              <w:wordWrap/>
              <w:overflowPunct/>
              <w:topLinePunct w:val="0"/>
              <w:autoSpaceDE w:val="0"/>
              <w:autoSpaceDN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签字或盖章要求</w:t>
            </w:r>
          </w:p>
        </w:tc>
        <w:tc>
          <w:tcPr>
            <w:tcW w:w="6116" w:type="dxa"/>
          </w:tcPr>
          <w:p w14:paraId="69172F30">
            <w:pPr>
              <w:keepNext w:val="0"/>
              <w:keepLines w:val="0"/>
              <w:pageBreakBefore w:val="0"/>
              <w:kinsoku/>
              <w:wordWrap/>
              <w:overflowPunct/>
              <w:topLinePunct w:val="0"/>
              <w:autoSpaceDE w:val="0"/>
              <w:autoSpaceDN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响应文件应按照磋商文件的规定加盖</w:t>
            </w:r>
            <w:r>
              <w:rPr>
                <w:rFonts w:hint="eastAsia" w:ascii="宋体" w:hAnsi="宋体" w:cs="宋体"/>
                <w:sz w:val="21"/>
                <w:szCs w:val="21"/>
                <w:lang w:eastAsia="zh-CN"/>
              </w:rPr>
              <w:t>供应商</w:t>
            </w:r>
            <w:r>
              <w:rPr>
                <w:rFonts w:hint="eastAsia" w:ascii="宋体" w:hAnsi="宋体" w:cs="宋体"/>
                <w:sz w:val="21"/>
                <w:szCs w:val="21"/>
              </w:rPr>
              <w:t>印章并经法定代表人或其委托代理人签字；响应文件应使用打印、复印或不能擦去的墨水书写，文字要清晰，语言要明确，并按磋商文件的要求封面加盖单位公章和由法定代表人（或委托代理人）签名。响应文件应尽量避免涂改和插字，若为了改正错误必须这样做时，除了按采购人书面指示进行修改的以外，均应由法定代表人（或委托代理人）在修改处盖章或签名确认。</w:t>
            </w:r>
          </w:p>
          <w:p w14:paraId="3FA7EE58">
            <w:pPr>
              <w:keepNext w:val="0"/>
              <w:keepLines w:val="0"/>
              <w:pageBreakBefore w:val="0"/>
              <w:kinsoku/>
              <w:wordWrap/>
              <w:overflowPunct/>
              <w:topLinePunct w:val="0"/>
              <w:autoSpaceDE w:val="0"/>
              <w:autoSpaceDN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响应文件的封面、响应函、报价一览表、投标保证金、法人授权委托书的盖章和签字（盖章不能代替签字）等都要求是原件或真迹，不得复印。第一中标候选人需提交纸质响应文件用于存档，其他投标（响应）人无需提交纸质响应文件</w:t>
            </w:r>
          </w:p>
        </w:tc>
      </w:tr>
      <w:tr w14:paraId="6C663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897" w:type="dxa"/>
            <w:vAlign w:val="center"/>
          </w:tcPr>
          <w:p w14:paraId="61CF6C7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3.7.4</w:t>
            </w:r>
          </w:p>
        </w:tc>
        <w:tc>
          <w:tcPr>
            <w:tcW w:w="2080" w:type="dxa"/>
            <w:vAlign w:val="center"/>
          </w:tcPr>
          <w:p w14:paraId="363BA67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响应文件份数</w:t>
            </w:r>
          </w:p>
        </w:tc>
        <w:tc>
          <w:tcPr>
            <w:tcW w:w="6116" w:type="dxa"/>
            <w:vAlign w:val="center"/>
          </w:tcPr>
          <w:p w14:paraId="44C8A9C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纸质文件：正本一份，副本两份；电子版：2份（U盘）。</w:t>
            </w:r>
          </w:p>
          <w:p w14:paraId="1CD904B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响应文件电子版内容：</w:t>
            </w:r>
          </w:p>
          <w:p w14:paraId="6EB8ECE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响应文件的全部内容</w:t>
            </w:r>
          </w:p>
          <w:p w14:paraId="55A33A63">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响应文件电子版份数：</w:t>
            </w:r>
          </w:p>
          <w:p w14:paraId="3A72C91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U盘2份</w:t>
            </w:r>
          </w:p>
          <w:p w14:paraId="6D0A5EEF">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响应文件电子版格式：</w:t>
            </w:r>
          </w:p>
          <w:p w14:paraId="5EC04FE1">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U盘：word格式及pdf格式</w:t>
            </w:r>
          </w:p>
          <w:p w14:paraId="09DC6E4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注：投标单位需在开标前将投标文件制作工具生成的加密文件上传到“政采云”平台。第一中标候选人在公示期递交纸质文件及U盘为载体的电子投标（响应）文件，其他</w:t>
            </w:r>
            <w:r>
              <w:rPr>
                <w:rFonts w:hint="eastAsia" w:ascii="宋体" w:hAnsi="宋体"/>
                <w:sz w:val="21"/>
                <w:szCs w:val="21"/>
                <w:lang w:eastAsia="zh-CN"/>
              </w:rPr>
              <w:t>供应商</w:t>
            </w:r>
            <w:r>
              <w:rPr>
                <w:rFonts w:hint="eastAsia" w:ascii="宋体" w:hAnsi="宋体"/>
                <w:sz w:val="21"/>
                <w:szCs w:val="21"/>
              </w:rPr>
              <w:t>无需提供。</w:t>
            </w:r>
          </w:p>
        </w:tc>
      </w:tr>
      <w:tr w14:paraId="08530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7" w:type="dxa"/>
            <w:vAlign w:val="center"/>
          </w:tcPr>
          <w:p w14:paraId="60AD6D66">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3.7.5</w:t>
            </w:r>
          </w:p>
        </w:tc>
        <w:tc>
          <w:tcPr>
            <w:tcW w:w="2080" w:type="dxa"/>
            <w:vAlign w:val="center"/>
          </w:tcPr>
          <w:p w14:paraId="0C80FD20">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装订要求</w:t>
            </w:r>
          </w:p>
        </w:tc>
        <w:tc>
          <w:tcPr>
            <w:tcW w:w="6116" w:type="dxa"/>
            <w:vAlign w:val="center"/>
          </w:tcPr>
          <w:p w14:paraId="126F2C1D">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左侧纵向装订，不允许活页装订</w:t>
            </w:r>
          </w:p>
          <w:p w14:paraId="442D9270">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√不分册装订</w:t>
            </w:r>
          </w:p>
          <w:p w14:paraId="1D294308">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每册采用</w:t>
            </w:r>
            <w:r>
              <w:rPr>
                <w:rFonts w:hint="eastAsia" w:ascii="宋体" w:hAnsi="宋体" w:cs="宋体"/>
                <w:sz w:val="21"/>
                <w:szCs w:val="21"/>
                <w:u w:val="single"/>
              </w:rPr>
              <w:t xml:space="preserve"> 胶装 </w:t>
            </w:r>
            <w:r>
              <w:rPr>
                <w:rFonts w:hint="eastAsia" w:ascii="宋体" w:hAnsi="宋体" w:cs="宋体"/>
                <w:sz w:val="21"/>
                <w:szCs w:val="21"/>
              </w:rPr>
              <w:t>方式装订，装订应牢固、不易拆散和换页，不得采用活页装订</w:t>
            </w:r>
          </w:p>
        </w:tc>
      </w:tr>
      <w:tr w14:paraId="7794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97" w:type="dxa"/>
            <w:vAlign w:val="center"/>
          </w:tcPr>
          <w:p w14:paraId="291A047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4.1.1</w:t>
            </w:r>
          </w:p>
        </w:tc>
        <w:tc>
          <w:tcPr>
            <w:tcW w:w="2080" w:type="dxa"/>
            <w:vAlign w:val="center"/>
          </w:tcPr>
          <w:p w14:paraId="5C9E462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响应文件送达截止时间</w:t>
            </w:r>
          </w:p>
        </w:tc>
        <w:tc>
          <w:tcPr>
            <w:tcW w:w="6116" w:type="dxa"/>
            <w:vAlign w:val="center"/>
          </w:tcPr>
          <w:p w14:paraId="7A9180C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b/>
                <w:sz w:val="21"/>
                <w:szCs w:val="21"/>
                <w:lang w:eastAsia="zh-CN"/>
              </w:rPr>
              <w:t>202</w:t>
            </w:r>
            <w:r>
              <w:rPr>
                <w:rFonts w:hint="eastAsia" w:ascii="宋体" w:hAnsi="宋体"/>
                <w:b/>
                <w:sz w:val="21"/>
                <w:szCs w:val="21"/>
                <w:lang w:val="en-US" w:eastAsia="zh-CN"/>
              </w:rPr>
              <w:t>5</w:t>
            </w:r>
            <w:r>
              <w:rPr>
                <w:rFonts w:hint="eastAsia" w:ascii="宋体" w:hAnsi="宋体"/>
                <w:b/>
                <w:sz w:val="21"/>
                <w:szCs w:val="21"/>
                <w:lang w:eastAsia="zh-CN"/>
              </w:rPr>
              <w:t>年</w:t>
            </w:r>
            <w:r>
              <w:rPr>
                <w:rFonts w:hint="eastAsia" w:ascii="宋体" w:hAnsi="宋体"/>
                <w:b/>
                <w:sz w:val="21"/>
                <w:szCs w:val="21"/>
                <w:lang w:val="en-US" w:eastAsia="zh-CN"/>
              </w:rPr>
              <w:t>4</w:t>
            </w:r>
            <w:r>
              <w:rPr>
                <w:rFonts w:hint="eastAsia" w:ascii="宋体" w:hAnsi="宋体"/>
                <w:b/>
                <w:sz w:val="21"/>
                <w:szCs w:val="21"/>
                <w:lang w:eastAsia="zh-CN"/>
              </w:rPr>
              <w:t>月</w:t>
            </w:r>
            <w:r>
              <w:rPr>
                <w:rFonts w:hint="eastAsia" w:ascii="宋体" w:hAnsi="宋体"/>
                <w:b/>
                <w:sz w:val="21"/>
                <w:szCs w:val="21"/>
                <w:lang w:val="en-US" w:eastAsia="zh-CN"/>
              </w:rPr>
              <w:t>21</w:t>
            </w:r>
            <w:r>
              <w:rPr>
                <w:rFonts w:hint="eastAsia" w:ascii="宋体" w:hAnsi="宋体"/>
                <w:b/>
                <w:sz w:val="21"/>
                <w:szCs w:val="21"/>
                <w:lang w:eastAsia="zh-CN"/>
              </w:rPr>
              <w:t>日</w:t>
            </w:r>
            <w:r>
              <w:rPr>
                <w:rFonts w:hint="eastAsia" w:ascii="宋体" w:hAnsi="宋体"/>
                <w:b/>
                <w:sz w:val="21"/>
                <w:szCs w:val="21"/>
                <w:lang w:val="en-US" w:eastAsia="zh-CN"/>
              </w:rPr>
              <w:t>9</w:t>
            </w:r>
            <w:r>
              <w:rPr>
                <w:rFonts w:hint="eastAsia" w:ascii="宋体" w:hAnsi="宋体"/>
                <w:b/>
                <w:sz w:val="21"/>
                <w:szCs w:val="21"/>
                <w:lang w:eastAsia="zh-CN"/>
              </w:rPr>
              <w:t>时00分</w:t>
            </w:r>
            <w:r>
              <w:rPr>
                <w:rFonts w:hint="eastAsia" w:ascii="宋体" w:hAnsi="宋体"/>
                <w:sz w:val="21"/>
                <w:szCs w:val="21"/>
              </w:rPr>
              <w:t>（北京时间）</w:t>
            </w:r>
          </w:p>
        </w:tc>
      </w:tr>
      <w:tr w14:paraId="2CCB3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897" w:type="dxa"/>
            <w:vAlign w:val="center"/>
          </w:tcPr>
          <w:p w14:paraId="2DE4B59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4.2.1</w:t>
            </w:r>
          </w:p>
        </w:tc>
        <w:tc>
          <w:tcPr>
            <w:tcW w:w="2080" w:type="dxa"/>
            <w:vAlign w:val="center"/>
          </w:tcPr>
          <w:p w14:paraId="0C9FA55B">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递交响应文件地点</w:t>
            </w:r>
          </w:p>
        </w:tc>
        <w:tc>
          <w:tcPr>
            <w:tcW w:w="6116" w:type="dxa"/>
            <w:vAlign w:val="center"/>
          </w:tcPr>
          <w:p w14:paraId="30D16B9C">
            <w:pPr>
              <w:keepNext w:val="0"/>
              <w:keepLines w:val="0"/>
              <w:pageBreakBefore w:val="0"/>
              <w:kinsoku/>
              <w:wordWrap/>
              <w:overflowPunct/>
              <w:topLinePunct w:val="0"/>
              <w:bidi w:val="0"/>
              <w:adjustRightInd/>
              <w:snapToGrid/>
              <w:spacing w:line="320" w:lineRule="exact"/>
              <w:textAlignment w:val="auto"/>
              <w:rPr>
                <w:rFonts w:hint="eastAsia" w:ascii="宋体" w:hAnsi="宋体"/>
                <w:sz w:val="21"/>
                <w:szCs w:val="21"/>
              </w:rPr>
            </w:pPr>
            <w:r>
              <w:rPr>
                <w:rFonts w:hint="eastAsia" w:ascii="宋体" w:hAnsi="宋体"/>
                <w:sz w:val="21"/>
                <w:szCs w:val="21"/>
              </w:rPr>
              <w:t>地点：电子投标文件：本项目为全流程电子化项目，通过“政采云”平台（http</w:t>
            </w:r>
            <w:r>
              <w:rPr>
                <w:rFonts w:hint="eastAsia" w:ascii="宋体" w:hAnsi="宋体"/>
                <w:sz w:val="21"/>
                <w:szCs w:val="21"/>
                <w:lang w:val="en-US" w:eastAsia="zh-CN"/>
              </w:rPr>
              <w:t>s</w:t>
            </w:r>
            <w:r>
              <w:rPr>
                <w:rFonts w:hint="eastAsia" w:ascii="宋体" w:hAnsi="宋体"/>
                <w:sz w:val="21"/>
                <w:szCs w:val="21"/>
              </w:rPr>
              <w:t>：//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tc>
      </w:tr>
      <w:tr w14:paraId="18353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015245F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4.2.2</w:t>
            </w:r>
          </w:p>
        </w:tc>
        <w:tc>
          <w:tcPr>
            <w:tcW w:w="2080" w:type="dxa"/>
            <w:vAlign w:val="center"/>
          </w:tcPr>
          <w:p w14:paraId="2ABCE53E">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是否退还响应文件</w:t>
            </w:r>
          </w:p>
        </w:tc>
        <w:tc>
          <w:tcPr>
            <w:tcW w:w="6116" w:type="dxa"/>
            <w:vAlign w:val="center"/>
          </w:tcPr>
          <w:p w14:paraId="1A7F426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MS Mincho" w:hAnsi="MS Mincho" w:eastAsia="MS Mincho" w:cs="MS Mincho"/>
                <w:sz w:val="21"/>
                <w:szCs w:val="21"/>
              </w:rPr>
              <w:t>☑</w:t>
            </w:r>
            <w:r>
              <w:rPr>
                <w:rFonts w:hint="eastAsia" w:ascii="宋体" w:hAnsi="宋体" w:cs="宋体"/>
                <w:sz w:val="21"/>
                <w:szCs w:val="21"/>
              </w:rPr>
              <w:t>否</w:t>
            </w:r>
          </w:p>
          <w:p w14:paraId="7147BF5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□是，退还安排：</w:t>
            </w:r>
          </w:p>
        </w:tc>
      </w:tr>
      <w:tr w14:paraId="390FA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897" w:type="dxa"/>
            <w:vAlign w:val="center"/>
          </w:tcPr>
          <w:p w14:paraId="297415BB">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5.1.1</w:t>
            </w:r>
          </w:p>
        </w:tc>
        <w:tc>
          <w:tcPr>
            <w:tcW w:w="2080" w:type="dxa"/>
            <w:vAlign w:val="center"/>
          </w:tcPr>
          <w:p w14:paraId="044600FA">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竞争性磋商响应文件开启时间和地点</w:t>
            </w:r>
          </w:p>
        </w:tc>
        <w:tc>
          <w:tcPr>
            <w:tcW w:w="6116" w:type="dxa"/>
            <w:vAlign w:val="center"/>
          </w:tcPr>
          <w:p w14:paraId="6F21FD5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开标时间：同投标截止时间</w:t>
            </w:r>
          </w:p>
          <w:p w14:paraId="53086C5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开标地点：同响应文件上传提交地点</w:t>
            </w:r>
          </w:p>
        </w:tc>
      </w:tr>
      <w:tr w14:paraId="22237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897" w:type="dxa"/>
            <w:vAlign w:val="center"/>
          </w:tcPr>
          <w:p w14:paraId="4AD57CB1">
            <w:pPr>
              <w:keepNext w:val="0"/>
              <w:keepLines w:val="0"/>
              <w:pageBreakBefore w:val="0"/>
              <w:kinsoku/>
              <w:wordWrap/>
              <w:overflowPunct/>
              <w:topLinePunct w:val="0"/>
              <w:bidi w:val="0"/>
              <w:adjustRightInd/>
              <w:snapToGrid/>
              <w:spacing w:line="320" w:lineRule="exact"/>
              <w:jc w:val="center"/>
              <w:textAlignment w:val="auto"/>
              <w:rPr>
                <w:rFonts w:ascii="宋体" w:hAnsi="宋体" w:cs="宋体"/>
                <w:sz w:val="21"/>
                <w:szCs w:val="21"/>
              </w:rPr>
            </w:pPr>
            <w:r>
              <w:rPr>
                <w:rFonts w:hint="eastAsia" w:ascii="宋体" w:hAnsi="宋体" w:cs="宋体"/>
                <w:sz w:val="21"/>
                <w:szCs w:val="21"/>
              </w:rPr>
              <w:t>5.2</w:t>
            </w:r>
          </w:p>
        </w:tc>
        <w:tc>
          <w:tcPr>
            <w:tcW w:w="2080" w:type="dxa"/>
            <w:vAlign w:val="center"/>
          </w:tcPr>
          <w:p w14:paraId="38989B0E">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ascii="宋体" w:hAnsi="宋体" w:cs="宋体"/>
                <w:sz w:val="21"/>
                <w:szCs w:val="21"/>
              </w:rPr>
              <w:t>开标程序</w:t>
            </w:r>
          </w:p>
        </w:tc>
        <w:tc>
          <w:tcPr>
            <w:tcW w:w="6116" w:type="dxa"/>
            <w:vAlign w:val="center"/>
          </w:tcPr>
          <w:p w14:paraId="68E99DF4">
            <w:pPr>
              <w:keepNext w:val="0"/>
              <w:keepLines w:val="0"/>
              <w:pageBreakBefore w:val="0"/>
              <w:kinsoku/>
              <w:wordWrap/>
              <w:overflowPunct/>
              <w:topLinePunct w:val="0"/>
              <w:autoSpaceDE w:val="0"/>
              <w:autoSpaceDN w:val="0"/>
              <w:bidi w:val="0"/>
              <w:adjustRightInd/>
              <w:snapToGrid/>
              <w:spacing w:line="320" w:lineRule="exact"/>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时间：同</w:t>
            </w:r>
            <w:r>
              <w:rPr>
                <w:rFonts w:hint="eastAsia" w:hAnsi="宋体"/>
                <w:color w:val="auto"/>
                <w:sz w:val="21"/>
                <w:szCs w:val="21"/>
              </w:rPr>
              <w:t>响应文件递交截止时间</w:t>
            </w:r>
          </w:p>
          <w:p w14:paraId="68494036">
            <w:pPr>
              <w:keepNext w:val="0"/>
              <w:keepLines w:val="0"/>
              <w:pageBreakBefore w:val="0"/>
              <w:kinsoku/>
              <w:wordWrap/>
              <w:overflowPunct/>
              <w:topLinePunct w:val="0"/>
              <w:autoSpaceDE w:val="0"/>
              <w:autoSpaceDN w:val="0"/>
              <w:bidi w:val="0"/>
              <w:adjustRightInd/>
              <w:snapToGrid/>
              <w:spacing w:line="320" w:lineRule="exact"/>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地点：</w:t>
            </w:r>
            <w:r>
              <w:rPr>
                <w:rFonts w:hint="eastAsia" w:ascii="宋体" w:hAnsi="宋体" w:cs="宋体"/>
                <w:color w:val="auto"/>
                <w:sz w:val="21"/>
                <w:szCs w:val="21"/>
                <w:lang w:eastAsia="zh-CN" w:bidi="ar"/>
              </w:rPr>
              <w:t>安图县明月镇延安路8号安图县政务服务中心（4楼公共资源交易中心）</w:t>
            </w:r>
            <w:r>
              <w:rPr>
                <w:rFonts w:hint="eastAsia" w:ascii="宋体" w:hAnsi="宋体" w:cs="宋体"/>
                <w:color w:val="auto"/>
                <w:sz w:val="21"/>
                <w:szCs w:val="21"/>
                <w:lang w:val="zh-CN"/>
              </w:rPr>
              <w:t>。</w:t>
            </w:r>
          </w:p>
          <w:p w14:paraId="49C30DB4">
            <w:pPr>
              <w:keepNext w:val="0"/>
              <w:keepLines w:val="0"/>
              <w:pageBreakBefore w:val="0"/>
              <w:kinsoku/>
              <w:wordWrap/>
              <w:overflowPunct/>
              <w:topLinePunct w:val="0"/>
              <w:autoSpaceDE w:val="0"/>
              <w:autoSpaceDN w:val="0"/>
              <w:bidi w:val="0"/>
              <w:adjustRightInd/>
              <w:snapToGrid/>
              <w:spacing w:line="320" w:lineRule="exact"/>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方式：本项目采用腾讯会议直播形式进行开标活动，请供应商自行下载、安装腾讯会议软件。腾讯会议号为</w:t>
            </w:r>
            <w:r>
              <w:rPr>
                <w:rFonts w:hint="eastAsia" w:ascii="宋体" w:hAnsi="宋体" w:cs="宋体"/>
                <w:color w:val="auto"/>
                <w:sz w:val="21"/>
                <w:szCs w:val="21"/>
                <w:highlight w:val="none"/>
                <w:lang w:val="zh-CN"/>
              </w:rPr>
              <w:t>：</w:t>
            </w:r>
            <w:r>
              <w:rPr>
                <w:rFonts w:hint="eastAsia" w:ascii="宋体" w:hAnsi="宋体" w:cs="宋体"/>
                <w:b/>
                <w:bCs/>
                <w:color w:val="auto"/>
                <w:sz w:val="21"/>
                <w:szCs w:val="21"/>
                <w:highlight w:val="none"/>
                <w:lang w:val="en-US" w:eastAsia="zh-CN"/>
              </w:rPr>
              <w:t>7987927297</w:t>
            </w:r>
            <w:r>
              <w:rPr>
                <w:rFonts w:hint="eastAsia" w:ascii="宋体" w:hAnsi="宋体" w:cs="宋体"/>
                <w:color w:val="auto"/>
                <w:sz w:val="21"/>
                <w:szCs w:val="21"/>
                <w:highlight w:val="none"/>
                <w:lang w:val="zh-CN"/>
              </w:rPr>
              <w:t>，</w:t>
            </w:r>
            <w:r>
              <w:rPr>
                <w:rFonts w:hint="eastAsia" w:ascii="宋体" w:hAnsi="宋体" w:cs="宋体"/>
                <w:color w:val="auto"/>
                <w:sz w:val="21"/>
                <w:szCs w:val="21"/>
                <w:lang w:val="zh-CN"/>
              </w:rPr>
              <w:t>供应商开标前30分钟进入本项目视频会议直播，进入视频会议人员应为本供应商法定代表人（或其委托代理人），并将进入会议人员姓名修改为“供应商全称+法定代表人（或其委托代理人）姓名”。供应商未参加视频开标会议的，或未完全参加视频开标会议全过程的，视为认同开标会议结果。</w:t>
            </w:r>
          </w:p>
          <w:p w14:paraId="6A94DFF5">
            <w:pPr>
              <w:keepNext w:val="0"/>
              <w:keepLines w:val="0"/>
              <w:pageBreakBefore w:val="0"/>
              <w:kinsoku/>
              <w:wordWrap/>
              <w:overflowPunct/>
              <w:topLinePunct w:val="0"/>
              <w:bidi w:val="0"/>
              <w:adjustRightInd/>
              <w:snapToGrid/>
              <w:spacing w:line="320" w:lineRule="exact"/>
              <w:textAlignment w:val="auto"/>
              <w:rPr>
                <w:rFonts w:ascii="宋体" w:hAnsi="宋体" w:cs="宋体"/>
                <w:sz w:val="21"/>
                <w:szCs w:val="21"/>
              </w:rPr>
            </w:pPr>
            <w:r>
              <w:rPr>
                <w:rFonts w:hint="eastAsia" w:hAnsi="宋体"/>
                <w:color w:val="auto"/>
                <w:sz w:val="21"/>
                <w:szCs w:val="21"/>
                <w:lang w:val="zh-CN"/>
              </w:rPr>
              <w:t>远程解密：本项目实施网上远程开标，供应商</w:t>
            </w:r>
            <w:r>
              <w:rPr>
                <w:rFonts w:hint="eastAsia" w:hAnsi="宋体"/>
                <w:color w:val="auto"/>
                <w:sz w:val="21"/>
                <w:szCs w:val="21"/>
                <w:lang w:val="zh-CN" w:bidi="ar"/>
              </w:rPr>
              <w:t>持制作该电子响应文件的同一数字证书（CA锁）及电脑进行远程解密</w:t>
            </w:r>
            <w:r>
              <w:rPr>
                <w:rFonts w:hint="eastAsia" w:hAnsi="宋体"/>
                <w:color w:val="auto"/>
                <w:sz w:val="21"/>
                <w:szCs w:val="21"/>
                <w:lang w:val="zh-CN"/>
              </w:rPr>
              <w:t>。开标前，供应商应在准备解密的电脑端提前安装好CA驱动并且能正常登录系统。开标时在代理机构工作人员公布供应商名单后，按顺序进行解密，由供应商选择对应的项目，进入“开标远程解密”菜单，点击远程解密并输入CA密码，成功解密后状态会显示“已解密”。投标文件解密时需插上生成投标文件的CA锁进行解密，且正确输入密码，供应商未在规定的时间内完成解密的视为无效投标。 供应商由于数字证书遗失、损坏、更换、续期等自身原因情况导致投标文件无法解密，由供应商自行承担责任。</w:t>
            </w:r>
          </w:p>
        </w:tc>
      </w:tr>
      <w:tr w14:paraId="7DC3F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3F5D439C">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6.1.1</w:t>
            </w:r>
          </w:p>
        </w:tc>
        <w:tc>
          <w:tcPr>
            <w:tcW w:w="2080" w:type="dxa"/>
            <w:vAlign w:val="center"/>
          </w:tcPr>
          <w:p w14:paraId="16F0911B">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磋商小组的组建</w:t>
            </w:r>
          </w:p>
        </w:tc>
        <w:tc>
          <w:tcPr>
            <w:tcW w:w="6116" w:type="dxa"/>
            <w:vAlign w:val="center"/>
          </w:tcPr>
          <w:p w14:paraId="416624DC">
            <w:pPr>
              <w:keepNext w:val="0"/>
              <w:keepLines w:val="0"/>
              <w:pageBreakBefore w:val="0"/>
              <w:kinsoku/>
              <w:wordWrap/>
              <w:overflowPunct/>
              <w:topLinePunct w:val="0"/>
              <w:bidi w:val="0"/>
              <w:adjustRightInd/>
              <w:snapToGrid/>
              <w:spacing w:line="320" w:lineRule="exact"/>
              <w:textAlignment w:val="auto"/>
              <w:rPr>
                <w:rFonts w:ascii="宋体" w:hAnsi="宋体"/>
                <w:color w:val="FF0000"/>
                <w:sz w:val="21"/>
                <w:szCs w:val="21"/>
              </w:rPr>
            </w:pPr>
            <w:r>
              <w:rPr>
                <w:rFonts w:hint="eastAsia" w:ascii="宋体" w:hAnsi="宋体"/>
                <w:sz w:val="21"/>
                <w:szCs w:val="21"/>
              </w:rPr>
              <w:t>竞争性磋商小组构成：3人组成，其中采购人代表</w:t>
            </w:r>
            <w:r>
              <w:rPr>
                <w:rFonts w:hint="eastAsia" w:ascii="宋体" w:hAnsi="宋体"/>
                <w:sz w:val="21"/>
                <w:szCs w:val="21"/>
                <w:lang w:val="en-US" w:eastAsia="zh-CN"/>
              </w:rPr>
              <w:t>1</w:t>
            </w:r>
            <w:r>
              <w:rPr>
                <w:rFonts w:hint="eastAsia" w:ascii="宋体" w:hAnsi="宋体"/>
                <w:sz w:val="21"/>
                <w:szCs w:val="21"/>
              </w:rPr>
              <w:t>人，专家</w:t>
            </w:r>
            <w:r>
              <w:rPr>
                <w:rFonts w:hint="eastAsia" w:ascii="宋体" w:hAnsi="宋体"/>
                <w:sz w:val="21"/>
                <w:szCs w:val="21"/>
                <w:lang w:val="en-US" w:eastAsia="zh-CN"/>
              </w:rPr>
              <w:t>2</w:t>
            </w:r>
            <w:r>
              <w:rPr>
                <w:rFonts w:hint="eastAsia" w:ascii="宋体" w:hAnsi="宋体"/>
                <w:sz w:val="21"/>
                <w:szCs w:val="21"/>
              </w:rPr>
              <w:t>人。</w:t>
            </w:r>
          </w:p>
          <w:p w14:paraId="75E9F118">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color w:val="auto"/>
                <w:sz w:val="21"/>
                <w:szCs w:val="21"/>
              </w:rPr>
              <w:t>评标专家确定方式：</w:t>
            </w:r>
            <w:r>
              <w:rPr>
                <w:rFonts w:hint="eastAsia" w:ascii="宋体" w:hAnsi="宋体"/>
                <w:color w:val="auto"/>
                <w:sz w:val="21"/>
                <w:szCs w:val="21"/>
                <w:lang w:val="en-US" w:eastAsia="zh-CN"/>
              </w:rPr>
              <w:t>评标专家库中随机抽取</w:t>
            </w:r>
            <w:r>
              <w:rPr>
                <w:rFonts w:hint="eastAsia" w:ascii="宋体" w:hAnsi="宋体"/>
                <w:color w:val="auto"/>
                <w:sz w:val="21"/>
                <w:szCs w:val="21"/>
              </w:rPr>
              <w:t>。</w:t>
            </w:r>
          </w:p>
        </w:tc>
      </w:tr>
      <w:tr w14:paraId="6955B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897" w:type="dxa"/>
            <w:vAlign w:val="center"/>
          </w:tcPr>
          <w:p w14:paraId="014DD8F4">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7.1</w:t>
            </w:r>
          </w:p>
        </w:tc>
        <w:tc>
          <w:tcPr>
            <w:tcW w:w="2080" w:type="dxa"/>
            <w:vAlign w:val="center"/>
          </w:tcPr>
          <w:p w14:paraId="0BD23E5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是否书面授权磋商小组直接确定成交供应商</w:t>
            </w:r>
          </w:p>
        </w:tc>
        <w:tc>
          <w:tcPr>
            <w:tcW w:w="6116" w:type="dxa"/>
            <w:vAlign w:val="center"/>
          </w:tcPr>
          <w:p w14:paraId="196DCA8D">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□是</w:t>
            </w:r>
          </w:p>
          <w:p w14:paraId="1FC18FD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MS Mincho" w:hAnsi="MS Mincho" w:eastAsia="MS Mincho" w:cs="MS Mincho"/>
                <w:sz w:val="21"/>
                <w:szCs w:val="21"/>
              </w:rPr>
              <w:t>☑</w:t>
            </w:r>
            <w:r>
              <w:rPr>
                <w:rFonts w:hint="eastAsia" w:ascii="宋体" w:hAnsi="宋体" w:cs="宋体"/>
                <w:sz w:val="21"/>
                <w:szCs w:val="21"/>
              </w:rPr>
              <w:t>否，推荐的成交候选人数：</w:t>
            </w:r>
            <w:r>
              <w:rPr>
                <w:rFonts w:hint="eastAsia" w:ascii="宋体" w:hAnsi="宋体"/>
                <w:sz w:val="21"/>
                <w:szCs w:val="21"/>
              </w:rPr>
              <w:t xml:space="preserve">3名     </w:t>
            </w:r>
          </w:p>
        </w:tc>
      </w:tr>
      <w:tr w14:paraId="6D69B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7" w:type="dxa"/>
            <w:vAlign w:val="center"/>
          </w:tcPr>
          <w:p w14:paraId="6FD7E2E6">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7.2</w:t>
            </w:r>
          </w:p>
        </w:tc>
        <w:tc>
          <w:tcPr>
            <w:tcW w:w="2080" w:type="dxa"/>
            <w:vAlign w:val="center"/>
          </w:tcPr>
          <w:p w14:paraId="2DA1BB5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磋商结果公示媒介</w:t>
            </w:r>
          </w:p>
        </w:tc>
        <w:tc>
          <w:tcPr>
            <w:tcW w:w="6116" w:type="dxa"/>
            <w:vAlign w:val="center"/>
          </w:tcPr>
          <w:p w14:paraId="272BD3A0">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sz w:val="21"/>
                <w:szCs w:val="21"/>
              </w:rPr>
              <w:t>本项目磋商公告发布的相同媒介。</w:t>
            </w:r>
          </w:p>
        </w:tc>
      </w:tr>
      <w:tr w14:paraId="5ADB0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897" w:type="dxa"/>
            <w:vAlign w:val="center"/>
          </w:tcPr>
          <w:p w14:paraId="3E32A242">
            <w:pPr>
              <w:keepNext w:val="0"/>
              <w:keepLines w:val="0"/>
              <w:pageBreakBefore w:val="0"/>
              <w:kinsoku/>
              <w:wordWrap/>
              <w:overflowPunct/>
              <w:topLinePunct w:val="0"/>
              <w:bidi w:val="0"/>
              <w:adjustRightInd/>
              <w:snapToGrid/>
              <w:spacing w:line="320" w:lineRule="exact"/>
              <w:textAlignment w:val="auto"/>
              <w:rPr>
                <w:rFonts w:ascii="宋体" w:hAnsi="宋体"/>
                <w:sz w:val="21"/>
                <w:szCs w:val="21"/>
              </w:rPr>
            </w:pPr>
            <w:r>
              <w:rPr>
                <w:rFonts w:hint="eastAsia" w:ascii="宋体" w:hAnsi="宋体"/>
                <w:sz w:val="21"/>
                <w:szCs w:val="21"/>
              </w:rPr>
              <w:t>7.3.1</w:t>
            </w:r>
          </w:p>
        </w:tc>
        <w:tc>
          <w:tcPr>
            <w:tcW w:w="2080" w:type="dxa"/>
            <w:vAlign w:val="top"/>
          </w:tcPr>
          <w:p w14:paraId="53BD82DE">
            <w:pPr>
              <w:pStyle w:val="50"/>
              <w:keepNext w:val="0"/>
              <w:keepLines w:val="0"/>
              <w:pageBreakBefore w:val="0"/>
              <w:kinsoku/>
              <w:wordWrap/>
              <w:overflowPunct/>
              <w:topLinePunct w:val="0"/>
              <w:bidi w:val="0"/>
              <w:adjustRightInd/>
              <w:snapToGrid/>
              <w:spacing w:before="231" w:line="320" w:lineRule="exact"/>
              <w:ind w:left="487" w:leftChars="0"/>
              <w:textAlignment w:val="auto"/>
              <w:rPr>
                <w:rFonts w:ascii="宋体" w:hAnsi="宋体"/>
                <w:sz w:val="21"/>
                <w:szCs w:val="21"/>
              </w:rPr>
            </w:pPr>
            <w:r>
              <w:rPr>
                <w:spacing w:val="-3"/>
                <w:sz w:val="21"/>
                <w:szCs w:val="21"/>
              </w:rPr>
              <w:t>履约担保</w:t>
            </w:r>
          </w:p>
        </w:tc>
        <w:tc>
          <w:tcPr>
            <w:tcW w:w="6116" w:type="dxa"/>
            <w:vAlign w:val="top"/>
          </w:tcPr>
          <w:p w14:paraId="14C245E7">
            <w:pPr>
              <w:pStyle w:val="50"/>
              <w:keepNext w:val="0"/>
              <w:keepLines w:val="0"/>
              <w:pageBreakBefore w:val="0"/>
              <w:kinsoku/>
              <w:wordWrap/>
              <w:overflowPunct/>
              <w:topLinePunct w:val="0"/>
              <w:bidi w:val="0"/>
              <w:adjustRightInd/>
              <w:snapToGrid/>
              <w:spacing w:before="231" w:line="320" w:lineRule="exact"/>
              <w:ind w:left="114" w:leftChars="0"/>
              <w:textAlignment w:val="auto"/>
              <w:rPr>
                <w:rFonts w:ascii="宋体" w:hAnsi="宋体"/>
                <w:sz w:val="21"/>
                <w:szCs w:val="21"/>
              </w:rPr>
            </w:pPr>
            <w:r>
              <w:rPr>
                <w:sz w:val="21"/>
                <w:szCs w:val="21"/>
              </w:rPr>
              <w:t>无</w:t>
            </w:r>
          </w:p>
        </w:tc>
      </w:tr>
      <w:tr w14:paraId="3256A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897" w:type="dxa"/>
            <w:vAlign w:val="center"/>
          </w:tcPr>
          <w:p w14:paraId="3F4965BD">
            <w:pPr>
              <w:keepNext w:val="0"/>
              <w:keepLines w:val="0"/>
              <w:pageBreakBefore w:val="0"/>
              <w:kinsoku/>
              <w:wordWrap/>
              <w:overflowPunct/>
              <w:topLinePunct w:val="0"/>
              <w:bidi w:val="0"/>
              <w:adjustRightInd/>
              <w:snapToGrid/>
              <w:spacing w:line="320" w:lineRule="exact"/>
              <w:textAlignment w:val="auto"/>
              <w:rPr>
                <w:rFonts w:hint="default" w:ascii="宋体" w:hAnsi="宋体" w:eastAsia="宋体"/>
                <w:sz w:val="21"/>
                <w:szCs w:val="21"/>
                <w:lang w:val="en-US" w:eastAsia="zh-CN"/>
              </w:rPr>
            </w:pPr>
            <w:r>
              <w:rPr>
                <w:rFonts w:hint="eastAsia" w:ascii="宋体" w:hAnsi="宋体"/>
                <w:sz w:val="21"/>
                <w:szCs w:val="21"/>
                <w:lang w:val="en-US" w:eastAsia="zh-CN"/>
              </w:rPr>
              <w:t>10.1</w:t>
            </w:r>
          </w:p>
        </w:tc>
        <w:tc>
          <w:tcPr>
            <w:tcW w:w="2080" w:type="dxa"/>
            <w:shd w:val="clear" w:color="auto" w:fill="auto"/>
            <w:vAlign w:val="top"/>
          </w:tcPr>
          <w:p w14:paraId="7A14D38A">
            <w:pPr>
              <w:pStyle w:val="50"/>
              <w:keepNext w:val="0"/>
              <w:keepLines w:val="0"/>
              <w:pageBreakBefore w:val="0"/>
              <w:kinsoku/>
              <w:wordWrap/>
              <w:overflowPunct/>
              <w:topLinePunct w:val="0"/>
              <w:bidi w:val="0"/>
              <w:adjustRightInd/>
              <w:snapToGrid/>
              <w:spacing w:before="178" w:line="320" w:lineRule="exact"/>
              <w:ind w:left="339" w:leftChars="0" w:right="112" w:rightChars="0" w:hanging="200" w:firstLineChars="0"/>
              <w:textAlignment w:val="auto"/>
              <w:rPr>
                <w:rFonts w:ascii="宋体" w:hAnsi="宋体" w:eastAsia="宋体" w:cs="宋体"/>
                <w:kern w:val="2"/>
                <w:sz w:val="21"/>
                <w:szCs w:val="21"/>
                <w:lang w:val="en-US" w:eastAsia="en-US" w:bidi="ar-SA"/>
              </w:rPr>
            </w:pPr>
            <w:r>
              <w:rPr>
                <w:spacing w:val="-10"/>
                <w:sz w:val="21"/>
                <w:szCs w:val="21"/>
              </w:rPr>
              <w:t>中标公</w:t>
            </w:r>
            <w:r>
              <w:rPr>
                <w:sz w:val="21"/>
                <w:szCs w:val="21"/>
              </w:rPr>
              <w:t xml:space="preserve"> 示</w:t>
            </w:r>
          </w:p>
        </w:tc>
        <w:tc>
          <w:tcPr>
            <w:tcW w:w="6116" w:type="dxa"/>
            <w:shd w:val="clear" w:color="auto" w:fill="auto"/>
            <w:vAlign w:val="top"/>
          </w:tcPr>
          <w:p w14:paraId="5A02D97A">
            <w:pPr>
              <w:pStyle w:val="50"/>
              <w:keepNext w:val="0"/>
              <w:keepLines w:val="0"/>
              <w:pageBreakBefore w:val="0"/>
              <w:kinsoku/>
              <w:wordWrap/>
              <w:overflowPunct/>
              <w:topLinePunct w:val="0"/>
              <w:bidi w:val="0"/>
              <w:adjustRightInd/>
              <w:snapToGrid/>
              <w:spacing w:before="180" w:line="320" w:lineRule="exact"/>
              <w:ind w:left="132" w:leftChars="0"/>
              <w:textAlignment w:val="auto"/>
              <w:rPr>
                <w:rFonts w:ascii="宋体" w:hAnsi="宋体" w:eastAsia="宋体" w:cs="宋体"/>
                <w:kern w:val="2"/>
                <w:sz w:val="21"/>
                <w:szCs w:val="21"/>
                <w:lang w:val="en-US" w:eastAsia="en-US" w:bidi="ar-SA"/>
              </w:rPr>
            </w:pPr>
            <w:r>
              <w:rPr>
                <w:spacing w:val="-2"/>
                <w:sz w:val="21"/>
                <w:szCs w:val="21"/>
              </w:rPr>
              <w:t>中标结果将在招标公告发布的媒体进行公示，发布</w:t>
            </w:r>
            <w:r>
              <w:rPr>
                <w:spacing w:val="-30"/>
                <w:sz w:val="21"/>
                <w:szCs w:val="21"/>
              </w:rPr>
              <w:t xml:space="preserve"> </w:t>
            </w:r>
            <w:r>
              <w:rPr>
                <w:spacing w:val="-3"/>
                <w:sz w:val="21"/>
                <w:szCs w:val="21"/>
              </w:rPr>
              <w:t>1</w:t>
            </w:r>
            <w:r>
              <w:rPr>
                <w:spacing w:val="-49"/>
                <w:sz w:val="21"/>
                <w:szCs w:val="21"/>
              </w:rPr>
              <w:t xml:space="preserve"> </w:t>
            </w:r>
            <w:r>
              <w:rPr>
                <w:spacing w:val="-3"/>
                <w:sz w:val="21"/>
                <w:szCs w:val="21"/>
              </w:rPr>
              <w:t>个工作日。</w:t>
            </w:r>
          </w:p>
        </w:tc>
      </w:tr>
      <w:tr w14:paraId="35DBF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trPr>
        <w:tc>
          <w:tcPr>
            <w:tcW w:w="897" w:type="dxa"/>
            <w:vAlign w:val="center"/>
          </w:tcPr>
          <w:p w14:paraId="6BB37B08">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sz w:val="21"/>
                <w:szCs w:val="21"/>
                <w:lang w:eastAsia="zh-CN"/>
              </w:rPr>
            </w:pPr>
            <w:r>
              <w:rPr>
                <w:rFonts w:hint="eastAsia" w:ascii="宋体" w:hAnsi="宋体"/>
                <w:sz w:val="21"/>
                <w:szCs w:val="21"/>
              </w:rPr>
              <w:t>10.</w:t>
            </w:r>
            <w:r>
              <w:rPr>
                <w:rFonts w:hint="eastAsia" w:ascii="宋体" w:hAnsi="宋体"/>
                <w:sz w:val="21"/>
                <w:szCs w:val="21"/>
                <w:lang w:val="en-US" w:eastAsia="zh-CN"/>
              </w:rPr>
              <w:t>2</w:t>
            </w:r>
          </w:p>
        </w:tc>
        <w:tc>
          <w:tcPr>
            <w:tcW w:w="2080" w:type="dxa"/>
            <w:shd w:val="clear" w:color="auto" w:fill="auto"/>
            <w:vAlign w:val="center"/>
          </w:tcPr>
          <w:p w14:paraId="0EE4C2D3">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cs="黑体"/>
                <w:kern w:val="2"/>
                <w:sz w:val="21"/>
                <w:szCs w:val="21"/>
                <w:lang w:val="en-US" w:eastAsia="zh-CN" w:bidi="ar-SA"/>
              </w:rPr>
            </w:pPr>
            <w:r>
              <w:rPr>
                <w:rFonts w:hint="eastAsia" w:ascii="宋体" w:hAnsi="宋体"/>
                <w:sz w:val="21"/>
                <w:szCs w:val="21"/>
              </w:rPr>
              <w:t>同义词语</w:t>
            </w:r>
          </w:p>
        </w:tc>
        <w:tc>
          <w:tcPr>
            <w:tcW w:w="6116" w:type="dxa"/>
            <w:shd w:val="clear" w:color="auto" w:fill="auto"/>
            <w:vAlign w:val="center"/>
          </w:tcPr>
          <w:p w14:paraId="63AD6176">
            <w:pPr>
              <w:keepNext w:val="0"/>
              <w:keepLines w:val="0"/>
              <w:pageBreakBefore w:val="0"/>
              <w:kinsoku/>
              <w:wordWrap/>
              <w:overflowPunct/>
              <w:topLinePunct w:val="0"/>
              <w:bidi w:val="0"/>
              <w:adjustRightInd/>
              <w:snapToGrid/>
              <w:spacing w:line="320" w:lineRule="exact"/>
              <w:textAlignment w:val="auto"/>
              <w:rPr>
                <w:rFonts w:ascii="宋体" w:hAnsi="宋体" w:eastAsia="宋体" w:cs="黑体"/>
                <w:kern w:val="2"/>
                <w:sz w:val="21"/>
                <w:szCs w:val="21"/>
                <w:lang w:val="en-US" w:eastAsia="zh-CN" w:bidi="ar-SA"/>
              </w:rPr>
            </w:pPr>
            <w:r>
              <w:rPr>
                <w:rFonts w:hint="eastAsia" w:ascii="宋体" w:hAnsi="宋体"/>
                <w:sz w:val="21"/>
                <w:szCs w:val="21"/>
              </w:rPr>
              <w:t>构成竞争性磋商文件组成部分的“通用合同条款”、“专用合同条款”、“技术标准和要求”等章节中出现的措辞“发包人”和“承包人”，在竞争性磋商采购阶段应当分别按“采购人”、“招标人”和“供应商”“</w:t>
            </w:r>
            <w:r>
              <w:rPr>
                <w:rFonts w:hint="eastAsia" w:ascii="宋体" w:hAnsi="宋体"/>
                <w:sz w:val="21"/>
                <w:szCs w:val="21"/>
                <w:lang w:eastAsia="zh-CN"/>
              </w:rPr>
              <w:t>供应商</w:t>
            </w:r>
            <w:r>
              <w:rPr>
                <w:rFonts w:hint="eastAsia" w:ascii="宋体" w:hAnsi="宋体"/>
                <w:sz w:val="21"/>
                <w:szCs w:val="21"/>
              </w:rPr>
              <w:t>”进行理解。</w:t>
            </w:r>
          </w:p>
        </w:tc>
      </w:tr>
      <w:tr w14:paraId="25A36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97" w:type="dxa"/>
            <w:vAlign w:val="center"/>
          </w:tcPr>
          <w:p w14:paraId="60BF750B">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sz w:val="21"/>
                <w:szCs w:val="21"/>
                <w:lang w:eastAsia="zh-CN"/>
              </w:rPr>
            </w:pPr>
            <w:r>
              <w:rPr>
                <w:rFonts w:hint="eastAsia" w:ascii="宋体" w:hAnsi="宋体"/>
                <w:sz w:val="21"/>
                <w:szCs w:val="21"/>
              </w:rPr>
              <w:t>10.</w:t>
            </w:r>
            <w:r>
              <w:rPr>
                <w:rFonts w:hint="eastAsia" w:ascii="宋体" w:hAnsi="宋体"/>
                <w:sz w:val="21"/>
                <w:szCs w:val="21"/>
                <w:lang w:val="en-US" w:eastAsia="zh-CN"/>
              </w:rPr>
              <w:t>3</w:t>
            </w:r>
          </w:p>
        </w:tc>
        <w:tc>
          <w:tcPr>
            <w:tcW w:w="2080" w:type="dxa"/>
            <w:shd w:val="clear" w:color="auto" w:fill="auto"/>
            <w:vAlign w:val="center"/>
          </w:tcPr>
          <w:p w14:paraId="4D9E9347">
            <w:pPr>
              <w:keepNext w:val="0"/>
              <w:keepLines w:val="0"/>
              <w:pageBreakBefore w:val="0"/>
              <w:kinsoku/>
              <w:wordWrap/>
              <w:overflowPunct/>
              <w:topLinePunct w:val="0"/>
              <w:bidi w:val="0"/>
              <w:adjustRightInd/>
              <w:snapToGrid/>
              <w:spacing w:line="320" w:lineRule="exact"/>
              <w:textAlignment w:val="auto"/>
              <w:rPr>
                <w:rFonts w:ascii="宋体" w:hAnsi="宋体" w:eastAsia="宋体" w:cs="黑体"/>
                <w:kern w:val="2"/>
                <w:sz w:val="21"/>
                <w:szCs w:val="21"/>
                <w:lang w:val="en-US" w:eastAsia="zh-CN" w:bidi="ar-SA"/>
              </w:rPr>
            </w:pPr>
            <w:r>
              <w:rPr>
                <w:rFonts w:hint="eastAsia" w:ascii="宋体" w:hAnsi="宋体"/>
                <w:sz w:val="21"/>
                <w:szCs w:val="21"/>
              </w:rPr>
              <w:t>解释权</w:t>
            </w:r>
          </w:p>
        </w:tc>
        <w:tc>
          <w:tcPr>
            <w:tcW w:w="6116" w:type="dxa"/>
            <w:shd w:val="clear" w:color="auto" w:fill="auto"/>
            <w:vAlign w:val="center"/>
          </w:tcPr>
          <w:p w14:paraId="1E3A42B5">
            <w:pPr>
              <w:keepNext w:val="0"/>
              <w:keepLines w:val="0"/>
              <w:pageBreakBefore w:val="0"/>
              <w:kinsoku/>
              <w:wordWrap/>
              <w:overflowPunct/>
              <w:topLinePunct w:val="0"/>
              <w:bidi w:val="0"/>
              <w:adjustRightInd/>
              <w:snapToGrid/>
              <w:spacing w:line="320" w:lineRule="exact"/>
              <w:textAlignment w:val="auto"/>
              <w:rPr>
                <w:rFonts w:ascii="宋体" w:hAnsi="宋体" w:eastAsia="宋体" w:cs="黑体"/>
                <w:kern w:val="2"/>
                <w:sz w:val="21"/>
                <w:szCs w:val="21"/>
                <w:lang w:val="en-US" w:eastAsia="zh-CN" w:bidi="ar-SA"/>
              </w:rPr>
            </w:pPr>
            <w:r>
              <w:rPr>
                <w:rFonts w:hint="eastAsia" w:ascii="宋体" w:hAnsi="宋体"/>
                <w:sz w:val="21"/>
                <w:szCs w:val="21"/>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竞争性磋商采购阶段的规定，按竞争性磋商公告、供应商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1DD75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97" w:type="dxa"/>
            <w:vAlign w:val="center"/>
          </w:tcPr>
          <w:p w14:paraId="2DC634F7">
            <w:pPr>
              <w:keepNext w:val="0"/>
              <w:keepLines w:val="0"/>
              <w:pageBreakBefore w:val="0"/>
              <w:kinsoku/>
              <w:wordWrap/>
              <w:overflowPunct/>
              <w:topLinePunct w:val="0"/>
              <w:bidi w:val="0"/>
              <w:adjustRightInd/>
              <w:snapToGrid/>
              <w:spacing w:line="320" w:lineRule="exact"/>
              <w:textAlignment w:val="auto"/>
              <w:rPr>
                <w:rFonts w:hint="eastAsia" w:ascii="宋体" w:hAnsi="宋体" w:eastAsia="宋体"/>
                <w:sz w:val="21"/>
                <w:szCs w:val="21"/>
                <w:lang w:eastAsia="zh-CN"/>
              </w:rPr>
            </w:pPr>
            <w:r>
              <w:rPr>
                <w:rFonts w:hint="eastAsia" w:ascii="宋体" w:hAnsi="宋体"/>
                <w:sz w:val="21"/>
                <w:szCs w:val="21"/>
              </w:rPr>
              <w:t>10.</w:t>
            </w:r>
            <w:r>
              <w:rPr>
                <w:rFonts w:hint="eastAsia" w:ascii="宋体" w:hAnsi="宋体"/>
                <w:sz w:val="21"/>
                <w:szCs w:val="21"/>
                <w:lang w:val="en-US" w:eastAsia="zh-CN"/>
              </w:rPr>
              <w:t>4</w:t>
            </w:r>
          </w:p>
        </w:tc>
        <w:tc>
          <w:tcPr>
            <w:tcW w:w="2080" w:type="dxa"/>
            <w:shd w:val="clear" w:color="auto" w:fill="auto"/>
            <w:vAlign w:val="center"/>
          </w:tcPr>
          <w:p w14:paraId="755CFB5A">
            <w:pPr>
              <w:keepNext w:val="0"/>
              <w:keepLines w:val="0"/>
              <w:pageBreakBefore w:val="0"/>
              <w:kinsoku/>
              <w:wordWrap/>
              <w:overflowPunct/>
              <w:topLinePunct w:val="0"/>
              <w:bidi w:val="0"/>
              <w:adjustRightInd/>
              <w:snapToGrid/>
              <w:spacing w:line="320" w:lineRule="exact"/>
              <w:textAlignment w:val="auto"/>
              <w:rPr>
                <w:rFonts w:ascii="宋体" w:hAnsi="宋体" w:eastAsia="宋体" w:cs="黑体"/>
                <w:kern w:val="2"/>
                <w:sz w:val="21"/>
                <w:szCs w:val="21"/>
                <w:lang w:val="en-US" w:eastAsia="zh-CN" w:bidi="ar-SA"/>
              </w:rPr>
            </w:pPr>
            <w:r>
              <w:rPr>
                <w:rFonts w:hint="eastAsia" w:ascii="宋体" w:hAnsi="宋体"/>
                <w:sz w:val="21"/>
                <w:szCs w:val="21"/>
              </w:rPr>
              <w:t>代理服务费</w:t>
            </w:r>
          </w:p>
        </w:tc>
        <w:tc>
          <w:tcPr>
            <w:tcW w:w="6116" w:type="dxa"/>
            <w:shd w:val="clear" w:color="auto" w:fill="auto"/>
            <w:vAlign w:val="center"/>
          </w:tcPr>
          <w:p w14:paraId="5D4B1074">
            <w:pPr>
              <w:keepNext w:val="0"/>
              <w:keepLines w:val="0"/>
              <w:pageBreakBefore w:val="0"/>
              <w:kinsoku/>
              <w:wordWrap/>
              <w:overflowPunct/>
              <w:topLinePunct w:val="0"/>
              <w:bidi w:val="0"/>
              <w:adjustRightInd/>
              <w:snapToGrid/>
              <w:spacing w:line="320" w:lineRule="exact"/>
              <w:textAlignment w:val="auto"/>
              <w:rPr>
                <w:rFonts w:ascii="宋体" w:hAnsi="宋体" w:eastAsia="宋体" w:cs="黑体"/>
                <w:kern w:val="2"/>
                <w:sz w:val="21"/>
                <w:szCs w:val="21"/>
                <w:lang w:val="en-US" w:eastAsia="zh-CN" w:bidi="ar-SA"/>
              </w:rPr>
            </w:pPr>
            <w:r>
              <w:rPr>
                <w:rFonts w:hint="eastAsia" w:ascii="宋体" w:hAnsi="宋体" w:cs="宋体"/>
                <w:sz w:val="21"/>
                <w:szCs w:val="21"/>
                <w:highlight w:val="none"/>
                <w:lang w:val="en-US" w:eastAsia="zh-CN"/>
              </w:rPr>
              <w:t>由中标（成交）供应商支付，</w:t>
            </w:r>
            <w:r>
              <w:rPr>
                <w:rFonts w:hint="eastAsia" w:ascii="宋体" w:hAnsi="宋体" w:eastAsia="宋体" w:cs="宋体"/>
                <w:sz w:val="21"/>
                <w:szCs w:val="21"/>
                <w:highlight w:val="none"/>
                <w:lang w:val="zh-CN"/>
              </w:rPr>
              <w:t>执行《国家发展改革委关于进一步放开建设项目专业服务价格的通知》（发改价格〔2015〕299号）</w:t>
            </w:r>
            <w:r>
              <w:rPr>
                <w:rFonts w:hint="eastAsia" w:ascii="宋体" w:hAnsi="宋体" w:cs="宋体"/>
                <w:sz w:val="21"/>
                <w:szCs w:val="21"/>
                <w:highlight w:val="none"/>
                <w:lang w:val="zh-CN"/>
              </w:rPr>
              <w:t>，</w:t>
            </w:r>
            <w:r>
              <w:rPr>
                <w:rFonts w:hint="eastAsia" w:ascii="宋体" w:hAnsi="宋体" w:cs="宋体"/>
                <w:sz w:val="21"/>
                <w:szCs w:val="21"/>
                <w:highlight w:val="none"/>
                <w:lang w:val="en-US" w:eastAsia="zh-CN"/>
              </w:rPr>
              <w:t>按照中标价格的1.5%计取采购代理服务费</w:t>
            </w:r>
            <w:r>
              <w:rPr>
                <w:rFonts w:hint="eastAsia" w:ascii="宋体" w:hAnsi="宋体" w:eastAsia="宋体" w:cs="宋体"/>
                <w:sz w:val="21"/>
                <w:szCs w:val="21"/>
                <w:highlight w:val="none"/>
                <w:lang w:val="zh-CN"/>
              </w:rPr>
              <w:t>。中标结果公示结束后中标通知书发放前由中标人向招标代理机构足额缴纳。</w:t>
            </w:r>
          </w:p>
        </w:tc>
      </w:tr>
    </w:tbl>
    <w:p w14:paraId="462155B6">
      <w:pPr>
        <w:jc w:val="center"/>
        <w:rPr>
          <w:sz w:val="30"/>
          <w:szCs w:val="30"/>
        </w:rPr>
      </w:pPr>
    </w:p>
    <w:p w14:paraId="48AB4678">
      <w:pPr>
        <w:widowControl/>
        <w:jc w:val="left"/>
        <w:rPr>
          <w:rFonts w:hint="eastAsia" w:ascii="宋体" w:hAnsi="宋体" w:eastAsia="宋体" w:cs="宋体"/>
          <w:sz w:val="24"/>
          <w:szCs w:val="24"/>
        </w:rPr>
      </w:pPr>
      <w:r>
        <w:rPr>
          <w:sz w:val="30"/>
          <w:szCs w:val="30"/>
        </w:rPr>
        <w:br w:type="page"/>
      </w:r>
    </w:p>
    <w:p w14:paraId="2D1559A7">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供应商须知正文部分</w:t>
      </w:r>
    </w:p>
    <w:p w14:paraId="19E5FD6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4" w:name="_Toc179632546"/>
      <w:bookmarkStart w:id="5" w:name="_Toc403382372"/>
      <w:bookmarkStart w:id="6" w:name="_Toc152045529"/>
      <w:bookmarkStart w:id="7" w:name="_Toc31763"/>
      <w:bookmarkStart w:id="8" w:name="_Toc152042305"/>
      <w:bookmarkStart w:id="9" w:name="_Toc144974497"/>
      <w:r>
        <w:rPr>
          <w:rFonts w:hint="eastAsia" w:ascii="宋体" w:hAnsi="宋体" w:eastAsia="宋体" w:cs="宋体"/>
          <w:sz w:val="24"/>
          <w:szCs w:val="24"/>
        </w:rPr>
        <w:t>1. 总则</w:t>
      </w:r>
      <w:bookmarkEnd w:id="4"/>
      <w:bookmarkEnd w:id="5"/>
      <w:bookmarkEnd w:id="6"/>
      <w:bookmarkEnd w:id="7"/>
      <w:bookmarkEnd w:id="8"/>
      <w:bookmarkEnd w:id="9"/>
    </w:p>
    <w:p w14:paraId="58B3632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0" w:name="_Toc152042306"/>
      <w:bookmarkStart w:id="11" w:name="_Toc179632547"/>
      <w:bookmarkStart w:id="12" w:name="_Toc144974498"/>
      <w:bookmarkStart w:id="13" w:name="_Toc403382373"/>
      <w:bookmarkStart w:id="14" w:name="_Toc152045530"/>
      <w:r>
        <w:rPr>
          <w:rFonts w:hint="eastAsia" w:ascii="宋体" w:hAnsi="宋体" w:eastAsia="宋体" w:cs="宋体"/>
          <w:sz w:val="24"/>
          <w:szCs w:val="24"/>
        </w:rPr>
        <w:t>1.1 项目概况</w:t>
      </w:r>
      <w:bookmarkEnd w:id="10"/>
      <w:bookmarkEnd w:id="11"/>
      <w:bookmarkEnd w:id="12"/>
      <w:bookmarkEnd w:id="13"/>
      <w:bookmarkEnd w:id="14"/>
    </w:p>
    <w:p w14:paraId="5A37EE6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1.1.1根据《中华人民共和国政府采购法》</w:t>
      </w:r>
      <w:r>
        <w:rPr>
          <w:rFonts w:hint="eastAsia" w:ascii="宋体" w:hAnsi="宋体" w:eastAsia="宋体" w:cs="宋体"/>
          <w:sz w:val="24"/>
          <w:szCs w:val="24"/>
          <w:lang w:eastAsia="zh-CN"/>
        </w:rPr>
        <w:t>、</w:t>
      </w:r>
      <w:r>
        <w:rPr>
          <w:rFonts w:hint="eastAsia" w:ascii="宋体" w:hAnsi="宋体" w:eastAsia="宋体" w:cs="宋体"/>
          <w:sz w:val="24"/>
          <w:szCs w:val="24"/>
        </w:rPr>
        <w:t>《中华人民共和国政府采购法实施条例》</w:t>
      </w:r>
      <w:r>
        <w:rPr>
          <w:rFonts w:hint="eastAsia" w:ascii="宋体" w:hAnsi="宋体" w:eastAsia="宋体" w:cs="宋体"/>
          <w:sz w:val="24"/>
          <w:szCs w:val="24"/>
          <w:lang w:eastAsia="zh-CN"/>
        </w:rPr>
        <w:t>、</w:t>
      </w:r>
      <w:r>
        <w:rPr>
          <w:rFonts w:hint="eastAsia" w:ascii="宋体" w:hAnsi="宋体" w:eastAsia="宋体" w:cs="宋体"/>
          <w:sz w:val="24"/>
          <w:szCs w:val="24"/>
        </w:rPr>
        <w:t>《政府采购货物和服务招标投标管理办法》</w:t>
      </w:r>
      <w:r>
        <w:rPr>
          <w:rFonts w:hint="eastAsia" w:ascii="宋体" w:hAnsi="宋体" w:eastAsia="宋体" w:cs="宋体"/>
          <w:sz w:val="24"/>
          <w:szCs w:val="24"/>
          <w:lang w:eastAsia="zh-CN"/>
        </w:rPr>
        <w:t>、</w:t>
      </w:r>
      <w:r>
        <w:rPr>
          <w:rFonts w:hint="eastAsia" w:ascii="宋体" w:hAnsi="宋体" w:eastAsia="宋体" w:cs="宋体"/>
          <w:sz w:val="24"/>
          <w:szCs w:val="24"/>
        </w:rPr>
        <w:t>《政府采购竞争性磋商采购方式管理暂行办法》等有关法律、法规和规章的规定，本项目已具备采购条件，现对本项目进行竞争性磋商采购。</w:t>
      </w:r>
    </w:p>
    <w:p w14:paraId="63128B3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1.1.2 本政府采购项目采购人：见供应商须知前附表。</w:t>
      </w:r>
    </w:p>
    <w:p w14:paraId="1D44785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1.1.3 本项目包采购代理机构：见供应商须知前附表。</w:t>
      </w:r>
    </w:p>
    <w:p w14:paraId="4AE2B0A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1.1.4 本政府采购项目名称：见供应商须知前附表。</w:t>
      </w:r>
    </w:p>
    <w:p w14:paraId="677679B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5" w:name="_Toc403382374"/>
      <w:bookmarkStart w:id="16" w:name="_Toc152045531"/>
      <w:bookmarkStart w:id="17" w:name="_Toc144974499"/>
      <w:bookmarkStart w:id="18" w:name="_Toc179632548"/>
      <w:bookmarkStart w:id="19" w:name="_Toc152042307"/>
      <w:r>
        <w:rPr>
          <w:rFonts w:hint="eastAsia" w:ascii="宋体" w:hAnsi="宋体" w:eastAsia="宋体" w:cs="宋体"/>
          <w:sz w:val="24"/>
          <w:szCs w:val="24"/>
        </w:rPr>
        <w:t>1.2 资金来源和落实情况</w:t>
      </w:r>
      <w:bookmarkEnd w:id="15"/>
      <w:bookmarkEnd w:id="16"/>
      <w:bookmarkEnd w:id="17"/>
      <w:bookmarkEnd w:id="18"/>
      <w:bookmarkEnd w:id="19"/>
    </w:p>
    <w:p w14:paraId="1D92CEC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1.2.1 本政府采购项目的资金来源：见供应商须知前附表。</w:t>
      </w:r>
    </w:p>
    <w:p w14:paraId="6DC5B73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1.2.2 本政府采购项目的出资比例：见供应商须知前附表。</w:t>
      </w:r>
    </w:p>
    <w:p w14:paraId="38DB181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1.2.3 本政府采购项目的资金落实情况：见供应商须知前附表。</w:t>
      </w:r>
    </w:p>
    <w:p w14:paraId="6A514E0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0" w:name="_Toc403382375"/>
      <w:bookmarkStart w:id="21" w:name="_Toc144974500"/>
      <w:bookmarkStart w:id="22" w:name="_Toc179632549"/>
      <w:bookmarkStart w:id="23" w:name="_Toc152042308"/>
      <w:bookmarkStart w:id="24" w:name="_Toc152045532"/>
      <w:r>
        <w:rPr>
          <w:rFonts w:hint="eastAsia" w:ascii="宋体" w:hAnsi="宋体" w:eastAsia="宋体" w:cs="宋体"/>
          <w:sz w:val="24"/>
          <w:szCs w:val="24"/>
        </w:rPr>
        <w:t>1.3 采购范围和要求</w:t>
      </w:r>
      <w:bookmarkEnd w:id="20"/>
      <w:bookmarkEnd w:id="21"/>
      <w:bookmarkEnd w:id="22"/>
      <w:bookmarkEnd w:id="23"/>
      <w:bookmarkEnd w:id="24"/>
    </w:p>
    <w:p w14:paraId="6011A62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1.3.1 本次采购范围：见供应商须知前附表。</w:t>
      </w:r>
    </w:p>
    <w:p w14:paraId="56C2A3C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1.3.2 本项目包的服务期：见供应商须知前附表。</w:t>
      </w:r>
    </w:p>
    <w:p w14:paraId="2BD5DD2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5" w:name="_Toc179632551"/>
      <w:bookmarkStart w:id="26" w:name="_Toc403382377"/>
      <w:bookmarkStart w:id="27" w:name="_Toc152045534"/>
      <w:bookmarkStart w:id="28" w:name="_Toc152042310"/>
      <w:bookmarkStart w:id="29" w:name="_Toc144974502"/>
      <w:r>
        <w:rPr>
          <w:rFonts w:hint="eastAsia" w:ascii="宋体" w:hAnsi="宋体" w:eastAsia="宋体" w:cs="宋体"/>
          <w:sz w:val="24"/>
          <w:szCs w:val="24"/>
        </w:rPr>
        <w:t>1.4 供应商资格要求</w:t>
      </w:r>
      <w:bookmarkEnd w:id="25"/>
      <w:bookmarkEnd w:id="26"/>
      <w:bookmarkEnd w:id="27"/>
      <w:bookmarkEnd w:id="28"/>
      <w:bookmarkEnd w:id="29"/>
    </w:p>
    <w:p w14:paraId="3C5BDD6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1.4.1供应商应具备承担本项目包资质条件、能力和信誉：见供应商须知前附表。</w:t>
      </w:r>
    </w:p>
    <w:p w14:paraId="4BCF74C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1.4.2 供应商须知前附表规定接受联合体磋商的，除应符合本章第1.4.1项和供应商须知前附表的要求外，还应遵守以下规定： </w:t>
      </w:r>
    </w:p>
    <w:p w14:paraId="5C5027A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两个以上的自然人、法人或者其他组织可以组成一个联合体，以一个供应商的身份共同参加政府采购。以联合体形式进行政府采购的，参加联合体的供应商均应当具备《中华人民共和国政府采购法》第二十二条规定的条件，并应当向采购人提交联合协议，载明联合体各方承担的工作和义务；</w:t>
      </w:r>
    </w:p>
    <w:p w14:paraId="2FFC255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（2）联合体各方应当共同与采购人签订采购合同，就采购合同约定的事项对采购人</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"http://baike.baidu.com/view/278880.htm" \t "http://baike.baidu.com/_blank"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承担连带责任</w:t>
      </w:r>
      <w:r>
        <w:rPr>
          <w:rFonts w:hint="eastAsia" w:ascii="宋体" w:hAnsi="宋体" w:eastAsia="宋体" w:cs="宋体"/>
          <w:sz w:val="24"/>
          <w:szCs w:val="24"/>
        </w:rPr>
        <w:fldChar w:fldCharType="end"/>
      </w:r>
      <w:r>
        <w:rPr>
          <w:rFonts w:hint="eastAsia" w:ascii="宋体" w:hAnsi="宋体" w:eastAsia="宋体" w:cs="宋体"/>
          <w:sz w:val="24"/>
          <w:szCs w:val="24"/>
        </w:rPr>
        <w:t>；</w:t>
      </w:r>
    </w:p>
    <w:p w14:paraId="1D5E7FD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（3）联合体中有同类资质的供应商按照联合体分工承担相同工作的，应当按照资质等级较低的供应商确定资质等级；</w:t>
      </w:r>
    </w:p>
    <w:p w14:paraId="250D1B2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（4）以联合体形式参加政府采购活动的，联合体各方不得再单独参加或者与其他供应商另外组成联合体参加同一合同项下的政府采购活动。</w:t>
      </w:r>
    </w:p>
    <w:p w14:paraId="5F26A12A">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本项目不适用</w:t>
      </w:r>
    </w:p>
    <w:p w14:paraId="44755FC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1.4.3供应商存在下列情形之一的，相关响应文件均无效：</w:t>
      </w:r>
    </w:p>
    <w:p w14:paraId="07D665F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（1）与采购人员及相关人员存在利害关系影响公正性的；</w:t>
      </w:r>
    </w:p>
    <w:p w14:paraId="1F93855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（2）单位负责人为同一人或者存在直接控股、管理关系的不同供应商，参加同一合同项下的政府采购活动的，共同组成联合体的除外。</w:t>
      </w:r>
    </w:p>
    <w:p w14:paraId="385B0DD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30" w:name="_Toc152045535"/>
      <w:bookmarkStart w:id="31" w:name="_Toc179632552"/>
      <w:bookmarkStart w:id="32" w:name="_Toc144974503"/>
      <w:bookmarkStart w:id="33" w:name="_Toc152042311"/>
      <w:bookmarkStart w:id="34" w:name="_Toc403382378"/>
      <w:r>
        <w:rPr>
          <w:rFonts w:hint="eastAsia" w:ascii="宋体" w:hAnsi="宋体" w:eastAsia="宋体" w:cs="宋体"/>
          <w:sz w:val="24"/>
          <w:szCs w:val="24"/>
        </w:rPr>
        <w:t>1.5 费用承担</w:t>
      </w:r>
      <w:bookmarkEnd w:id="30"/>
      <w:bookmarkEnd w:id="31"/>
      <w:bookmarkEnd w:id="32"/>
      <w:bookmarkEnd w:id="33"/>
      <w:bookmarkEnd w:id="34"/>
    </w:p>
    <w:p w14:paraId="1A5C621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供应商准备和参加政府采购活动发生的费用自理。</w:t>
      </w:r>
    </w:p>
    <w:p w14:paraId="45189AA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35" w:name="_Toc152042312"/>
      <w:bookmarkStart w:id="36" w:name="_Toc152045536"/>
      <w:bookmarkStart w:id="37" w:name="_Toc403382379"/>
      <w:bookmarkStart w:id="38" w:name="_Toc179632553"/>
      <w:bookmarkStart w:id="39" w:name="_Toc144974504"/>
      <w:r>
        <w:rPr>
          <w:rFonts w:hint="eastAsia" w:ascii="宋体" w:hAnsi="宋体" w:eastAsia="宋体" w:cs="宋体"/>
          <w:sz w:val="24"/>
          <w:szCs w:val="24"/>
        </w:rPr>
        <w:t>1.6 保密</w:t>
      </w:r>
      <w:bookmarkEnd w:id="35"/>
      <w:bookmarkEnd w:id="36"/>
      <w:bookmarkEnd w:id="37"/>
      <w:bookmarkEnd w:id="38"/>
      <w:bookmarkEnd w:id="39"/>
    </w:p>
    <w:p w14:paraId="0D01BF5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参与政府采购活动的各方应对竞争性磋商文件和响应文件中的商业和技术等秘密保密，违者应对由此造成的后果承担法律责任。 </w:t>
      </w:r>
    </w:p>
    <w:p w14:paraId="147A751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40" w:name="_Toc144974505"/>
      <w:bookmarkStart w:id="41" w:name="_Toc152045537"/>
      <w:bookmarkStart w:id="42" w:name="_Toc152042313"/>
      <w:bookmarkStart w:id="43" w:name="_Toc179632554"/>
      <w:bookmarkStart w:id="44" w:name="_Toc403382380"/>
      <w:r>
        <w:rPr>
          <w:rFonts w:hint="eastAsia" w:ascii="宋体" w:hAnsi="宋体" w:eastAsia="宋体" w:cs="宋体"/>
          <w:sz w:val="24"/>
          <w:szCs w:val="24"/>
        </w:rPr>
        <w:t>1.7 语言</w:t>
      </w:r>
      <w:bookmarkEnd w:id="40"/>
      <w:r>
        <w:rPr>
          <w:rFonts w:hint="eastAsia" w:ascii="宋体" w:hAnsi="宋体" w:eastAsia="宋体" w:cs="宋体"/>
          <w:sz w:val="24"/>
          <w:szCs w:val="24"/>
        </w:rPr>
        <w:t>文字</w:t>
      </w:r>
      <w:bookmarkEnd w:id="41"/>
      <w:bookmarkEnd w:id="42"/>
      <w:bookmarkEnd w:id="43"/>
      <w:bookmarkEnd w:id="44"/>
    </w:p>
    <w:p w14:paraId="1E57378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除专用术语外，与磋商文件有关的语言均使用中文。必要时专用术语应附有中文注释。</w:t>
      </w:r>
    </w:p>
    <w:p w14:paraId="4C2120E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45" w:name="_Toc152042314"/>
      <w:bookmarkStart w:id="46" w:name="_Toc179632555"/>
      <w:bookmarkStart w:id="47" w:name="_Toc152045538"/>
      <w:bookmarkStart w:id="48" w:name="_Toc144974506"/>
      <w:bookmarkStart w:id="49" w:name="_Toc403382381"/>
      <w:r>
        <w:rPr>
          <w:rFonts w:hint="eastAsia" w:ascii="宋体" w:hAnsi="宋体" w:eastAsia="宋体" w:cs="宋体"/>
          <w:sz w:val="24"/>
          <w:szCs w:val="24"/>
        </w:rPr>
        <w:t>1.8 计量单位</w:t>
      </w:r>
      <w:bookmarkEnd w:id="45"/>
      <w:bookmarkEnd w:id="46"/>
      <w:bookmarkEnd w:id="47"/>
      <w:bookmarkEnd w:id="48"/>
      <w:bookmarkEnd w:id="49"/>
    </w:p>
    <w:p w14:paraId="3AC537A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所有计量均采用中华人民共和国法定计量单位。</w:t>
      </w:r>
    </w:p>
    <w:p w14:paraId="680D54F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50" w:name="_Toc152042318"/>
      <w:bookmarkStart w:id="51" w:name="_Toc4133"/>
      <w:bookmarkStart w:id="52" w:name="_Toc403382386"/>
      <w:bookmarkStart w:id="53" w:name="_Toc179632560"/>
      <w:bookmarkStart w:id="54" w:name="_Toc144974510"/>
      <w:bookmarkStart w:id="55" w:name="_Toc152045542"/>
      <w:r>
        <w:rPr>
          <w:rFonts w:hint="eastAsia" w:ascii="宋体" w:hAnsi="宋体" w:eastAsia="宋体" w:cs="宋体"/>
          <w:sz w:val="24"/>
          <w:szCs w:val="24"/>
        </w:rPr>
        <w:t xml:space="preserve">2. </w:t>
      </w:r>
      <w:bookmarkEnd w:id="50"/>
      <w:bookmarkEnd w:id="51"/>
      <w:bookmarkEnd w:id="52"/>
      <w:bookmarkEnd w:id="53"/>
      <w:bookmarkEnd w:id="54"/>
      <w:bookmarkEnd w:id="55"/>
      <w:r>
        <w:rPr>
          <w:rFonts w:hint="eastAsia" w:ascii="宋体" w:hAnsi="宋体" w:eastAsia="宋体" w:cs="宋体"/>
          <w:sz w:val="24"/>
          <w:szCs w:val="24"/>
        </w:rPr>
        <w:t>竞争性磋商文件</w:t>
      </w:r>
    </w:p>
    <w:p w14:paraId="5D04809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56" w:name="_Toc403382387"/>
      <w:bookmarkStart w:id="57" w:name="_Toc152042319"/>
      <w:bookmarkStart w:id="58" w:name="_Toc144974511"/>
      <w:bookmarkStart w:id="59" w:name="_Toc152045543"/>
      <w:bookmarkStart w:id="60" w:name="_Toc179632561"/>
      <w:r>
        <w:rPr>
          <w:rFonts w:hint="eastAsia" w:ascii="宋体" w:hAnsi="宋体" w:eastAsia="宋体" w:cs="宋体"/>
          <w:sz w:val="24"/>
          <w:szCs w:val="24"/>
        </w:rPr>
        <w:t>2.1 竞争性磋商文件的组成</w:t>
      </w:r>
      <w:bookmarkEnd w:id="56"/>
      <w:bookmarkEnd w:id="57"/>
      <w:bookmarkEnd w:id="58"/>
      <w:bookmarkEnd w:id="59"/>
      <w:bookmarkEnd w:id="60"/>
    </w:p>
    <w:p w14:paraId="75263D98">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　　本竞争性磋商文件包括：</w:t>
      </w:r>
    </w:p>
    <w:p w14:paraId="15494FB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（1）竞争性磋商公告（磋商邀请）；</w:t>
      </w:r>
    </w:p>
    <w:p w14:paraId="2D12475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（2）供应商须知；</w:t>
      </w:r>
    </w:p>
    <w:p w14:paraId="6C6EFD7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（3）评审办法；</w:t>
      </w:r>
    </w:p>
    <w:p w14:paraId="1EB2A16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（4）合同条款及格式；</w:t>
      </w:r>
    </w:p>
    <w:p w14:paraId="5606B54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（5）技术标准和要求；</w:t>
      </w:r>
    </w:p>
    <w:p w14:paraId="4B0D24F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（6）响应文件格式；</w:t>
      </w:r>
    </w:p>
    <w:p w14:paraId="79266FC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（7）供应商须知前附表规定的其他材料。</w:t>
      </w:r>
    </w:p>
    <w:p w14:paraId="7FCC96D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对竞争性磋商文件所作的澄清、修改，构成竞争性磋商文件的组成部分。</w:t>
      </w:r>
    </w:p>
    <w:p w14:paraId="0A94122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61" w:name="_Toc144974512"/>
      <w:bookmarkStart w:id="62" w:name="_Toc179632562"/>
      <w:bookmarkStart w:id="63" w:name="_Toc152045544"/>
      <w:bookmarkStart w:id="64" w:name="_Toc152042320"/>
      <w:bookmarkStart w:id="65" w:name="_Toc403382388"/>
      <w:r>
        <w:rPr>
          <w:rFonts w:hint="eastAsia" w:ascii="宋体" w:hAnsi="宋体" w:eastAsia="宋体" w:cs="宋体"/>
          <w:sz w:val="24"/>
          <w:szCs w:val="24"/>
        </w:rPr>
        <w:t>2.2 竞争性磋商文件的澄清</w:t>
      </w:r>
      <w:bookmarkEnd w:id="61"/>
      <w:bookmarkEnd w:id="62"/>
      <w:bookmarkEnd w:id="63"/>
      <w:bookmarkEnd w:id="64"/>
      <w:bookmarkEnd w:id="65"/>
    </w:p>
    <w:p w14:paraId="7059BFF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2.2.1供应商应仔细阅读和检查竞争性磋商文件的全部内容。如发现缺页或附件不全，应及时向采购人提出，以便补齐。如有疑问，应在供应商须知前附表规定的时间前，以书面形式要求采购人对竞争性磋商文件予以澄清。</w:t>
      </w:r>
    </w:p>
    <w:p w14:paraId="07A0B6C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2.2.2 提交首次响应文件截止之日前，采购人、采购代理机构或者磋商小组可以对已发出的磋商文件进行必要的澄清，澄清的内容作为磋商文件的组成部分。澄清的内容可能影响响应文件编制的，采购人、采购代理机构或者磋商小组应当在提交首次响应文件截止之日5日前，在“政采云”平台（https://www.zcygov.cn）发布。供应商自行在“政采云”平台（https://www.zcygov.cn）下载更正文件，不足5日的，将顺延提交首次响应文件截止之日。</w:t>
      </w:r>
    </w:p>
    <w:p w14:paraId="186F1A6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2.2.3 澄清通知发出的同时,会在竞争性磋商公告发布媒体上发布变更公告（更正公告）供应商应注意及时浏览网上发出的变更公告（更正公告），因供应商自身原因未及时获知澄清内容而导致的任何后果将由供应商自行承担。</w:t>
      </w:r>
    </w:p>
    <w:p w14:paraId="1B20A1A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66" w:name="_Toc152042321"/>
      <w:bookmarkStart w:id="67" w:name="_Toc403382389"/>
      <w:bookmarkStart w:id="68" w:name="_Toc152045545"/>
      <w:bookmarkStart w:id="69" w:name="_Toc179632563"/>
      <w:bookmarkStart w:id="70" w:name="_Toc144974513"/>
      <w:r>
        <w:rPr>
          <w:rFonts w:hint="eastAsia" w:ascii="宋体" w:hAnsi="宋体" w:eastAsia="宋体" w:cs="宋体"/>
          <w:sz w:val="24"/>
          <w:szCs w:val="24"/>
        </w:rPr>
        <w:t>2.3 竞争性磋商文件的修改</w:t>
      </w:r>
      <w:bookmarkEnd w:id="66"/>
      <w:bookmarkEnd w:id="67"/>
      <w:bookmarkEnd w:id="68"/>
      <w:bookmarkEnd w:id="69"/>
      <w:bookmarkEnd w:id="70"/>
    </w:p>
    <w:p w14:paraId="685F2AE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2.3.1 提交首次响应文件截止之日前，采购人、采购代理机构或者磋商小组可以对已发出的磋商文件进行必要的修改，修改的内容作为磋商文件的组成部分。修改的内容可能影响响应文件编制的，采购人、采购代理机构或者磋商小组应当在提交首次响应文件截止时间至少5日前，在“政采云”平台（https://www.zcygov.cn）发布，不足5日的，将顺延提交首次响应文件截止时间。</w:t>
      </w:r>
    </w:p>
    <w:p w14:paraId="4AA4009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2.3.2 修改通知发出的同时,会在竞争性磋商公告发布媒体上发布变更公告（更正公告）供应商应注意及时浏览网上发出的变更公告（更正公告），因供应商自身原因未及时获知修改内容而导致的任何后果将由供应商自行承担。</w:t>
      </w:r>
    </w:p>
    <w:p w14:paraId="3A00A1D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71" w:name="_Toc403382390"/>
      <w:r>
        <w:rPr>
          <w:rFonts w:hint="eastAsia" w:ascii="宋体" w:hAnsi="宋体" w:eastAsia="宋体" w:cs="宋体"/>
          <w:sz w:val="24"/>
          <w:szCs w:val="24"/>
        </w:rPr>
        <w:t>2.4 竞争性磋商的</w:t>
      </w:r>
      <w:bookmarkEnd w:id="71"/>
      <w:r>
        <w:rPr>
          <w:rFonts w:hint="eastAsia" w:ascii="宋体" w:hAnsi="宋体" w:eastAsia="宋体" w:cs="宋体"/>
          <w:sz w:val="24"/>
          <w:szCs w:val="24"/>
        </w:rPr>
        <w:t>询问与质疑</w:t>
      </w:r>
    </w:p>
    <w:p w14:paraId="3518D51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2.4.1供应商对政府采购活动事项有疑问的，可以向采购人提出询问，采购人或者采购代理机构应当在2个工作日内对供应商依法提出的询问作出答复。</w:t>
      </w:r>
    </w:p>
    <w:p w14:paraId="5C8C7B1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2.4.2供应商认为磋商文件、采购过程和成交、成交结果使自己的权益受到损害的，可以在知道或者应知其权益受到损害之日起七个工作日内，以书面形式向采购人提出质疑。</w:t>
      </w:r>
    </w:p>
    <w:p w14:paraId="5AAC3AD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2.4.3 供应商应知其权益受到损害之日，是指：</w:t>
      </w:r>
    </w:p>
    <w:p w14:paraId="5138E50B">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对可以质疑的磋商文件提出质疑的，为收到竞争性磋商文件之日；</w:t>
      </w:r>
    </w:p>
    <w:p w14:paraId="5FB7B7C2">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对采购过程提出质疑的，为各采购程序环节结束之日；</w:t>
      </w:r>
    </w:p>
    <w:p w14:paraId="64406C05">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对成交或者成交结果提出质疑的，为成交或者成交结果公告期限届满之日</w:t>
      </w:r>
    </w:p>
    <w:p w14:paraId="593046A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2.4.4 采购人对质疑的答复构成对竞争性磋商文件澄清或者修改的，采购人将按照本章第2.2款、第2.3款规定办理。</w:t>
      </w:r>
    </w:p>
    <w:p w14:paraId="748DE75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72" w:name="_Toc152045546"/>
      <w:bookmarkStart w:id="73" w:name="_Toc26173"/>
      <w:bookmarkStart w:id="74" w:name="_Toc179632564"/>
      <w:bookmarkStart w:id="75" w:name="_Toc144974514"/>
      <w:bookmarkStart w:id="76" w:name="_Toc403382391"/>
      <w:bookmarkStart w:id="77" w:name="_Toc152042322"/>
      <w:r>
        <w:rPr>
          <w:rFonts w:hint="eastAsia" w:ascii="宋体" w:hAnsi="宋体" w:eastAsia="宋体" w:cs="宋体"/>
          <w:sz w:val="24"/>
          <w:szCs w:val="24"/>
        </w:rPr>
        <w:t xml:space="preserve">3. </w:t>
      </w:r>
      <w:bookmarkEnd w:id="72"/>
      <w:bookmarkEnd w:id="73"/>
      <w:bookmarkEnd w:id="74"/>
      <w:bookmarkEnd w:id="75"/>
      <w:bookmarkEnd w:id="76"/>
      <w:bookmarkEnd w:id="77"/>
      <w:r>
        <w:rPr>
          <w:rFonts w:hint="eastAsia" w:ascii="宋体" w:hAnsi="宋体" w:eastAsia="宋体" w:cs="宋体"/>
          <w:sz w:val="24"/>
          <w:szCs w:val="24"/>
        </w:rPr>
        <w:t>响应文件</w:t>
      </w:r>
    </w:p>
    <w:p w14:paraId="061A5DE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78" w:name="_Toc152045547"/>
      <w:bookmarkStart w:id="79" w:name="_Toc179632565"/>
      <w:bookmarkStart w:id="80" w:name="_Toc144974515"/>
      <w:bookmarkStart w:id="81" w:name="_Toc152042323"/>
      <w:bookmarkStart w:id="82" w:name="_Toc403382392"/>
      <w:r>
        <w:rPr>
          <w:rFonts w:hint="eastAsia" w:ascii="宋体" w:hAnsi="宋体" w:eastAsia="宋体" w:cs="宋体"/>
          <w:sz w:val="24"/>
          <w:szCs w:val="24"/>
        </w:rPr>
        <w:t>3.1 响应文件的组成</w:t>
      </w:r>
      <w:bookmarkEnd w:id="78"/>
      <w:bookmarkEnd w:id="79"/>
      <w:bookmarkEnd w:id="80"/>
      <w:bookmarkEnd w:id="81"/>
      <w:bookmarkEnd w:id="82"/>
    </w:p>
    <w:p w14:paraId="3A0FD8C0">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　　3.1.1响应文件应包括下列内容：</w:t>
      </w:r>
    </w:p>
    <w:p w14:paraId="40BD73D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（1）响应函及报价一览表；</w:t>
      </w:r>
    </w:p>
    <w:p w14:paraId="1DEE279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（2）法定代表人身份证明；</w:t>
      </w:r>
    </w:p>
    <w:p w14:paraId="3B28123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（3）授权委托书；</w:t>
      </w:r>
    </w:p>
    <w:p w14:paraId="08FBA4B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eastAsia="zh-CN"/>
        </w:rPr>
        <w:t>供应商</w:t>
      </w:r>
      <w:r>
        <w:rPr>
          <w:rFonts w:hint="eastAsia" w:ascii="宋体" w:hAnsi="宋体" w:eastAsia="宋体" w:cs="宋体"/>
          <w:sz w:val="24"/>
          <w:szCs w:val="24"/>
        </w:rPr>
        <w:t>基本情况；</w:t>
      </w:r>
    </w:p>
    <w:p w14:paraId="388B43E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（5）供应商承诺函； </w:t>
      </w:r>
    </w:p>
    <w:p w14:paraId="1F1517E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（6）保证金；</w:t>
      </w:r>
    </w:p>
    <w:p w14:paraId="0DE83AA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（7）服务实施方案；</w:t>
      </w:r>
    </w:p>
    <w:p w14:paraId="72D7408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（8）项目管理机构；</w:t>
      </w:r>
    </w:p>
    <w:p w14:paraId="0952324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（9）资格审查资料；</w:t>
      </w:r>
    </w:p>
    <w:p w14:paraId="1F3B02A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（10）其他材料。</w:t>
      </w:r>
    </w:p>
    <w:p w14:paraId="0D271A1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3.1.2 供应商须知前附表规定不接受联合体的，或供应商没有组成联合体的，响应文件不包括本章第3.1.1（3）目所指的联合体协议书。 </w:t>
      </w:r>
    </w:p>
    <w:p w14:paraId="653346D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3.1.3 供应商应当按照竞争性磋商文件的要求编制响应文件，并对其提交的响应文件的真实性、合法性承担法律责任。</w:t>
      </w:r>
    </w:p>
    <w:p w14:paraId="334A9C3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83" w:name="_Toc152042324"/>
      <w:bookmarkStart w:id="84" w:name="_Toc152045548"/>
      <w:bookmarkStart w:id="85" w:name="_Toc179632566"/>
      <w:bookmarkStart w:id="86" w:name="_Toc144974516"/>
      <w:bookmarkStart w:id="87" w:name="_Toc403382393"/>
      <w:r>
        <w:rPr>
          <w:rFonts w:hint="eastAsia" w:ascii="宋体" w:hAnsi="宋体" w:eastAsia="宋体" w:cs="宋体"/>
          <w:sz w:val="24"/>
          <w:szCs w:val="24"/>
        </w:rPr>
        <w:t>3.2 报价</w:t>
      </w:r>
      <w:bookmarkEnd w:id="83"/>
      <w:bookmarkEnd w:id="84"/>
      <w:bookmarkEnd w:id="85"/>
      <w:bookmarkEnd w:id="86"/>
      <w:bookmarkEnd w:id="87"/>
      <w:r>
        <w:rPr>
          <w:rFonts w:hint="eastAsia" w:ascii="宋体" w:hAnsi="宋体" w:eastAsia="宋体" w:cs="宋体"/>
          <w:sz w:val="24"/>
          <w:szCs w:val="24"/>
        </w:rPr>
        <w:t>要求</w:t>
      </w:r>
    </w:p>
    <w:p w14:paraId="44F8F63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3.2.1 供应商应按竞争性磋商的要求填写相应表格。</w:t>
      </w:r>
    </w:p>
    <w:p w14:paraId="419A284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3.2.2 采购人按供应商须知前附表的规定设置或不设置预算控制价，设置预算控制价的，预算控制价明细在竞争性磋商文件中发给所有购买竞争性磋商文件的供应商。</w:t>
      </w:r>
    </w:p>
    <w:p w14:paraId="2183BC0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供应商响应函及报价一览表中的大写报价或算术错误修正后的报价大于预算控制价的，其磋商响应无效。</w:t>
      </w:r>
    </w:p>
    <w:p w14:paraId="1421E6A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88" w:name="_Toc403382394"/>
      <w:bookmarkStart w:id="89" w:name="_Toc144974517"/>
      <w:bookmarkStart w:id="90" w:name="_Toc179632567"/>
      <w:bookmarkStart w:id="91" w:name="_Toc152045549"/>
      <w:bookmarkStart w:id="92" w:name="_Toc152042325"/>
      <w:r>
        <w:rPr>
          <w:rFonts w:hint="eastAsia" w:ascii="宋体" w:hAnsi="宋体" w:eastAsia="宋体" w:cs="宋体"/>
          <w:sz w:val="24"/>
          <w:szCs w:val="24"/>
        </w:rPr>
        <w:t>3.3 响应文件有效期</w:t>
      </w:r>
      <w:bookmarkEnd w:id="88"/>
      <w:bookmarkEnd w:id="89"/>
      <w:bookmarkEnd w:id="90"/>
      <w:bookmarkEnd w:id="91"/>
      <w:bookmarkEnd w:id="92"/>
    </w:p>
    <w:p w14:paraId="7C8057A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3.3.1 在供应商须知前附表规定的响应文件有效期内，供应商不得要求撤销或修改其响应文件。</w:t>
      </w:r>
    </w:p>
    <w:p w14:paraId="152D307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3.3.2出现特殊情况需要延长响应文件有效期的，采购人以书面形式通知所有供应商（或在“政采云”平台（https://www.zcygov.cn）发布信息）延长响应文件有效期。供应商同意延长的，应相应延长其磋商保证金的有效期，但不得要求或被允许修改或撤销其响应文件；供应商拒绝延长的，其磋商响应无效，但供应商有权收回其磋商保证金。 </w:t>
      </w:r>
    </w:p>
    <w:p w14:paraId="0F85AA6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93" w:name="_Toc144974518"/>
      <w:bookmarkStart w:id="94" w:name="_Toc152045550"/>
      <w:bookmarkStart w:id="95" w:name="_Toc152042326"/>
      <w:bookmarkStart w:id="96" w:name="_Toc179632568"/>
      <w:bookmarkStart w:id="97" w:name="_Toc403382395"/>
      <w:r>
        <w:rPr>
          <w:rFonts w:hint="eastAsia" w:ascii="宋体" w:hAnsi="宋体" w:eastAsia="宋体" w:cs="宋体"/>
          <w:sz w:val="24"/>
          <w:szCs w:val="24"/>
        </w:rPr>
        <w:t xml:space="preserve">3.4 </w:t>
      </w:r>
      <w:bookmarkEnd w:id="93"/>
      <w:bookmarkEnd w:id="94"/>
      <w:bookmarkEnd w:id="95"/>
      <w:bookmarkEnd w:id="96"/>
      <w:bookmarkEnd w:id="97"/>
      <w:r>
        <w:rPr>
          <w:rFonts w:hint="eastAsia" w:ascii="宋体" w:hAnsi="宋体" w:eastAsia="宋体" w:cs="宋体"/>
          <w:sz w:val="24"/>
          <w:szCs w:val="24"/>
        </w:rPr>
        <w:t>磋商保证金</w:t>
      </w:r>
    </w:p>
    <w:p w14:paraId="6ABA266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3.4.1供应商须知前附表规定提交磋商保证金的，供应商在递交响应文件的同时，应按供应商须知前附表规定的形式、金额、递交截止时间、递交方式提交磋商保证金，并作为其响应文件的组成部分。联合体参与磋商的，可以由联合体中的一方或者多方共同交纳保证金，其交纳的保证金对联合体各方均具有约束力，并应符合供应商须知前附表的规定。</w:t>
      </w:r>
    </w:p>
    <w:p w14:paraId="507380A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3.4.2 供应商不按本章第3.4.1项要求提交磋商保证金的，其磋商响应无效。</w:t>
      </w:r>
    </w:p>
    <w:p w14:paraId="66F7401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3.4.3 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p w14:paraId="7ACDBAD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3.4.4 有下列情形之一的，磋商保证金将不予退还： </w:t>
      </w:r>
    </w:p>
    <w:p w14:paraId="11770C5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98" w:name="_Toc403382396"/>
      <w:bookmarkStart w:id="99" w:name="_Toc152045551"/>
      <w:bookmarkStart w:id="100" w:name="_Toc144974519"/>
      <w:bookmarkStart w:id="101" w:name="_Toc179632569"/>
      <w:bookmarkStart w:id="102" w:name="_Toc152042327"/>
      <w:r>
        <w:rPr>
          <w:rFonts w:hint="eastAsia" w:ascii="宋体" w:hAnsi="宋体" w:eastAsia="宋体" w:cs="宋体"/>
          <w:sz w:val="24"/>
          <w:szCs w:val="24"/>
        </w:rPr>
        <w:t>供应商在提交响应文件截止时间后撤回响应文件的；</w:t>
      </w:r>
    </w:p>
    <w:p w14:paraId="100B7B5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供应商在响应文件中提供虚假材料的；</w:t>
      </w:r>
    </w:p>
    <w:p w14:paraId="25CCED6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除因不可抗力或磋商文件认可的情形以外，成交供应商不与采购人签订合同的；</w:t>
      </w:r>
    </w:p>
    <w:p w14:paraId="18C6CA7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供应商与采购人、其他供应商或者采购代理机构恶意串通的；</w:t>
      </w:r>
    </w:p>
    <w:p w14:paraId="40A2063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磋商文件规定的其他情形。 </w:t>
      </w:r>
    </w:p>
    <w:bookmarkEnd w:id="98"/>
    <w:bookmarkEnd w:id="99"/>
    <w:bookmarkEnd w:id="100"/>
    <w:bookmarkEnd w:id="101"/>
    <w:bookmarkEnd w:id="102"/>
    <w:p w14:paraId="1FDF1A2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03" w:name="_Toc179632570"/>
      <w:bookmarkStart w:id="104" w:name="_Toc403382397"/>
      <w:bookmarkStart w:id="105" w:name="_Toc144974520"/>
      <w:bookmarkStart w:id="106" w:name="_Toc152042328"/>
      <w:bookmarkStart w:id="107" w:name="_Toc152045552"/>
      <w:r>
        <w:rPr>
          <w:rFonts w:hint="eastAsia" w:ascii="宋体" w:hAnsi="宋体" w:eastAsia="宋体" w:cs="宋体"/>
          <w:sz w:val="24"/>
          <w:szCs w:val="24"/>
        </w:rPr>
        <w:t>3.5 资格审查资料</w:t>
      </w:r>
      <w:bookmarkEnd w:id="103"/>
      <w:bookmarkEnd w:id="104"/>
      <w:bookmarkEnd w:id="105"/>
      <w:bookmarkEnd w:id="106"/>
      <w:bookmarkEnd w:id="107"/>
    </w:p>
    <w:p w14:paraId="4FBEFA6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08" w:name="_Toc179632571"/>
      <w:bookmarkStart w:id="109" w:name="_Toc152045553"/>
      <w:bookmarkStart w:id="110" w:name="_Toc144974521"/>
      <w:bookmarkStart w:id="111" w:name="_Toc403382398"/>
      <w:bookmarkStart w:id="112" w:name="_Toc152042329"/>
      <w:r>
        <w:rPr>
          <w:rFonts w:hint="eastAsia" w:ascii="宋体" w:hAnsi="宋体" w:eastAsia="宋体" w:cs="宋体"/>
          <w:sz w:val="24"/>
          <w:szCs w:val="24"/>
        </w:rPr>
        <w:t>3.5.1 “供应商基本情况表”应附供应商营业执照副本、资质证书副本等材料的复印件。</w:t>
      </w:r>
    </w:p>
    <w:p w14:paraId="3B53D95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3.5.2 “近年完成的类似项目情况表”应附成交通知书和（或）合同协议书及其他证明材料（如需要）的复印件。每张表格只填写一个项目，并标明序号。</w:t>
      </w:r>
    </w:p>
    <w:p w14:paraId="7A95D41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3.5.3供应商须知前附表规定接受联合体参与磋商的，本章第3.5项规定的表格和资料应包括联合体各方相关情况。</w:t>
      </w:r>
    </w:p>
    <w:p w14:paraId="722F032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3.5.4 本竞争性磋商文件中“类似项目”的定义见供应商须知前附表。</w:t>
      </w:r>
    </w:p>
    <w:p w14:paraId="5CE5BEA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3.5.5 “竞争性磋商公告要求的其他资格证明材料”应根据本项目竞争性磋商公告的要求提供资格证明材料的复印件和（或）原件。</w:t>
      </w:r>
    </w:p>
    <w:p w14:paraId="5218B79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3.6 备选方案</w:t>
      </w:r>
      <w:bookmarkEnd w:id="108"/>
      <w:bookmarkEnd w:id="109"/>
      <w:bookmarkEnd w:id="110"/>
      <w:bookmarkEnd w:id="111"/>
      <w:bookmarkEnd w:id="112"/>
    </w:p>
    <w:p w14:paraId="783A6EA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供应商须知前附表另有规定外，供应商不得递交备选方案。允许供应商递交备选方案的，只有成交供应商所递交的备选方案方可予以考虑。磋商小组认为成交候选人的备选方案优于其按照竞争性磋商文件要求编制的磋商响应方案的，该成交候选人被确定成交供应商后，采购人可以接受该备选方案。</w:t>
      </w:r>
    </w:p>
    <w:p w14:paraId="0A6C611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13" w:name="_Toc179632572"/>
      <w:bookmarkStart w:id="114" w:name="_Toc152045554"/>
      <w:bookmarkStart w:id="115" w:name="_Toc403382399"/>
      <w:bookmarkStart w:id="116" w:name="_Toc144974522"/>
      <w:bookmarkStart w:id="117" w:name="_Toc152042330"/>
      <w:r>
        <w:rPr>
          <w:rFonts w:hint="eastAsia" w:ascii="宋体" w:hAnsi="宋体" w:eastAsia="宋体" w:cs="宋体"/>
          <w:sz w:val="24"/>
          <w:szCs w:val="24"/>
        </w:rPr>
        <w:t>3.7 响应文件的编制</w:t>
      </w:r>
      <w:bookmarkEnd w:id="113"/>
      <w:bookmarkEnd w:id="114"/>
      <w:bookmarkEnd w:id="115"/>
      <w:bookmarkEnd w:id="116"/>
      <w:bookmarkEnd w:id="117"/>
    </w:p>
    <w:p w14:paraId="42360A9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3.7.1响应文件应按第六章“响应文件格式”进行编写，如有必要，可以增加附页，作为响应文件的组成部分。</w:t>
      </w:r>
    </w:p>
    <w:p w14:paraId="449F787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3.7.2 响应文件应当对竞争性磋商文件有关服务期、响应文件有效期、质量要求、技术标准和要求、采购范围等实质性内容作出响应。</w:t>
      </w:r>
    </w:p>
    <w:p w14:paraId="1EA2AB2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3.7.3 响应文件制作</w:t>
      </w:r>
    </w:p>
    <w:p w14:paraId="4A9500B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（1）纸质响应文件应以已完成的电子响应文件为蓝本，采用A4规格纸张（图表可例外）直接打印。其内容应与电子响应文件内容保持一致。</w:t>
      </w:r>
    </w:p>
    <w:p w14:paraId="3420334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（2）第六章响应文件格式文件要求盖单位章和（或）签字的地方，供应商均应加盖供应商的单位章和（或）法定代表人、负责人的个人印章或签字。</w:t>
      </w:r>
    </w:p>
    <w:p w14:paraId="70612AF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（3）纸质响应文件的正本和副本应分别装订成册，左侧装订，装订方式应牢固。纸质响应文件正本和副本的封面右上角上应清楚地标记“正本”或“副本”的字样。当副本和正本不一致时，以正本为准。</w:t>
      </w:r>
    </w:p>
    <w:p w14:paraId="5F9F87D2">
      <w:pPr>
        <w:pStyle w:val="4"/>
        <w:pageBreakBefore w:val="0"/>
        <w:widowControl w:val="0"/>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注：除第一中标候选人外无需提交纸质响应文件</w:t>
      </w:r>
    </w:p>
    <w:p w14:paraId="307AD3C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18" w:name="_Toc144974523"/>
      <w:bookmarkStart w:id="119" w:name="_Toc179632573"/>
      <w:bookmarkStart w:id="120" w:name="_Toc152045555"/>
      <w:bookmarkStart w:id="121" w:name="_Toc403382400"/>
      <w:bookmarkStart w:id="122" w:name="_Toc152042331"/>
      <w:bookmarkStart w:id="123" w:name="_Toc1087"/>
      <w:r>
        <w:rPr>
          <w:rFonts w:hint="eastAsia" w:ascii="宋体" w:hAnsi="宋体" w:eastAsia="宋体" w:cs="宋体"/>
          <w:sz w:val="24"/>
          <w:szCs w:val="24"/>
        </w:rPr>
        <w:t xml:space="preserve">4. </w:t>
      </w:r>
      <w:bookmarkEnd w:id="118"/>
      <w:bookmarkEnd w:id="119"/>
      <w:bookmarkEnd w:id="120"/>
      <w:bookmarkEnd w:id="121"/>
      <w:bookmarkEnd w:id="122"/>
      <w:r>
        <w:rPr>
          <w:rFonts w:hint="eastAsia" w:ascii="宋体" w:hAnsi="宋体" w:eastAsia="宋体" w:cs="宋体"/>
          <w:sz w:val="24"/>
          <w:szCs w:val="24"/>
        </w:rPr>
        <w:t>响应文件的递交</w:t>
      </w:r>
      <w:bookmarkEnd w:id="123"/>
    </w:p>
    <w:p w14:paraId="39C13B8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24" w:name="_Toc152045556"/>
      <w:bookmarkStart w:id="125" w:name="_Toc144974524"/>
      <w:bookmarkStart w:id="126" w:name="_Toc179632574"/>
      <w:bookmarkStart w:id="127" w:name="_Toc152042332"/>
      <w:bookmarkStart w:id="128" w:name="_Toc403382401"/>
      <w:r>
        <w:rPr>
          <w:rFonts w:hint="eastAsia" w:ascii="宋体" w:hAnsi="宋体" w:eastAsia="宋体" w:cs="宋体"/>
          <w:sz w:val="24"/>
          <w:szCs w:val="24"/>
        </w:rPr>
        <w:t>4.1 响应文件的密封和标</w:t>
      </w:r>
      <w:bookmarkEnd w:id="124"/>
      <w:bookmarkEnd w:id="125"/>
      <w:bookmarkEnd w:id="126"/>
      <w:bookmarkEnd w:id="127"/>
      <w:r>
        <w:rPr>
          <w:rFonts w:hint="eastAsia" w:ascii="宋体" w:hAnsi="宋体" w:eastAsia="宋体" w:cs="宋体"/>
          <w:sz w:val="24"/>
          <w:szCs w:val="24"/>
        </w:rPr>
        <w:t>识</w:t>
      </w:r>
      <w:bookmarkEnd w:id="128"/>
      <w:r>
        <w:rPr>
          <w:rFonts w:hint="eastAsia" w:ascii="宋体" w:hAnsi="宋体" w:eastAsia="宋体" w:cs="宋体"/>
          <w:sz w:val="24"/>
          <w:szCs w:val="24"/>
        </w:rPr>
        <w:t>（本项目不适应）</w:t>
      </w:r>
    </w:p>
    <w:p w14:paraId="41F476B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4.1.1 响应文件的密封和标识</w:t>
      </w:r>
    </w:p>
    <w:p w14:paraId="41DCF21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（1）纸质响应文件的正本和副本装入封包后密封提交（可合封或分别密封），并在封套的封口处加盖供应商单位章。</w:t>
      </w:r>
    </w:p>
    <w:p w14:paraId="781E039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（2）电子响应文件（平台格式的）响应截止前上传至平台，电子响应文件（U盘）应随纸质响应文件一并提交（单独密封）。</w:t>
      </w:r>
    </w:p>
    <w:p w14:paraId="01DF095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（3）响应文件的封套上应写明以下内容：</w:t>
      </w:r>
    </w:p>
    <w:p w14:paraId="6384D39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1）采购人的名称；</w:t>
      </w:r>
    </w:p>
    <w:p w14:paraId="5B92F05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2）“项目响应文件”和“在响应文件送达截止时间之前不得开启”字样；</w:t>
      </w:r>
    </w:p>
    <w:p w14:paraId="0B9ABD0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3）供应商的名称，并加盖单位章。（供应商为联合体形式时，应当注明联合体名称）</w:t>
      </w:r>
    </w:p>
    <w:p w14:paraId="632998C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（4）未按本章第4.1.1（1）、（2）、（3）目要求密封和加写标记的响应文件，采购人或采购代理机构将拒收。</w:t>
      </w:r>
    </w:p>
    <w:p w14:paraId="270BE62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29" w:name="_Toc179632575"/>
      <w:bookmarkStart w:id="130" w:name="_Toc152042333"/>
      <w:bookmarkStart w:id="131" w:name="_Toc403382402"/>
      <w:bookmarkStart w:id="132" w:name="_Toc144974525"/>
      <w:bookmarkStart w:id="133" w:name="_Toc152045557"/>
      <w:r>
        <w:rPr>
          <w:rFonts w:hint="eastAsia" w:ascii="宋体" w:hAnsi="宋体" w:eastAsia="宋体" w:cs="宋体"/>
          <w:sz w:val="24"/>
          <w:szCs w:val="24"/>
        </w:rPr>
        <w:t>4.2 响应文件的递交</w:t>
      </w:r>
      <w:bookmarkEnd w:id="129"/>
      <w:bookmarkEnd w:id="130"/>
      <w:bookmarkEnd w:id="131"/>
      <w:bookmarkEnd w:id="132"/>
      <w:bookmarkEnd w:id="133"/>
    </w:p>
    <w:p w14:paraId="1CA8881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4.2.1 供应商递交响应文件的截止时间（磋商截止时间）：见供应商须知前附表。</w:t>
      </w:r>
    </w:p>
    <w:p w14:paraId="74CB631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4.2.2现场递交：供应商应当在响应文件送达截止时间前，将响应文件，按照本章第4.1的要求密封和加写标记后递交，递交地点见供应商须知前附表。采购人收到响应文件后，向供应商出具签收凭证。逾期送达的或者未送达指定地点的，采购人将拒收。</w:t>
      </w:r>
    </w:p>
    <w:p w14:paraId="577D7E6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4.2.3根据本章第4.1.1第（1）项、第（2）项、第（3）项的规定，供应商递交的响应文件，只要出现任何一种响应文件应当拒收的情形，其磋商将被拒绝。</w:t>
      </w:r>
    </w:p>
    <w:p w14:paraId="57E6297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4.2.4 除供应商须知前附表另有规定外，供应商所递交的响应文件不予退还。</w:t>
      </w:r>
    </w:p>
    <w:p w14:paraId="3405E6AD">
      <w:pPr>
        <w:pStyle w:val="4"/>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highlight w:val="yellow"/>
          <w:lang w:val="zh-CN"/>
        </w:rPr>
        <w:t>注</w:t>
      </w:r>
      <w:r>
        <w:rPr>
          <w:rFonts w:hint="eastAsia" w:ascii="宋体" w:hAnsi="宋体" w:eastAsia="宋体" w:cs="宋体"/>
          <w:sz w:val="24"/>
          <w:szCs w:val="24"/>
          <w:highlight w:val="yellow"/>
        </w:rPr>
        <w:t>：</w:t>
      </w:r>
      <w:r>
        <w:rPr>
          <w:rFonts w:hint="eastAsia" w:ascii="宋体" w:hAnsi="宋体" w:eastAsia="宋体" w:cs="宋体"/>
          <w:sz w:val="24"/>
          <w:szCs w:val="24"/>
          <w:highlight w:val="yellow"/>
          <w:lang w:val="zh-CN"/>
        </w:rPr>
        <w:t>本项目仅需上传电子投标文件到</w:t>
      </w:r>
      <w:r>
        <w:rPr>
          <w:rFonts w:hint="eastAsia" w:ascii="宋体" w:hAnsi="宋体" w:eastAsia="宋体" w:cs="宋体"/>
          <w:sz w:val="24"/>
          <w:szCs w:val="24"/>
          <w:highlight w:val="yellow"/>
        </w:rPr>
        <w:t>“</w:t>
      </w:r>
      <w:r>
        <w:rPr>
          <w:rFonts w:hint="eastAsia" w:ascii="宋体" w:hAnsi="宋体" w:eastAsia="宋体" w:cs="宋体"/>
          <w:sz w:val="24"/>
          <w:szCs w:val="24"/>
          <w:highlight w:val="yellow"/>
          <w:lang w:val="zh-CN"/>
        </w:rPr>
        <w:t>政采云</w:t>
      </w:r>
      <w:r>
        <w:rPr>
          <w:rFonts w:hint="eastAsia" w:ascii="宋体" w:hAnsi="宋体" w:eastAsia="宋体" w:cs="宋体"/>
          <w:sz w:val="24"/>
          <w:szCs w:val="24"/>
          <w:highlight w:val="yellow"/>
        </w:rPr>
        <w:t>”</w:t>
      </w:r>
      <w:r>
        <w:rPr>
          <w:rFonts w:hint="eastAsia" w:ascii="宋体" w:hAnsi="宋体" w:eastAsia="宋体" w:cs="宋体"/>
          <w:sz w:val="24"/>
          <w:szCs w:val="24"/>
          <w:highlight w:val="yellow"/>
          <w:lang w:val="zh-CN"/>
        </w:rPr>
        <w:t>平台</w:t>
      </w:r>
      <w:r>
        <w:rPr>
          <w:rFonts w:hint="eastAsia" w:ascii="宋体" w:hAnsi="宋体" w:eastAsia="宋体" w:cs="宋体"/>
          <w:sz w:val="24"/>
          <w:szCs w:val="24"/>
          <w:highlight w:val="yellow"/>
        </w:rPr>
        <w:t>（https://www.zcygov.cn）</w:t>
      </w:r>
      <w:r>
        <w:rPr>
          <w:rFonts w:hint="eastAsia" w:ascii="宋体" w:hAnsi="宋体" w:eastAsia="宋体" w:cs="宋体"/>
          <w:sz w:val="24"/>
          <w:szCs w:val="24"/>
          <w:highlight w:val="yellow"/>
          <w:lang w:val="zh-CN"/>
        </w:rPr>
        <w:t>。否则按无效投标处理。</w:t>
      </w:r>
    </w:p>
    <w:p w14:paraId="45D5B3E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34" w:name="_Toc152045558"/>
      <w:bookmarkStart w:id="135" w:name="_Toc403382403"/>
      <w:bookmarkStart w:id="136" w:name="_Toc152042334"/>
      <w:bookmarkStart w:id="137" w:name="_Toc144974526"/>
      <w:bookmarkStart w:id="138" w:name="_Toc179632576"/>
      <w:r>
        <w:rPr>
          <w:rFonts w:hint="eastAsia" w:ascii="宋体" w:hAnsi="宋体" w:eastAsia="宋体" w:cs="宋体"/>
          <w:sz w:val="24"/>
          <w:szCs w:val="24"/>
        </w:rPr>
        <w:t>4.3 响应文件的修改与撤回</w:t>
      </w:r>
      <w:bookmarkEnd w:id="134"/>
      <w:bookmarkEnd w:id="135"/>
      <w:bookmarkEnd w:id="136"/>
      <w:bookmarkEnd w:id="137"/>
      <w:bookmarkEnd w:id="138"/>
    </w:p>
    <w:p w14:paraId="0E693F0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4.3.1 在本章第4.2.1项规定的响应文件送达截止时间前，供应商可以对所提交的响应文件进行补充、修改或者撤回，并书面通知采购人、采购代理机构。补充、修改的内容作为响应文件的组成部分。补充、修改的内容与响应文件不一致的，以补充、修改的内容为准。</w:t>
      </w:r>
    </w:p>
    <w:p w14:paraId="5766012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4.3.2 供应商补充、修改或撤回已递交响应文件的书面通知应按照本章第3.7.3（2）的要求签字和盖章。</w:t>
      </w:r>
    </w:p>
    <w:p w14:paraId="504FC65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4.3.3 供应商修改响应文件的，应当按照本章第3条、第4条规定进行编制、密封、标识和递交。其中，对现场递交的响应文件在封套上还应标明“修改”字样。</w:t>
      </w:r>
    </w:p>
    <w:p w14:paraId="7ECC7CB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39" w:name="_Toc179632577"/>
      <w:bookmarkStart w:id="140" w:name="_Toc152045559"/>
      <w:bookmarkStart w:id="141" w:name="_Toc152042335"/>
      <w:bookmarkStart w:id="142" w:name="_Toc144974527"/>
      <w:bookmarkStart w:id="143" w:name="_Toc403382404"/>
      <w:r>
        <w:rPr>
          <w:rFonts w:hint="eastAsia" w:ascii="宋体" w:hAnsi="宋体" w:eastAsia="宋体" w:cs="宋体"/>
          <w:sz w:val="24"/>
          <w:szCs w:val="24"/>
        </w:rPr>
        <w:t>4.3.4 在本章第4.2.1项规定的响应文件送达截止时间前，供应商撤回响应文件的，采购人自收到供应商书面撤回通知后，根据本磋商文件附件关于保证金缴纳的规定无息退还已收取的磋商保证金。</w:t>
      </w:r>
    </w:p>
    <w:p w14:paraId="51EA2D3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44" w:name="_Toc965"/>
      <w:r>
        <w:rPr>
          <w:rFonts w:hint="eastAsia" w:ascii="宋体" w:hAnsi="宋体" w:eastAsia="宋体" w:cs="宋体"/>
          <w:sz w:val="24"/>
          <w:szCs w:val="24"/>
        </w:rPr>
        <w:t>磋商仪式及</w:t>
      </w:r>
      <w:bookmarkEnd w:id="144"/>
      <w:r>
        <w:rPr>
          <w:rFonts w:hint="eastAsia" w:ascii="宋体" w:hAnsi="宋体" w:eastAsia="宋体" w:cs="宋体"/>
          <w:sz w:val="24"/>
          <w:szCs w:val="24"/>
        </w:rPr>
        <w:t>磋商程序</w:t>
      </w:r>
    </w:p>
    <w:p w14:paraId="738B6F6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 响应文件开启时间和地点</w:t>
      </w:r>
    </w:p>
    <w:p w14:paraId="5568463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5.1.1 采购人在本章第4.2.1项规定的响应文件送达截止时间和供应商须知前附表规定的地点（网络平台）举行磋商，并邀请所有供应商代表准时参加。</w:t>
      </w:r>
    </w:p>
    <w:p w14:paraId="04B98D8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5.1.2采购代理机构按“竞争性磋商公告”中规定的日期、时间和地点（网络平台）组织现场磋商仪式。供应商须派竞争性磋商会由代理机构主持，邀请采购人和监管部门参加出席，供应商拟派的授权代表应按时参加网上磋商仪式。</w:t>
      </w:r>
    </w:p>
    <w:p w14:paraId="5A9CABF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5.2 磋商顺序</w:t>
      </w:r>
    </w:p>
    <w:p w14:paraId="37E5C63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按上传递交磋商响应文件的顺序。</w:t>
      </w:r>
    </w:p>
    <w:p w14:paraId="39B6231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5.3初步审查</w:t>
      </w:r>
    </w:p>
    <w:p w14:paraId="7A9EBF6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磋商小组应当对各供应商的响应文件进行初步审查（具体审查标准详见第三章“评审办法”）。未通过初步审查的响应文件按无效处理，磋商小组应当告知有关供应商。</w:t>
      </w:r>
    </w:p>
    <w:p w14:paraId="740909D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5.4竞争性磋商程序</w:t>
      </w:r>
    </w:p>
    <w:p w14:paraId="3854564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5.4.1 初步审查完毕后，磋商小组对通过初步审查的供应商按其递交磋商响应文件的逆顺序依次进行磋商。</w:t>
      </w:r>
    </w:p>
    <w:p w14:paraId="31CAFA1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⑴ 磋商最初报价；</w:t>
      </w:r>
    </w:p>
    <w:p w14:paraId="05EB1AD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⑵ 供应商介绍企业情况；</w:t>
      </w:r>
    </w:p>
    <w:p w14:paraId="75B02F7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⑶ 供应商阐述本项目技术、服务要求以及合同草案条款的各项响应方案；</w:t>
      </w:r>
    </w:p>
    <w:p w14:paraId="7BCFDF9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⑷ 供应商需要说明的其他事项及其他优惠说明；</w:t>
      </w:r>
    </w:p>
    <w:p w14:paraId="2CE470F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⑸ 磋商小组对供应商提问，供应商答复及承诺；</w:t>
      </w:r>
    </w:p>
    <w:p w14:paraId="7316C75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⑹ 磋商小组所有成员应当集中与单一供应商分别进行磋商，并给予所有参加磋商的供应商平等的磋商机会</w:t>
      </w:r>
    </w:p>
    <w:p w14:paraId="10AC331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5.4.2磋商变动</w:t>
      </w:r>
    </w:p>
    <w:p w14:paraId="261B2A2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7B023D2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5.4.3磋商变动后响应文件的变更</w:t>
      </w:r>
    </w:p>
    <w:p w14:paraId="2F821F1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应当按照磋商文件的变动情况和磋商小组的要求重新提交响应文件，并由其法定代表人、负责人或授权代表签字或加盖公章。由授权代表签字的，应当附法定代表人授权书。供应商为自然人的，应当由本人签字并附身份证明。</w:t>
      </w:r>
    </w:p>
    <w:p w14:paraId="62B9C0B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5.4.4最后报价</w:t>
      </w:r>
    </w:p>
    <w:p w14:paraId="210463F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5.4.4.1 竞争性磋商文件能够详细列明采购标的的技术、服务要求的，磋商结束后，磋商小组应当要求所有继续参加磋商的供应商在规定时间内</w:t>
      </w:r>
      <w:r>
        <w:rPr>
          <w:rFonts w:hint="eastAsia" w:ascii="宋体" w:hAnsi="宋体" w:eastAsia="宋体" w:cs="宋体"/>
          <w:sz w:val="24"/>
          <w:szCs w:val="24"/>
          <w:highlight w:val="yellow"/>
        </w:rPr>
        <w:t>网上提交最后报价。所有投标响应人开评标阶段应时刻关注政采云平台，在平台提示进行二次报价（最终报价）时及时提交对应报价。</w:t>
      </w:r>
    </w:p>
    <w:p w14:paraId="50C4EEC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5.4.4.2 磋商文件不能详细列明采购标的的技术、服务要求，需经磋商由供应商提供最终设计方案或解决方案的，磋商结束后，磋商小组应当按照少数服从多数的原则投票推荐3家（含）以上供应商的设计方案或者解决方案，并要求其在规定时间内提交最后报价。</w:t>
      </w:r>
    </w:p>
    <w:p w14:paraId="42BFFCE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5.4.4.3 最后报价是供应商响应文件的有效组成部分。</w:t>
      </w:r>
    </w:p>
    <w:p w14:paraId="03942AC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5.4.4.4 已提交响应文件的供应商，在提交最后报价之前，可以根据磋商情况退出磋商。</w:t>
      </w:r>
    </w:p>
    <w:bookmarkEnd w:id="139"/>
    <w:bookmarkEnd w:id="140"/>
    <w:bookmarkEnd w:id="141"/>
    <w:bookmarkEnd w:id="142"/>
    <w:bookmarkEnd w:id="143"/>
    <w:p w14:paraId="7D593F7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45" w:name="_Toc403382409"/>
      <w:bookmarkStart w:id="146" w:name="_Toc144974530"/>
      <w:bookmarkStart w:id="147" w:name="_Toc179632580"/>
      <w:bookmarkStart w:id="148" w:name="_Toc152042338"/>
      <w:bookmarkStart w:id="149" w:name="_Toc152045562"/>
      <w:bookmarkStart w:id="150" w:name="_Toc2367"/>
      <w:r>
        <w:rPr>
          <w:rFonts w:hint="eastAsia" w:ascii="宋体" w:hAnsi="宋体" w:eastAsia="宋体" w:cs="宋体"/>
          <w:sz w:val="24"/>
          <w:szCs w:val="24"/>
        </w:rPr>
        <w:t>6. 评</w:t>
      </w:r>
      <w:bookmarkEnd w:id="145"/>
      <w:bookmarkEnd w:id="146"/>
      <w:bookmarkEnd w:id="147"/>
      <w:bookmarkEnd w:id="148"/>
      <w:bookmarkEnd w:id="149"/>
      <w:r>
        <w:rPr>
          <w:rFonts w:hint="eastAsia" w:ascii="宋体" w:hAnsi="宋体" w:eastAsia="宋体" w:cs="宋体"/>
          <w:sz w:val="24"/>
          <w:szCs w:val="24"/>
        </w:rPr>
        <w:t>审</w:t>
      </w:r>
      <w:bookmarkEnd w:id="150"/>
    </w:p>
    <w:p w14:paraId="2F1491B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51" w:name="_Toc152045563"/>
      <w:bookmarkStart w:id="152" w:name="_Toc144974531"/>
      <w:bookmarkStart w:id="153" w:name="_Toc179632581"/>
      <w:bookmarkStart w:id="154" w:name="_Toc152042339"/>
      <w:bookmarkStart w:id="155" w:name="_Toc403382410"/>
      <w:r>
        <w:rPr>
          <w:rFonts w:hint="eastAsia" w:ascii="宋体" w:hAnsi="宋体" w:eastAsia="宋体" w:cs="宋体"/>
          <w:sz w:val="24"/>
          <w:szCs w:val="24"/>
        </w:rPr>
        <w:t xml:space="preserve">6.1 </w:t>
      </w:r>
      <w:bookmarkEnd w:id="151"/>
      <w:bookmarkEnd w:id="152"/>
      <w:bookmarkEnd w:id="153"/>
      <w:bookmarkEnd w:id="154"/>
      <w:bookmarkEnd w:id="155"/>
      <w:r>
        <w:rPr>
          <w:rFonts w:hint="eastAsia" w:ascii="宋体" w:hAnsi="宋体" w:eastAsia="宋体" w:cs="宋体"/>
          <w:sz w:val="24"/>
          <w:szCs w:val="24"/>
        </w:rPr>
        <w:t>磋商小组</w:t>
      </w:r>
    </w:p>
    <w:p w14:paraId="52F35D1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56" w:name="_Toc152045564"/>
      <w:bookmarkStart w:id="157" w:name="_Toc403382411"/>
      <w:bookmarkStart w:id="158" w:name="_Toc179632582"/>
      <w:bookmarkStart w:id="159" w:name="_Toc152042340"/>
      <w:bookmarkStart w:id="160" w:name="_Toc144974532"/>
      <w:r>
        <w:rPr>
          <w:rFonts w:hint="eastAsia" w:ascii="宋体" w:hAnsi="宋体" w:eastAsia="宋体" w:cs="宋体"/>
          <w:sz w:val="24"/>
          <w:szCs w:val="24"/>
        </w:rPr>
        <w:t>6.1.1采购代理机构将按照《中华人民共和国政府采购法》《中华人民共和国政府采购法实施条例》和《政府采购竞争性磋商采购方式管理暂行办法》有关规定组建磋商小组。</w:t>
      </w:r>
    </w:p>
    <w:p w14:paraId="3996EEE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6.1.2 磋商小组由采购人代表和评审专家共3人以上单数组成，其中评审专家人数不得少于竞争性磋商小组成员总数的三分之二，采购人不得以评审专家身份参加本部门或本单位采购项目的评审。</w:t>
      </w:r>
    </w:p>
    <w:p w14:paraId="1C7DDF7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6.1.3 在政府采购活动中，采购人员及相关人员与供应商有下列利害关系之一的，应当回避：</w:t>
      </w:r>
    </w:p>
    <w:p w14:paraId="0DB7FDC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参加采购活动前3年内与供应商存在劳动关系；</w:t>
      </w:r>
    </w:p>
    <w:p w14:paraId="519762B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参加采购活动前3年内担任供应商的董事、监事；</w:t>
      </w:r>
    </w:p>
    <w:p w14:paraId="3221E68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参加采购活动前3年内是供应商的控股股东或者实际控制人；</w:t>
      </w:r>
    </w:p>
    <w:p w14:paraId="3D69C7A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与供应商的法定代表人或者负责人有夫妻、直系血亲、三代以内旁系血亲或者近姻亲关系；</w:t>
      </w:r>
    </w:p>
    <w:p w14:paraId="1C38F03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与供应商有其他可能影响政府采购活动公平、公正进行的关系。</w:t>
      </w:r>
    </w:p>
    <w:p w14:paraId="1785C23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6.2 评审原则</w:t>
      </w:r>
      <w:bookmarkEnd w:id="156"/>
      <w:bookmarkEnd w:id="157"/>
      <w:bookmarkEnd w:id="158"/>
      <w:bookmarkEnd w:id="159"/>
      <w:bookmarkEnd w:id="160"/>
      <w:r>
        <w:rPr>
          <w:rFonts w:hint="eastAsia" w:ascii="宋体" w:hAnsi="宋体" w:eastAsia="宋体" w:cs="宋体"/>
          <w:sz w:val="24"/>
          <w:szCs w:val="24"/>
        </w:rPr>
        <w:tab/>
      </w:r>
    </w:p>
    <w:p w14:paraId="374D4412">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bookmarkStart w:id="161" w:name="_Toc152045565"/>
      <w:bookmarkStart w:id="162" w:name="_Toc403382412"/>
      <w:bookmarkStart w:id="163" w:name="_Toc179632583"/>
      <w:bookmarkStart w:id="164" w:name="_Toc144974533"/>
      <w:bookmarkStart w:id="165" w:name="_Toc152042341"/>
      <w:r>
        <w:rPr>
          <w:rFonts w:hint="eastAsia" w:ascii="宋体" w:hAnsi="宋体" w:eastAsia="宋体" w:cs="宋体"/>
          <w:sz w:val="24"/>
          <w:szCs w:val="24"/>
        </w:rPr>
        <w:t xml:space="preserve">    竞争性磋商小组成员按照客观、公正、审慎的原则，根据磋商文件规定的评审程序、评审方法和评审标准进行独立评审。</w:t>
      </w:r>
    </w:p>
    <w:p w14:paraId="6950202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6.3 评</w:t>
      </w:r>
      <w:bookmarkEnd w:id="161"/>
      <w:bookmarkEnd w:id="162"/>
      <w:bookmarkEnd w:id="163"/>
      <w:bookmarkEnd w:id="164"/>
      <w:bookmarkEnd w:id="165"/>
      <w:r>
        <w:rPr>
          <w:rFonts w:hint="eastAsia" w:ascii="宋体" w:hAnsi="宋体" w:eastAsia="宋体" w:cs="宋体"/>
          <w:sz w:val="24"/>
          <w:szCs w:val="24"/>
        </w:rPr>
        <w:t>审</w:t>
      </w:r>
    </w:p>
    <w:p w14:paraId="25CD80A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6.3.1磋商小组按照第三章“评审办法”规定的方法、评审因素、标准和程序对响应文件进行评审。第三章“评审办法”没有规定的方法、评审因素和标准，不作为评审依据。</w:t>
      </w:r>
    </w:p>
    <w:p w14:paraId="2A46582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6.4磋商及评审过程保密</w:t>
      </w:r>
    </w:p>
    <w:p w14:paraId="2CF0752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6.4.1凡是属于审查、澄清、评价和比较各供应商的有关资料以及推荐意向等，磋商小组及有关工作人员自始至终均不得向供应商或其它无关的人员透露。</w:t>
      </w:r>
    </w:p>
    <w:p w14:paraId="44AA232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6.4.2在磋商评审期间，供应商企图影响采购人、采购代理机构和磋商小组而获得评审信息的任何活动，都将导致其响应文件被拒绝，并承担相应的法律责任。</w:t>
      </w:r>
    </w:p>
    <w:p w14:paraId="729EF9A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6.4.3采购人、采购代理机构应当按照政府采购法和本办法的规定组织开展非招标采购活动，并采取必要措施，保证评审在严格保密的情况下进行。 </w:t>
      </w:r>
    </w:p>
    <w:p w14:paraId="68E0BED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6.4.4 磋商小组成员以及与评审工作有关的人员不得泄露评审情况以及评审过程中获悉的国家秘密、商业秘密。</w:t>
      </w:r>
    </w:p>
    <w:p w14:paraId="2B30C85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66" w:name="_Toc144974534"/>
      <w:bookmarkStart w:id="167" w:name="_Toc31393"/>
      <w:bookmarkStart w:id="168" w:name="_Toc403382413"/>
      <w:bookmarkStart w:id="169" w:name="_Toc152042342"/>
      <w:bookmarkStart w:id="170" w:name="_Toc179632584"/>
      <w:bookmarkStart w:id="171" w:name="_Toc152045566"/>
      <w:r>
        <w:rPr>
          <w:rFonts w:hint="eastAsia" w:ascii="宋体" w:hAnsi="宋体" w:eastAsia="宋体" w:cs="宋体"/>
          <w:sz w:val="24"/>
          <w:szCs w:val="24"/>
        </w:rPr>
        <w:t>7. 合同授予</w:t>
      </w:r>
      <w:bookmarkEnd w:id="166"/>
      <w:bookmarkEnd w:id="167"/>
      <w:bookmarkEnd w:id="168"/>
      <w:bookmarkEnd w:id="169"/>
      <w:bookmarkEnd w:id="170"/>
      <w:bookmarkEnd w:id="171"/>
    </w:p>
    <w:p w14:paraId="2CC94D9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72" w:name="_Toc152042343"/>
      <w:bookmarkStart w:id="173" w:name="_Toc403382414"/>
      <w:bookmarkStart w:id="174" w:name="_Toc152045567"/>
      <w:bookmarkStart w:id="175" w:name="_Toc179632585"/>
      <w:bookmarkStart w:id="176" w:name="_Toc144974535"/>
      <w:r>
        <w:rPr>
          <w:rFonts w:hint="eastAsia" w:ascii="宋体" w:hAnsi="宋体" w:eastAsia="宋体" w:cs="宋体"/>
          <w:sz w:val="24"/>
          <w:szCs w:val="24"/>
        </w:rPr>
        <w:t>7.</w:t>
      </w:r>
      <w:bookmarkEnd w:id="172"/>
      <w:bookmarkEnd w:id="173"/>
      <w:bookmarkEnd w:id="174"/>
      <w:bookmarkEnd w:id="175"/>
      <w:bookmarkEnd w:id="176"/>
      <w:r>
        <w:rPr>
          <w:rFonts w:hint="eastAsia" w:ascii="宋体" w:hAnsi="宋体" w:eastAsia="宋体" w:cs="宋体"/>
          <w:sz w:val="24"/>
          <w:szCs w:val="24"/>
        </w:rPr>
        <w:t>1确定成交供应商</w:t>
      </w:r>
    </w:p>
    <w:p w14:paraId="063CE31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采购代理机构应当在评审结束后2个工作日内将评审报告送采购人确认。采购人应当在收到评审报告后5个工作日内，从评审报告提出的成交候选供应商中，按照排序由高到低的原则确定成交供应商。</w:t>
      </w:r>
    </w:p>
    <w:p w14:paraId="23D943D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77" w:name="_Toc403382415"/>
      <w:r>
        <w:rPr>
          <w:rFonts w:hint="eastAsia" w:ascii="宋体" w:hAnsi="宋体" w:eastAsia="宋体" w:cs="宋体"/>
          <w:sz w:val="24"/>
          <w:szCs w:val="24"/>
        </w:rPr>
        <w:t>7.2 评审结果公</w:t>
      </w:r>
      <w:bookmarkEnd w:id="177"/>
      <w:r>
        <w:rPr>
          <w:rFonts w:hint="eastAsia" w:ascii="宋体" w:hAnsi="宋体" w:eastAsia="宋体" w:cs="宋体"/>
          <w:sz w:val="24"/>
          <w:szCs w:val="24"/>
        </w:rPr>
        <w:t>告</w:t>
      </w:r>
    </w:p>
    <w:p w14:paraId="0E48C2D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7.2.1采购人应当在收到评审报告后5个工作日内确定成交供应商，并在供应商须知前附表规定的媒介公告成交结果。</w:t>
      </w:r>
    </w:p>
    <w:p w14:paraId="7827D7F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7.2.2采购人或者采购代理机构应当自成交供应商确定之日起2个工作日内，发出成交通知书，并在省级以上人民政府财政部门指定的媒体上公告成交结果，同时公告竞争性磋商文件。</w:t>
      </w:r>
    </w:p>
    <w:p w14:paraId="01D3B77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7.2.3供应商对成交结果提出质疑的，应在成交结果公告期限届满之日前按规定提出。采购人自收到异议之日后将在规定内作出答复；作出答复前，暂停政府采购活动。</w:t>
      </w:r>
    </w:p>
    <w:p w14:paraId="55A1CE5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78" w:name="_Toc179632586"/>
      <w:bookmarkStart w:id="179" w:name="_Toc152042344"/>
      <w:bookmarkStart w:id="180" w:name="_Toc403382417"/>
      <w:bookmarkStart w:id="181" w:name="_Toc152045568"/>
      <w:bookmarkStart w:id="182" w:name="_Toc144974536"/>
      <w:r>
        <w:rPr>
          <w:rFonts w:hint="eastAsia" w:ascii="宋体" w:hAnsi="宋体" w:eastAsia="宋体" w:cs="宋体"/>
          <w:sz w:val="24"/>
          <w:szCs w:val="24"/>
        </w:rPr>
        <w:t xml:space="preserve">7.3 </w:t>
      </w:r>
      <w:bookmarkEnd w:id="178"/>
      <w:bookmarkEnd w:id="179"/>
      <w:bookmarkEnd w:id="180"/>
      <w:bookmarkEnd w:id="181"/>
      <w:bookmarkEnd w:id="182"/>
      <w:r>
        <w:rPr>
          <w:rFonts w:hint="eastAsia" w:ascii="宋体" w:hAnsi="宋体" w:eastAsia="宋体" w:cs="宋体"/>
          <w:sz w:val="24"/>
          <w:szCs w:val="24"/>
        </w:rPr>
        <w:t>成交通知</w:t>
      </w:r>
    </w:p>
    <w:p w14:paraId="1B933B2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采购人或者采购代理机构将自成交结果公告发布同时，以书面形式向成交供应商发出成交通知书。</w:t>
      </w:r>
    </w:p>
    <w:p w14:paraId="40C1892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83" w:name="_Toc152042345"/>
      <w:bookmarkStart w:id="184" w:name="_Toc152045569"/>
      <w:bookmarkStart w:id="185" w:name="_Toc144974537"/>
      <w:bookmarkStart w:id="186" w:name="_Toc179632587"/>
      <w:bookmarkStart w:id="187" w:name="_Toc403382418"/>
      <w:r>
        <w:rPr>
          <w:rFonts w:hint="eastAsia" w:ascii="宋体" w:hAnsi="宋体" w:eastAsia="宋体" w:cs="宋体"/>
          <w:sz w:val="24"/>
          <w:szCs w:val="24"/>
        </w:rPr>
        <w:t>7.4 履约</w:t>
      </w:r>
      <w:bookmarkEnd w:id="183"/>
      <w:bookmarkEnd w:id="184"/>
      <w:bookmarkEnd w:id="185"/>
      <w:bookmarkEnd w:id="186"/>
      <w:r>
        <w:rPr>
          <w:rFonts w:hint="eastAsia" w:ascii="宋体" w:hAnsi="宋体" w:eastAsia="宋体" w:cs="宋体"/>
          <w:sz w:val="24"/>
          <w:szCs w:val="24"/>
        </w:rPr>
        <w:t>保证金</w:t>
      </w:r>
      <w:bookmarkEnd w:id="187"/>
    </w:p>
    <w:p w14:paraId="1E71DE0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7.4.1在签订合同前，成交供应商应按供应商须知前附表规定的金额、担保形式和竞争性磋商文件第四章“合同条款及格式”规定的履约保证金格式或者事先经过采购人书面认可的履约保证金格式向采购人提交履约担保。联合体成交的，其履约保证金由牵头人递交，并应符合供应商须知前附表的规定。</w:t>
      </w:r>
    </w:p>
    <w:p w14:paraId="05EA15C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7.4.2 成交供应商不能按要求提交履约保证金的，视为放弃成交，其磋商保证金不予退还，给采购人造成的损失超过磋商保证金数额的，成交供应商还应当对超过部分予以赔偿。</w:t>
      </w:r>
    </w:p>
    <w:p w14:paraId="2FF0D00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88" w:name="_Toc144974538"/>
      <w:bookmarkStart w:id="189" w:name="_Toc152042346"/>
      <w:bookmarkStart w:id="190" w:name="_Toc179632588"/>
      <w:bookmarkStart w:id="191" w:name="_Toc403382419"/>
      <w:bookmarkStart w:id="192" w:name="_Toc152045570"/>
      <w:r>
        <w:rPr>
          <w:rFonts w:hint="eastAsia" w:ascii="宋体" w:hAnsi="宋体" w:eastAsia="宋体" w:cs="宋体"/>
          <w:sz w:val="24"/>
          <w:szCs w:val="24"/>
        </w:rPr>
        <w:t>7.5 签订合同</w:t>
      </w:r>
      <w:bookmarkEnd w:id="188"/>
      <w:bookmarkEnd w:id="189"/>
      <w:bookmarkEnd w:id="190"/>
      <w:bookmarkEnd w:id="191"/>
      <w:bookmarkEnd w:id="192"/>
    </w:p>
    <w:p w14:paraId="5A08239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7.5.1采购人和成交供应商应当在响应文件有效期内并自成交通知书发出之日起7日内，根据竞争性磋商文件和成交供应商的响应文件订立书面合同。成交供应商无正当理由拒签合同或在签订合同时向采购人提出附加条件的，采购人取消其成交资格，其磋商保证金不予退还；给采购人造成的损失超过磋商保证金数额的，成交供应商还应当对超过部分予以赔偿。成交供应商拒绝与采购人签订合同的，采购人可以按照评审报告推荐的成交候选人名单排序，确定下一候选人为成交供应商，也可以重新开展政府采购活动。</w:t>
      </w:r>
    </w:p>
    <w:p w14:paraId="5883EEEF">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7.5.2  签约合同价的确定原则如下：</w:t>
      </w:r>
    </w:p>
    <w:p w14:paraId="0C314A5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磋商时响应函中大写总价应为签约合同价。按照第三章“评审办法”的规定，如报价有算术错误的，修正的价格经供应商书面确认后，以修正后的总价为签约合同价。</w:t>
      </w:r>
    </w:p>
    <w:p w14:paraId="2FC1BA9E">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93" w:name="_Toc14138"/>
      <w:r>
        <w:rPr>
          <w:rFonts w:hint="eastAsia" w:ascii="宋体" w:hAnsi="宋体" w:eastAsia="宋体" w:cs="宋体"/>
          <w:sz w:val="24"/>
          <w:szCs w:val="24"/>
        </w:rPr>
        <w:t>8.重新评审、重新组织采购活动和终止采购</w:t>
      </w:r>
      <w:bookmarkEnd w:id="193"/>
    </w:p>
    <w:p w14:paraId="68E6CC70">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8.1 重新评审</w:t>
      </w:r>
    </w:p>
    <w:p w14:paraId="7ACD26F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549BE34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8.2 重新开展采购活动</w:t>
      </w:r>
    </w:p>
    <w:p w14:paraId="6477D1C5">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相关政府采购当事人有政府采购法第七十一条、第七十二条规定的违法行为之一，影响或者可能影响成交、成交结果的，依照下列规定处理：</w:t>
      </w:r>
    </w:p>
    <w:p w14:paraId="318BEF66">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⑴ 未确定成交供应商的，终止本次政府采购活动，重新开展政府采购活动。</w:t>
      </w:r>
    </w:p>
    <w:p w14:paraId="2C05E314">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4"/>
          <w:szCs w:val="24"/>
        </w:rPr>
      </w:pPr>
      <w:r>
        <w:rPr>
          <w:rFonts w:hint="eastAsia" w:ascii="宋体" w:hAnsi="宋体" w:eastAsia="宋体" w:cs="宋体"/>
          <w:sz w:val="24"/>
          <w:szCs w:val="24"/>
        </w:rPr>
        <w:t>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⑵ 已确定成交供应商但尚未签订政府采购合同的，成交结果无效，从合格的成交候选人中另行确定成交供应商；没有合格的成交候选人的，重新开展政府采购活动。</w:t>
      </w:r>
    </w:p>
    <w:p w14:paraId="2DE25F2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⑶ 政府采购合同已签订但尚未履行的，撤销合同，从合格的成交候选人中另行确定成交供应商；没有合格的成交候选人的，重新开展政府采购活动。</w:t>
      </w:r>
    </w:p>
    <w:p w14:paraId="09B79D26">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⑷ 政府采购合同已经履行，给采购人、供应商造成损失的，由责任人承担赔偿责任。</w:t>
      </w:r>
    </w:p>
    <w:p w14:paraId="20C1ACD3">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8.3 终止采购</w:t>
      </w:r>
    </w:p>
    <w:p w14:paraId="4F3410E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出现下列情形之一的，采购人或者采购代理机构应当终止竞争性磋商采购活动，发布项目终止公告并说明原因，重新开展采购活动：</w:t>
      </w:r>
    </w:p>
    <w:p w14:paraId="3F4C548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⑴ 因情况变化，不再符合规定的竞争性磋商采购方式适用情形的；</w:t>
      </w:r>
    </w:p>
    <w:p w14:paraId="6B651FF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⑵ 出现影响采购公正的违法、违规行为的；</w:t>
      </w:r>
    </w:p>
    <w:p w14:paraId="6D72927A">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⑶ 在采购过程中符合要求的供应商或者报价未超过采购预算的供应商不足3家的，但《政府采购竞争性磋商采购方式管理暂行办法》第二十一条第三款规定的情形除外</w:t>
      </w:r>
      <w:r>
        <w:rPr>
          <w:rFonts w:hint="eastAsia" w:ascii="宋体" w:hAnsi="宋体" w:eastAsia="宋体" w:cs="宋体"/>
          <w:sz w:val="24"/>
          <w:szCs w:val="24"/>
          <w:lang w:eastAsia="zh-CN"/>
        </w:rPr>
        <w:t>。</w:t>
      </w:r>
    </w:p>
    <w:p w14:paraId="7D0FA39B">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194" w:name="_Toc179632592"/>
      <w:bookmarkStart w:id="195" w:name="_Toc152042350"/>
      <w:bookmarkStart w:id="196" w:name="_Toc152045574"/>
      <w:bookmarkStart w:id="197" w:name="_Toc403382424"/>
      <w:bookmarkStart w:id="198" w:name="_Toc19614"/>
      <w:bookmarkStart w:id="199" w:name="_Toc144974542"/>
      <w:r>
        <w:rPr>
          <w:rFonts w:hint="eastAsia" w:ascii="宋体" w:hAnsi="宋体" w:eastAsia="宋体" w:cs="宋体"/>
          <w:sz w:val="24"/>
          <w:szCs w:val="24"/>
        </w:rPr>
        <w:t>9. 纪律和监督</w:t>
      </w:r>
      <w:bookmarkEnd w:id="194"/>
      <w:bookmarkEnd w:id="195"/>
      <w:bookmarkEnd w:id="196"/>
      <w:bookmarkEnd w:id="197"/>
      <w:bookmarkEnd w:id="198"/>
      <w:bookmarkEnd w:id="199"/>
    </w:p>
    <w:p w14:paraId="0117F4B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00" w:name="_Toc144974543"/>
      <w:bookmarkStart w:id="201" w:name="_Toc179632593"/>
      <w:bookmarkStart w:id="202" w:name="_Toc403382425"/>
      <w:bookmarkStart w:id="203" w:name="_Toc152045575"/>
      <w:bookmarkStart w:id="204" w:name="_Toc152042351"/>
      <w:r>
        <w:rPr>
          <w:rFonts w:hint="eastAsia" w:ascii="宋体" w:hAnsi="宋体" w:eastAsia="宋体" w:cs="宋体"/>
          <w:sz w:val="24"/>
          <w:szCs w:val="24"/>
        </w:rPr>
        <w:t>9.1 对采购人的纪律要求</w:t>
      </w:r>
      <w:bookmarkEnd w:id="200"/>
      <w:bookmarkEnd w:id="201"/>
      <w:bookmarkEnd w:id="202"/>
      <w:bookmarkEnd w:id="203"/>
      <w:bookmarkEnd w:id="204"/>
    </w:p>
    <w:p w14:paraId="12C43EE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采购人不得泄漏政府采购活动中应当保密的情况和资料，不得与供应商串通损害国家利益、社会公共利益或者他人合法权益。</w:t>
      </w:r>
    </w:p>
    <w:p w14:paraId="10328AB9">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05" w:name="_Toc403382426"/>
      <w:bookmarkStart w:id="206" w:name="_Toc152045576"/>
      <w:bookmarkStart w:id="207" w:name="_Toc179632594"/>
      <w:bookmarkStart w:id="208" w:name="_Toc144974544"/>
      <w:bookmarkStart w:id="209" w:name="_Toc152042352"/>
      <w:r>
        <w:rPr>
          <w:rFonts w:hint="eastAsia" w:ascii="宋体" w:hAnsi="宋体" w:eastAsia="宋体" w:cs="宋体"/>
          <w:sz w:val="24"/>
          <w:szCs w:val="24"/>
        </w:rPr>
        <w:t>9.2 对供应商的纪律要求</w:t>
      </w:r>
      <w:bookmarkEnd w:id="205"/>
      <w:bookmarkEnd w:id="206"/>
      <w:bookmarkEnd w:id="207"/>
      <w:bookmarkEnd w:id="208"/>
      <w:bookmarkEnd w:id="209"/>
    </w:p>
    <w:p w14:paraId="65DFFEC8">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供应商不得相互串通或者与采购人串通，不得向采购人或者磋商小组成员行贿谋取成交，不得以他人名义参与磋商或者以其他方式弄虚作假骗取成交；供应商不得以任何方式干扰、影响评审工作。</w:t>
      </w:r>
    </w:p>
    <w:p w14:paraId="4D5FF16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10" w:name="_Toc403382427"/>
      <w:bookmarkStart w:id="211" w:name="_Toc144974545"/>
      <w:bookmarkStart w:id="212" w:name="_Toc152042353"/>
      <w:bookmarkStart w:id="213" w:name="_Toc152045577"/>
      <w:bookmarkStart w:id="214" w:name="_Toc179632595"/>
      <w:r>
        <w:rPr>
          <w:rFonts w:hint="eastAsia" w:ascii="宋体" w:hAnsi="宋体" w:eastAsia="宋体" w:cs="宋体"/>
          <w:sz w:val="24"/>
          <w:szCs w:val="24"/>
        </w:rPr>
        <w:t>9.3 对磋商小组成员的纪律要求</w:t>
      </w:r>
      <w:bookmarkEnd w:id="210"/>
      <w:bookmarkEnd w:id="211"/>
      <w:bookmarkEnd w:id="212"/>
      <w:bookmarkEnd w:id="213"/>
      <w:bookmarkEnd w:id="214"/>
    </w:p>
    <w:p w14:paraId="5E6AF241">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成员不得与任何供应商或者与评审结果有利害关系的人进行私下接触，不得收受供应商、中介人、其他利害关系人的财物或者其他好处，不得向他人透漏对响应文件的评审和比较、成交候选人的推荐情况以及评审有关的其他情况。在评审活动中，磋商小组成员不得应当回避而不回避，不得擅离职守，影响评审程序正常进行，不得向采购人征询其确定成交供应商的意向，不得接受任何单位或者个人明示或者暗示提出的倾向或者排斥特定供应商的要求，不得暗示或者诱导供应商作出澄清、说明或者接受供应商主动提出的澄清、说明；不得使用第三章“评审办法”没有规定的评审因素和标准进行评审。</w:t>
      </w:r>
    </w:p>
    <w:p w14:paraId="170E3A87">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15" w:name="_Toc403382428"/>
      <w:bookmarkStart w:id="216" w:name="_Toc179632596"/>
      <w:bookmarkStart w:id="217" w:name="_Toc152045578"/>
      <w:bookmarkStart w:id="218" w:name="_Toc152042354"/>
      <w:bookmarkStart w:id="219" w:name="_Toc144974546"/>
      <w:r>
        <w:rPr>
          <w:rFonts w:hint="eastAsia" w:ascii="宋体" w:hAnsi="宋体" w:eastAsia="宋体" w:cs="宋体"/>
          <w:sz w:val="24"/>
          <w:szCs w:val="24"/>
        </w:rPr>
        <w:t>9.4 对与评审活动有关的工作人员的纪律要求</w:t>
      </w:r>
      <w:bookmarkEnd w:id="215"/>
      <w:bookmarkEnd w:id="216"/>
      <w:bookmarkEnd w:id="217"/>
      <w:bookmarkEnd w:id="218"/>
    </w:p>
    <w:p w14:paraId="2F3E6A34">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20" w:name="_Toc152042355"/>
      <w:r>
        <w:rPr>
          <w:rFonts w:hint="eastAsia" w:ascii="宋体" w:hAnsi="宋体" w:eastAsia="宋体" w:cs="宋体"/>
          <w:sz w:val="24"/>
          <w:szCs w:val="24"/>
        </w:rPr>
        <w:t>与评审活动有关的工作人员不得收受他人的财物或者其他好处，不得向他人透漏对响应文件的评审和比较、成交候选人的推荐情况以及评审有关的其他情况。</w:t>
      </w:r>
      <w:bookmarkEnd w:id="220"/>
    </w:p>
    <w:p w14:paraId="5EFD3D9C">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21" w:name="_Toc152042356"/>
      <w:bookmarkStart w:id="222" w:name="_Toc152045579"/>
      <w:bookmarkStart w:id="223" w:name="_Toc403382429"/>
      <w:bookmarkStart w:id="224" w:name="_Toc179632597"/>
      <w:r>
        <w:rPr>
          <w:rFonts w:hint="eastAsia" w:ascii="宋体" w:hAnsi="宋体" w:eastAsia="宋体" w:cs="宋体"/>
          <w:sz w:val="24"/>
          <w:szCs w:val="24"/>
        </w:rPr>
        <w:t>9.5 投诉</w:t>
      </w:r>
      <w:bookmarkEnd w:id="219"/>
      <w:bookmarkEnd w:id="221"/>
      <w:bookmarkEnd w:id="222"/>
      <w:bookmarkEnd w:id="223"/>
      <w:bookmarkEnd w:id="224"/>
    </w:p>
    <w:p w14:paraId="3209007D">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本次政府采购活动及其相关当事人应当接受有关行政监督部门依法实施的监督。</w:t>
      </w:r>
    </w:p>
    <w:p w14:paraId="7BA91F15">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质疑供应商对采购人、采购代理机构的答复不满意或者采购人、采购代理机构未在规定的时间内作出答复的，可以在答复期满后十五个工作日内向同级政府采购监督管理部门投诉。其中对竞争性磋商文件的内容、磋商程序、评审结果进行投诉的，应当按本章第2.4款、第7.2款的规定先向采购人或采购代理机构提出书面质疑后，方可向有关行政监督部门投诉。</w:t>
      </w:r>
    </w:p>
    <w:p w14:paraId="1E036172">
      <w:pPr>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供应商的投诉应按照《政府采购供应商投诉处理办法》的规定进行。</w:t>
      </w:r>
    </w:p>
    <w:p w14:paraId="07876A6C">
      <w:pPr>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sz w:val="24"/>
          <w:szCs w:val="24"/>
        </w:rPr>
      </w:pPr>
      <w:bookmarkStart w:id="225" w:name="_Toc29336"/>
      <w:bookmarkStart w:id="226" w:name="_Toc403382430"/>
      <w:bookmarkStart w:id="227" w:name="_Toc144974547"/>
      <w:bookmarkStart w:id="228" w:name="_Toc179632598"/>
      <w:bookmarkStart w:id="229" w:name="_Toc152042357"/>
      <w:bookmarkStart w:id="230" w:name="_Toc152045580"/>
      <w:r>
        <w:rPr>
          <w:rFonts w:hint="eastAsia" w:ascii="宋体" w:hAnsi="宋体" w:eastAsia="宋体" w:cs="宋体"/>
          <w:sz w:val="24"/>
          <w:szCs w:val="24"/>
          <w:lang w:val="en-US" w:eastAsia="zh-CN"/>
        </w:rPr>
        <w:t>10.</w:t>
      </w:r>
      <w:r>
        <w:rPr>
          <w:rFonts w:hint="eastAsia" w:ascii="宋体" w:hAnsi="宋体" w:eastAsia="宋体" w:cs="宋体"/>
          <w:sz w:val="24"/>
          <w:szCs w:val="24"/>
        </w:rPr>
        <w:t>需要补充的其他内容</w:t>
      </w:r>
      <w:bookmarkEnd w:id="225"/>
      <w:bookmarkEnd w:id="226"/>
      <w:bookmarkEnd w:id="227"/>
      <w:bookmarkEnd w:id="228"/>
      <w:bookmarkEnd w:id="229"/>
      <w:bookmarkEnd w:id="230"/>
    </w:p>
    <w:p w14:paraId="5D45469D">
      <w:pPr>
        <w:widowControl w:val="0"/>
        <w:numPr>
          <w:ilvl w:val="0"/>
          <w:numId w:val="0"/>
        </w:numPr>
        <w:spacing w:line="360" w:lineRule="auto"/>
        <w:jc w:val="both"/>
        <w:rPr>
          <w:rFonts w:hint="eastAsia" w:ascii="宋体" w:hAnsi="宋体" w:eastAsia="宋体" w:cs="宋体"/>
          <w:sz w:val="28"/>
          <w:szCs w:val="28"/>
        </w:rPr>
      </w:pPr>
    </w:p>
    <w:p w14:paraId="0DE43E81">
      <w:pPr>
        <w:widowControl w:val="0"/>
        <w:numPr>
          <w:ilvl w:val="0"/>
          <w:numId w:val="0"/>
        </w:numPr>
        <w:spacing w:line="360" w:lineRule="auto"/>
        <w:jc w:val="both"/>
        <w:rPr>
          <w:rFonts w:hint="eastAsia" w:ascii="宋体" w:hAnsi="宋体" w:eastAsia="宋体" w:cs="宋体"/>
          <w:sz w:val="28"/>
          <w:szCs w:val="28"/>
        </w:rPr>
      </w:pPr>
    </w:p>
    <w:p w14:paraId="4FCE44CA">
      <w:pPr>
        <w:widowControl w:val="0"/>
        <w:numPr>
          <w:ilvl w:val="0"/>
          <w:numId w:val="0"/>
        </w:numPr>
        <w:spacing w:line="360" w:lineRule="auto"/>
        <w:jc w:val="both"/>
        <w:rPr>
          <w:rFonts w:hint="eastAsia" w:ascii="宋体" w:hAnsi="宋体" w:eastAsia="宋体" w:cs="宋体"/>
          <w:sz w:val="28"/>
          <w:szCs w:val="28"/>
        </w:rPr>
      </w:pPr>
    </w:p>
    <w:p w14:paraId="5BF027EA">
      <w:pPr>
        <w:widowControl w:val="0"/>
        <w:numPr>
          <w:ilvl w:val="0"/>
          <w:numId w:val="0"/>
        </w:numPr>
        <w:spacing w:line="360" w:lineRule="auto"/>
        <w:jc w:val="both"/>
        <w:rPr>
          <w:rFonts w:hint="eastAsia" w:ascii="宋体" w:hAnsi="宋体" w:eastAsia="宋体" w:cs="宋体"/>
          <w:sz w:val="28"/>
          <w:szCs w:val="28"/>
        </w:rPr>
      </w:pPr>
    </w:p>
    <w:p w14:paraId="5F2E6799">
      <w:pPr>
        <w:pStyle w:val="4"/>
        <w:jc w:val="center"/>
        <w:rPr>
          <w:rFonts w:hint="eastAsia" w:ascii="宋体" w:hAnsi="宋体" w:eastAsia="宋体" w:cs="宋体"/>
        </w:rPr>
      </w:pPr>
      <w:bookmarkStart w:id="231" w:name="_Toc505691142"/>
      <w:bookmarkStart w:id="232" w:name="_Toc20916"/>
      <w:r>
        <w:rPr>
          <w:rFonts w:hint="eastAsia" w:ascii="宋体" w:hAnsi="宋体" w:eastAsia="宋体" w:cs="宋体"/>
        </w:rPr>
        <w:t>第三章评审办法</w:t>
      </w:r>
      <w:bookmarkEnd w:id="231"/>
      <w:bookmarkEnd w:id="232"/>
    </w:p>
    <w:p w14:paraId="6FDCB03E">
      <w:pPr>
        <w:spacing w:line="360" w:lineRule="auto"/>
        <w:jc w:val="center"/>
        <w:rPr>
          <w:rFonts w:hint="eastAsia" w:ascii="宋体" w:hAnsi="宋体" w:eastAsia="宋体" w:cs="宋体"/>
          <w:b/>
          <w:bCs/>
          <w:sz w:val="28"/>
          <w:szCs w:val="28"/>
        </w:rPr>
      </w:pPr>
      <w:bookmarkStart w:id="233" w:name="_Toc403382450"/>
      <w:bookmarkStart w:id="234" w:name="_Toc19236"/>
      <w:r>
        <w:rPr>
          <w:rFonts w:hint="eastAsia" w:ascii="宋体" w:hAnsi="宋体" w:eastAsia="宋体" w:cs="宋体"/>
          <w:b/>
          <w:bCs/>
          <w:sz w:val="28"/>
          <w:szCs w:val="28"/>
        </w:rPr>
        <w:t>评审办法前附表</w:t>
      </w:r>
      <w:bookmarkEnd w:id="233"/>
      <w:bookmarkEnd w:id="234"/>
      <w:r>
        <w:rPr>
          <w:rFonts w:hint="eastAsia" w:ascii="宋体" w:hAnsi="宋体" w:eastAsia="宋体" w:cs="宋体"/>
          <w:b/>
          <w:bCs/>
          <w:sz w:val="28"/>
          <w:szCs w:val="28"/>
        </w:rPr>
        <w:t>（一）</w:t>
      </w:r>
    </w:p>
    <w:tbl>
      <w:tblPr>
        <w:tblStyle w:val="22"/>
        <w:tblW w:w="84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780"/>
        <w:gridCol w:w="1440"/>
        <w:gridCol w:w="1624"/>
        <w:gridCol w:w="3764"/>
      </w:tblGrid>
      <w:tr w14:paraId="3F7A8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blHeader/>
          <w:jc w:val="center"/>
        </w:trPr>
        <w:tc>
          <w:tcPr>
            <w:tcW w:w="1620" w:type="dxa"/>
            <w:gridSpan w:val="2"/>
            <w:vAlign w:val="center"/>
          </w:tcPr>
          <w:p w14:paraId="6A47EBEA">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条款号</w:t>
            </w:r>
          </w:p>
        </w:tc>
        <w:tc>
          <w:tcPr>
            <w:tcW w:w="1440" w:type="dxa"/>
            <w:vAlign w:val="center"/>
          </w:tcPr>
          <w:p w14:paraId="43E8FD8C">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评审因素</w:t>
            </w:r>
          </w:p>
        </w:tc>
        <w:tc>
          <w:tcPr>
            <w:tcW w:w="1624" w:type="dxa"/>
            <w:vAlign w:val="center"/>
          </w:tcPr>
          <w:p w14:paraId="10D5A59D">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依据</w:t>
            </w:r>
          </w:p>
        </w:tc>
        <w:tc>
          <w:tcPr>
            <w:tcW w:w="3764" w:type="dxa"/>
            <w:vAlign w:val="center"/>
          </w:tcPr>
          <w:p w14:paraId="12480716">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评审标准</w:t>
            </w:r>
          </w:p>
        </w:tc>
      </w:tr>
      <w:tr w14:paraId="62F8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restart"/>
            <w:vAlign w:val="center"/>
          </w:tcPr>
          <w:p w14:paraId="4B4A14E7">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2.1.1</w:t>
            </w:r>
          </w:p>
        </w:tc>
        <w:tc>
          <w:tcPr>
            <w:tcW w:w="780" w:type="dxa"/>
            <w:vMerge w:val="restart"/>
            <w:vAlign w:val="center"/>
          </w:tcPr>
          <w:p w14:paraId="2D96C592">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形</w:t>
            </w:r>
          </w:p>
          <w:p w14:paraId="4C2A3FC3">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式</w:t>
            </w:r>
          </w:p>
          <w:p w14:paraId="1B48E3B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评</w:t>
            </w:r>
          </w:p>
          <w:p w14:paraId="38C4F0F6">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审</w:t>
            </w:r>
          </w:p>
          <w:p w14:paraId="1F905C8D">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标</w:t>
            </w:r>
          </w:p>
          <w:p w14:paraId="7C582E6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准</w:t>
            </w:r>
          </w:p>
        </w:tc>
        <w:tc>
          <w:tcPr>
            <w:tcW w:w="1440" w:type="dxa"/>
            <w:vAlign w:val="center"/>
          </w:tcPr>
          <w:p w14:paraId="6772EB60">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供应商名称</w:t>
            </w:r>
          </w:p>
        </w:tc>
        <w:tc>
          <w:tcPr>
            <w:tcW w:w="1624" w:type="dxa"/>
            <w:vAlign w:val="center"/>
          </w:tcPr>
          <w:p w14:paraId="0EC1C63F">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第二章“评标办法前附表”</w:t>
            </w:r>
          </w:p>
        </w:tc>
        <w:tc>
          <w:tcPr>
            <w:tcW w:w="3764" w:type="dxa"/>
            <w:vAlign w:val="center"/>
          </w:tcPr>
          <w:p w14:paraId="3188F654">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与营业执照一致</w:t>
            </w:r>
          </w:p>
        </w:tc>
      </w:tr>
      <w:tr w14:paraId="6B8CB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vAlign w:val="center"/>
          </w:tcPr>
          <w:p w14:paraId="32531582">
            <w:pPr>
              <w:autoSpaceDE w:val="0"/>
              <w:autoSpaceDN w:val="0"/>
              <w:adjustRightInd w:val="0"/>
              <w:spacing w:line="0" w:lineRule="atLeast"/>
              <w:jc w:val="center"/>
              <w:rPr>
                <w:rFonts w:hint="eastAsia" w:ascii="宋体" w:hAnsi="宋体" w:eastAsia="宋体" w:cs="宋体"/>
                <w:bCs/>
                <w:szCs w:val="21"/>
                <w:lang w:val="zh-CN"/>
              </w:rPr>
            </w:pPr>
          </w:p>
        </w:tc>
        <w:tc>
          <w:tcPr>
            <w:tcW w:w="780" w:type="dxa"/>
            <w:vMerge w:val="continue"/>
            <w:vAlign w:val="center"/>
          </w:tcPr>
          <w:p w14:paraId="6B5E04F3">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6BC9BDC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投标函签字盖章</w:t>
            </w:r>
          </w:p>
        </w:tc>
        <w:tc>
          <w:tcPr>
            <w:tcW w:w="1624" w:type="dxa"/>
            <w:vAlign w:val="center"/>
          </w:tcPr>
          <w:p w14:paraId="7E6A31ED">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w:t>
            </w:r>
          </w:p>
        </w:tc>
        <w:tc>
          <w:tcPr>
            <w:tcW w:w="3764" w:type="dxa"/>
            <w:vAlign w:val="center"/>
          </w:tcPr>
          <w:p w14:paraId="64AE000B">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有法定代表人或其委托代理人签字且加盖单位章。</w:t>
            </w:r>
          </w:p>
        </w:tc>
      </w:tr>
      <w:tr w14:paraId="464DA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840" w:type="dxa"/>
            <w:vMerge w:val="continue"/>
            <w:vAlign w:val="center"/>
          </w:tcPr>
          <w:p w14:paraId="2046A1BE">
            <w:pPr>
              <w:autoSpaceDE w:val="0"/>
              <w:autoSpaceDN w:val="0"/>
              <w:adjustRightInd w:val="0"/>
              <w:spacing w:line="0" w:lineRule="atLeast"/>
              <w:jc w:val="center"/>
              <w:rPr>
                <w:rFonts w:hint="eastAsia" w:ascii="宋体" w:hAnsi="宋体" w:eastAsia="宋体" w:cs="宋体"/>
                <w:bCs/>
                <w:szCs w:val="21"/>
                <w:lang w:val="zh-CN"/>
              </w:rPr>
            </w:pPr>
          </w:p>
        </w:tc>
        <w:tc>
          <w:tcPr>
            <w:tcW w:w="780" w:type="dxa"/>
            <w:vMerge w:val="continue"/>
            <w:vAlign w:val="center"/>
          </w:tcPr>
          <w:p w14:paraId="6E28475C">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084BC9CF">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响应文件</w:t>
            </w:r>
          </w:p>
          <w:p w14:paraId="7B16F39A">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格式</w:t>
            </w:r>
          </w:p>
        </w:tc>
        <w:tc>
          <w:tcPr>
            <w:tcW w:w="1624" w:type="dxa"/>
            <w:vAlign w:val="center"/>
          </w:tcPr>
          <w:p w14:paraId="2EA41653">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第六章“磋商响应文件格式”</w:t>
            </w:r>
          </w:p>
        </w:tc>
        <w:tc>
          <w:tcPr>
            <w:tcW w:w="3764" w:type="dxa"/>
            <w:vAlign w:val="center"/>
          </w:tcPr>
          <w:p w14:paraId="572189EE">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符合第六章“磋商响应文件格式”的要求。</w:t>
            </w:r>
          </w:p>
        </w:tc>
      </w:tr>
      <w:tr w14:paraId="2C6AF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840" w:type="dxa"/>
            <w:vMerge w:val="restart"/>
            <w:vAlign w:val="center"/>
          </w:tcPr>
          <w:p w14:paraId="240E3136">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2.1.2</w:t>
            </w:r>
          </w:p>
        </w:tc>
        <w:tc>
          <w:tcPr>
            <w:tcW w:w="780" w:type="dxa"/>
            <w:vMerge w:val="restart"/>
            <w:vAlign w:val="center"/>
          </w:tcPr>
          <w:p w14:paraId="124F7D13">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资</w:t>
            </w:r>
          </w:p>
          <w:p w14:paraId="7CDBB4B2">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格</w:t>
            </w:r>
          </w:p>
          <w:p w14:paraId="5CEDF1FF">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评</w:t>
            </w:r>
          </w:p>
          <w:p w14:paraId="0972F873">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审</w:t>
            </w:r>
          </w:p>
          <w:p w14:paraId="7A4067EE">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标</w:t>
            </w:r>
          </w:p>
          <w:p w14:paraId="0C1084FC">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准</w:t>
            </w:r>
          </w:p>
          <w:p w14:paraId="1C73BD50">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41F1F97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营业执照</w:t>
            </w:r>
          </w:p>
        </w:tc>
        <w:tc>
          <w:tcPr>
            <w:tcW w:w="1624" w:type="dxa"/>
            <w:vAlign w:val="center"/>
          </w:tcPr>
          <w:p w14:paraId="686843A7">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12FD8995">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具备有效的营业执照</w:t>
            </w:r>
          </w:p>
        </w:tc>
      </w:tr>
      <w:tr w14:paraId="47DA0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40" w:type="dxa"/>
            <w:vMerge w:val="continue"/>
            <w:vAlign w:val="center"/>
          </w:tcPr>
          <w:p w14:paraId="31C6FDAD">
            <w:pPr>
              <w:autoSpaceDE w:val="0"/>
              <w:autoSpaceDN w:val="0"/>
              <w:adjustRightInd w:val="0"/>
              <w:spacing w:line="0" w:lineRule="atLeast"/>
              <w:jc w:val="center"/>
              <w:rPr>
                <w:rFonts w:hint="eastAsia" w:ascii="宋体" w:hAnsi="宋体" w:eastAsia="宋体" w:cs="宋体"/>
                <w:bCs/>
                <w:szCs w:val="21"/>
                <w:lang w:val="zh-CN"/>
              </w:rPr>
            </w:pPr>
          </w:p>
        </w:tc>
        <w:tc>
          <w:tcPr>
            <w:tcW w:w="780" w:type="dxa"/>
            <w:vMerge w:val="continue"/>
            <w:vAlign w:val="center"/>
          </w:tcPr>
          <w:p w14:paraId="2BA7A2DD">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4E0B6399">
            <w:pPr>
              <w:autoSpaceDE w:val="0"/>
              <w:autoSpaceDN w:val="0"/>
              <w:adjustRightInd w:val="0"/>
              <w:spacing w:line="0" w:lineRule="atLeast"/>
              <w:jc w:val="center"/>
              <w:rPr>
                <w:rFonts w:hint="default" w:ascii="宋体" w:hAnsi="宋体" w:eastAsia="宋体" w:cs="宋体"/>
                <w:bCs/>
                <w:szCs w:val="21"/>
                <w:lang w:val="en-US" w:eastAsia="zh-CN"/>
              </w:rPr>
            </w:pPr>
            <w:r>
              <w:rPr>
                <w:rFonts w:hint="eastAsia" w:ascii="宋体" w:hAnsi="宋体" w:cs="宋体"/>
                <w:bCs/>
                <w:szCs w:val="21"/>
                <w:lang w:val="en-US" w:eastAsia="zh-CN"/>
              </w:rPr>
              <w:t>资质证书</w:t>
            </w:r>
          </w:p>
        </w:tc>
        <w:tc>
          <w:tcPr>
            <w:tcW w:w="1624" w:type="dxa"/>
            <w:vAlign w:val="center"/>
          </w:tcPr>
          <w:p w14:paraId="17B8BB34">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292CE436">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i w:val="0"/>
                <w:iCs w:val="0"/>
                <w:caps w:val="0"/>
                <w:color w:val="auto"/>
                <w:spacing w:val="0"/>
                <w:sz w:val="21"/>
                <w:szCs w:val="21"/>
                <w:shd w:val="clear" w:color="auto" w:fill="FFFFFF"/>
              </w:rPr>
              <w:t>具有测绘乙级及以上资质</w:t>
            </w:r>
          </w:p>
        </w:tc>
      </w:tr>
      <w:tr w14:paraId="7B0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8" w:hRule="atLeast"/>
          <w:jc w:val="center"/>
        </w:trPr>
        <w:tc>
          <w:tcPr>
            <w:tcW w:w="840" w:type="dxa"/>
            <w:vMerge w:val="continue"/>
            <w:vAlign w:val="center"/>
          </w:tcPr>
          <w:p w14:paraId="4696E50F">
            <w:pPr>
              <w:autoSpaceDE w:val="0"/>
              <w:autoSpaceDN w:val="0"/>
              <w:adjustRightInd w:val="0"/>
              <w:spacing w:line="0" w:lineRule="atLeast"/>
              <w:jc w:val="center"/>
              <w:rPr>
                <w:rFonts w:hint="eastAsia" w:ascii="宋体" w:hAnsi="宋体" w:eastAsia="宋体" w:cs="宋体"/>
                <w:bCs/>
                <w:szCs w:val="21"/>
                <w:lang w:val="zh-CN"/>
              </w:rPr>
            </w:pPr>
          </w:p>
        </w:tc>
        <w:tc>
          <w:tcPr>
            <w:tcW w:w="780" w:type="dxa"/>
            <w:vMerge w:val="continue"/>
            <w:vAlign w:val="center"/>
          </w:tcPr>
          <w:p w14:paraId="32C95D8A">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03F84037">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财务要求</w:t>
            </w:r>
          </w:p>
        </w:tc>
        <w:tc>
          <w:tcPr>
            <w:tcW w:w="1624" w:type="dxa"/>
            <w:vAlign w:val="center"/>
          </w:tcPr>
          <w:p w14:paraId="12D28A25">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5DEB6CB8">
            <w:pPr>
              <w:autoSpaceDE w:val="0"/>
              <w:autoSpaceDN w:val="0"/>
              <w:adjustRightInd w:val="0"/>
              <w:spacing w:line="0" w:lineRule="atLeast"/>
              <w:jc w:val="left"/>
              <w:rPr>
                <w:rFonts w:hint="eastAsia" w:ascii="宋体" w:hAnsi="宋体" w:eastAsia="宋体" w:cs="宋体"/>
                <w:bCs/>
                <w:szCs w:val="21"/>
                <w:lang w:val="en-US" w:eastAsia="zh-CN"/>
              </w:rPr>
            </w:pPr>
            <w:r>
              <w:rPr>
                <w:rFonts w:hint="eastAsia" w:ascii="宋体" w:hAnsi="宋体" w:eastAsia="宋体" w:cs="宋体"/>
                <w:i w:val="0"/>
                <w:iCs w:val="0"/>
                <w:caps w:val="0"/>
                <w:color w:val="auto"/>
                <w:spacing w:val="0"/>
                <w:sz w:val="21"/>
                <w:szCs w:val="21"/>
                <w:shd w:val="clear" w:color="auto" w:fill="FFFFFF"/>
                <w:lang w:eastAsia="zh-CN"/>
              </w:rPr>
              <w:t>具有2023年度的财务审计报告（新成立不足一年的企业须提供自成立之日起至今企业财务状况良好的承诺书）</w:t>
            </w:r>
            <w:r>
              <w:rPr>
                <w:rFonts w:hint="eastAsia" w:ascii="宋体" w:hAnsi="宋体" w:eastAsia="宋体" w:cs="宋体"/>
                <w:spacing w:val="9"/>
                <w:sz w:val="20"/>
                <w:szCs w:val="20"/>
              </w:rPr>
              <w:t>。</w:t>
            </w:r>
          </w:p>
        </w:tc>
      </w:tr>
      <w:tr w14:paraId="47A5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3" w:hRule="atLeast"/>
          <w:jc w:val="center"/>
        </w:trPr>
        <w:tc>
          <w:tcPr>
            <w:tcW w:w="840" w:type="dxa"/>
            <w:vMerge w:val="continue"/>
            <w:vAlign w:val="center"/>
          </w:tcPr>
          <w:p w14:paraId="10DE3BEF">
            <w:pPr>
              <w:autoSpaceDE w:val="0"/>
              <w:autoSpaceDN w:val="0"/>
              <w:adjustRightInd w:val="0"/>
              <w:spacing w:line="0" w:lineRule="atLeast"/>
              <w:jc w:val="center"/>
              <w:rPr>
                <w:rFonts w:hint="eastAsia" w:ascii="宋体" w:hAnsi="宋体" w:eastAsia="宋体" w:cs="宋体"/>
                <w:bCs/>
                <w:szCs w:val="21"/>
                <w:lang w:val="zh-CN"/>
              </w:rPr>
            </w:pPr>
          </w:p>
        </w:tc>
        <w:tc>
          <w:tcPr>
            <w:tcW w:w="780" w:type="dxa"/>
            <w:vMerge w:val="continue"/>
            <w:vAlign w:val="center"/>
          </w:tcPr>
          <w:p w14:paraId="6D64CFFD">
            <w:pPr>
              <w:autoSpaceDE w:val="0"/>
              <w:autoSpaceDN w:val="0"/>
              <w:adjustRightInd w:val="0"/>
              <w:spacing w:line="0" w:lineRule="atLeast"/>
              <w:jc w:val="center"/>
              <w:rPr>
                <w:rFonts w:hint="eastAsia" w:ascii="宋体" w:hAnsi="宋体" w:eastAsia="宋体" w:cs="宋体"/>
                <w:bCs/>
                <w:szCs w:val="21"/>
                <w:lang w:val="zh-CN"/>
              </w:rPr>
            </w:pPr>
          </w:p>
        </w:tc>
        <w:tc>
          <w:tcPr>
            <w:tcW w:w="1440" w:type="dxa"/>
            <w:vAlign w:val="center"/>
          </w:tcPr>
          <w:p w14:paraId="472AF1F2">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信誉要求</w:t>
            </w:r>
          </w:p>
        </w:tc>
        <w:tc>
          <w:tcPr>
            <w:tcW w:w="1624" w:type="dxa"/>
            <w:vAlign w:val="center"/>
          </w:tcPr>
          <w:p w14:paraId="66C09816">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469BD264">
            <w:pPr>
              <w:pStyle w:val="19"/>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rPr>
                <w:rFonts w:hint="eastAsia" w:ascii="宋体" w:hAnsi="宋体" w:eastAsia="宋体" w:cs="宋体"/>
                <w:i w:val="0"/>
                <w:iCs w:val="0"/>
                <w:caps w:val="0"/>
                <w:color w:val="auto"/>
                <w:spacing w:val="0"/>
                <w:sz w:val="21"/>
                <w:szCs w:val="21"/>
                <w:shd w:val="clear" w:color="auto" w:fill="FFFFFF"/>
              </w:rPr>
            </w:pPr>
            <w:r>
              <w:rPr>
                <w:rFonts w:hint="eastAsia" w:ascii="宋体" w:hAnsi="宋体" w:eastAsia="宋体" w:cs="宋体"/>
                <w:i w:val="0"/>
                <w:iCs w:val="0"/>
                <w:caps w:val="0"/>
                <w:color w:val="auto"/>
                <w:spacing w:val="0"/>
                <w:sz w:val="21"/>
                <w:szCs w:val="21"/>
                <w:shd w:val="clear" w:color="auto" w:fill="FFFFFF"/>
                <w:lang w:val="en-US" w:eastAsia="zh-CN"/>
              </w:rPr>
              <w:t>招标文件要求的网页截图加盖公章。包含：</w:t>
            </w:r>
            <w:r>
              <w:rPr>
                <w:rFonts w:hint="eastAsia" w:ascii="宋体" w:hAnsi="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val="en-US" w:eastAsia="zh-CN"/>
              </w:rPr>
              <w:t>1</w:t>
            </w:r>
            <w:r>
              <w:rPr>
                <w:rFonts w:hint="eastAsia" w:ascii="宋体" w:hAnsi="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rPr>
              <w:t>投标单位和个人（指法定代表人）未在“中国裁判文书</w:t>
            </w:r>
            <w:r>
              <w:rPr>
                <w:rFonts w:hint="eastAsia" w:ascii="宋体" w:hAnsi="宋体" w:eastAsia="宋体" w:cs="宋体"/>
                <w:i w:val="0"/>
                <w:iCs w:val="0"/>
                <w:caps w:val="0"/>
                <w:color w:val="auto"/>
                <w:spacing w:val="0"/>
                <w:sz w:val="21"/>
                <w:szCs w:val="21"/>
                <w:shd w:val="clear" w:color="auto" w:fill="FFFFFF"/>
                <w:lang w:val="en-US" w:eastAsia="zh-CN"/>
              </w:rPr>
              <w:t>网查询</w:t>
            </w:r>
            <w:r>
              <w:rPr>
                <w:rFonts w:hint="eastAsia" w:ascii="宋体" w:hAnsi="宋体" w:eastAsia="宋体" w:cs="宋体"/>
                <w:i w:val="0"/>
                <w:iCs w:val="0"/>
                <w:caps w:val="0"/>
                <w:color w:val="auto"/>
                <w:spacing w:val="0"/>
                <w:sz w:val="21"/>
                <w:szCs w:val="21"/>
                <w:shd w:val="clear" w:color="auto" w:fill="FFFFFF"/>
              </w:rPr>
              <w:t>行贿犯罪</w:t>
            </w:r>
            <w:r>
              <w:rPr>
                <w:rFonts w:hint="eastAsia" w:ascii="宋体" w:hAnsi="宋体" w:eastAsia="宋体" w:cs="宋体"/>
                <w:i w:val="0"/>
                <w:iCs w:val="0"/>
                <w:caps w:val="0"/>
                <w:color w:val="auto"/>
                <w:spacing w:val="0"/>
                <w:sz w:val="21"/>
                <w:szCs w:val="21"/>
                <w:shd w:val="clear" w:color="auto" w:fill="FFFFFF"/>
                <w:lang w:val="en-US" w:eastAsia="zh-CN"/>
              </w:rPr>
              <w:t>截图</w:t>
            </w:r>
            <w:r>
              <w:rPr>
                <w:rFonts w:hint="eastAsia" w:ascii="宋体" w:hAnsi="宋体" w:eastAsia="宋体" w:cs="宋体"/>
                <w:i w:val="0"/>
                <w:iCs w:val="0"/>
                <w:caps w:val="0"/>
                <w:color w:val="auto"/>
                <w:spacing w:val="0"/>
                <w:sz w:val="21"/>
                <w:szCs w:val="21"/>
                <w:shd w:val="clear" w:color="auto" w:fill="FFFFFF"/>
              </w:rPr>
              <w:t>；</w:t>
            </w:r>
            <w:r>
              <w:rPr>
                <w:rFonts w:hint="eastAsia" w:ascii="宋体" w:hAnsi="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2</w:t>
            </w:r>
            <w:r>
              <w:rPr>
                <w:rFonts w:hint="eastAsia" w:ascii="宋体" w:hAnsi="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eastAsia="zh-CN"/>
              </w:rPr>
              <w:t>供应商</w:t>
            </w:r>
            <w:r>
              <w:rPr>
                <w:rFonts w:hint="eastAsia" w:ascii="宋体" w:hAnsi="宋体" w:eastAsia="宋体" w:cs="宋体"/>
                <w:i w:val="0"/>
                <w:iCs w:val="0"/>
                <w:caps w:val="0"/>
                <w:color w:val="auto"/>
                <w:spacing w:val="0"/>
                <w:sz w:val="21"/>
                <w:szCs w:val="21"/>
                <w:shd w:val="clear" w:color="auto" w:fill="FFFFFF"/>
              </w:rPr>
              <w:t>未被列入“失信被执行人、重大税收违法案件当事人”的记录名单（通过“信用中国”网站查询）；</w:t>
            </w:r>
            <w:r>
              <w:rPr>
                <w:rFonts w:hint="eastAsia" w:ascii="宋体" w:hAnsi="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lang w:val="en-US" w:eastAsia="zh-CN"/>
              </w:rPr>
              <w:t>3</w:t>
            </w:r>
            <w:r>
              <w:rPr>
                <w:rFonts w:hint="eastAsia" w:ascii="宋体" w:hAnsi="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lang w:eastAsia="zh-CN"/>
              </w:rPr>
              <w:t>供应商</w:t>
            </w:r>
            <w:r>
              <w:rPr>
                <w:rFonts w:hint="eastAsia" w:ascii="宋体" w:hAnsi="宋体" w:eastAsia="宋体" w:cs="宋体"/>
                <w:i w:val="0"/>
                <w:iCs w:val="0"/>
                <w:caps w:val="0"/>
                <w:color w:val="auto"/>
                <w:spacing w:val="0"/>
                <w:sz w:val="21"/>
                <w:szCs w:val="21"/>
                <w:shd w:val="clear" w:color="auto" w:fill="FFFFFF"/>
              </w:rPr>
              <w:t>未被列入“政府采购严重违法失信行为记录名单”（通过“中国政府采购网”查询）；</w:t>
            </w:r>
          </w:p>
          <w:p w14:paraId="09EBEB5D">
            <w:pPr>
              <w:pStyle w:val="52"/>
              <w:keepNext w:val="0"/>
              <w:keepLines w:val="0"/>
              <w:pageBreakBefore w:val="0"/>
              <w:widowControl/>
              <w:numPr>
                <w:ilvl w:val="0"/>
                <w:numId w:val="0"/>
              </w:numPr>
              <w:kinsoku/>
              <w:wordWrap/>
              <w:overflowPunct/>
              <w:topLinePunct w:val="0"/>
              <w:autoSpaceDE/>
              <w:autoSpaceDN/>
              <w:bidi w:val="0"/>
              <w:adjustRightInd/>
              <w:snapToGrid/>
              <w:spacing w:line="280" w:lineRule="exact"/>
              <w:textAlignment w:val="auto"/>
              <w:rPr>
                <w:rFonts w:hint="eastAsia" w:ascii="宋体" w:hAnsi="宋体" w:eastAsia="宋体" w:cs="宋体"/>
                <w:bCs/>
                <w:szCs w:val="21"/>
                <w:lang w:val="zh-CN"/>
              </w:rPr>
            </w:pPr>
            <w:r>
              <w:rPr>
                <w:rFonts w:hint="eastAsia" w:ascii="宋体" w:hAnsi="宋体"/>
                <w:lang w:val="en-US" w:eastAsia="zh-CN"/>
              </w:rPr>
              <w:t>2、</w:t>
            </w:r>
            <w:r>
              <w:rPr>
                <w:rFonts w:hint="eastAsia" w:ascii="宋体" w:hAnsi="宋体"/>
              </w:rPr>
              <w:t>拒绝列入政府取消投标资格记录期间的企业或个人投标</w:t>
            </w:r>
            <w:r>
              <w:rPr>
                <w:rFonts w:hint="eastAsia" w:ascii="宋体" w:hAnsi="宋体"/>
                <w:lang w:eastAsia="zh-CN"/>
              </w:rPr>
              <w:t>（</w:t>
            </w:r>
            <w:r>
              <w:rPr>
                <w:rFonts w:hint="eastAsia" w:ascii="宋体" w:hAnsi="宋体"/>
                <w:b/>
                <w:bCs/>
                <w:color w:val="FF0000"/>
              </w:rPr>
              <w:t>附由法定代表人或其委托代理人签字并加盖投标单位公章的承诺书</w:t>
            </w:r>
            <w:r>
              <w:rPr>
                <w:rFonts w:hint="eastAsia" w:ascii="宋体" w:hAnsi="宋体"/>
                <w:b/>
                <w:bCs/>
                <w:color w:val="FF0000"/>
                <w:lang w:eastAsia="zh-CN"/>
              </w:rPr>
              <w:t>）。</w:t>
            </w:r>
          </w:p>
        </w:tc>
      </w:tr>
      <w:tr w14:paraId="72886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restart"/>
            <w:vAlign w:val="center"/>
          </w:tcPr>
          <w:p w14:paraId="0C820575">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2.1.3</w:t>
            </w:r>
          </w:p>
        </w:tc>
        <w:tc>
          <w:tcPr>
            <w:tcW w:w="780" w:type="dxa"/>
            <w:vMerge w:val="restart"/>
            <w:vAlign w:val="center"/>
          </w:tcPr>
          <w:p w14:paraId="39B65803">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响</w:t>
            </w:r>
          </w:p>
          <w:p w14:paraId="0AB2B91D">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应</w:t>
            </w:r>
          </w:p>
          <w:p w14:paraId="52254A2A">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性</w:t>
            </w:r>
          </w:p>
          <w:p w14:paraId="11807738">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评</w:t>
            </w:r>
          </w:p>
          <w:p w14:paraId="25ED724A">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审</w:t>
            </w:r>
          </w:p>
          <w:p w14:paraId="37BEEF8B">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标</w:t>
            </w:r>
          </w:p>
          <w:p w14:paraId="1AFFF796">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准</w:t>
            </w:r>
          </w:p>
          <w:p w14:paraId="75C511A0">
            <w:pPr>
              <w:autoSpaceDE w:val="0"/>
              <w:autoSpaceDN w:val="0"/>
              <w:adjustRightInd w:val="0"/>
              <w:spacing w:line="0" w:lineRule="atLeast"/>
              <w:rPr>
                <w:rFonts w:hint="eastAsia" w:ascii="宋体" w:hAnsi="宋体" w:eastAsia="宋体" w:cs="宋体"/>
                <w:bCs/>
                <w:szCs w:val="21"/>
                <w:lang w:val="zh-CN"/>
              </w:rPr>
            </w:pPr>
          </w:p>
        </w:tc>
        <w:tc>
          <w:tcPr>
            <w:tcW w:w="1440" w:type="dxa"/>
            <w:vAlign w:val="center"/>
          </w:tcPr>
          <w:p w14:paraId="07517003">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投标内容</w:t>
            </w:r>
          </w:p>
        </w:tc>
        <w:tc>
          <w:tcPr>
            <w:tcW w:w="1624" w:type="dxa"/>
            <w:vAlign w:val="center"/>
          </w:tcPr>
          <w:p w14:paraId="3666AD62">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694055F2">
            <w:pPr>
              <w:autoSpaceDE w:val="0"/>
              <w:autoSpaceDN w:val="0"/>
              <w:adjustRightInd w:val="0"/>
              <w:spacing w:line="0" w:lineRule="atLeast"/>
              <w:jc w:val="left"/>
              <w:rPr>
                <w:rFonts w:hint="eastAsia" w:ascii="宋体" w:hAnsi="宋体" w:eastAsia="宋体" w:cs="宋体"/>
                <w:bCs/>
                <w:szCs w:val="21"/>
                <w:lang w:val="zh-CN"/>
              </w:rPr>
            </w:pPr>
            <w:r>
              <w:rPr>
                <w:rFonts w:hint="eastAsia" w:ascii="宋体" w:hAnsi="宋体" w:eastAsia="宋体" w:cs="宋体"/>
                <w:bCs/>
                <w:szCs w:val="21"/>
                <w:lang w:val="zh-CN"/>
              </w:rPr>
              <w:t>符合第二章“供应商须知前附表”规定</w:t>
            </w:r>
          </w:p>
        </w:tc>
      </w:tr>
      <w:tr w14:paraId="72016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atLeast"/>
          <w:jc w:val="center"/>
        </w:trPr>
        <w:tc>
          <w:tcPr>
            <w:tcW w:w="840" w:type="dxa"/>
            <w:vMerge w:val="continue"/>
          </w:tcPr>
          <w:p w14:paraId="067FB534">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09DEFA2B">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48F91EC0">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服务期</w:t>
            </w:r>
          </w:p>
        </w:tc>
        <w:tc>
          <w:tcPr>
            <w:tcW w:w="1624" w:type="dxa"/>
            <w:vAlign w:val="center"/>
          </w:tcPr>
          <w:p w14:paraId="2AD570D0">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6FE19E55">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符合第二章“供应商须知前附表”规定</w:t>
            </w:r>
          </w:p>
        </w:tc>
      </w:tr>
      <w:tr w14:paraId="2963A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tcPr>
          <w:p w14:paraId="4EB781F8">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5C2FC883">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64B0BD50">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质量要求</w:t>
            </w:r>
          </w:p>
        </w:tc>
        <w:tc>
          <w:tcPr>
            <w:tcW w:w="1624" w:type="dxa"/>
            <w:vAlign w:val="center"/>
          </w:tcPr>
          <w:p w14:paraId="32C125B2">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1A9D3E98">
            <w:pPr>
              <w:autoSpaceDE w:val="0"/>
              <w:autoSpaceDN w:val="0"/>
              <w:adjustRightInd w:val="0"/>
              <w:spacing w:line="0" w:lineRule="atLeast"/>
              <w:jc w:val="left"/>
              <w:rPr>
                <w:rFonts w:hint="eastAsia" w:ascii="宋体" w:hAnsi="宋体" w:eastAsia="宋体" w:cs="宋体"/>
                <w:bCs/>
                <w:szCs w:val="21"/>
                <w:lang w:val="zh-CN"/>
              </w:rPr>
            </w:pPr>
            <w:r>
              <w:rPr>
                <w:rFonts w:hint="eastAsia" w:ascii="宋体" w:hAnsi="宋体" w:eastAsia="宋体" w:cs="宋体"/>
                <w:i w:val="0"/>
                <w:iCs w:val="0"/>
                <w:caps w:val="0"/>
                <w:color w:val="auto"/>
                <w:spacing w:val="0"/>
                <w:sz w:val="21"/>
                <w:szCs w:val="21"/>
                <w:shd w:val="clear" w:color="auto" w:fill="FFFFFF"/>
              </w:rPr>
              <w:t>符合国家、行业、地方相关规定合格标准</w:t>
            </w:r>
          </w:p>
        </w:tc>
      </w:tr>
      <w:tr w14:paraId="65D58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tcPr>
          <w:p w14:paraId="406AFDC9">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5F82403E">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61C94C39">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投标有效期</w:t>
            </w:r>
          </w:p>
        </w:tc>
        <w:tc>
          <w:tcPr>
            <w:tcW w:w="1624" w:type="dxa"/>
            <w:vAlign w:val="center"/>
          </w:tcPr>
          <w:p w14:paraId="749A7DB0">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245BBB44">
            <w:pPr>
              <w:autoSpaceDE w:val="0"/>
              <w:autoSpaceDN w:val="0"/>
              <w:adjustRightInd w:val="0"/>
              <w:spacing w:line="0" w:lineRule="atLeast"/>
              <w:rPr>
                <w:rFonts w:hint="eastAsia" w:ascii="宋体" w:hAnsi="宋体" w:eastAsia="宋体" w:cs="宋体"/>
                <w:bCs/>
                <w:szCs w:val="21"/>
                <w:lang w:val="zh-CN"/>
              </w:rPr>
            </w:pPr>
            <w:r>
              <w:rPr>
                <w:rFonts w:hint="eastAsia" w:ascii="宋体" w:hAnsi="宋体" w:cs="宋体"/>
                <w:bCs/>
                <w:szCs w:val="21"/>
                <w:lang w:val="en-US" w:eastAsia="zh-CN"/>
              </w:rPr>
              <w:t>90</w:t>
            </w:r>
            <w:r>
              <w:rPr>
                <w:rFonts w:hint="eastAsia" w:ascii="宋体" w:hAnsi="宋体" w:eastAsia="宋体" w:cs="宋体"/>
                <w:bCs/>
                <w:szCs w:val="21"/>
                <w:lang w:val="zh-CN"/>
              </w:rPr>
              <w:t>天</w:t>
            </w:r>
          </w:p>
        </w:tc>
      </w:tr>
      <w:tr w14:paraId="2B7EB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tcPr>
          <w:p w14:paraId="45CAD7EA">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5C7919CC">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1B26299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磋商保证金</w:t>
            </w:r>
          </w:p>
        </w:tc>
        <w:tc>
          <w:tcPr>
            <w:tcW w:w="1624" w:type="dxa"/>
            <w:vAlign w:val="center"/>
          </w:tcPr>
          <w:p w14:paraId="3BDC703B">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第二章“供应商须知前附表”</w:t>
            </w:r>
          </w:p>
        </w:tc>
        <w:tc>
          <w:tcPr>
            <w:tcW w:w="3764" w:type="dxa"/>
            <w:vAlign w:val="center"/>
          </w:tcPr>
          <w:p w14:paraId="5200CBC9">
            <w:pPr>
              <w:autoSpaceDE w:val="0"/>
              <w:autoSpaceDN w:val="0"/>
              <w:adjustRightInd w:val="0"/>
              <w:spacing w:line="0" w:lineRule="atLeast"/>
              <w:rPr>
                <w:rFonts w:hint="eastAsia" w:ascii="宋体" w:hAnsi="宋体" w:eastAsia="宋体" w:cs="宋体"/>
                <w:bCs/>
                <w:szCs w:val="21"/>
                <w:lang w:val="zh-CN"/>
              </w:rPr>
            </w:pPr>
            <w:r>
              <w:rPr>
                <w:rFonts w:hint="eastAsia" w:ascii="宋体" w:hAnsi="宋体" w:eastAsia="宋体" w:cs="宋体"/>
                <w:bCs/>
                <w:szCs w:val="21"/>
                <w:lang w:val="zh-CN"/>
              </w:rPr>
              <w:t>符合第二章“供应商须知前附表”</w:t>
            </w:r>
          </w:p>
        </w:tc>
      </w:tr>
      <w:tr w14:paraId="0202F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tcPr>
          <w:p w14:paraId="48B6FF78">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2B45D6D4">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064BD4C5">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技术标准和要求</w:t>
            </w:r>
          </w:p>
        </w:tc>
        <w:tc>
          <w:tcPr>
            <w:tcW w:w="1624" w:type="dxa"/>
            <w:vAlign w:val="center"/>
          </w:tcPr>
          <w:p w14:paraId="51CC2E34">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宋体"/>
                <w:bCs/>
                <w:szCs w:val="21"/>
                <w:lang w:val="zh-CN"/>
              </w:rPr>
              <w:t>第五章“技术标准和要求”</w:t>
            </w:r>
          </w:p>
        </w:tc>
        <w:tc>
          <w:tcPr>
            <w:tcW w:w="3764" w:type="dxa"/>
            <w:vAlign w:val="center"/>
          </w:tcPr>
          <w:p w14:paraId="252541EB">
            <w:pPr>
              <w:autoSpaceDE w:val="0"/>
              <w:autoSpaceDN w:val="0"/>
              <w:adjustRightInd w:val="0"/>
              <w:spacing w:line="0" w:lineRule="atLeast"/>
              <w:jc w:val="left"/>
              <w:rPr>
                <w:rFonts w:hint="eastAsia" w:ascii="宋体" w:hAnsi="宋体" w:eastAsia="宋体" w:cs="宋体"/>
                <w:bCs/>
                <w:szCs w:val="21"/>
                <w:lang w:val="zh-CN"/>
              </w:rPr>
            </w:pPr>
            <w:r>
              <w:rPr>
                <w:rFonts w:hint="eastAsia" w:ascii="宋体" w:hAnsi="宋体" w:eastAsia="宋体" w:cs="宋体"/>
                <w:bCs/>
                <w:szCs w:val="21"/>
                <w:lang w:val="zh-CN"/>
              </w:rPr>
              <w:t>符合磋商文件“技术标准和要求”规定</w:t>
            </w:r>
          </w:p>
        </w:tc>
      </w:tr>
      <w:tr w14:paraId="3EAE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Merge w:val="continue"/>
          </w:tcPr>
          <w:p w14:paraId="072BBF65">
            <w:pPr>
              <w:autoSpaceDE w:val="0"/>
              <w:autoSpaceDN w:val="0"/>
              <w:adjustRightInd w:val="0"/>
              <w:spacing w:line="0" w:lineRule="atLeast"/>
              <w:jc w:val="left"/>
              <w:rPr>
                <w:rFonts w:hint="eastAsia" w:ascii="宋体" w:hAnsi="宋体" w:eastAsia="宋体" w:cs="宋体"/>
                <w:bCs/>
                <w:szCs w:val="21"/>
                <w:lang w:val="zh-CN"/>
              </w:rPr>
            </w:pPr>
          </w:p>
        </w:tc>
        <w:tc>
          <w:tcPr>
            <w:tcW w:w="780" w:type="dxa"/>
            <w:vMerge w:val="continue"/>
          </w:tcPr>
          <w:p w14:paraId="79A1EE5C">
            <w:pPr>
              <w:autoSpaceDE w:val="0"/>
              <w:autoSpaceDN w:val="0"/>
              <w:adjustRightInd w:val="0"/>
              <w:spacing w:line="0" w:lineRule="atLeast"/>
              <w:jc w:val="left"/>
              <w:rPr>
                <w:rFonts w:hint="eastAsia" w:ascii="宋体" w:hAnsi="宋体" w:eastAsia="宋体" w:cs="宋体"/>
                <w:bCs/>
                <w:szCs w:val="21"/>
                <w:lang w:val="zh-CN"/>
              </w:rPr>
            </w:pPr>
          </w:p>
        </w:tc>
        <w:tc>
          <w:tcPr>
            <w:tcW w:w="1440" w:type="dxa"/>
            <w:vAlign w:val="center"/>
          </w:tcPr>
          <w:p w14:paraId="3D312E12">
            <w:pPr>
              <w:autoSpaceDE w:val="0"/>
              <w:autoSpaceDN w:val="0"/>
              <w:adjustRightInd w:val="0"/>
              <w:spacing w:line="0" w:lineRule="atLeast"/>
              <w:jc w:val="center"/>
              <w:rPr>
                <w:rFonts w:hint="eastAsia" w:ascii="宋体" w:hAnsi="宋体" w:eastAsia="宋体" w:cs="宋体"/>
                <w:bCs/>
                <w:color w:val="FF0000"/>
                <w:szCs w:val="21"/>
                <w:lang w:val="zh-CN"/>
              </w:rPr>
            </w:pPr>
            <w:r>
              <w:rPr>
                <w:rFonts w:hint="eastAsia" w:ascii="宋体" w:hAnsi="宋体" w:eastAsia="宋体" w:cs="宋体"/>
                <w:bCs/>
                <w:szCs w:val="21"/>
                <w:lang w:val="zh-CN"/>
              </w:rPr>
              <w:t>投标报价</w:t>
            </w:r>
          </w:p>
        </w:tc>
        <w:tc>
          <w:tcPr>
            <w:tcW w:w="1624" w:type="dxa"/>
            <w:vAlign w:val="center"/>
          </w:tcPr>
          <w:p w14:paraId="6E00AF49">
            <w:pPr>
              <w:autoSpaceDE w:val="0"/>
              <w:autoSpaceDN w:val="0"/>
              <w:adjustRightInd w:val="0"/>
              <w:spacing w:line="0" w:lineRule="atLeast"/>
              <w:rPr>
                <w:rFonts w:hint="eastAsia" w:ascii="宋体" w:hAnsi="宋体" w:eastAsia="宋体" w:cs="宋体"/>
                <w:bCs/>
                <w:color w:val="FF0000"/>
                <w:szCs w:val="21"/>
                <w:lang w:val="zh-CN"/>
              </w:rPr>
            </w:pPr>
            <w:r>
              <w:rPr>
                <w:rFonts w:hint="eastAsia" w:ascii="宋体" w:hAnsi="宋体" w:eastAsia="宋体" w:cs="宋体"/>
                <w:bCs/>
                <w:szCs w:val="21"/>
                <w:lang w:val="zh-CN"/>
              </w:rPr>
              <w:t>第二章“供应商须知前附表”</w:t>
            </w:r>
          </w:p>
        </w:tc>
        <w:tc>
          <w:tcPr>
            <w:tcW w:w="3764" w:type="dxa"/>
            <w:vAlign w:val="center"/>
          </w:tcPr>
          <w:p w14:paraId="0718520F">
            <w:pPr>
              <w:autoSpaceDE w:val="0"/>
              <w:autoSpaceDN w:val="0"/>
              <w:adjustRightInd w:val="0"/>
              <w:spacing w:line="0" w:lineRule="atLeast"/>
              <w:rPr>
                <w:rFonts w:hint="eastAsia" w:ascii="宋体" w:hAnsi="宋体" w:eastAsia="宋体" w:cs="宋体"/>
                <w:bCs/>
                <w:color w:val="FF0000"/>
                <w:szCs w:val="21"/>
                <w:lang w:val="zh-CN"/>
              </w:rPr>
            </w:pPr>
            <w:r>
              <w:rPr>
                <w:rFonts w:hint="eastAsia" w:ascii="宋体" w:hAnsi="宋体" w:eastAsia="宋体" w:cs="宋体"/>
                <w:bCs/>
                <w:szCs w:val="21"/>
                <w:lang w:val="zh-CN"/>
              </w:rPr>
              <w:t>投标报价总价不超过招标控制价（超过招标控制价为废标）</w:t>
            </w:r>
          </w:p>
        </w:tc>
      </w:tr>
      <w:tr w14:paraId="60B86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48" w:type="dxa"/>
            <w:gridSpan w:val="5"/>
            <w:tcBorders>
              <w:bottom w:val="single" w:color="auto" w:sz="4" w:space="0"/>
            </w:tcBorders>
            <w:vAlign w:val="center"/>
          </w:tcPr>
          <w:p w14:paraId="087F4C3E">
            <w:pPr>
              <w:pStyle w:val="14"/>
              <w:pBdr>
                <w:bottom w:val="none" w:color="auto" w:sz="0" w:space="0"/>
              </w:pBdr>
              <w:tabs>
                <w:tab w:val="clear" w:pos="4153"/>
                <w:tab w:val="clear" w:pos="8306"/>
              </w:tabs>
              <w:autoSpaceDE w:val="0"/>
              <w:autoSpaceDN w:val="0"/>
              <w:adjustRightInd w:val="0"/>
              <w:snapToGrid/>
              <w:spacing w:line="0" w:lineRule="atLeast"/>
              <w:rPr>
                <w:rFonts w:hint="eastAsia" w:ascii="宋体" w:hAnsi="宋体" w:eastAsia="宋体" w:cs="宋体"/>
                <w:b/>
                <w:bCs/>
                <w:sz w:val="21"/>
                <w:szCs w:val="21"/>
                <w:lang w:val="zh-CN"/>
              </w:rPr>
            </w:pPr>
            <w:r>
              <w:rPr>
                <w:rFonts w:hint="eastAsia" w:ascii="宋体" w:hAnsi="宋体" w:eastAsia="宋体" w:cs="宋体"/>
                <w:b/>
                <w:bCs/>
                <w:sz w:val="21"/>
                <w:szCs w:val="21"/>
                <w:lang w:val="zh-CN"/>
              </w:rPr>
              <w:t>评审结果</w:t>
            </w:r>
          </w:p>
        </w:tc>
      </w:tr>
    </w:tbl>
    <w:p w14:paraId="6BF07271">
      <w:pPr>
        <w:spacing w:line="360" w:lineRule="auto"/>
        <w:rPr>
          <w:rFonts w:hint="eastAsia" w:ascii="宋体" w:hAnsi="宋体" w:eastAsia="宋体" w:cs="宋体"/>
          <w:sz w:val="26"/>
        </w:rPr>
      </w:pPr>
    </w:p>
    <w:p w14:paraId="3B3A4313">
      <w:pPr>
        <w:widowControl/>
        <w:jc w:val="left"/>
        <w:rPr>
          <w:rFonts w:ascii="宋体" w:hAnsi="宋体"/>
          <w:b/>
          <w:bCs/>
          <w:sz w:val="26"/>
        </w:rPr>
      </w:pPr>
      <w:r>
        <w:rPr>
          <w:rFonts w:ascii="宋体" w:hAnsi="宋体"/>
          <w:b/>
          <w:bCs/>
          <w:sz w:val="26"/>
        </w:rPr>
        <w:br w:type="page"/>
      </w:r>
    </w:p>
    <w:p w14:paraId="27A31DA5">
      <w:pPr>
        <w:spacing w:line="360" w:lineRule="auto"/>
        <w:jc w:val="center"/>
        <w:rPr>
          <w:rFonts w:ascii="宋体" w:hAnsi="宋体"/>
          <w:b/>
          <w:bCs/>
          <w:sz w:val="28"/>
          <w:szCs w:val="28"/>
        </w:rPr>
      </w:pPr>
      <w:r>
        <w:rPr>
          <w:rFonts w:hint="eastAsia" w:ascii="宋体" w:hAnsi="宋体"/>
          <w:b/>
          <w:bCs/>
          <w:sz w:val="28"/>
          <w:szCs w:val="28"/>
        </w:rPr>
        <w:t>评审办法前附表（二）</w:t>
      </w:r>
    </w:p>
    <w:tbl>
      <w:tblPr>
        <w:tblStyle w:val="22"/>
        <w:tblW w:w="85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1954"/>
        <w:gridCol w:w="5500"/>
      </w:tblGrid>
      <w:tr w14:paraId="55A37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1077" w:type="dxa"/>
            <w:tcBorders>
              <w:top w:val="single" w:color="auto" w:sz="4" w:space="0"/>
              <w:left w:val="single" w:color="auto" w:sz="4" w:space="0"/>
              <w:bottom w:val="single" w:color="auto" w:sz="4" w:space="0"/>
              <w:right w:val="single" w:color="auto" w:sz="4" w:space="0"/>
            </w:tcBorders>
            <w:noWrap w:val="0"/>
            <w:vAlign w:val="center"/>
          </w:tcPr>
          <w:p w14:paraId="0EFAD922">
            <w:pPr>
              <w:spacing w:line="460" w:lineRule="exact"/>
              <w:jc w:val="center"/>
              <w:rPr>
                <w:rFonts w:hint="default" w:ascii="宋体" w:hAnsi="宋体" w:eastAsia="宋体" w:cs="宋体"/>
                <w:b/>
                <w:szCs w:val="21"/>
                <w:lang w:val="en-US" w:eastAsia="zh-CN"/>
              </w:rPr>
            </w:pPr>
            <w:r>
              <w:rPr>
                <w:rFonts w:hint="eastAsia" w:ascii="宋体" w:hAnsi="宋体" w:cs="宋体"/>
                <w:b/>
                <w:szCs w:val="21"/>
                <w:lang w:val="en-US" w:eastAsia="zh-CN"/>
              </w:rPr>
              <w:t>评分因素</w:t>
            </w:r>
          </w:p>
        </w:tc>
        <w:tc>
          <w:tcPr>
            <w:tcW w:w="1954" w:type="dxa"/>
            <w:tcBorders>
              <w:top w:val="single" w:color="auto" w:sz="4" w:space="0"/>
              <w:left w:val="single" w:color="auto" w:sz="4" w:space="0"/>
              <w:bottom w:val="single" w:color="auto" w:sz="4" w:space="0"/>
              <w:right w:val="single" w:color="auto" w:sz="4" w:space="0"/>
            </w:tcBorders>
            <w:noWrap w:val="0"/>
            <w:vAlign w:val="center"/>
          </w:tcPr>
          <w:p w14:paraId="1543C01C">
            <w:pPr>
              <w:spacing w:line="460" w:lineRule="exact"/>
              <w:jc w:val="center"/>
              <w:rPr>
                <w:rFonts w:hint="eastAsia" w:ascii="宋体" w:hAnsi="宋体" w:eastAsia="宋体" w:cs="宋体"/>
                <w:b/>
                <w:szCs w:val="21"/>
                <w:lang w:val="en-US" w:eastAsia="zh-CN"/>
              </w:rPr>
            </w:pPr>
            <w:r>
              <w:rPr>
                <w:rFonts w:hint="eastAsia" w:ascii="宋体" w:hAnsi="宋体" w:cs="宋体"/>
                <w:b/>
                <w:szCs w:val="21"/>
                <w:lang w:val="en-US" w:eastAsia="zh-CN"/>
              </w:rPr>
              <w:t>评分点</w:t>
            </w:r>
          </w:p>
        </w:tc>
        <w:tc>
          <w:tcPr>
            <w:tcW w:w="5500" w:type="dxa"/>
            <w:tcBorders>
              <w:top w:val="single" w:color="auto" w:sz="4" w:space="0"/>
              <w:left w:val="single" w:color="auto" w:sz="4" w:space="0"/>
              <w:right w:val="single" w:color="auto" w:sz="4" w:space="0"/>
            </w:tcBorders>
            <w:noWrap w:val="0"/>
            <w:vAlign w:val="center"/>
          </w:tcPr>
          <w:p w14:paraId="2ACCFEA1">
            <w:pPr>
              <w:spacing w:line="460" w:lineRule="exact"/>
              <w:jc w:val="center"/>
              <w:rPr>
                <w:rFonts w:hint="eastAsia" w:ascii="宋体" w:hAnsi="宋体" w:cs="宋体"/>
                <w:szCs w:val="21"/>
              </w:rPr>
            </w:pPr>
            <w:r>
              <w:rPr>
                <w:rFonts w:hint="eastAsia" w:ascii="宋体" w:hAnsi="宋体" w:cs="宋体"/>
                <w:b/>
                <w:bCs/>
                <w:szCs w:val="21"/>
              </w:rPr>
              <w:t>评分标准</w:t>
            </w:r>
          </w:p>
        </w:tc>
      </w:tr>
      <w:tr w14:paraId="37CA4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0" w:hRule="atLeast"/>
          <w:jc w:val="center"/>
        </w:trPr>
        <w:tc>
          <w:tcPr>
            <w:tcW w:w="1077" w:type="dxa"/>
            <w:tcBorders>
              <w:top w:val="single" w:color="auto" w:sz="4" w:space="0"/>
              <w:left w:val="single" w:color="auto" w:sz="4" w:space="0"/>
              <w:right w:val="single" w:color="auto" w:sz="4" w:space="0"/>
            </w:tcBorders>
            <w:noWrap w:val="0"/>
            <w:vAlign w:val="center"/>
          </w:tcPr>
          <w:p w14:paraId="1CA92D4D">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right="0"/>
              <w:jc w:val="center"/>
              <w:textAlignment w:val="baseline"/>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报价</w:t>
            </w:r>
            <w:r>
              <w:rPr>
                <w:rFonts w:hint="eastAsia" w:ascii="宋体" w:hAnsi="宋体" w:eastAsia="宋体" w:cs="宋体"/>
                <w:sz w:val="21"/>
                <w:szCs w:val="21"/>
                <w:highlight w:val="none"/>
              </w:rPr>
              <w:t>部分</w:t>
            </w:r>
          </w:p>
          <w:p w14:paraId="748CCDB2">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jc w:val="center"/>
              <w:textAlignment w:val="baseline"/>
              <w:rPr>
                <w:rFonts w:hint="eastAsia" w:ascii="宋体" w:hAnsi="宋体" w:cs="宋体"/>
                <w:sz w:val="21"/>
                <w:szCs w:val="21"/>
              </w:rPr>
            </w:pPr>
            <w:r>
              <w:rPr>
                <w:rFonts w:hint="eastAsia" w:ascii="宋体" w:hAnsi="宋体" w:eastAsia="宋体" w:cs="宋体"/>
                <w:sz w:val="21"/>
                <w:szCs w:val="21"/>
                <w:highlight w:val="none"/>
                <w:lang w:val="en-US" w:eastAsia="zh-CN"/>
              </w:rPr>
              <w:t>（20分）</w:t>
            </w:r>
          </w:p>
        </w:tc>
        <w:tc>
          <w:tcPr>
            <w:tcW w:w="1954" w:type="dxa"/>
            <w:tcBorders>
              <w:top w:val="single" w:color="auto" w:sz="4" w:space="0"/>
              <w:left w:val="single" w:color="auto" w:sz="4" w:space="0"/>
              <w:bottom w:val="single" w:color="auto" w:sz="4" w:space="0"/>
              <w:right w:val="single" w:color="auto" w:sz="4" w:space="0"/>
            </w:tcBorders>
            <w:noWrap w:val="0"/>
            <w:vAlign w:val="center"/>
          </w:tcPr>
          <w:p w14:paraId="3E903F77">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jc w:val="center"/>
              <w:textAlignment w:val="baseline"/>
              <w:rPr>
                <w:rFonts w:hint="default" w:eastAsia="宋体"/>
                <w:sz w:val="21"/>
                <w:szCs w:val="21"/>
                <w:lang w:val="en-US" w:eastAsia="zh-CN"/>
              </w:rPr>
            </w:pPr>
            <w:r>
              <w:rPr>
                <w:rFonts w:hint="eastAsia" w:ascii="宋体" w:hAnsi="宋体" w:eastAsia="宋体" w:cs="宋体"/>
                <w:sz w:val="21"/>
                <w:szCs w:val="21"/>
                <w:lang w:val="en-US" w:eastAsia="zh-CN"/>
              </w:rPr>
              <w:t>报价得分20</w:t>
            </w:r>
            <w:r>
              <w:rPr>
                <w:rFonts w:hint="eastAsia" w:ascii="宋体" w:hAnsi="宋体" w:eastAsia="宋体" w:cs="宋体"/>
                <w:sz w:val="21"/>
                <w:szCs w:val="21"/>
              </w:rPr>
              <w:t>分</w:t>
            </w:r>
          </w:p>
        </w:tc>
        <w:tc>
          <w:tcPr>
            <w:tcW w:w="5500" w:type="dxa"/>
            <w:tcBorders>
              <w:left w:val="single" w:color="auto" w:sz="4" w:space="0"/>
              <w:bottom w:val="single" w:color="auto" w:sz="4" w:space="0"/>
              <w:right w:val="single" w:color="auto" w:sz="4" w:space="0"/>
            </w:tcBorders>
            <w:noWrap w:val="0"/>
            <w:vAlign w:val="center"/>
          </w:tcPr>
          <w:p w14:paraId="43DF547C">
            <w:pPr>
              <w:pStyle w:val="56"/>
              <w:rPr>
                <w:rFonts w:hint="eastAsia" w:ascii="宋体" w:hAnsi="宋体" w:eastAsia="宋体" w:cs="宋体"/>
                <w:sz w:val="21"/>
                <w:szCs w:val="21"/>
              </w:rPr>
            </w:pPr>
            <w:r>
              <w:rPr>
                <w:rFonts w:hint="eastAsia" w:ascii="宋体" w:hAnsi="宋体" w:eastAsia="宋体" w:cs="宋体"/>
                <w:sz w:val="21"/>
                <w:szCs w:val="21"/>
              </w:rPr>
              <w:t>1、评审基准价：满足磋商文件要求，最低报价为评审基准价。</w:t>
            </w:r>
          </w:p>
          <w:p w14:paraId="69C23900">
            <w:pPr>
              <w:pStyle w:val="56"/>
              <w:spacing w:before="5" w:line="242" w:lineRule="auto"/>
              <w:ind w:left="14" w:right="108"/>
              <w:rPr>
                <w:rFonts w:hint="eastAsia" w:ascii="宋体" w:hAnsi="宋体" w:eastAsia="宋体" w:cs="宋体"/>
                <w:sz w:val="21"/>
                <w:szCs w:val="21"/>
              </w:rPr>
            </w:pPr>
            <w:r>
              <w:rPr>
                <w:rFonts w:hint="eastAsia" w:ascii="宋体" w:hAnsi="宋体" w:eastAsia="宋体" w:cs="宋体"/>
                <w:sz w:val="21"/>
                <w:szCs w:val="21"/>
              </w:rPr>
              <w:t xml:space="preserve">2、报价等于评审基准价为 </w:t>
            </w:r>
            <w:r>
              <w:rPr>
                <w:rFonts w:hint="eastAsia" w:ascii="宋体" w:hAnsi="宋体" w:eastAsia="宋体" w:cs="宋体"/>
                <w:sz w:val="21"/>
                <w:szCs w:val="21"/>
                <w:lang w:val="en-US" w:eastAsia="zh-CN"/>
              </w:rPr>
              <w:t>2</w:t>
            </w:r>
            <w:r>
              <w:rPr>
                <w:rFonts w:hint="eastAsia" w:ascii="宋体" w:hAnsi="宋体" w:eastAsia="宋体" w:cs="宋体"/>
                <w:sz w:val="21"/>
                <w:szCs w:val="21"/>
              </w:rPr>
              <w:t>0 分，其他供应商报价得分按（评审基准价/响应报价）×</w:t>
            </w:r>
            <w:r>
              <w:rPr>
                <w:rFonts w:hint="eastAsia" w:ascii="宋体" w:hAnsi="宋体" w:cs="宋体"/>
                <w:sz w:val="21"/>
                <w:szCs w:val="21"/>
                <w:lang w:val="en-US" w:eastAsia="zh-CN"/>
              </w:rPr>
              <w:t>20</w:t>
            </w:r>
            <w:r>
              <w:rPr>
                <w:rFonts w:hint="eastAsia" w:ascii="宋体" w:hAnsi="宋体" w:eastAsia="宋体" w:cs="宋体"/>
                <w:sz w:val="21"/>
                <w:szCs w:val="21"/>
              </w:rPr>
              <w:t>计算。</w:t>
            </w:r>
          </w:p>
          <w:p w14:paraId="7EAB050C">
            <w:pPr>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jc w:val="left"/>
              <w:textAlignment w:val="baseline"/>
              <w:rPr>
                <w:rFonts w:hint="eastAsia" w:ascii="宋体" w:hAnsi="宋体" w:cs="宋体"/>
                <w:bCs/>
                <w:sz w:val="21"/>
                <w:szCs w:val="21"/>
              </w:rPr>
            </w:pPr>
            <w:r>
              <w:rPr>
                <w:rFonts w:hint="eastAsia" w:ascii="宋体" w:hAnsi="宋体" w:eastAsia="宋体" w:cs="宋体"/>
                <w:sz w:val="21"/>
                <w:szCs w:val="21"/>
              </w:rPr>
              <w:t>3、有效报价指经评审满足磋商文件编制规定，并符合磋商文件技术要求的最终报价。</w:t>
            </w:r>
          </w:p>
        </w:tc>
      </w:tr>
      <w:tr w14:paraId="5ECE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1077" w:type="dxa"/>
            <w:vMerge w:val="restart"/>
            <w:tcBorders>
              <w:left w:val="single" w:color="auto" w:sz="4" w:space="0"/>
              <w:right w:val="single" w:color="auto" w:sz="4" w:space="0"/>
            </w:tcBorders>
            <w:noWrap w:val="0"/>
            <w:vAlign w:val="center"/>
          </w:tcPr>
          <w:p w14:paraId="1DF49240">
            <w:pPr>
              <w:widowControl/>
              <w:spacing w:line="460" w:lineRule="exact"/>
              <w:jc w:val="center"/>
              <w:textAlignment w:val="center"/>
              <w:rPr>
                <w:rFonts w:hint="eastAsia" w:ascii="宋体" w:hAnsi="宋体" w:cs="宋体"/>
                <w:bCs/>
                <w:sz w:val="21"/>
                <w:szCs w:val="21"/>
                <w:lang w:val="zh-CN"/>
              </w:rPr>
            </w:pPr>
            <w:r>
              <w:rPr>
                <w:rFonts w:hint="eastAsia" w:ascii="宋体" w:hAnsi="宋体" w:cs="宋体"/>
                <w:color w:val="000000"/>
                <w:kern w:val="0"/>
                <w:sz w:val="21"/>
                <w:szCs w:val="21"/>
                <w:lang w:bidi="ar"/>
              </w:rPr>
              <w:t>商务部分（</w:t>
            </w:r>
            <w:r>
              <w:rPr>
                <w:rFonts w:hint="eastAsia" w:ascii="宋体" w:hAnsi="宋体" w:cs="宋体"/>
                <w:color w:val="000000"/>
                <w:kern w:val="0"/>
                <w:sz w:val="21"/>
                <w:szCs w:val="21"/>
                <w:lang w:val="en-US" w:eastAsia="zh-CN" w:bidi="ar"/>
              </w:rPr>
              <w:t>30</w:t>
            </w:r>
            <w:r>
              <w:rPr>
                <w:rFonts w:hint="eastAsia" w:ascii="宋体" w:hAnsi="宋体" w:cs="宋体"/>
                <w:color w:val="000000"/>
                <w:kern w:val="0"/>
                <w:sz w:val="21"/>
                <w:szCs w:val="21"/>
                <w:lang w:bidi="ar"/>
              </w:rPr>
              <w:t>分）</w:t>
            </w:r>
          </w:p>
        </w:tc>
        <w:tc>
          <w:tcPr>
            <w:tcW w:w="1954" w:type="dxa"/>
            <w:tcBorders>
              <w:top w:val="single" w:color="auto" w:sz="4" w:space="0"/>
              <w:left w:val="single" w:color="auto" w:sz="4" w:space="0"/>
              <w:right w:val="single" w:color="auto" w:sz="4" w:space="0"/>
            </w:tcBorders>
            <w:shd w:val="clear" w:color="auto" w:fill="auto"/>
            <w:noWrap w:val="0"/>
            <w:vAlign w:val="center"/>
          </w:tcPr>
          <w:p w14:paraId="571C71D8">
            <w:pPr>
              <w:spacing w:before="100" w:beforeAutospacing="1" w:after="100" w:afterAutospacing="1"/>
              <w:jc w:val="center"/>
              <w:rPr>
                <w:rFonts w:hint="default"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类似项目业绩（</w:t>
            </w:r>
            <w:r>
              <w:rPr>
                <w:rFonts w:hint="eastAsia" w:ascii="宋体" w:hAnsi="宋体" w:eastAsia="宋体" w:cs="宋体"/>
                <w:b w:val="0"/>
                <w:bCs/>
                <w:color w:val="auto"/>
                <w:sz w:val="21"/>
                <w:szCs w:val="21"/>
                <w:lang w:val="en-US" w:eastAsia="zh-CN"/>
              </w:rPr>
              <w:t>10</w:t>
            </w:r>
            <w:r>
              <w:rPr>
                <w:rFonts w:hint="eastAsia" w:ascii="宋体" w:hAnsi="宋体" w:eastAsia="宋体" w:cs="宋体"/>
                <w:b w:val="0"/>
                <w:bCs/>
                <w:color w:val="auto"/>
                <w:sz w:val="21"/>
                <w:szCs w:val="21"/>
              </w:rPr>
              <w:t>分）</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B93906">
            <w:pPr>
              <w:pStyle w:val="56"/>
              <w:spacing w:line="330" w:lineRule="exact"/>
              <w:rPr>
                <w:rFonts w:hint="eastAsia" w:ascii="宋体" w:hAnsi="宋体" w:eastAsia="宋体" w:cs="宋体"/>
                <w:b w:val="0"/>
                <w:bCs/>
                <w:color w:val="auto"/>
                <w:sz w:val="21"/>
                <w:szCs w:val="21"/>
              </w:rPr>
            </w:pPr>
            <w:r>
              <w:rPr>
                <w:rFonts w:hint="eastAsia" w:ascii="宋体" w:hAnsi="宋体" w:eastAsia="宋体" w:cs="宋体"/>
                <w:sz w:val="21"/>
                <w:szCs w:val="21"/>
                <w:highlight w:val="none"/>
              </w:rPr>
              <w:t>202</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年</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月1日至今</w:t>
            </w:r>
            <w:r>
              <w:rPr>
                <w:rFonts w:hint="eastAsia" w:ascii="宋体" w:hAnsi="宋体" w:eastAsia="宋体" w:cs="宋体"/>
                <w:b w:val="0"/>
                <w:bCs/>
                <w:color w:val="auto"/>
                <w:sz w:val="21"/>
                <w:szCs w:val="21"/>
              </w:rPr>
              <w:t>有类似</w:t>
            </w:r>
            <w:r>
              <w:rPr>
                <w:rFonts w:hint="eastAsia" w:ascii="宋体" w:hAnsi="宋体" w:eastAsia="宋体" w:cs="宋体"/>
                <w:b w:val="0"/>
                <w:bCs/>
                <w:color w:val="auto"/>
                <w:sz w:val="21"/>
                <w:szCs w:val="21"/>
                <w:lang w:val="en-US"/>
              </w:rPr>
              <w:t>项目</w:t>
            </w:r>
            <w:r>
              <w:rPr>
                <w:rFonts w:hint="eastAsia" w:ascii="宋体" w:hAnsi="宋体" w:eastAsia="宋体" w:cs="宋体"/>
                <w:b w:val="0"/>
                <w:bCs/>
                <w:color w:val="auto"/>
                <w:sz w:val="21"/>
                <w:szCs w:val="21"/>
              </w:rPr>
              <w:t>业绩，在一项基础上，每增加一项得2，最多得</w:t>
            </w:r>
            <w:r>
              <w:rPr>
                <w:rFonts w:hint="eastAsia" w:ascii="宋体" w:hAnsi="宋体" w:eastAsia="宋体" w:cs="宋体"/>
                <w:b w:val="0"/>
                <w:bCs/>
                <w:color w:val="auto"/>
                <w:sz w:val="21"/>
                <w:szCs w:val="21"/>
                <w:lang w:val="en-US" w:eastAsia="zh-CN"/>
              </w:rPr>
              <w:t>10</w:t>
            </w:r>
            <w:r>
              <w:rPr>
                <w:rFonts w:hint="eastAsia" w:ascii="宋体" w:hAnsi="宋体" w:eastAsia="宋体" w:cs="宋体"/>
                <w:b w:val="0"/>
                <w:bCs/>
                <w:color w:val="auto"/>
                <w:sz w:val="21"/>
                <w:szCs w:val="21"/>
              </w:rPr>
              <w:t>分；</w:t>
            </w:r>
          </w:p>
          <w:p w14:paraId="6566D05A">
            <w:pPr>
              <w:widowControl w:val="0"/>
              <w:rPr>
                <w:rFonts w:hint="eastAsia" w:ascii="宋体" w:hAnsi="宋体" w:eastAsia="宋体" w:cs="宋体"/>
                <w:b w:val="0"/>
                <w:bCs/>
                <w:color w:val="auto"/>
                <w:kern w:val="2"/>
                <w:sz w:val="21"/>
                <w:szCs w:val="21"/>
                <w:lang w:val="zh-CN" w:eastAsia="zh-CN" w:bidi="ar-SA"/>
              </w:rPr>
            </w:pPr>
            <w:r>
              <w:rPr>
                <w:rFonts w:hint="eastAsia" w:ascii="宋体" w:hAnsi="宋体" w:eastAsia="宋体" w:cs="宋体"/>
                <w:b w:val="0"/>
                <w:bCs/>
                <w:color w:val="auto"/>
                <w:sz w:val="21"/>
                <w:szCs w:val="21"/>
              </w:rPr>
              <w:t>（须提供中标通知书或合同协议书复印件加盖公司公章）</w:t>
            </w:r>
          </w:p>
        </w:tc>
      </w:tr>
      <w:tr w14:paraId="04790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1077" w:type="dxa"/>
            <w:vMerge w:val="continue"/>
            <w:tcBorders>
              <w:left w:val="single" w:color="auto" w:sz="4" w:space="0"/>
              <w:right w:val="single" w:color="auto" w:sz="4" w:space="0"/>
            </w:tcBorders>
            <w:noWrap w:val="0"/>
            <w:vAlign w:val="center"/>
          </w:tcPr>
          <w:p w14:paraId="535995F2">
            <w:pPr>
              <w:spacing w:line="460" w:lineRule="exact"/>
              <w:jc w:val="center"/>
              <w:rPr>
                <w:rFonts w:hint="eastAsia" w:ascii="宋体" w:hAnsi="宋体" w:cs="宋体"/>
                <w:bCs/>
                <w:sz w:val="21"/>
                <w:szCs w:val="21"/>
                <w:lang w:val="zh-CN"/>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075A8CC0">
            <w:pPr>
              <w:jc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sz w:val="21"/>
                <w:szCs w:val="21"/>
              </w:rPr>
              <w:t>技术负责人</w:t>
            </w:r>
            <w:r>
              <w:rPr>
                <w:rFonts w:hint="eastAsia" w:ascii="宋体" w:hAnsi="宋体" w:eastAsia="宋体" w:cs="宋体"/>
                <w:sz w:val="21"/>
                <w:szCs w:val="21"/>
                <w:lang w:val="en-US" w:eastAsia="zh-CN"/>
              </w:rPr>
              <w:t>业绩（4分）</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B7AC65">
            <w:pPr>
              <w:widowControl w:val="0"/>
              <w:rPr>
                <w:rFonts w:hint="eastAsia" w:ascii="宋体" w:hAnsi="宋体" w:eastAsia="宋体" w:cs="宋体"/>
                <w:b/>
                <w:bCs/>
                <w:color w:val="000000" w:themeColor="text1"/>
                <w:kern w:val="2"/>
                <w:sz w:val="21"/>
                <w:szCs w:val="21"/>
                <w:lang w:val="zh-CN" w:eastAsia="zh-CN" w:bidi="ar-SA"/>
              </w:rPr>
            </w:pPr>
            <w:r>
              <w:rPr>
                <w:rFonts w:hint="eastAsia" w:ascii="宋体" w:hAnsi="宋体" w:eastAsia="宋体" w:cs="宋体"/>
                <w:sz w:val="21"/>
                <w:szCs w:val="21"/>
                <w:highlight w:val="none"/>
              </w:rPr>
              <w:t>202</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年</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月1日至今</w:t>
            </w:r>
            <w:r>
              <w:rPr>
                <w:rFonts w:hint="eastAsia" w:ascii="宋体" w:hAnsi="宋体" w:eastAsia="宋体" w:cs="宋体"/>
                <w:sz w:val="21"/>
                <w:szCs w:val="21"/>
              </w:rPr>
              <w:t>完过类似</w:t>
            </w:r>
            <w:r>
              <w:rPr>
                <w:rFonts w:hint="eastAsia" w:ascii="宋体" w:hAnsi="宋体" w:cs="宋体"/>
                <w:sz w:val="21"/>
                <w:szCs w:val="21"/>
                <w:lang w:val="en-US" w:eastAsia="zh-CN"/>
              </w:rPr>
              <w:t>项目</w:t>
            </w:r>
            <w:r>
              <w:rPr>
                <w:rFonts w:hint="eastAsia" w:ascii="宋体" w:hAnsi="宋体" w:eastAsia="宋体" w:cs="宋体"/>
                <w:sz w:val="21"/>
                <w:szCs w:val="21"/>
              </w:rPr>
              <w:t>业绩，每项加2分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最多得4分</w:t>
            </w:r>
            <w:r>
              <w:rPr>
                <w:rFonts w:hint="eastAsia" w:ascii="宋体" w:hAnsi="宋体" w:eastAsia="宋体" w:cs="宋体"/>
                <w:sz w:val="21"/>
                <w:szCs w:val="21"/>
              </w:rPr>
              <w:t>。（业绩加分需提供中标通知书或合同</w:t>
            </w:r>
            <w:r>
              <w:rPr>
                <w:rFonts w:hint="eastAsia" w:ascii="宋体" w:hAnsi="宋体" w:cs="宋体"/>
                <w:sz w:val="21"/>
                <w:szCs w:val="21"/>
                <w:lang w:val="en-US" w:eastAsia="zh-CN"/>
              </w:rPr>
              <w:t>复印</w:t>
            </w:r>
            <w:r>
              <w:rPr>
                <w:rFonts w:hint="eastAsia" w:ascii="宋体" w:hAnsi="宋体" w:eastAsia="宋体" w:cs="宋体"/>
                <w:sz w:val="21"/>
                <w:szCs w:val="21"/>
              </w:rPr>
              <w:t>件</w:t>
            </w:r>
            <w:r>
              <w:rPr>
                <w:rFonts w:hint="eastAsia" w:ascii="宋体" w:hAnsi="宋体" w:cs="宋体"/>
                <w:sz w:val="21"/>
                <w:szCs w:val="21"/>
                <w:lang w:val="en-US" w:eastAsia="zh-CN"/>
              </w:rPr>
              <w:t>并加盖公章</w:t>
            </w:r>
            <w:r>
              <w:rPr>
                <w:rFonts w:hint="eastAsia" w:ascii="宋体" w:hAnsi="宋体" w:eastAsia="宋体" w:cs="宋体"/>
                <w:sz w:val="21"/>
                <w:szCs w:val="21"/>
              </w:rPr>
              <w:t>）</w:t>
            </w:r>
          </w:p>
        </w:tc>
      </w:tr>
      <w:tr w14:paraId="154E4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077" w:type="dxa"/>
            <w:vMerge w:val="continue"/>
            <w:tcBorders>
              <w:left w:val="single" w:color="auto" w:sz="4" w:space="0"/>
              <w:right w:val="single" w:color="auto" w:sz="4" w:space="0"/>
            </w:tcBorders>
            <w:noWrap w:val="0"/>
            <w:vAlign w:val="center"/>
          </w:tcPr>
          <w:p w14:paraId="0929D893">
            <w:pPr>
              <w:spacing w:line="460" w:lineRule="exact"/>
              <w:jc w:val="center"/>
              <w:rPr>
                <w:rFonts w:hint="eastAsia" w:ascii="宋体" w:hAnsi="宋体" w:cs="宋体"/>
                <w:bCs/>
                <w:sz w:val="21"/>
                <w:szCs w:val="21"/>
                <w:lang w:val="zh-CN"/>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469EC5B4">
            <w:pPr>
              <w:spacing w:before="100" w:beforeAutospacing="1" w:after="100" w:afterAutospacing="1"/>
              <w:jc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项目执行团队人员配置（</w:t>
            </w:r>
            <w:r>
              <w:rPr>
                <w:rFonts w:hint="eastAsia" w:ascii="宋体" w:hAnsi="宋体" w:eastAsia="宋体" w:cs="宋体"/>
                <w:b w:val="0"/>
                <w:bCs/>
                <w:color w:val="auto"/>
                <w:sz w:val="21"/>
                <w:szCs w:val="21"/>
                <w:lang w:val="en-US" w:eastAsia="zh-CN"/>
              </w:rPr>
              <w:t>6</w:t>
            </w:r>
            <w:r>
              <w:rPr>
                <w:rFonts w:hint="eastAsia" w:ascii="宋体" w:hAnsi="宋体" w:eastAsia="宋体" w:cs="宋体"/>
                <w:b w:val="0"/>
                <w:bCs/>
                <w:color w:val="auto"/>
                <w:sz w:val="21"/>
                <w:szCs w:val="21"/>
              </w:rPr>
              <w:t>分）</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2AF61D">
            <w:pPr>
              <w:pStyle w:val="56"/>
              <w:spacing w:before="6"/>
              <w:ind w:left="108"/>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人员配备齐全，完善，满足要求，服务人员具有与其相对应的注册证书或职称证书或学历证书，对人员配备情况进行比较，优得</w:t>
            </w:r>
            <w:r>
              <w:rPr>
                <w:rFonts w:hint="eastAsia" w:ascii="宋体" w:hAnsi="宋体" w:eastAsia="宋体" w:cs="宋体"/>
                <w:color w:val="000000" w:themeColor="text1"/>
                <w:sz w:val="21"/>
                <w:szCs w:val="21"/>
                <w:lang w:val="en-US" w:eastAsia="zh-CN"/>
              </w:rPr>
              <w:t>6</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eastAsia="zh-CN"/>
              </w:rPr>
              <w:t>4</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eastAsia="zh-CN"/>
              </w:rPr>
              <w:t>3</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rPr>
              <w:t>1</w:t>
            </w:r>
            <w:r>
              <w:rPr>
                <w:rFonts w:hint="eastAsia" w:ascii="宋体" w:hAnsi="宋体" w:eastAsia="宋体" w:cs="宋体"/>
                <w:color w:val="000000" w:themeColor="text1"/>
                <w:sz w:val="21"/>
                <w:szCs w:val="21"/>
              </w:rPr>
              <w:t>分，差不得分。</w:t>
            </w:r>
          </w:p>
          <w:p w14:paraId="2BAFAA7D">
            <w:pPr>
              <w:widowControl w:val="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bCs/>
                <w:color w:val="000000" w:themeColor="text1"/>
                <w:sz w:val="21"/>
                <w:szCs w:val="21"/>
              </w:rPr>
              <w:t>投标文件内附人员相对应的注册证书或职称证书或学历证书。</w:t>
            </w:r>
          </w:p>
        </w:tc>
      </w:tr>
      <w:tr w14:paraId="2CD7C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1077" w:type="dxa"/>
            <w:vMerge w:val="continue"/>
            <w:tcBorders>
              <w:left w:val="single" w:color="auto" w:sz="4" w:space="0"/>
              <w:right w:val="single" w:color="auto" w:sz="4" w:space="0"/>
            </w:tcBorders>
            <w:noWrap w:val="0"/>
            <w:vAlign w:val="center"/>
          </w:tcPr>
          <w:p w14:paraId="4C744DBC">
            <w:pPr>
              <w:spacing w:line="460" w:lineRule="exact"/>
              <w:jc w:val="center"/>
              <w:rPr>
                <w:rFonts w:hint="eastAsia" w:ascii="宋体" w:hAnsi="宋体" w:cs="宋体"/>
                <w:bCs/>
                <w:sz w:val="21"/>
                <w:szCs w:val="21"/>
                <w:lang w:val="zh-CN"/>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795FDF0D">
            <w:pPr>
              <w:jc w:val="center"/>
              <w:rPr>
                <w:rFonts w:hint="eastAsia" w:ascii="宋体" w:hAnsi="宋体" w:eastAsia="宋体" w:cs="宋体"/>
                <w:kern w:val="2"/>
                <w:sz w:val="21"/>
                <w:szCs w:val="21"/>
                <w:lang w:val="en-US" w:eastAsia="zh-CN" w:bidi="ar-SA"/>
              </w:rPr>
            </w:pPr>
            <w:r>
              <w:rPr>
                <w:rFonts w:hint="eastAsia" w:ascii="宋体" w:hAnsi="宋体" w:eastAsia="宋体" w:cs="宋体"/>
                <w:bCs/>
                <w:sz w:val="21"/>
                <w:szCs w:val="21"/>
              </w:rPr>
              <w:t>优惠条件</w:t>
            </w:r>
            <w:r>
              <w:rPr>
                <w:rFonts w:hint="eastAsia" w:ascii="宋体" w:hAnsi="宋体" w:eastAsia="宋体" w:cs="宋体"/>
                <w:bCs/>
                <w:sz w:val="21"/>
                <w:szCs w:val="21"/>
                <w:lang w:eastAsia="zh-CN"/>
              </w:rPr>
              <w:t>（</w:t>
            </w:r>
            <w:r>
              <w:rPr>
                <w:rFonts w:hint="eastAsia" w:ascii="宋体" w:hAnsi="宋体" w:eastAsia="宋体" w:cs="宋体"/>
                <w:bCs/>
                <w:sz w:val="21"/>
                <w:szCs w:val="21"/>
                <w:lang w:val="en-US" w:eastAsia="zh-CN"/>
              </w:rPr>
              <w:t>5分</w:t>
            </w:r>
            <w:r>
              <w:rPr>
                <w:rFonts w:hint="eastAsia" w:ascii="宋体" w:hAnsi="宋体" w:eastAsia="宋体" w:cs="宋体"/>
                <w:bCs/>
                <w:sz w:val="21"/>
                <w:szCs w:val="21"/>
                <w:lang w:eastAsia="zh-CN"/>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B22DD2">
            <w:pPr>
              <w:pStyle w:val="52"/>
              <w:spacing w:line="280" w:lineRule="exact"/>
              <w:rPr>
                <w:rFonts w:hint="eastAsia" w:ascii="宋体" w:hAnsi="宋体" w:eastAsia="宋体" w:cs="宋体"/>
                <w:kern w:val="0"/>
                <w:sz w:val="21"/>
                <w:szCs w:val="21"/>
                <w:lang w:val="en-US" w:eastAsia="en-US" w:bidi="ar-SA"/>
              </w:rPr>
            </w:pPr>
            <w:r>
              <w:rPr>
                <w:rFonts w:hint="eastAsia" w:ascii="宋体" w:hAnsi="宋体" w:eastAsia="宋体" w:cs="宋体"/>
                <w:sz w:val="21"/>
                <w:szCs w:val="21"/>
              </w:rPr>
              <w:t>对投标人提出的招标人可以接受的合理优惠条件进行综合评价，综合评价优得</w:t>
            </w:r>
            <w:r>
              <w:rPr>
                <w:rFonts w:hint="eastAsia" w:ascii="宋体" w:hAnsi="宋体" w:eastAsia="宋体" w:cs="宋体"/>
                <w:sz w:val="21"/>
                <w:szCs w:val="21"/>
                <w:lang w:val="en-US" w:eastAsia="zh-CN"/>
              </w:rPr>
              <w:t>5</w:t>
            </w:r>
            <w:r>
              <w:rPr>
                <w:rFonts w:hint="eastAsia" w:ascii="宋体" w:hAnsi="宋体" w:eastAsia="宋体" w:cs="宋体"/>
                <w:sz w:val="21"/>
                <w:szCs w:val="21"/>
              </w:rPr>
              <w:t>分，良得</w:t>
            </w:r>
            <w:r>
              <w:rPr>
                <w:rFonts w:hint="eastAsia" w:ascii="宋体" w:hAnsi="宋体" w:eastAsia="宋体" w:cs="宋体"/>
                <w:sz w:val="21"/>
                <w:szCs w:val="21"/>
                <w:lang w:val="en-US" w:eastAsia="zh-CN"/>
              </w:rPr>
              <w:t>4-3</w:t>
            </w:r>
            <w:r>
              <w:rPr>
                <w:rFonts w:hint="eastAsia" w:ascii="宋体" w:hAnsi="宋体" w:eastAsia="宋体" w:cs="宋体"/>
                <w:sz w:val="21"/>
                <w:szCs w:val="21"/>
              </w:rPr>
              <w:t>分，一般得</w:t>
            </w:r>
            <w:r>
              <w:rPr>
                <w:rFonts w:hint="eastAsia" w:ascii="宋体" w:hAnsi="宋体" w:eastAsia="宋体" w:cs="宋体"/>
                <w:sz w:val="21"/>
                <w:szCs w:val="21"/>
                <w:lang w:val="en-US" w:eastAsia="zh-CN"/>
              </w:rPr>
              <w:t>2-1</w:t>
            </w:r>
            <w:r>
              <w:rPr>
                <w:rFonts w:hint="eastAsia" w:ascii="宋体" w:hAnsi="宋体" w:eastAsia="宋体" w:cs="宋体"/>
                <w:sz w:val="21"/>
                <w:szCs w:val="21"/>
              </w:rPr>
              <w:t>分，无不得分。</w:t>
            </w:r>
          </w:p>
        </w:tc>
      </w:tr>
      <w:tr w14:paraId="1CF1C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1077" w:type="dxa"/>
            <w:vMerge w:val="continue"/>
            <w:tcBorders>
              <w:left w:val="single" w:color="auto" w:sz="4" w:space="0"/>
              <w:right w:val="single" w:color="auto" w:sz="4" w:space="0"/>
            </w:tcBorders>
            <w:noWrap w:val="0"/>
            <w:vAlign w:val="center"/>
          </w:tcPr>
          <w:p w14:paraId="5D1A5AE9">
            <w:pPr>
              <w:spacing w:line="460" w:lineRule="exact"/>
              <w:jc w:val="center"/>
              <w:rPr>
                <w:rFonts w:hint="eastAsia" w:ascii="宋体" w:hAnsi="宋体" w:cs="宋体"/>
                <w:bCs/>
                <w:sz w:val="21"/>
                <w:szCs w:val="21"/>
                <w:lang w:val="zh-CN"/>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035F3DCC">
            <w:pPr>
              <w:jc w:val="center"/>
              <w:rPr>
                <w:rFonts w:hint="eastAsia" w:ascii="宋体" w:hAnsi="宋体" w:eastAsia="宋体" w:cs="宋体"/>
                <w:kern w:val="2"/>
                <w:sz w:val="21"/>
                <w:szCs w:val="21"/>
                <w:lang w:val="en-US" w:eastAsia="zh-CN" w:bidi="ar-SA"/>
              </w:rPr>
            </w:pPr>
            <w:r>
              <w:rPr>
                <w:rFonts w:hint="eastAsia" w:ascii="宋体" w:hAnsi="宋体" w:eastAsia="宋体" w:cs="宋体"/>
                <w:bCs/>
                <w:sz w:val="21"/>
                <w:szCs w:val="21"/>
              </w:rPr>
              <w:t>服务承诺</w:t>
            </w:r>
            <w:r>
              <w:rPr>
                <w:rFonts w:hint="eastAsia" w:ascii="宋体" w:hAnsi="宋体" w:eastAsia="宋体" w:cs="宋体"/>
                <w:bCs/>
                <w:sz w:val="21"/>
                <w:szCs w:val="21"/>
                <w:lang w:eastAsia="zh-CN"/>
              </w:rPr>
              <w:t>（</w:t>
            </w:r>
            <w:r>
              <w:rPr>
                <w:rFonts w:hint="eastAsia" w:ascii="宋体" w:hAnsi="宋体" w:eastAsia="宋体" w:cs="宋体"/>
                <w:bCs/>
                <w:sz w:val="21"/>
                <w:szCs w:val="21"/>
                <w:lang w:val="en-US" w:eastAsia="zh-CN"/>
              </w:rPr>
              <w:t>5分</w:t>
            </w:r>
            <w:r>
              <w:rPr>
                <w:rFonts w:hint="eastAsia" w:ascii="宋体" w:hAnsi="宋体" w:eastAsia="宋体" w:cs="宋体"/>
                <w:bCs/>
                <w:sz w:val="21"/>
                <w:szCs w:val="21"/>
                <w:lang w:eastAsia="zh-CN"/>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8A3479">
            <w:pPr>
              <w:pStyle w:val="52"/>
              <w:spacing w:line="280" w:lineRule="exact"/>
              <w:rPr>
                <w:rFonts w:hint="eastAsia" w:ascii="宋体" w:hAnsi="宋体" w:eastAsia="宋体" w:cs="宋体"/>
                <w:kern w:val="0"/>
                <w:sz w:val="21"/>
                <w:szCs w:val="21"/>
                <w:lang w:val="en-US" w:eastAsia="en-US" w:bidi="ar-SA"/>
              </w:rPr>
            </w:pPr>
            <w:r>
              <w:rPr>
                <w:rFonts w:hint="eastAsia" w:ascii="宋体" w:hAnsi="宋体" w:eastAsia="宋体" w:cs="宋体"/>
                <w:sz w:val="21"/>
                <w:szCs w:val="21"/>
              </w:rPr>
              <w:t>对投标人提出的招标人可以接受的合理服务承诺进行综合评价，综合评价优得</w:t>
            </w:r>
            <w:r>
              <w:rPr>
                <w:rFonts w:hint="eastAsia" w:ascii="宋体" w:hAnsi="宋体" w:eastAsia="宋体" w:cs="宋体"/>
                <w:sz w:val="21"/>
                <w:szCs w:val="21"/>
                <w:lang w:val="en-US" w:eastAsia="zh-CN"/>
              </w:rPr>
              <w:t>5</w:t>
            </w:r>
            <w:r>
              <w:rPr>
                <w:rFonts w:hint="eastAsia" w:ascii="宋体" w:hAnsi="宋体" w:eastAsia="宋体" w:cs="宋体"/>
                <w:sz w:val="21"/>
                <w:szCs w:val="21"/>
              </w:rPr>
              <w:t>分，良得</w:t>
            </w:r>
            <w:r>
              <w:rPr>
                <w:rFonts w:hint="eastAsia" w:ascii="宋体" w:hAnsi="宋体" w:eastAsia="宋体" w:cs="宋体"/>
                <w:sz w:val="21"/>
                <w:szCs w:val="21"/>
                <w:lang w:val="en-US" w:eastAsia="zh-CN"/>
              </w:rPr>
              <w:t>4-3</w:t>
            </w:r>
            <w:r>
              <w:rPr>
                <w:rFonts w:hint="eastAsia" w:ascii="宋体" w:hAnsi="宋体" w:eastAsia="宋体" w:cs="宋体"/>
                <w:sz w:val="21"/>
                <w:szCs w:val="21"/>
              </w:rPr>
              <w:t>分，一般得</w:t>
            </w:r>
            <w:r>
              <w:rPr>
                <w:rFonts w:hint="eastAsia" w:ascii="宋体" w:hAnsi="宋体" w:eastAsia="宋体" w:cs="宋体"/>
                <w:sz w:val="21"/>
                <w:szCs w:val="21"/>
                <w:lang w:val="en-US" w:eastAsia="zh-CN"/>
              </w:rPr>
              <w:t>2-1</w:t>
            </w:r>
            <w:r>
              <w:rPr>
                <w:rFonts w:hint="eastAsia" w:ascii="宋体" w:hAnsi="宋体" w:eastAsia="宋体" w:cs="宋体"/>
                <w:sz w:val="21"/>
                <w:szCs w:val="21"/>
              </w:rPr>
              <w:t>分，无不得分。</w:t>
            </w:r>
          </w:p>
        </w:tc>
      </w:tr>
      <w:tr w14:paraId="74431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1077" w:type="dxa"/>
            <w:vMerge w:val="restart"/>
            <w:tcBorders>
              <w:top w:val="single" w:color="auto" w:sz="4" w:space="0"/>
              <w:left w:val="single" w:color="auto" w:sz="4" w:space="0"/>
              <w:right w:val="single" w:color="auto" w:sz="4" w:space="0"/>
            </w:tcBorders>
            <w:noWrap w:val="0"/>
            <w:vAlign w:val="center"/>
          </w:tcPr>
          <w:p w14:paraId="1BA5B6F5">
            <w:pPr>
              <w:widowControl/>
              <w:spacing w:line="460" w:lineRule="exact"/>
              <w:jc w:val="center"/>
              <w:textAlignment w:val="center"/>
              <w:rPr>
                <w:rFonts w:hint="eastAsia" w:ascii="宋体" w:hAnsi="宋体" w:cs="宋体"/>
                <w:bCs/>
                <w:sz w:val="21"/>
                <w:szCs w:val="21"/>
              </w:rPr>
            </w:pPr>
            <w:r>
              <w:rPr>
                <w:rFonts w:hint="eastAsia" w:ascii="宋体" w:hAnsi="宋体" w:cs="宋体"/>
                <w:color w:val="000000"/>
                <w:kern w:val="0"/>
                <w:sz w:val="21"/>
                <w:szCs w:val="21"/>
                <w:lang w:bidi="ar"/>
              </w:rPr>
              <w:t>技术部分（</w:t>
            </w:r>
            <w:r>
              <w:rPr>
                <w:rFonts w:hint="eastAsia" w:ascii="宋体" w:hAnsi="宋体" w:cs="宋体"/>
                <w:color w:val="000000"/>
                <w:kern w:val="0"/>
                <w:sz w:val="21"/>
                <w:szCs w:val="21"/>
                <w:lang w:val="en-US" w:eastAsia="zh-CN" w:bidi="ar"/>
              </w:rPr>
              <w:t>50</w:t>
            </w:r>
            <w:r>
              <w:rPr>
                <w:rFonts w:hint="eastAsia" w:ascii="宋体" w:hAnsi="宋体" w:cs="宋体"/>
                <w:color w:val="000000"/>
                <w:kern w:val="0"/>
                <w:sz w:val="21"/>
                <w:szCs w:val="21"/>
                <w:lang w:bidi="ar"/>
              </w:rPr>
              <w:t>分）</w:t>
            </w:r>
          </w:p>
        </w:tc>
        <w:tc>
          <w:tcPr>
            <w:tcW w:w="1954" w:type="dxa"/>
            <w:tcBorders>
              <w:top w:val="single" w:color="auto" w:sz="4" w:space="0"/>
              <w:left w:val="single" w:color="auto" w:sz="4" w:space="0"/>
              <w:right w:val="single" w:color="auto" w:sz="4" w:space="0"/>
            </w:tcBorders>
            <w:shd w:val="clear" w:color="auto" w:fill="auto"/>
            <w:noWrap w:val="0"/>
            <w:vAlign w:val="center"/>
          </w:tcPr>
          <w:p w14:paraId="1A7B1EA2">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right="0"/>
              <w:jc w:val="center"/>
              <w:textAlignment w:val="baseline"/>
              <w:rPr>
                <w:rFonts w:hint="eastAsia" w:ascii="宋体" w:hAnsi="宋体" w:eastAsia="宋体" w:cs="宋体"/>
                <w:kern w:val="2"/>
                <w:sz w:val="21"/>
                <w:szCs w:val="21"/>
                <w:highlight w:val="none"/>
                <w:lang w:val="en-US" w:eastAsia="zh-CN" w:bidi="ar"/>
              </w:rPr>
            </w:pPr>
            <w:r>
              <w:rPr>
                <w:rFonts w:hint="eastAsia" w:ascii="宋体" w:hAnsi="宋体" w:eastAsia="宋体" w:cs="宋体"/>
                <w:bCs/>
                <w:color w:val="000000" w:themeColor="text1"/>
                <w:sz w:val="21"/>
                <w:szCs w:val="21"/>
              </w:rPr>
              <w:t>服务方案</w:t>
            </w:r>
            <w:r>
              <w:rPr>
                <w:rFonts w:hint="eastAsia" w:ascii="宋体" w:hAnsi="宋体" w:eastAsia="宋体" w:cs="宋体"/>
                <w:color w:val="000000" w:themeColor="text1"/>
                <w:sz w:val="21"/>
                <w:szCs w:val="21"/>
              </w:rPr>
              <w:t>内容完整性和编制水平</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lang w:val="en-US" w:eastAsia="zh-CN"/>
              </w:rPr>
              <w:t>5</w:t>
            </w:r>
            <w:r>
              <w:rPr>
                <w:rFonts w:hint="eastAsia" w:ascii="宋体" w:hAnsi="宋体" w:eastAsia="宋体" w:cs="宋体"/>
                <w:color w:val="000000" w:themeColor="text1"/>
                <w:sz w:val="21"/>
                <w:szCs w:val="21"/>
              </w:rPr>
              <w:t>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04B3CEB">
            <w:pPr>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jc w:val="left"/>
              <w:textAlignment w:val="baseline"/>
              <w:rPr>
                <w:rFonts w:hint="eastAsia" w:ascii="宋体" w:hAnsi="宋体" w:eastAsia="宋体" w:cs="宋体"/>
                <w:kern w:val="0"/>
                <w:sz w:val="21"/>
                <w:szCs w:val="21"/>
                <w:highlight w:val="none"/>
                <w:lang w:val="en-US" w:eastAsia="zh-CN" w:bidi="ar-SA"/>
              </w:rPr>
            </w:pPr>
            <w:r>
              <w:rPr>
                <w:rFonts w:hint="eastAsia" w:ascii="宋体" w:hAnsi="宋体" w:eastAsia="宋体" w:cs="宋体"/>
                <w:color w:val="000000" w:themeColor="text1"/>
                <w:sz w:val="21"/>
                <w:szCs w:val="21"/>
              </w:rPr>
              <w:t>根据服务方案内容完整性和编制水平进行比较，内容完整、合理、可行；优得</w:t>
            </w:r>
            <w:r>
              <w:rPr>
                <w:rFonts w:hint="eastAsia" w:ascii="宋体" w:hAnsi="宋体" w:eastAsia="宋体" w:cs="宋体"/>
                <w:color w:val="000000" w:themeColor="text1"/>
                <w:sz w:val="21"/>
                <w:szCs w:val="21"/>
                <w:lang w:val="en-US" w:eastAsia="zh-CN"/>
              </w:rPr>
              <w:t>5</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eastAsia="zh-CN"/>
              </w:rPr>
              <w:t>4</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eastAsia="zh-CN"/>
              </w:rPr>
              <w:t>3</w:t>
            </w:r>
            <w:r>
              <w:rPr>
                <w:rFonts w:hint="eastAsia" w:ascii="宋体" w:hAnsi="宋体" w:eastAsia="宋体" w:cs="宋体"/>
                <w:color w:val="000000" w:themeColor="text1"/>
                <w:sz w:val="21"/>
                <w:szCs w:val="21"/>
                <w:lang w:val="en-US"/>
              </w:rPr>
              <w:t>-1</w:t>
            </w:r>
            <w:r>
              <w:rPr>
                <w:rFonts w:hint="eastAsia" w:ascii="宋体" w:hAnsi="宋体" w:eastAsia="宋体" w:cs="宋体"/>
                <w:color w:val="000000" w:themeColor="text1"/>
                <w:sz w:val="21"/>
                <w:szCs w:val="21"/>
              </w:rPr>
              <w:t>分，无不得分。</w:t>
            </w:r>
          </w:p>
        </w:tc>
      </w:tr>
      <w:tr w14:paraId="5C13A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jc w:val="center"/>
        </w:trPr>
        <w:tc>
          <w:tcPr>
            <w:tcW w:w="1077" w:type="dxa"/>
            <w:vMerge w:val="continue"/>
            <w:tcBorders>
              <w:left w:val="single" w:color="auto" w:sz="4" w:space="0"/>
              <w:right w:val="single" w:color="auto" w:sz="4" w:space="0"/>
            </w:tcBorders>
            <w:noWrap w:val="0"/>
            <w:vAlign w:val="center"/>
          </w:tcPr>
          <w:p w14:paraId="41A9959B">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67548369">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服务依据、工作目标</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rPr>
              <w:t>6分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3D6B39">
            <w:pPr>
              <w:pStyle w:val="56"/>
              <w:spacing w:before="34" w:line="266" w:lineRule="auto"/>
              <w:ind w:left="108" w:leftChars="0" w:right="-29" w:righ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themeColor="text1"/>
                <w:sz w:val="21"/>
                <w:szCs w:val="21"/>
              </w:rPr>
              <w:t>根据服务依据、工作目标进行比较，内容完整、合理、可行；优得6-4分，一般得3-1分，无不得分。</w:t>
            </w:r>
          </w:p>
        </w:tc>
      </w:tr>
      <w:tr w14:paraId="62DCD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077" w:type="dxa"/>
            <w:vMerge w:val="continue"/>
            <w:tcBorders>
              <w:left w:val="single" w:color="auto" w:sz="4" w:space="0"/>
              <w:right w:val="single" w:color="auto" w:sz="4" w:space="0"/>
            </w:tcBorders>
            <w:noWrap w:val="0"/>
            <w:vAlign w:val="center"/>
          </w:tcPr>
          <w:p w14:paraId="7BF30BB3">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48C01736">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机构设置、岗位职责</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rPr>
              <w:t>6分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977176">
            <w:pPr>
              <w:pStyle w:val="56"/>
              <w:spacing w:before="34" w:line="266" w:lineRule="auto"/>
              <w:ind w:left="108" w:leftChars="0" w:right="-29" w:righ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themeColor="text1"/>
                <w:sz w:val="21"/>
                <w:szCs w:val="21"/>
              </w:rPr>
              <w:t xml:space="preserve">根据机构设置和岗位职责进行比较，内容完整、合理、可行；优得6-4分，一般得3-1分，无不得分。        </w:t>
            </w:r>
          </w:p>
        </w:tc>
      </w:tr>
      <w:tr w14:paraId="1FF28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77" w:type="dxa"/>
            <w:vMerge w:val="continue"/>
            <w:tcBorders>
              <w:left w:val="single" w:color="auto" w:sz="4" w:space="0"/>
              <w:right w:val="single" w:color="auto" w:sz="4" w:space="0"/>
            </w:tcBorders>
            <w:noWrap w:val="0"/>
            <w:vAlign w:val="center"/>
          </w:tcPr>
          <w:p w14:paraId="6165F620">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761BFDE2">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项目说明和方案</w:t>
            </w:r>
            <w:r>
              <w:rPr>
                <w:rFonts w:hint="eastAsia" w:ascii="宋体" w:hAnsi="宋体" w:eastAsia="宋体" w:cs="宋体"/>
                <w:color w:val="000000" w:themeColor="text1"/>
                <w:sz w:val="21"/>
                <w:szCs w:val="21"/>
                <w:lang w:val="en-US"/>
              </w:rPr>
              <w:t>(10</w:t>
            </w:r>
            <w:r>
              <w:rPr>
                <w:rFonts w:hint="eastAsia" w:ascii="宋体" w:hAnsi="宋体" w:eastAsia="宋体" w:cs="宋体"/>
                <w:color w:val="000000" w:themeColor="text1"/>
                <w:sz w:val="21"/>
                <w:szCs w:val="21"/>
              </w:rPr>
              <w:t>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1868B3">
            <w:pPr>
              <w:pStyle w:val="56"/>
              <w:spacing w:before="34" w:line="266" w:lineRule="auto"/>
              <w:ind w:left="108" w:leftChars="0" w:right="-29" w:righ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themeColor="text1"/>
                <w:sz w:val="21"/>
                <w:szCs w:val="21"/>
              </w:rPr>
              <w:t>根据项目说明和方案进行比较，内容完整、合理、可行；优得</w:t>
            </w:r>
            <w:r>
              <w:rPr>
                <w:rFonts w:hint="eastAsia" w:ascii="宋体" w:hAnsi="宋体" w:eastAsia="宋体" w:cs="宋体"/>
                <w:color w:val="000000" w:themeColor="text1"/>
                <w:sz w:val="21"/>
                <w:szCs w:val="21"/>
                <w:lang w:val="en-US"/>
              </w:rPr>
              <w:t>10</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rPr>
              <w:t>5</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rPr>
              <w:t>4</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rPr>
              <w:t>1</w:t>
            </w:r>
            <w:r>
              <w:rPr>
                <w:rFonts w:hint="eastAsia" w:ascii="宋体" w:hAnsi="宋体" w:eastAsia="宋体" w:cs="宋体"/>
                <w:color w:val="000000" w:themeColor="text1"/>
                <w:sz w:val="21"/>
                <w:szCs w:val="21"/>
              </w:rPr>
              <w:t>分，无不得分。</w:t>
            </w:r>
          </w:p>
        </w:tc>
      </w:tr>
      <w:tr w14:paraId="2F2AA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1077" w:type="dxa"/>
            <w:vMerge w:val="continue"/>
            <w:tcBorders>
              <w:left w:val="single" w:color="auto" w:sz="4" w:space="0"/>
              <w:right w:val="single" w:color="auto" w:sz="4" w:space="0"/>
            </w:tcBorders>
            <w:noWrap w:val="0"/>
            <w:vAlign w:val="center"/>
          </w:tcPr>
          <w:p w14:paraId="776D0E4E">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right w:val="single" w:color="auto" w:sz="4" w:space="0"/>
            </w:tcBorders>
            <w:shd w:val="clear" w:color="auto" w:fill="auto"/>
            <w:noWrap w:val="0"/>
            <w:vAlign w:val="center"/>
          </w:tcPr>
          <w:p w14:paraId="69FA488F">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质量保证措施</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lang w:val="en-US" w:eastAsia="zh-CN"/>
              </w:rPr>
              <w:t>6</w:t>
            </w:r>
            <w:r>
              <w:rPr>
                <w:rFonts w:hint="eastAsia" w:ascii="宋体" w:hAnsi="宋体" w:eastAsia="宋体" w:cs="宋体"/>
                <w:color w:val="000000" w:themeColor="text1"/>
                <w:sz w:val="21"/>
                <w:szCs w:val="21"/>
              </w:rPr>
              <w:t>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B467D4">
            <w:pPr>
              <w:pStyle w:val="56"/>
              <w:spacing w:before="34" w:line="266" w:lineRule="auto"/>
              <w:ind w:left="108" w:leftChars="0" w:right="-29" w:righ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themeColor="text1"/>
                <w:sz w:val="21"/>
                <w:szCs w:val="21"/>
              </w:rPr>
              <w:t>根据质量保证措施进行比较，内容完整、合理、可行；优得6-4分，一般得3-1分，无不得分。，无不得分。</w:t>
            </w:r>
          </w:p>
        </w:tc>
      </w:tr>
      <w:tr w14:paraId="071C5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1077" w:type="dxa"/>
            <w:vMerge w:val="continue"/>
            <w:tcBorders>
              <w:left w:val="single" w:color="auto" w:sz="4" w:space="0"/>
              <w:right w:val="single" w:color="auto" w:sz="4" w:space="0"/>
            </w:tcBorders>
            <w:noWrap w:val="0"/>
            <w:vAlign w:val="center"/>
          </w:tcPr>
          <w:p w14:paraId="03EA0DD1">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ED7A71">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right="0"/>
              <w:textAlignment w:val="baseline"/>
              <w:rPr>
                <w:rFonts w:hint="eastAsia" w:ascii="宋体" w:hAnsi="宋体" w:eastAsia="宋体" w:cs="宋体"/>
                <w:b w:val="0"/>
                <w:bCs w:val="0"/>
                <w:color w:val="auto"/>
                <w:kern w:val="2"/>
                <w:sz w:val="21"/>
                <w:szCs w:val="21"/>
                <w:lang w:val="en-US" w:eastAsia="zh-CN" w:bidi="zh-CN"/>
              </w:rPr>
            </w:pPr>
            <w:r>
              <w:rPr>
                <w:rFonts w:hint="eastAsia" w:ascii="宋体" w:hAnsi="宋体" w:eastAsia="宋体" w:cs="宋体"/>
                <w:b w:val="0"/>
                <w:bCs w:val="0"/>
                <w:color w:val="auto"/>
                <w:kern w:val="2"/>
                <w:sz w:val="21"/>
                <w:szCs w:val="21"/>
                <w:lang w:val="en-US" w:eastAsia="zh-CN" w:bidi="zh-CN"/>
              </w:rPr>
              <w:t>保密措施（6分）</w:t>
            </w:r>
          </w:p>
          <w:p w14:paraId="4A20A9B7">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jc w:val="center"/>
              <w:textAlignment w:val="baseline"/>
              <w:rPr>
                <w:rFonts w:hint="eastAsia" w:ascii="宋体" w:hAnsi="宋体" w:eastAsia="宋体" w:cs="宋体"/>
                <w:kern w:val="2"/>
                <w:sz w:val="21"/>
                <w:szCs w:val="21"/>
                <w:highlight w:val="none"/>
                <w:lang w:val="en-US" w:eastAsia="zh-CN" w:bidi="ar"/>
              </w:rPr>
            </w:pP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3221B3">
            <w:pPr>
              <w:pStyle w:val="19"/>
              <w:keepNext w:val="0"/>
              <w:keepLines w:val="0"/>
              <w:pageBreakBefore w:val="0"/>
              <w:suppressLineNumbers w:val="0"/>
              <w:kinsoku/>
              <w:wordWrap/>
              <w:overflowPunct/>
              <w:topLinePunct w:val="0"/>
              <w:bidi w:val="0"/>
              <w:adjustRightInd/>
              <w:snapToGrid w:val="0"/>
              <w:spacing w:before="0" w:beforeAutospacing="0" w:after="0" w:afterAutospacing="0" w:line="300" w:lineRule="exact"/>
              <w:ind w:left="0" w:leftChars="0" w:right="0" w:rightChars="0"/>
              <w:textAlignment w:val="baseline"/>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kern w:val="2"/>
                <w:sz w:val="21"/>
                <w:szCs w:val="21"/>
                <w:lang w:val="zh-CN" w:eastAsia="zh-CN" w:bidi="zh-CN"/>
              </w:rPr>
              <w:t>（</w:t>
            </w:r>
            <w:r>
              <w:rPr>
                <w:rFonts w:hint="eastAsia" w:ascii="宋体" w:hAnsi="宋体" w:eastAsia="宋体" w:cs="宋体"/>
                <w:color w:val="auto"/>
                <w:kern w:val="2"/>
                <w:sz w:val="21"/>
                <w:szCs w:val="21"/>
                <w:lang w:val="en-US" w:eastAsia="zh-CN" w:bidi="zh-CN"/>
              </w:rPr>
              <w:t>1</w:t>
            </w:r>
            <w:r>
              <w:rPr>
                <w:rFonts w:hint="eastAsia" w:ascii="宋体" w:hAnsi="宋体" w:eastAsia="宋体" w:cs="宋体"/>
                <w:color w:val="auto"/>
                <w:kern w:val="2"/>
                <w:sz w:val="21"/>
                <w:szCs w:val="21"/>
                <w:lang w:val="zh-CN" w:eastAsia="zh-CN" w:bidi="zh-CN"/>
              </w:rPr>
              <w:t>）具备严谨的保密制度，保密措施</w:t>
            </w:r>
            <w:r>
              <w:rPr>
                <w:rFonts w:hint="eastAsia" w:ascii="宋体" w:hAnsi="宋体" w:eastAsia="宋体" w:cs="宋体"/>
                <w:color w:val="000000" w:themeColor="text1"/>
                <w:sz w:val="21"/>
                <w:szCs w:val="21"/>
              </w:rPr>
              <w:t>进行比较，内容完整、合理、可行；优得6-4分，一般得3-1分，无不得分。</w:t>
            </w:r>
          </w:p>
        </w:tc>
      </w:tr>
      <w:tr w14:paraId="42FCD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077" w:type="dxa"/>
            <w:vMerge w:val="continue"/>
            <w:tcBorders>
              <w:left w:val="single" w:color="auto" w:sz="4" w:space="0"/>
              <w:right w:val="single" w:color="auto" w:sz="4" w:space="0"/>
            </w:tcBorders>
            <w:noWrap w:val="0"/>
            <w:vAlign w:val="center"/>
          </w:tcPr>
          <w:p w14:paraId="700C1D68">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C8A1F4">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工作重点、难点分析</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lang w:val="en-US" w:eastAsia="zh-CN"/>
              </w:rPr>
              <w:t>6</w:t>
            </w:r>
            <w:r>
              <w:rPr>
                <w:rFonts w:hint="eastAsia" w:ascii="宋体" w:hAnsi="宋体" w:eastAsia="宋体" w:cs="宋体"/>
                <w:color w:val="000000" w:themeColor="text1"/>
                <w:sz w:val="21"/>
                <w:szCs w:val="21"/>
              </w:rPr>
              <w:t>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E59462">
            <w:pPr>
              <w:pStyle w:val="56"/>
              <w:spacing w:before="34" w:line="266" w:lineRule="auto"/>
              <w:ind w:left="108" w:leftChars="0" w:right="-29" w:rightChars="0"/>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themeColor="text1"/>
                <w:sz w:val="21"/>
                <w:szCs w:val="21"/>
              </w:rPr>
              <w:t>根据工作重点、难点分析进行比较，内容完整、合理、可行；优得6-4分，一般得3-1分，无不得分。</w:t>
            </w:r>
          </w:p>
        </w:tc>
      </w:tr>
      <w:tr w14:paraId="71EE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077" w:type="dxa"/>
            <w:vMerge w:val="continue"/>
            <w:tcBorders>
              <w:left w:val="single" w:color="auto" w:sz="4" w:space="0"/>
              <w:right w:val="single" w:color="auto" w:sz="4" w:space="0"/>
            </w:tcBorders>
            <w:noWrap w:val="0"/>
            <w:vAlign w:val="center"/>
          </w:tcPr>
          <w:p w14:paraId="18914E67">
            <w:pPr>
              <w:widowControl/>
              <w:spacing w:line="460" w:lineRule="exact"/>
              <w:jc w:val="center"/>
              <w:textAlignment w:val="center"/>
              <w:rPr>
                <w:rFonts w:hint="eastAsia" w:ascii="宋体" w:hAnsi="宋体" w:cs="宋体"/>
                <w:color w:val="000000"/>
                <w:kern w:val="0"/>
                <w:sz w:val="21"/>
                <w:szCs w:val="21"/>
                <w:lang w:bidi="ar"/>
              </w:rPr>
            </w:pPr>
          </w:p>
        </w:tc>
        <w:tc>
          <w:tcPr>
            <w:tcW w:w="19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A99771">
            <w:pPr>
              <w:pStyle w:val="56"/>
              <w:spacing w:before="34" w:line="266" w:lineRule="auto"/>
              <w:ind w:left="108" w:leftChars="0" w:right="-29" w:rightChars="0"/>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themeColor="text1"/>
                <w:sz w:val="21"/>
                <w:szCs w:val="21"/>
              </w:rPr>
              <w:t>合理化建议</w:t>
            </w:r>
            <w:r>
              <w:rPr>
                <w:rFonts w:hint="eastAsia" w:ascii="宋体" w:hAnsi="宋体" w:eastAsia="宋体" w:cs="宋体"/>
                <w:color w:val="000000" w:themeColor="text1"/>
                <w:sz w:val="21"/>
                <w:szCs w:val="21"/>
                <w:lang w:val="en-US"/>
              </w:rPr>
              <w:t>(</w:t>
            </w:r>
            <w:r>
              <w:rPr>
                <w:rFonts w:hint="eastAsia" w:ascii="宋体" w:hAnsi="宋体" w:eastAsia="宋体" w:cs="宋体"/>
                <w:color w:val="000000" w:themeColor="text1"/>
                <w:sz w:val="21"/>
                <w:szCs w:val="21"/>
                <w:lang w:val="en-US" w:eastAsia="zh-CN"/>
              </w:rPr>
              <w:t>5</w:t>
            </w:r>
            <w:r>
              <w:rPr>
                <w:rFonts w:hint="eastAsia" w:ascii="宋体" w:hAnsi="宋体" w:eastAsia="宋体" w:cs="宋体"/>
                <w:color w:val="000000" w:themeColor="text1"/>
                <w:sz w:val="21"/>
                <w:szCs w:val="21"/>
              </w:rPr>
              <w:t>分</w:t>
            </w:r>
            <w:r>
              <w:rPr>
                <w:rFonts w:hint="eastAsia" w:ascii="宋体" w:hAnsi="宋体" w:eastAsia="宋体" w:cs="宋体"/>
                <w:color w:val="000000" w:themeColor="text1"/>
                <w:sz w:val="21"/>
                <w:szCs w:val="21"/>
                <w:lang w:val="en-US"/>
              </w:rPr>
              <w:t>)</w:t>
            </w:r>
          </w:p>
        </w:tc>
        <w:tc>
          <w:tcPr>
            <w:tcW w:w="5500" w:type="dxa"/>
            <w:tcBorders>
              <w:top w:val="single" w:color="auto" w:sz="4" w:space="0"/>
              <w:left w:val="single" w:color="auto" w:sz="4" w:space="0"/>
              <w:right w:val="single" w:color="auto" w:sz="4" w:space="0"/>
            </w:tcBorders>
            <w:shd w:val="clear" w:color="auto" w:fill="auto"/>
            <w:noWrap w:val="0"/>
            <w:vAlign w:val="center"/>
          </w:tcPr>
          <w:p w14:paraId="41EB5716">
            <w:pPr>
              <w:pStyle w:val="56"/>
              <w:spacing w:before="34" w:line="266" w:lineRule="auto"/>
              <w:ind w:left="108" w:leftChars="0" w:right="-29" w:rightChars="0"/>
              <w:rPr>
                <w:rFonts w:hint="eastAsia" w:ascii="宋体" w:hAnsi="宋体" w:eastAsia="宋体" w:cs="宋体"/>
                <w:color w:val="auto"/>
                <w:kern w:val="0"/>
                <w:sz w:val="21"/>
                <w:szCs w:val="21"/>
                <w:lang w:val="zh-CN" w:eastAsia="zh-CN" w:bidi="zh-CN"/>
              </w:rPr>
            </w:pPr>
            <w:r>
              <w:rPr>
                <w:rFonts w:hint="eastAsia" w:ascii="宋体" w:hAnsi="宋体" w:eastAsia="宋体" w:cs="宋体"/>
                <w:color w:val="000000" w:themeColor="text1"/>
                <w:sz w:val="21"/>
                <w:szCs w:val="21"/>
              </w:rPr>
              <w:t>根据合理化建议进行比较，内容完整、合理、可行；优得</w:t>
            </w:r>
            <w:r>
              <w:rPr>
                <w:rFonts w:hint="eastAsia" w:ascii="宋体" w:hAnsi="宋体" w:eastAsia="宋体" w:cs="宋体"/>
                <w:color w:val="000000" w:themeColor="text1"/>
                <w:sz w:val="21"/>
                <w:szCs w:val="21"/>
                <w:lang w:val="en-US" w:eastAsia="zh-CN"/>
              </w:rPr>
              <w:t>5</w:t>
            </w:r>
            <w:r>
              <w:rPr>
                <w:rFonts w:hint="eastAsia" w:ascii="宋体" w:hAnsi="宋体" w:eastAsia="宋体" w:cs="宋体"/>
                <w:color w:val="000000" w:themeColor="text1"/>
                <w:sz w:val="21"/>
                <w:szCs w:val="21"/>
              </w:rPr>
              <w:t>-</w:t>
            </w:r>
            <w:r>
              <w:rPr>
                <w:rFonts w:hint="eastAsia" w:ascii="宋体" w:hAnsi="宋体" w:eastAsia="宋体" w:cs="宋体"/>
                <w:color w:val="000000" w:themeColor="text1"/>
                <w:sz w:val="21"/>
                <w:szCs w:val="21"/>
                <w:lang w:val="en-US" w:eastAsia="zh-CN"/>
              </w:rPr>
              <w:t>4</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eastAsia="zh-CN"/>
              </w:rPr>
              <w:t>3</w:t>
            </w:r>
            <w:r>
              <w:rPr>
                <w:rFonts w:hint="eastAsia" w:ascii="宋体" w:hAnsi="宋体" w:eastAsia="宋体" w:cs="宋体"/>
                <w:color w:val="000000" w:themeColor="text1"/>
                <w:sz w:val="21"/>
                <w:szCs w:val="21"/>
                <w:lang w:val="en-US"/>
              </w:rPr>
              <w:t>-1</w:t>
            </w:r>
            <w:r>
              <w:rPr>
                <w:rFonts w:hint="eastAsia" w:ascii="宋体" w:hAnsi="宋体" w:eastAsia="宋体" w:cs="宋体"/>
                <w:color w:val="000000" w:themeColor="text1"/>
                <w:sz w:val="21"/>
                <w:szCs w:val="21"/>
              </w:rPr>
              <w:t>分，无不得分。</w:t>
            </w:r>
          </w:p>
        </w:tc>
      </w:tr>
    </w:tbl>
    <w:p w14:paraId="37C9B127">
      <w:pPr>
        <w:spacing w:line="360" w:lineRule="auto"/>
        <w:jc w:val="center"/>
        <w:rPr>
          <w:rFonts w:ascii="宋体" w:hAnsi="宋体"/>
          <w:sz w:val="26"/>
        </w:rPr>
      </w:pPr>
    </w:p>
    <w:p w14:paraId="5DF3D38E">
      <w:pPr>
        <w:widowControl/>
        <w:jc w:val="left"/>
        <w:rPr>
          <w:rFonts w:hint="eastAsia" w:ascii="宋体" w:hAnsi="宋体" w:eastAsia="宋体" w:cs="宋体"/>
          <w:b/>
          <w:bCs/>
          <w:sz w:val="24"/>
          <w:szCs w:val="24"/>
        </w:rPr>
      </w:pPr>
      <w:bookmarkStart w:id="235" w:name="_Toc6803"/>
      <w:bookmarkStart w:id="236" w:name="_Toc183492166"/>
      <w:bookmarkStart w:id="237" w:name="_Toc387647234"/>
      <w:r>
        <w:rPr>
          <w:rFonts w:hint="eastAsia" w:ascii="宋体" w:hAnsi="宋体" w:eastAsia="宋体" w:cs="宋体"/>
          <w:b/>
          <w:bCs/>
          <w:sz w:val="24"/>
          <w:szCs w:val="24"/>
        </w:rPr>
        <w:t>1.评审方法</w:t>
      </w:r>
      <w:bookmarkEnd w:id="235"/>
      <w:bookmarkEnd w:id="236"/>
      <w:bookmarkEnd w:id="237"/>
    </w:p>
    <w:p w14:paraId="1F13DAB5">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本次评审采用综合评分法</w:t>
      </w:r>
      <w:r>
        <w:rPr>
          <w:rFonts w:hint="eastAsia" w:ascii="宋体" w:hAnsi="宋体" w:eastAsia="宋体" w:cs="宋体"/>
          <w:sz w:val="24"/>
          <w:szCs w:val="24"/>
          <w:lang w:eastAsia="zh-CN"/>
        </w:rPr>
        <w:t>。</w:t>
      </w:r>
      <w:r>
        <w:rPr>
          <w:rFonts w:hint="eastAsia" w:ascii="宋体" w:hAnsi="宋体" w:eastAsia="宋体" w:cs="宋体"/>
          <w:sz w:val="24"/>
          <w:szCs w:val="24"/>
        </w:rPr>
        <w:t>是指响应文件满足磋商文件全部实质性要求且按评审因素的量化指标评审得分最高的供应商为成交候选供应商的评审方法。竞争性磋商小组对满足磋商文件全部实质性要求的响应文件，按照本章评标办法前附表（二）规定的评分标准进行打分，并按得分由高到低顺序推荐成交候选供应商，或根据采购人授权直接确定成交供应商，但磋商报价低于其成本的除外。评审得分相同的，按照最后报价由低到高的顺序推荐。评审得分且最后报价相同的，按照技术指标优劣顺序推荐。</w:t>
      </w:r>
    </w:p>
    <w:p w14:paraId="02C247C0">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eastAsia="宋体" w:cs="宋体"/>
          <w:b/>
          <w:bCs/>
          <w:sz w:val="24"/>
          <w:szCs w:val="24"/>
        </w:rPr>
      </w:pPr>
      <w:bookmarkStart w:id="238" w:name="_Toc183492167"/>
      <w:bookmarkStart w:id="239" w:name="_Toc14561"/>
      <w:bookmarkStart w:id="240" w:name="_Toc387647235"/>
      <w:r>
        <w:rPr>
          <w:rFonts w:hint="eastAsia" w:ascii="宋体" w:hAnsi="宋体" w:eastAsia="宋体" w:cs="宋体"/>
          <w:b/>
          <w:bCs/>
          <w:sz w:val="24"/>
          <w:szCs w:val="24"/>
        </w:rPr>
        <w:t>2.评审标准</w:t>
      </w:r>
      <w:bookmarkEnd w:id="238"/>
      <w:bookmarkEnd w:id="239"/>
      <w:bookmarkEnd w:id="240"/>
    </w:p>
    <w:p w14:paraId="176D810B">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bookmarkStart w:id="241" w:name="_Toc183492168"/>
      <w:bookmarkStart w:id="242" w:name="_Toc387647236"/>
      <w:r>
        <w:rPr>
          <w:rFonts w:hint="eastAsia" w:ascii="宋体" w:hAnsi="宋体" w:eastAsia="宋体" w:cs="宋体"/>
          <w:sz w:val="24"/>
          <w:szCs w:val="24"/>
        </w:rPr>
        <w:t>2.1初步评审标准</w:t>
      </w:r>
      <w:bookmarkEnd w:id="241"/>
      <w:bookmarkEnd w:id="242"/>
      <w:r>
        <w:rPr>
          <w:rFonts w:hint="eastAsia" w:ascii="宋体" w:hAnsi="宋体" w:eastAsia="宋体" w:cs="宋体"/>
          <w:sz w:val="24"/>
          <w:szCs w:val="24"/>
        </w:rPr>
        <w:t>（判定是否出现无效响应）</w:t>
      </w:r>
    </w:p>
    <w:p w14:paraId="18C099CB">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2.2 </w:t>
      </w:r>
      <w:bookmarkStart w:id="243" w:name="_Toc152045603"/>
      <w:bookmarkStart w:id="244" w:name="_Toc152042380"/>
      <w:bookmarkStart w:id="245" w:name="_Toc403382455"/>
      <w:bookmarkStart w:id="246" w:name="_Toc144974570"/>
      <w:bookmarkStart w:id="247" w:name="_Toc179632621"/>
      <w:r>
        <w:rPr>
          <w:rFonts w:hint="eastAsia" w:ascii="宋体" w:hAnsi="宋体" w:eastAsia="宋体" w:cs="宋体"/>
          <w:sz w:val="24"/>
          <w:szCs w:val="24"/>
        </w:rPr>
        <w:t>分值构成与评分标准</w:t>
      </w:r>
      <w:bookmarkEnd w:id="243"/>
      <w:bookmarkEnd w:id="244"/>
      <w:bookmarkEnd w:id="245"/>
      <w:bookmarkEnd w:id="246"/>
      <w:bookmarkEnd w:id="247"/>
    </w:p>
    <w:p w14:paraId="6E109F23">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2.2.1 分值构成</w:t>
      </w:r>
    </w:p>
    <w:p w14:paraId="6B65498B">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见评审办法前附表</w:t>
      </w:r>
    </w:p>
    <w:p w14:paraId="75F13023">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2.2.2 磋商基准价计算</w:t>
      </w:r>
    </w:p>
    <w:p w14:paraId="3CAF7C65">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（1）最后磋商报价确定方法：见评审办法前附表；</w:t>
      </w:r>
    </w:p>
    <w:p w14:paraId="3286CF83">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（2）磋商基准价计算方法：见评审办法前附表</w:t>
      </w:r>
    </w:p>
    <w:p w14:paraId="6133F6D5">
      <w:pPr>
        <w:keepNext w:val="0"/>
        <w:keepLines w:val="0"/>
        <w:pageBreakBefore w:val="0"/>
        <w:widowControl w:val="0"/>
        <w:kinsoku/>
        <w:wordWrap/>
        <w:overflowPunct/>
        <w:topLinePunct w:val="0"/>
        <w:autoSpaceDE/>
        <w:autoSpaceDN/>
        <w:bidi w:val="0"/>
        <w:adjustRightInd/>
        <w:snapToGrid/>
        <w:spacing w:line="58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2.2.3 评分标准：见评审办法前附表。</w:t>
      </w:r>
    </w:p>
    <w:p w14:paraId="48D453E5">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宋体" w:hAnsi="宋体" w:eastAsia="宋体" w:cs="宋体"/>
          <w:b/>
          <w:bCs/>
          <w:sz w:val="24"/>
          <w:szCs w:val="24"/>
        </w:rPr>
      </w:pPr>
      <w:bookmarkStart w:id="248" w:name="_Toc387647238"/>
      <w:bookmarkStart w:id="249" w:name="_Toc183492170"/>
      <w:bookmarkStart w:id="250" w:name="_Toc27668"/>
      <w:r>
        <w:rPr>
          <w:rFonts w:hint="eastAsia" w:ascii="宋体" w:hAnsi="宋体" w:eastAsia="宋体" w:cs="宋体"/>
          <w:b/>
          <w:bCs/>
          <w:sz w:val="24"/>
          <w:szCs w:val="24"/>
        </w:rPr>
        <w:t>3.</w:t>
      </w:r>
      <w:bookmarkEnd w:id="248"/>
      <w:bookmarkEnd w:id="249"/>
      <w:r>
        <w:rPr>
          <w:rFonts w:hint="eastAsia" w:ascii="宋体" w:hAnsi="宋体" w:eastAsia="宋体" w:cs="宋体"/>
          <w:b/>
          <w:bCs/>
          <w:sz w:val="24"/>
          <w:szCs w:val="24"/>
        </w:rPr>
        <w:t>评审程序</w:t>
      </w:r>
      <w:bookmarkEnd w:id="250"/>
    </w:p>
    <w:p w14:paraId="259E8B63">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bookmarkStart w:id="251" w:name="_Toc387647239"/>
      <w:bookmarkStart w:id="252" w:name="_Toc183492171"/>
      <w:r>
        <w:rPr>
          <w:rFonts w:hint="eastAsia" w:ascii="宋体" w:hAnsi="宋体" w:eastAsia="宋体" w:cs="宋体"/>
          <w:sz w:val="24"/>
          <w:szCs w:val="24"/>
        </w:rPr>
        <w:t>3.1初步评审</w:t>
      </w:r>
      <w:bookmarkEnd w:id="251"/>
      <w:bookmarkEnd w:id="252"/>
    </w:p>
    <w:p w14:paraId="235A8260">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3.1.1磋商小组依据本章第2.1款规定的标准对响应文件进行初步评审。有一项不符合评审标准的，磋商小组应当判定其响应文件无效。</w:t>
      </w:r>
    </w:p>
    <w:p w14:paraId="5051CB82">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3.1.2 磋商小组依据本章附件A：判定为无效响应的条件对响应文件进行初步评审。有一项不符合评审标准的，磋商小组应当判定其响应文件无效。</w:t>
      </w:r>
    </w:p>
    <w:p w14:paraId="68287BFD">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bookmarkStart w:id="253" w:name="_Toc387647241"/>
      <w:bookmarkStart w:id="254" w:name="_Toc183492173"/>
      <w:r>
        <w:rPr>
          <w:rFonts w:hint="eastAsia" w:ascii="宋体" w:hAnsi="宋体" w:eastAsia="宋体" w:cs="宋体"/>
          <w:sz w:val="24"/>
          <w:szCs w:val="24"/>
        </w:rPr>
        <w:t>3.2响应文件的澄清和补正</w:t>
      </w:r>
      <w:bookmarkEnd w:id="253"/>
      <w:bookmarkEnd w:id="254"/>
    </w:p>
    <w:p w14:paraId="386DC9A6">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3C6EF8C">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3.2.2磋商小组要求供应商澄清、说明或者更正响应文件应当以书面形式作出。供应商的澄清、说明或者更正应当由法定代表人、负责人或其授权代表签字或者加盖公章。由授权代表签字的，应当附法定代表人授权书。供应商为自然人的，应当由本人签字并附身份证明。</w:t>
      </w:r>
    </w:p>
    <w:p w14:paraId="4F56B71B">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3.3 供应商成本评审</w:t>
      </w:r>
    </w:p>
    <w:p w14:paraId="34047E22">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发现供应商的磋商最后报价明显低于其他磋商报价，使得其磋商报价可能低于其成本的，应当要求该供应商作出书面说明并提供相应的证明材料。供应商不能合理说明或者不能提供相应证明材料的，由磋商小组认定该供应商以低于成本竞争，判定其响应文件无效。</w:t>
      </w:r>
    </w:p>
    <w:p w14:paraId="4F93DCE1">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bookmarkStart w:id="255" w:name="_Toc183492174"/>
      <w:bookmarkStart w:id="256" w:name="_Toc387647242"/>
      <w:r>
        <w:rPr>
          <w:rFonts w:hint="eastAsia" w:ascii="宋体" w:hAnsi="宋体" w:eastAsia="宋体" w:cs="宋体"/>
          <w:sz w:val="24"/>
          <w:szCs w:val="24"/>
        </w:rPr>
        <w:t>3.4 详细评审</w:t>
      </w:r>
    </w:p>
    <w:p w14:paraId="69094A07">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3.4.1 磋商小组对通过了初步评审的响应文件进行详细评审。</w:t>
      </w:r>
    </w:p>
    <w:p w14:paraId="7C8663C5">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3.4.2 磋商小组按本章前附表（二）规定的量化因素和分值进行打分，并计算出综合评估得分。</w:t>
      </w:r>
    </w:p>
    <w:p w14:paraId="4B701922">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按本章评审办法前附表（二）目规定的评审因素和分值分别计算出得分A、B、C；</w:t>
      </w:r>
    </w:p>
    <w:p w14:paraId="6597BEA9">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.3 评分分值计算保留小数点后两位，小数点后第三位“四舍五入”。</w:t>
      </w:r>
    </w:p>
    <w:p w14:paraId="57C14AFC">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4</w:t>
      </w:r>
      <w:r>
        <w:rPr>
          <w:rFonts w:hint="eastAsia" w:ascii="宋体" w:hAnsi="宋体" w:eastAsia="宋体" w:cs="宋体"/>
          <w:sz w:val="24"/>
          <w:szCs w:val="24"/>
        </w:rPr>
        <w:t>.4 供应商得分=A+B+C。</w:t>
      </w:r>
    </w:p>
    <w:p w14:paraId="073789C2">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4</w:t>
      </w:r>
      <w:r>
        <w:rPr>
          <w:rFonts w:hint="eastAsia" w:ascii="宋体" w:hAnsi="宋体" w:eastAsia="宋体" w:cs="宋体"/>
          <w:sz w:val="24"/>
          <w:szCs w:val="24"/>
        </w:rPr>
        <w:t>.5 各供应商最终得分的确定办法为：所有磋商小组成员的综合评分的算术平均值。</w:t>
      </w:r>
    </w:p>
    <w:p w14:paraId="4A3090AD">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5</w:t>
      </w:r>
      <w:r>
        <w:rPr>
          <w:rFonts w:hint="eastAsia" w:ascii="宋体" w:hAnsi="宋体" w:eastAsia="宋体" w:cs="宋体"/>
          <w:sz w:val="24"/>
          <w:szCs w:val="24"/>
        </w:rPr>
        <w:t>评审结果</w:t>
      </w:r>
      <w:bookmarkEnd w:id="255"/>
      <w:bookmarkEnd w:id="256"/>
    </w:p>
    <w:p w14:paraId="536FB73B">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3.</w:t>
      </w:r>
      <w:r>
        <w:rPr>
          <w:rFonts w:hint="eastAsia" w:ascii="宋体" w:hAnsi="宋体" w:eastAsia="宋体" w:cs="宋体"/>
          <w:sz w:val="24"/>
          <w:szCs w:val="24"/>
          <w:lang w:val="en-US" w:eastAsia="zh-CN"/>
        </w:rPr>
        <w:t>5</w:t>
      </w:r>
      <w:r>
        <w:rPr>
          <w:rFonts w:hint="eastAsia" w:ascii="宋体" w:hAnsi="宋体" w:eastAsia="宋体" w:cs="宋体"/>
          <w:sz w:val="24"/>
          <w:szCs w:val="24"/>
        </w:rPr>
        <w:t>.1除第二章“供应商须知”前附表授权直接确定成交供应商外，竞争性磋商小组对满足磋商文件全部实质性要求的响应文件，按照本章第2.2款规定的评分标准进行打分，并按得分由高到低顺序推荐成交候选供应商，但磋商报价低于其成本的除外。评审得分相同的，按照最后报价由低到高的顺序推荐。评审得分且最后报价相同的，按照技术指标优劣顺序推荐。</w:t>
      </w:r>
    </w:p>
    <w:p w14:paraId="3E765FB7">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3.</w:t>
      </w:r>
      <w:r>
        <w:rPr>
          <w:rFonts w:hint="eastAsia" w:ascii="宋体" w:hAnsi="宋体" w:eastAsia="宋体" w:cs="宋体"/>
          <w:sz w:val="24"/>
          <w:szCs w:val="24"/>
          <w:lang w:val="en-US" w:eastAsia="zh-CN"/>
        </w:rPr>
        <w:t>5</w:t>
      </w:r>
      <w:r>
        <w:rPr>
          <w:rFonts w:hint="eastAsia" w:ascii="宋体" w:hAnsi="宋体" w:eastAsia="宋体" w:cs="宋体"/>
          <w:sz w:val="24"/>
          <w:szCs w:val="24"/>
        </w:rPr>
        <w:t>.2竞争性磋商文件允许多项目包响应、多项目包成交的，各项目包成交候选供应商的推荐按第二章“供应商须知”的规定执行，对某些项目包由此产生的空缺由排序在后的供应商依次替补。</w:t>
      </w:r>
    </w:p>
    <w:p w14:paraId="6306242D">
      <w:pPr>
        <w:keepNext w:val="0"/>
        <w:keepLines w:val="0"/>
        <w:pageBreakBefore w:val="0"/>
        <w:widowControl w:val="0"/>
        <w:kinsoku/>
        <w:wordWrap/>
        <w:overflowPunct/>
        <w:topLinePunct w:val="0"/>
        <w:autoSpaceDE/>
        <w:autoSpaceDN/>
        <w:bidi w:val="0"/>
        <w:adjustRightInd/>
        <w:snapToGrid/>
        <w:spacing w:line="5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.3 磋商小组完成评审后，应当向采购人提交书面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13E737B1">
      <w:pPr>
        <w:widowControl/>
        <w:ind w:firstLine="480" w:firstLineChars="200"/>
        <w:jc w:val="left"/>
        <w:rPr>
          <w:rFonts w:hint="eastAsia" w:ascii="宋体" w:hAnsi="宋体" w:eastAsia="宋体" w:cs="宋体"/>
          <w:sz w:val="24"/>
          <w:szCs w:val="24"/>
        </w:rPr>
      </w:pPr>
    </w:p>
    <w:p w14:paraId="6E51DE92">
      <w:pPr>
        <w:widowControl/>
        <w:ind w:firstLine="480" w:firstLineChars="200"/>
        <w:jc w:val="left"/>
        <w:rPr>
          <w:rFonts w:hint="eastAsia" w:ascii="宋体" w:hAnsi="宋体" w:eastAsia="宋体" w:cs="宋体"/>
          <w:sz w:val="24"/>
          <w:szCs w:val="24"/>
        </w:rPr>
      </w:pPr>
    </w:p>
    <w:p w14:paraId="4033DC1D">
      <w:pPr>
        <w:widowControl/>
        <w:ind w:firstLine="480" w:firstLineChars="200"/>
        <w:jc w:val="left"/>
        <w:rPr>
          <w:rFonts w:hint="eastAsia" w:ascii="宋体" w:hAnsi="宋体" w:eastAsia="宋体" w:cs="宋体"/>
          <w:sz w:val="24"/>
          <w:szCs w:val="24"/>
        </w:rPr>
      </w:pPr>
      <w:r>
        <w:rPr>
          <w:rFonts w:hint="eastAsia" w:ascii="宋体" w:hAnsi="宋体" w:eastAsia="宋体" w:cs="宋体"/>
          <w:sz w:val="24"/>
          <w:szCs w:val="24"/>
        </w:rPr>
        <w:t>评审标准附件A：判定为无效响应文件的条件</w:t>
      </w:r>
    </w:p>
    <w:p w14:paraId="0C07B1BD">
      <w:pPr>
        <w:spacing w:line="360" w:lineRule="auto"/>
        <w:ind w:firstLine="480" w:firstLineChars="200"/>
        <w:rPr>
          <w:rFonts w:hint="eastAsia" w:ascii="宋体" w:hAnsi="宋体" w:eastAsia="宋体" w:cs="宋体"/>
          <w:sz w:val="24"/>
          <w:szCs w:val="24"/>
        </w:rPr>
      </w:pPr>
      <w:bookmarkStart w:id="257" w:name="_Toc403382497"/>
      <w:r>
        <w:rPr>
          <w:rFonts w:hint="eastAsia" w:ascii="宋体" w:hAnsi="宋体" w:eastAsia="宋体" w:cs="宋体"/>
          <w:sz w:val="24"/>
          <w:szCs w:val="24"/>
        </w:rPr>
        <w:t>判定为无效响应文件的条件</w:t>
      </w:r>
    </w:p>
    <w:p w14:paraId="19B7B8E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A0.总  则</w:t>
      </w:r>
      <w:bookmarkEnd w:id="257"/>
    </w:p>
    <w:p w14:paraId="53BE0D1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附件所集中列示的无效响应的条件，是本章“评审办法”的组成部分，是对第二章“供应商须知”和本章正文部分所规定的判定为无效响应的条件的总结和补充，如果出现不一致的情况，以第二章“供应商须知”和本章前附表和正文部分的规定为准。</w:t>
      </w:r>
    </w:p>
    <w:p w14:paraId="50D11838">
      <w:pPr>
        <w:spacing w:line="360" w:lineRule="auto"/>
        <w:ind w:firstLine="480" w:firstLineChars="200"/>
        <w:rPr>
          <w:rFonts w:hint="eastAsia" w:ascii="宋体" w:hAnsi="宋体" w:eastAsia="宋体" w:cs="宋体"/>
          <w:sz w:val="24"/>
          <w:szCs w:val="24"/>
        </w:rPr>
      </w:pPr>
      <w:bookmarkStart w:id="258" w:name="_Toc403382498"/>
      <w:r>
        <w:rPr>
          <w:rFonts w:hint="eastAsia" w:ascii="宋体" w:hAnsi="宋体" w:eastAsia="宋体" w:cs="宋体"/>
          <w:sz w:val="24"/>
          <w:szCs w:val="24"/>
        </w:rPr>
        <w:t xml:space="preserve">A1. </w:t>
      </w:r>
      <w:bookmarkEnd w:id="258"/>
      <w:r>
        <w:rPr>
          <w:rFonts w:hint="eastAsia" w:ascii="宋体" w:hAnsi="宋体" w:eastAsia="宋体" w:cs="宋体"/>
          <w:sz w:val="24"/>
          <w:szCs w:val="24"/>
        </w:rPr>
        <w:t>无效响应文件的条件</w:t>
      </w:r>
    </w:p>
    <w:p w14:paraId="22CF623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供应商或其响应文件有下列情形之一的，磋商小组应当判定响应文件为无效：</w:t>
      </w:r>
    </w:p>
    <w:p w14:paraId="4397284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A1.1  在初步评审中，磋商小组认定供应商的响应文件不符合评审办法前附表中规定的任何一项评审标准的。</w:t>
      </w:r>
    </w:p>
    <w:p w14:paraId="596C501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A1.3  有串通响应或弄虚作假或有其他违法行为的。</w:t>
      </w:r>
    </w:p>
    <w:p w14:paraId="4BFD13E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A1.4  不按磋商小组要求澄清、说明或补正的。</w:t>
      </w:r>
    </w:p>
    <w:p w14:paraId="12B51C6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A1.5  磋商小组认定供应商以低于成本报价竞标的。</w:t>
      </w:r>
    </w:p>
    <w:p w14:paraId="210E301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A1.6  其他磋商小组认为属于无效响应文件的。</w:t>
      </w:r>
    </w:p>
    <w:p w14:paraId="7735BB1E">
      <w:pPr>
        <w:ind w:firstLine="480" w:firstLineChars="200"/>
        <w:rPr>
          <w:rFonts w:hint="eastAsia" w:ascii="宋体" w:hAnsi="宋体" w:eastAsia="宋体" w:cs="宋体"/>
          <w:sz w:val="24"/>
          <w:szCs w:val="24"/>
        </w:rPr>
      </w:pPr>
      <w:r>
        <w:rPr>
          <w:rFonts w:hint="eastAsia" w:ascii="宋体" w:hAnsi="宋体" w:eastAsia="宋体" w:cs="宋体"/>
          <w:sz w:val="24"/>
          <w:szCs w:val="24"/>
        </w:rPr>
        <w:t>A1.7 供应商法定代表人或其授权代理人未按时出席竞争性磋商会或出席竞争性磋商会时,未携带竞争性磋商文件要求出示的有效身份证件的；</w:t>
      </w:r>
    </w:p>
    <w:p w14:paraId="08F6359E">
      <w:pPr>
        <w:widowControl/>
        <w:jc w:val="left"/>
        <w:rPr>
          <w:rFonts w:hint="eastAsia"/>
          <w:sz w:val="28"/>
          <w:szCs w:val="28"/>
        </w:rPr>
      </w:pPr>
      <w:r>
        <w:rPr>
          <w:rFonts w:ascii="宋体" w:hAnsi="宋体"/>
          <w:sz w:val="28"/>
          <w:szCs w:val="28"/>
        </w:rPr>
        <w:br w:type="page"/>
      </w:r>
      <w:bookmarkStart w:id="259" w:name="_Toc505691143"/>
      <w:bookmarkStart w:id="260" w:name="_Toc403382830"/>
      <w:bookmarkStart w:id="261" w:name="_Toc10661"/>
      <w:bookmarkStart w:id="262" w:name="_Toc32756"/>
      <w:bookmarkStart w:id="263" w:name="_Toc10486"/>
    </w:p>
    <w:p w14:paraId="4AE94CE9">
      <w:pPr>
        <w:rPr>
          <w:rFonts w:hint="eastAsia"/>
          <w:sz w:val="28"/>
          <w:szCs w:val="28"/>
        </w:rPr>
      </w:pPr>
    </w:p>
    <w:p w14:paraId="720CF514">
      <w:pPr>
        <w:pStyle w:val="4"/>
        <w:jc w:val="center"/>
        <w:rPr>
          <w:rFonts w:ascii="宋体" w:hAnsi="宋体" w:cs="Times New Roman"/>
          <w:b/>
          <w:bCs/>
          <w:sz w:val="32"/>
          <w:szCs w:val="32"/>
        </w:rPr>
      </w:pPr>
      <w:r>
        <w:rPr>
          <w:rFonts w:hint="eastAsia"/>
          <w:sz w:val="32"/>
          <w:szCs w:val="32"/>
        </w:rPr>
        <w:t xml:space="preserve">第四章  </w:t>
      </w:r>
      <w:bookmarkEnd w:id="259"/>
      <w:bookmarkEnd w:id="260"/>
      <w:bookmarkEnd w:id="261"/>
      <w:bookmarkEnd w:id="262"/>
      <w:bookmarkEnd w:id="263"/>
      <w:bookmarkStart w:id="264" w:name="_Hlt535834178"/>
      <w:bookmarkEnd w:id="264"/>
      <w:bookmarkStart w:id="265" w:name="_Hlt3013627"/>
      <w:bookmarkEnd w:id="265"/>
      <w:r>
        <w:rPr>
          <w:rFonts w:ascii="宋体" w:hAnsi="宋体" w:eastAsia="宋体" w:cs="宋体"/>
          <w:b/>
          <w:bCs/>
          <w:spacing w:val="5"/>
          <w:sz w:val="32"/>
          <w:szCs w:val="32"/>
        </w:rPr>
        <w:t>合同条件及格式</w:t>
      </w:r>
    </w:p>
    <w:p w14:paraId="027F9CAC">
      <w:pPr>
        <w:spacing w:before="114" w:line="227" w:lineRule="auto"/>
        <w:ind w:left="3902" w:firstLine="233" w:firstLineChars="100"/>
        <w:rPr>
          <w:rFonts w:ascii="宋体" w:hAnsi="宋体" w:eastAsia="宋体" w:cs="宋体"/>
          <w:b/>
          <w:bCs/>
          <w:sz w:val="28"/>
          <w:szCs w:val="28"/>
        </w:rPr>
      </w:pPr>
      <w:bookmarkStart w:id="266" w:name="_Toc505691144"/>
      <w:bookmarkStart w:id="267" w:name="_Toc26625"/>
      <w:r>
        <w:rPr>
          <w:rFonts w:ascii="宋体" w:hAnsi="宋体" w:eastAsia="宋体" w:cs="宋体"/>
          <w:b/>
          <w:bCs/>
          <w:spacing w:val="-24"/>
          <w:sz w:val="28"/>
          <w:szCs w:val="28"/>
        </w:rPr>
        <w:t>(略)</w:t>
      </w:r>
    </w:p>
    <w:p w14:paraId="20BD6B72">
      <w:pPr>
        <w:spacing w:before="271" w:line="225" w:lineRule="auto"/>
        <w:ind w:left="2982" w:firstLine="538" w:firstLineChars="200"/>
        <w:rPr>
          <w:rFonts w:ascii="宋体" w:hAnsi="宋体" w:eastAsia="宋体" w:cs="宋体"/>
          <w:b/>
          <w:bCs/>
          <w:sz w:val="28"/>
          <w:szCs w:val="28"/>
        </w:rPr>
      </w:pPr>
      <w:r>
        <w:rPr>
          <w:rFonts w:ascii="宋体" w:hAnsi="宋体" w:eastAsia="宋体" w:cs="宋体"/>
          <w:b/>
          <w:bCs/>
          <w:spacing w:val="-6"/>
          <w:sz w:val="28"/>
          <w:szCs w:val="28"/>
        </w:rPr>
        <w:t>按双方约定制定</w:t>
      </w:r>
    </w:p>
    <w:p w14:paraId="4E8ECD6C">
      <w:pPr>
        <w:pStyle w:val="4"/>
        <w:jc w:val="center"/>
        <w:rPr>
          <w:rFonts w:hint="eastAsia"/>
        </w:rPr>
      </w:pPr>
    </w:p>
    <w:p w14:paraId="6CB95EDA">
      <w:pPr>
        <w:pStyle w:val="4"/>
        <w:jc w:val="center"/>
        <w:rPr>
          <w:rFonts w:hint="eastAsia"/>
        </w:rPr>
      </w:pPr>
    </w:p>
    <w:p w14:paraId="7F2363DE">
      <w:pPr>
        <w:pStyle w:val="4"/>
        <w:jc w:val="center"/>
        <w:rPr>
          <w:rFonts w:hint="eastAsia"/>
        </w:rPr>
      </w:pPr>
    </w:p>
    <w:p w14:paraId="24CC25E5">
      <w:pPr>
        <w:pStyle w:val="4"/>
        <w:jc w:val="center"/>
        <w:rPr>
          <w:rFonts w:hint="eastAsia"/>
        </w:rPr>
      </w:pPr>
    </w:p>
    <w:p w14:paraId="79C101D5">
      <w:pPr>
        <w:pStyle w:val="4"/>
        <w:jc w:val="both"/>
        <w:rPr>
          <w:rFonts w:hint="eastAsia"/>
        </w:rPr>
      </w:pPr>
    </w:p>
    <w:p w14:paraId="5639F0EC">
      <w:pPr>
        <w:rPr>
          <w:rFonts w:hint="eastAsia"/>
        </w:rPr>
      </w:pPr>
    </w:p>
    <w:p w14:paraId="7DF4FE73">
      <w:pPr>
        <w:rPr>
          <w:rFonts w:hint="eastAsia"/>
        </w:rPr>
      </w:pPr>
    </w:p>
    <w:p w14:paraId="0EAA11A1">
      <w:pPr>
        <w:rPr>
          <w:rFonts w:hint="eastAsia"/>
        </w:rPr>
      </w:pPr>
    </w:p>
    <w:p w14:paraId="4EA026F9">
      <w:pPr>
        <w:rPr>
          <w:rFonts w:hint="eastAsia"/>
        </w:rPr>
      </w:pPr>
    </w:p>
    <w:p w14:paraId="527230CB">
      <w:pPr>
        <w:rPr>
          <w:rFonts w:hint="eastAsia"/>
        </w:rPr>
      </w:pPr>
    </w:p>
    <w:p w14:paraId="4F49426C">
      <w:pPr>
        <w:rPr>
          <w:rFonts w:hint="eastAsia"/>
        </w:rPr>
      </w:pPr>
    </w:p>
    <w:p w14:paraId="647EDA22">
      <w:pPr>
        <w:rPr>
          <w:rFonts w:hint="eastAsia"/>
        </w:rPr>
      </w:pPr>
    </w:p>
    <w:p w14:paraId="725A3A34">
      <w:pPr>
        <w:rPr>
          <w:rFonts w:hint="eastAsia"/>
        </w:rPr>
      </w:pPr>
    </w:p>
    <w:p w14:paraId="3DDDF1D7">
      <w:pPr>
        <w:rPr>
          <w:rFonts w:hint="eastAsia"/>
        </w:rPr>
      </w:pPr>
    </w:p>
    <w:p w14:paraId="5EED673F">
      <w:pPr>
        <w:rPr>
          <w:rFonts w:hint="eastAsia"/>
        </w:rPr>
      </w:pPr>
    </w:p>
    <w:p w14:paraId="0F087333">
      <w:pPr>
        <w:rPr>
          <w:rFonts w:hint="eastAsia"/>
        </w:rPr>
      </w:pPr>
    </w:p>
    <w:p w14:paraId="6D5AB52F">
      <w:pPr>
        <w:rPr>
          <w:rFonts w:hint="eastAsia"/>
        </w:rPr>
      </w:pPr>
    </w:p>
    <w:p w14:paraId="52EF398C">
      <w:pPr>
        <w:rPr>
          <w:rFonts w:hint="eastAsia"/>
        </w:rPr>
      </w:pPr>
    </w:p>
    <w:p w14:paraId="0A663C79">
      <w:pPr>
        <w:rPr>
          <w:rFonts w:hint="eastAsia"/>
        </w:rPr>
      </w:pPr>
    </w:p>
    <w:p w14:paraId="5A221327">
      <w:pPr>
        <w:rPr>
          <w:rFonts w:hint="eastAsia"/>
        </w:rPr>
      </w:pPr>
    </w:p>
    <w:p w14:paraId="573E0909">
      <w:pPr>
        <w:rPr>
          <w:rFonts w:hint="eastAsia"/>
        </w:rPr>
      </w:pPr>
    </w:p>
    <w:p w14:paraId="14D081E8">
      <w:pPr>
        <w:rPr>
          <w:rFonts w:hint="eastAsia"/>
        </w:rPr>
      </w:pPr>
    </w:p>
    <w:p w14:paraId="37EAED44">
      <w:pPr>
        <w:rPr>
          <w:rFonts w:hint="eastAsia"/>
        </w:rPr>
      </w:pPr>
    </w:p>
    <w:p w14:paraId="2BC3D653">
      <w:pPr>
        <w:rPr>
          <w:rFonts w:hint="eastAsia"/>
        </w:rPr>
      </w:pPr>
    </w:p>
    <w:p w14:paraId="1693FD55">
      <w:pPr>
        <w:rPr>
          <w:rFonts w:hint="eastAsia"/>
        </w:rPr>
      </w:pPr>
    </w:p>
    <w:p w14:paraId="689F9B22">
      <w:pPr>
        <w:rPr>
          <w:rFonts w:hint="eastAsia"/>
        </w:rPr>
      </w:pPr>
    </w:p>
    <w:p w14:paraId="505C980A">
      <w:pPr>
        <w:rPr>
          <w:rFonts w:hint="eastAsia"/>
        </w:rPr>
      </w:pPr>
    </w:p>
    <w:p w14:paraId="79B8044C">
      <w:pPr>
        <w:rPr>
          <w:rFonts w:hint="eastAsia"/>
        </w:rPr>
      </w:pPr>
    </w:p>
    <w:p w14:paraId="50C8D74D">
      <w:pPr>
        <w:pStyle w:val="4"/>
        <w:jc w:val="center"/>
      </w:pPr>
      <w:r>
        <w:rPr>
          <w:rFonts w:hint="eastAsia"/>
        </w:rPr>
        <w:t xml:space="preserve">第五章  </w:t>
      </w:r>
      <w:bookmarkEnd w:id="266"/>
      <w:bookmarkEnd w:id="267"/>
      <w:r>
        <w:rPr>
          <w:rFonts w:ascii="宋体" w:hAnsi="宋体" w:eastAsia="宋体" w:cs="宋体"/>
          <w:b/>
          <w:bCs/>
          <w:spacing w:val="5"/>
          <w:sz w:val="32"/>
          <w:szCs w:val="32"/>
        </w:rPr>
        <w:t>技术标准与要求</w:t>
      </w:r>
    </w:p>
    <w:p w14:paraId="0CAE3D2F">
      <w:pPr>
        <w:pStyle w:val="57"/>
        <w:pageBreakBefore w:val="0"/>
        <w:widowControl w:val="0"/>
        <w:kinsoku/>
        <w:wordWrap/>
        <w:overflowPunct/>
        <w:topLinePunct w:val="0"/>
        <w:autoSpaceDE/>
        <w:autoSpaceDN/>
        <w:bidi w:val="0"/>
        <w:adjustRightInd/>
        <w:spacing w:before="0" w:after="0" w:line="560" w:lineRule="exact"/>
        <w:textAlignment w:val="auto"/>
        <w:rPr>
          <w:rFonts w:hint="eastAsia" w:ascii="宋体" w:hAnsi="宋体" w:eastAsia="宋体" w:cs="宋体"/>
          <w:sz w:val="24"/>
          <w:szCs w:val="24"/>
        </w:rPr>
      </w:pPr>
      <w:bookmarkStart w:id="268" w:name="_Toc326570699"/>
      <w:bookmarkStart w:id="269" w:name="_Toc324775707"/>
      <w:r>
        <w:rPr>
          <w:rFonts w:hint="eastAsia" w:ascii="宋体" w:hAnsi="宋体" w:eastAsia="宋体" w:cs="宋体"/>
          <w:sz w:val="24"/>
          <w:szCs w:val="24"/>
        </w:rPr>
        <w:t>主要工作任务</w:t>
      </w:r>
    </w:p>
    <w:p w14:paraId="3C28839D">
      <w:pPr>
        <w:pStyle w:val="58"/>
        <w:pageBreakBefore w:val="0"/>
        <w:widowControl w:val="0"/>
        <w:kinsoku/>
        <w:wordWrap/>
        <w:overflowPunct/>
        <w:topLinePunct w:val="0"/>
        <w:autoSpaceDE/>
        <w:autoSpaceDN/>
        <w:bidi w:val="0"/>
        <w:adjustRightInd/>
        <w:spacing w:line="56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 基础数据整理与</w:t>
      </w:r>
      <w:r>
        <w:rPr>
          <w:rFonts w:hint="eastAsia" w:cs="宋体"/>
          <w:sz w:val="24"/>
          <w:szCs w:val="24"/>
          <w:lang w:val="en-US" w:eastAsia="zh-CN"/>
        </w:rPr>
        <w:t>分析</w:t>
      </w:r>
    </w:p>
    <w:p w14:paraId="4F8C8C2D">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把从国家领取的变更基础数据：上一年度期末库、信息标注库、相关表格、本年度遥感监测成果、各类县级监管变化图斑等整理并分析，将本年度各类遥感监测图斑和自主变更图斑分发给外业人员。</w:t>
      </w:r>
    </w:p>
    <w:p w14:paraId="715328DB">
      <w:pPr>
        <w:pStyle w:val="2"/>
        <w:pageBreakBefore w:val="0"/>
        <w:numPr>
          <w:ilvl w:val="0"/>
          <w:numId w:val="4"/>
        </w:numPr>
        <w:kinsoku/>
        <w:wordWrap/>
        <w:overflowPunct/>
        <w:topLinePunct w:val="0"/>
        <w:autoSpaceDE/>
        <w:autoSpaceDN/>
        <w:bidi w:val="0"/>
        <w:adjustRightInd/>
        <w:spacing w:line="560" w:lineRule="exact"/>
        <w:textAlignment w:val="auto"/>
        <w:rPr>
          <w:rFonts w:hint="default" w:ascii="宋体" w:hAnsi="宋体" w:eastAsia="宋体" w:cs="宋体"/>
          <w:b/>
          <w:color w:val="000000"/>
          <w:kern w:val="2"/>
          <w:sz w:val="24"/>
          <w:szCs w:val="24"/>
          <w:lang w:val="en-US" w:eastAsia="zh-CN" w:bidi="ar-SA"/>
        </w:rPr>
      </w:pPr>
      <w:r>
        <w:rPr>
          <w:rFonts w:hint="eastAsia" w:ascii="宋体" w:hAnsi="宋体" w:eastAsia="宋体" w:cs="宋体"/>
          <w:b/>
          <w:color w:val="000000"/>
          <w:kern w:val="2"/>
          <w:sz w:val="24"/>
          <w:szCs w:val="24"/>
          <w:lang w:val="en-US" w:eastAsia="zh-CN" w:bidi="ar-SA"/>
        </w:rPr>
        <w:t>外业举证工作</w:t>
      </w:r>
    </w:p>
    <w:p w14:paraId="355858E4">
      <w:pPr>
        <w:pStyle w:val="59"/>
        <w:keepNext w:val="0"/>
        <w:keepLines w:val="0"/>
        <w:pageBreakBefore w:val="0"/>
        <w:numPr>
          <w:ilvl w:val="0"/>
          <w:numId w:val="0"/>
        </w:numPr>
        <w:kinsoku/>
        <w:wordWrap/>
        <w:overflowPunct/>
        <w:topLinePunct w:val="0"/>
        <w:autoSpaceDE/>
        <w:autoSpaceDN/>
        <w:bidi w:val="0"/>
        <w:adjustRightInd/>
        <w:spacing w:line="560" w:lineRule="exact"/>
        <w:ind w:firstLine="480" w:firstLineChars="200"/>
        <w:textAlignment w:val="auto"/>
        <w:rPr>
          <w:rFonts w:hint="eastAsia"/>
          <w:lang w:val="en-US" w:eastAsia="zh-CN"/>
        </w:rPr>
      </w:pPr>
      <w:r>
        <w:rPr>
          <w:rFonts w:hint="eastAsia" w:ascii="宋体" w:hAnsi="宋体" w:eastAsia="宋体" w:cs="宋体"/>
          <w:bCs/>
          <w:color w:val="auto"/>
          <w:kern w:val="44"/>
          <w:sz w:val="24"/>
          <w:szCs w:val="24"/>
          <w:lang w:val="en-US" w:eastAsia="zh-CN"/>
        </w:rPr>
        <w:t>根据内业分析下发的外业图斑，利用</w:t>
      </w:r>
      <w:r>
        <w:rPr>
          <w:rFonts w:hint="eastAsia" w:ascii="宋体" w:hAnsi="宋体" w:eastAsia="宋体" w:cs="宋体"/>
          <w:b w:val="0"/>
          <w:bCs/>
          <w:color w:val="auto"/>
          <w:spacing w:val="0"/>
          <w:kern w:val="44"/>
          <w:sz w:val="24"/>
          <w:szCs w:val="24"/>
          <w:lang w:val="en-US" w:eastAsia="zh-CN" w:bidi="ar-SA"/>
        </w:rPr>
        <w:t>利用“国土调查云”平台</w:t>
      </w:r>
      <w:r>
        <w:rPr>
          <w:rFonts w:hint="eastAsia" w:ascii="宋体" w:hAnsi="宋体" w:eastAsia="宋体" w:cs="宋体"/>
          <w:bCs/>
          <w:color w:val="auto"/>
          <w:kern w:val="44"/>
          <w:sz w:val="24"/>
          <w:szCs w:val="24"/>
          <w:lang w:val="en-US" w:eastAsia="zh-CN"/>
        </w:rPr>
        <w:t>开展逐图斑外业举证工作，外业举证工作严格按照202</w:t>
      </w:r>
      <w:r>
        <w:rPr>
          <w:rFonts w:hint="eastAsia" w:ascii="宋体" w:hAnsi="宋体" w:cs="宋体"/>
          <w:bCs/>
          <w:color w:val="auto"/>
          <w:kern w:val="44"/>
          <w:sz w:val="24"/>
          <w:szCs w:val="24"/>
          <w:lang w:val="en-US" w:eastAsia="zh-CN"/>
        </w:rPr>
        <w:t>4</w:t>
      </w:r>
      <w:r>
        <w:rPr>
          <w:rFonts w:hint="eastAsia" w:ascii="宋体" w:hAnsi="宋体" w:eastAsia="宋体" w:cs="宋体"/>
          <w:bCs/>
          <w:color w:val="auto"/>
          <w:kern w:val="44"/>
          <w:sz w:val="24"/>
          <w:szCs w:val="24"/>
          <w:lang w:val="en-US" w:eastAsia="zh-CN"/>
        </w:rPr>
        <w:t>年度全国国土变更调查工作视频培训要求开展外业举证工作，对于无法到达的和承诺</w:t>
      </w:r>
      <w:r>
        <w:rPr>
          <w:rFonts w:hint="eastAsia" w:ascii="宋体" w:hAnsi="宋体" w:cs="宋体"/>
          <w:bCs/>
          <w:color w:val="auto"/>
          <w:kern w:val="44"/>
          <w:sz w:val="24"/>
          <w:szCs w:val="24"/>
          <w:lang w:val="en-US" w:eastAsia="zh-CN"/>
        </w:rPr>
        <w:t>种植</w:t>
      </w:r>
      <w:r>
        <w:rPr>
          <w:rFonts w:hint="eastAsia" w:ascii="宋体" w:hAnsi="宋体" w:eastAsia="宋体" w:cs="宋体"/>
          <w:bCs/>
          <w:color w:val="auto"/>
          <w:kern w:val="44"/>
          <w:sz w:val="24"/>
          <w:szCs w:val="24"/>
          <w:lang w:val="en-US" w:eastAsia="zh-CN"/>
        </w:rPr>
        <w:t>图斑，按照培训要求填写好外业举证记录并做好说明</w:t>
      </w:r>
      <w:r>
        <w:rPr>
          <w:rFonts w:hint="eastAsia" w:ascii="宋体" w:hAnsi="宋体" w:cs="宋体"/>
          <w:bCs/>
          <w:color w:val="auto"/>
          <w:kern w:val="44"/>
          <w:sz w:val="24"/>
          <w:szCs w:val="24"/>
          <w:lang w:val="en-US" w:eastAsia="zh-CN"/>
        </w:rPr>
        <w:t>。</w:t>
      </w:r>
    </w:p>
    <w:p w14:paraId="11DF4BDE">
      <w:pPr>
        <w:pStyle w:val="58"/>
        <w:pageBreakBefore w:val="0"/>
        <w:widowControl w:val="0"/>
        <w:kinsoku/>
        <w:wordWrap/>
        <w:overflowPunct/>
        <w:topLinePunct w:val="0"/>
        <w:autoSpaceDE/>
        <w:autoSpaceDN/>
        <w:bidi w:val="0"/>
        <w:adjustRightInd/>
        <w:spacing w:line="560" w:lineRule="exact"/>
        <w:textAlignment w:val="auto"/>
        <w:rPr>
          <w:rFonts w:hint="eastAsia" w:ascii="宋体" w:hAnsi="宋体" w:eastAsia="宋体" w:cs="宋体"/>
          <w:sz w:val="24"/>
          <w:szCs w:val="24"/>
        </w:rPr>
      </w:pPr>
      <w:r>
        <w:rPr>
          <w:rFonts w:hint="eastAsia" w:cs="宋体"/>
          <w:sz w:val="24"/>
          <w:szCs w:val="24"/>
          <w:lang w:val="en-US" w:eastAsia="zh-CN"/>
        </w:rPr>
        <w:t>3</w:t>
      </w:r>
      <w:r>
        <w:rPr>
          <w:rFonts w:hint="eastAsia" w:ascii="宋体" w:hAnsi="宋体" w:eastAsia="宋体" w:cs="宋体"/>
          <w:sz w:val="24"/>
          <w:szCs w:val="24"/>
        </w:rPr>
        <w:t>.数据</w:t>
      </w:r>
      <w:r>
        <w:rPr>
          <w:rFonts w:hint="eastAsia" w:cs="宋体"/>
          <w:sz w:val="24"/>
          <w:szCs w:val="24"/>
          <w:lang w:val="en-US" w:eastAsia="zh-CN"/>
        </w:rPr>
        <w:t>建库</w:t>
      </w:r>
      <w:r>
        <w:rPr>
          <w:rFonts w:hint="eastAsia" w:ascii="宋体" w:hAnsi="宋体" w:eastAsia="宋体" w:cs="宋体"/>
          <w:sz w:val="24"/>
          <w:szCs w:val="24"/>
        </w:rPr>
        <w:t>与数据库质量检查</w:t>
      </w:r>
    </w:p>
    <w:p w14:paraId="24E67800">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全面比对全部外业举证照片，合理界定地类图斑变更类型，开展内业变更工作。按照 《吉林省自然资源厅关于开展2024年度吉林省国土变更调查工作的通知》（吉自然资办发〔2024〕266号）和《国土变更调查技术规程》的要求完成数据库建库，并根据国家2024年国土变更调查质检软件检查后，修改数据库全部质检错误，按照省厅要求整理完成数据库成果并上报省厅调查处。编写安图县2024年度国土利用变化情况分析报告、专题报告、情况说明等。</w:t>
      </w:r>
    </w:p>
    <w:p w14:paraId="02B28CE1">
      <w:pPr>
        <w:pageBreakBefore w:val="0"/>
        <w:widowControl w:val="0"/>
        <w:numPr>
          <w:ilvl w:val="0"/>
          <w:numId w:val="0"/>
        </w:numPr>
        <w:tabs>
          <w:tab w:val="left" w:pos="1800"/>
        </w:tabs>
        <w:kinsoku/>
        <w:wordWrap/>
        <w:overflowPunct/>
        <w:topLinePunct w:val="0"/>
        <w:autoSpaceDE/>
        <w:autoSpaceDN/>
        <w:bidi w:val="0"/>
        <w:adjustRightInd/>
        <w:snapToGrid w:val="0"/>
        <w:spacing w:line="560" w:lineRule="exact"/>
        <w:ind w:leftChars="0"/>
        <w:textAlignment w:val="auto"/>
        <w:rPr>
          <w:rFonts w:hint="eastAsia" w:ascii="宋体" w:hAnsi="宋体" w:cs="宋体"/>
          <w:bCs/>
          <w:color w:val="auto"/>
          <w:kern w:val="44"/>
          <w:sz w:val="24"/>
          <w:szCs w:val="24"/>
          <w:lang w:val="en-US" w:eastAsia="zh-CN"/>
        </w:rPr>
      </w:pPr>
      <w:r>
        <w:rPr>
          <w:rFonts w:hint="eastAsia" w:ascii="宋体" w:hAnsi="宋体" w:cs="宋体"/>
          <w:b/>
          <w:bCs w:val="0"/>
          <w:color w:val="auto"/>
          <w:kern w:val="44"/>
          <w:sz w:val="24"/>
          <w:szCs w:val="24"/>
          <w:lang w:val="en-US" w:eastAsia="zh-CN"/>
        </w:rPr>
        <w:t>4.配合省厅和自然资源部开展核查整改工作。</w:t>
      </w:r>
    </w:p>
    <w:p w14:paraId="6049AEB0">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4.1根据省厅核查意见完善修改数据库和补充举证工作，通过省级核查上报国家核查。</w:t>
      </w:r>
    </w:p>
    <w:p w14:paraId="2DBCC619">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4.2根据国家核查意见修改完善数据库直至通过国家核查，达到国家要求国土变更差错率。</w:t>
      </w:r>
    </w:p>
    <w:p w14:paraId="41E6F358">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default"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4.3配合省级和国家在线核查工作，安排外业人员在省和国家规定范围内安排外业举证人员开展在线核查工作。</w:t>
      </w:r>
    </w:p>
    <w:p w14:paraId="01D1B5A0">
      <w:pPr>
        <w:pStyle w:val="58"/>
        <w:pageBreakBefore w:val="0"/>
        <w:widowControl w:val="0"/>
        <w:kinsoku/>
        <w:wordWrap/>
        <w:overflowPunct/>
        <w:topLinePunct w:val="0"/>
        <w:autoSpaceDE/>
        <w:autoSpaceDN/>
        <w:bidi w:val="0"/>
        <w:adjustRightInd/>
        <w:spacing w:line="560" w:lineRule="exact"/>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其他要求</w:t>
      </w:r>
    </w:p>
    <w:p w14:paraId="73E9E037">
      <w:pPr>
        <w:pStyle w:val="58"/>
        <w:pageBreakBefore w:val="0"/>
        <w:widowControl w:val="0"/>
        <w:kinsoku/>
        <w:wordWrap/>
        <w:overflowPunct/>
        <w:topLinePunct w:val="0"/>
        <w:autoSpaceDE/>
        <w:autoSpaceDN/>
        <w:bidi w:val="0"/>
        <w:adjustRightInd/>
        <w:spacing w:line="56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保密要求</w:t>
      </w:r>
    </w:p>
    <w:p w14:paraId="73D5517C">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中标单位应严格遵守成果资料安全保密的有关法律法规，确保数据安全</w:t>
      </w:r>
    </w:p>
    <w:p w14:paraId="5389ECA1">
      <w:pPr>
        <w:pStyle w:val="57"/>
        <w:pageBreakBefore w:val="0"/>
        <w:widowControl w:val="0"/>
        <w:numPr>
          <w:ilvl w:val="0"/>
          <w:numId w:val="0"/>
        </w:numPr>
        <w:kinsoku/>
        <w:wordWrap/>
        <w:overflowPunct/>
        <w:topLinePunct w:val="0"/>
        <w:autoSpaceDE/>
        <w:autoSpaceDN/>
        <w:bidi w:val="0"/>
        <w:adjustRightInd/>
        <w:spacing w:before="0" w:after="0" w:line="560" w:lineRule="exact"/>
        <w:ind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违约处罚</w:t>
      </w:r>
    </w:p>
    <w:p w14:paraId="5C025FB6">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000000"/>
          <w:kern w:val="44"/>
          <w:sz w:val="24"/>
          <w:szCs w:val="24"/>
        </w:rPr>
      </w:pPr>
      <w:r>
        <w:rPr>
          <w:rFonts w:hint="eastAsia" w:ascii="宋体" w:hAnsi="宋体" w:eastAsia="宋体" w:cs="宋体"/>
          <w:bCs/>
          <w:color w:val="auto"/>
          <w:kern w:val="44"/>
          <w:sz w:val="24"/>
          <w:szCs w:val="24"/>
        </w:rPr>
        <w:t>中标单位不得将项</w:t>
      </w:r>
      <w:r>
        <w:rPr>
          <w:rFonts w:hint="eastAsia" w:ascii="宋体" w:hAnsi="宋体" w:eastAsia="宋体" w:cs="宋体"/>
          <w:bCs/>
          <w:color w:val="000000"/>
          <w:kern w:val="44"/>
          <w:sz w:val="24"/>
          <w:szCs w:val="24"/>
        </w:rPr>
        <w:t>目转包或分包给其他单位，如发生转包或分包取消合同，并承担相应法律责任。</w:t>
      </w:r>
    </w:p>
    <w:p w14:paraId="15285BFB">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000000"/>
          <w:kern w:val="44"/>
          <w:sz w:val="24"/>
          <w:szCs w:val="24"/>
        </w:rPr>
      </w:pPr>
      <w:r>
        <w:rPr>
          <w:rFonts w:hint="eastAsia" w:ascii="宋体" w:hAnsi="宋体" w:eastAsia="宋体" w:cs="宋体"/>
          <w:bCs/>
          <w:color w:val="000000"/>
          <w:kern w:val="44"/>
          <w:sz w:val="24"/>
          <w:szCs w:val="24"/>
        </w:rPr>
        <w:t>中标单位须在国家规定时间完成项目，如未按时完成取消合同，并承担相应法律责任。</w:t>
      </w:r>
    </w:p>
    <w:p w14:paraId="3068E0C5">
      <w:pPr>
        <w:keepNext w:val="0"/>
        <w:keepLines w:val="0"/>
        <w:pageBreakBefore w:val="0"/>
        <w:widowControl/>
        <w:shd w:val="clear" w:color="auto" w:fill="FFFFFF"/>
        <w:kinsoku/>
        <w:wordWrap/>
        <w:overflowPunct/>
        <w:topLinePunct w:val="0"/>
        <w:autoSpaceDE/>
        <w:autoSpaceDN/>
        <w:bidi w:val="0"/>
        <w:adjustRightInd/>
        <w:spacing w:line="560" w:lineRule="exact"/>
        <w:jc w:val="left"/>
        <w:textAlignment w:val="auto"/>
        <w:rPr>
          <w:rFonts w:hint="eastAsia" w:ascii="宋体" w:hAnsi="宋体" w:eastAsia="宋体" w:cs="宋体"/>
          <w:bCs/>
          <w:color w:val="000000"/>
          <w:kern w:val="44"/>
          <w:sz w:val="24"/>
          <w:szCs w:val="24"/>
          <w:lang w:val="en-US" w:eastAsia="zh-CN"/>
        </w:rPr>
      </w:pPr>
      <w:r>
        <w:rPr>
          <w:rFonts w:hint="eastAsia" w:ascii="宋体" w:hAnsi="宋体" w:eastAsia="宋体" w:cs="宋体"/>
          <w:b/>
          <w:bCs/>
          <w:color w:val="auto"/>
          <w:kern w:val="44"/>
          <w:sz w:val="24"/>
          <w:szCs w:val="24"/>
          <w:lang w:val="en-US" w:eastAsia="zh-CN" w:bidi="ar-SA"/>
        </w:rPr>
        <w:t>3.验收方式：</w:t>
      </w:r>
      <w:r>
        <w:rPr>
          <w:rFonts w:hint="eastAsia" w:ascii="宋体" w:hAnsi="宋体" w:eastAsia="宋体" w:cs="宋体"/>
          <w:bCs/>
          <w:color w:val="000000"/>
          <w:kern w:val="44"/>
          <w:sz w:val="24"/>
          <w:szCs w:val="24"/>
          <w:lang w:val="en-US" w:eastAsia="zh-CN"/>
        </w:rPr>
        <w:t>自然资源部核查验收</w:t>
      </w:r>
    </w:p>
    <w:p w14:paraId="528F333C">
      <w:pPr>
        <w:keepNext w:val="0"/>
        <w:keepLines w:val="0"/>
        <w:pageBreakBefore w:val="0"/>
        <w:widowControl/>
        <w:shd w:val="clear" w:color="auto" w:fill="FFFFFF"/>
        <w:kinsoku/>
        <w:wordWrap/>
        <w:overflowPunct/>
        <w:topLinePunct w:val="0"/>
        <w:autoSpaceDE/>
        <w:autoSpaceDN/>
        <w:bidi w:val="0"/>
        <w:adjustRightInd/>
        <w:spacing w:line="560" w:lineRule="exact"/>
        <w:jc w:val="left"/>
        <w:textAlignment w:val="auto"/>
        <w:rPr>
          <w:rFonts w:hint="eastAsia" w:ascii="宋体" w:hAnsi="宋体" w:eastAsia="宋体" w:cs="宋体"/>
          <w:b/>
          <w:bCs/>
          <w:color w:val="auto"/>
          <w:kern w:val="44"/>
          <w:sz w:val="24"/>
          <w:szCs w:val="24"/>
          <w:lang w:val="en-US" w:eastAsia="zh-CN" w:bidi="ar-SA"/>
        </w:rPr>
      </w:pPr>
      <w:r>
        <w:rPr>
          <w:rFonts w:hint="eastAsia" w:ascii="宋体" w:hAnsi="宋体" w:eastAsia="宋体" w:cs="宋体"/>
          <w:b/>
          <w:bCs/>
          <w:color w:val="auto"/>
          <w:kern w:val="44"/>
          <w:sz w:val="24"/>
          <w:szCs w:val="24"/>
          <w:lang w:val="en-US" w:eastAsia="zh-CN" w:bidi="ar-SA"/>
        </w:rPr>
        <w:t>4.售后服务：</w:t>
      </w:r>
    </w:p>
    <w:p w14:paraId="0DF66BD7">
      <w:pPr>
        <w:pageBreakBefore w:val="0"/>
        <w:widowControl w:val="0"/>
        <w:tabs>
          <w:tab w:val="left" w:pos="1800"/>
        </w:tabs>
        <w:kinsoku/>
        <w:wordWrap/>
        <w:overflowPunct/>
        <w:topLinePunct w:val="0"/>
        <w:autoSpaceDE/>
        <w:autoSpaceDN/>
        <w:bidi w:val="0"/>
        <w:adjustRightInd/>
        <w:snapToGrid w:val="0"/>
        <w:spacing w:line="560" w:lineRule="exact"/>
        <w:ind w:left="0" w:firstLine="480" w:firstLineChars="200"/>
        <w:textAlignment w:val="auto"/>
        <w:rPr>
          <w:rFonts w:hint="eastAsia" w:ascii="宋体" w:hAnsi="宋体" w:eastAsia="宋体" w:cs="宋体"/>
          <w:bCs/>
          <w:color w:val="auto"/>
          <w:kern w:val="44"/>
          <w:sz w:val="24"/>
          <w:szCs w:val="24"/>
          <w:lang w:val="en-US" w:eastAsia="zh-CN"/>
        </w:rPr>
      </w:pPr>
      <w:r>
        <w:rPr>
          <w:rFonts w:hint="eastAsia" w:ascii="宋体" w:hAnsi="宋体" w:eastAsia="宋体" w:cs="宋体"/>
          <w:bCs/>
          <w:color w:val="auto"/>
          <w:kern w:val="44"/>
          <w:sz w:val="24"/>
          <w:szCs w:val="24"/>
          <w:lang w:val="en-US" w:eastAsia="zh-CN"/>
        </w:rPr>
        <w:t>（1）维护安图县2024年度国土变更数据成果。（2）完成质保期内国家和省自然资源主管部门反馈问题的修改完善。</w:t>
      </w:r>
    </w:p>
    <w:bookmarkEnd w:id="268"/>
    <w:bookmarkEnd w:id="269"/>
    <w:p w14:paraId="47A1C96E">
      <w:pPr>
        <w:spacing w:line="360" w:lineRule="auto"/>
        <w:jc w:val="center"/>
        <w:outlineLvl w:val="0"/>
        <w:rPr>
          <w:rFonts w:hint="eastAsia" w:ascii="宋体" w:hAnsi="宋体" w:eastAsia="宋体" w:cs="宋体"/>
          <w:b/>
          <w:bCs/>
          <w:sz w:val="32"/>
          <w:szCs w:val="32"/>
        </w:rPr>
      </w:pPr>
      <w:bookmarkStart w:id="270" w:name="_Toc505691145"/>
      <w:bookmarkStart w:id="271" w:name="_Toc16773"/>
    </w:p>
    <w:p w14:paraId="458D6B1F">
      <w:pPr>
        <w:pStyle w:val="2"/>
        <w:rPr>
          <w:rFonts w:hint="eastAsia" w:ascii="宋体" w:hAnsi="宋体" w:eastAsia="宋体" w:cs="宋体"/>
          <w:b/>
          <w:bCs/>
          <w:sz w:val="32"/>
          <w:szCs w:val="32"/>
        </w:rPr>
      </w:pPr>
    </w:p>
    <w:p w14:paraId="0D21D18A">
      <w:pPr>
        <w:rPr>
          <w:rFonts w:hint="eastAsia" w:ascii="宋体" w:hAnsi="宋体" w:eastAsia="宋体" w:cs="宋体"/>
          <w:b/>
          <w:bCs/>
          <w:sz w:val="32"/>
          <w:szCs w:val="32"/>
        </w:rPr>
      </w:pPr>
    </w:p>
    <w:p w14:paraId="41574129">
      <w:pPr>
        <w:pStyle w:val="2"/>
        <w:rPr>
          <w:rFonts w:hint="eastAsia" w:ascii="宋体" w:hAnsi="宋体" w:eastAsia="宋体" w:cs="宋体"/>
          <w:b/>
          <w:bCs/>
          <w:sz w:val="32"/>
          <w:szCs w:val="32"/>
        </w:rPr>
      </w:pPr>
    </w:p>
    <w:p w14:paraId="5E8DB583">
      <w:pPr>
        <w:rPr>
          <w:rFonts w:hint="eastAsia" w:ascii="宋体" w:hAnsi="宋体" w:eastAsia="宋体" w:cs="宋体"/>
          <w:b/>
          <w:bCs/>
          <w:sz w:val="32"/>
          <w:szCs w:val="32"/>
        </w:rPr>
      </w:pPr>
    </w:p>
    <w:p w14:paraId="798BFA74">
      <w:pPr>
        <w:pStyle w:val="2"/>
        <w:rPr>
          <w:rFonts w:hint="eastAsia" w:ascii="宋体" w:hAnsi="宋体" w:eastAsia="宋体" w:cs="宋体"/>
          <w:b/>
          <w:bCs/>
          <w:sz w:val="32"/>
          <w:szCs w:val="32"/>
        </w:rPr>
      </w:pPr>
    </w:p>
    <w:p w14:paraId="1B46DFD8">
      <w:pPr>
        <w:rPr>
          <w:rFonts w:hint="eastAsia" w:ascii="宋体" w:hAnsi="宋体" w:eastAsia="宋体" w:cs="宋体"/>
          <w:b/>
          <w:bCs/>
          <w:sz w:val="32"/>
          <w:szCs w:val="32"/>
        </w:rPr>
      </w:pPr>
    </w:p>
    <w:p w14:paraId="6702693C">
      <w:pPr>
        <w:pStyle w:val="2"/>
        <w:rPr>
          <w:rFonts w:hint="eastAsia" w:ascii="宋体" w:hAnsi="宋体" w:eastAsia="宋体" w:cs="宋体"/>
          <w:b/>
          <w:bCs/>
          <w:sz w:val="32"/>
          <w:szCs w:val="32"/>
        </w:rPr>
      </w:pPr>
    </w:p>
    <w:p w14:paraId="6FBF9FD9">
      <w:pPr>
        <w:rPr>
          <w:rFonts w:hint="eastAsia" w:ascii="宋体" w:hAnsi="宋体" w:eastAsia="宋体" w:cs="宋体"/>
          <w:b/>
          <w:bCs/>
          <w:sz w:val="32"/>
          <w:szCs w:val="32"/>
        </w:rPr>
      </w:pPr>
    </w:p>
    <w:p w14:paraId="1CAB64D8">
      <w:pPr>
        <w:pStyle w:val="2"/>
        <w:rPr>
          <w:rFonts w:hint="eastAsia" w:ascii="宋体" w:hAnsi="宋体" w:eastAsia="宋体" w:cs="宋体"/>
          <w:b/>
          <w:bCs/>
          <w:sz w:val="32"/>
          <w:szCs w:val="32"/>
        </w:rPr>
      </w:pPr>
    </w:p>
    <w:p w14:paraId="2D0826E4">
      <w:pPr>
        <w:rPr>
          <w:rFonts w:hint="eastAsia" w:ascii="宋体" w:hAnsi="宋体" w:eastAsia="宋体" w:cs="宋体"/>
          <w:b/>
          <w:bCs/>
          <w:sz w:val="32"/>
          <w:szCs w:val="32"/>
        </w:rPr>
      </w:pPr>
    </w:p>
    <w:p w14:paraId="5DEFC2AC">
      <w:pPr>
        <w:pStyle w:val="2"/>
        <w:rPr>
          <w:rFonts w:hint="eastAsia" w:ascii="宋体" w:hAnsi="宋体" w:eastAsia="宋体" w:cs="宋体"/>
          <w:b/>
          <w:bCs/>
          <w:sz w:val="32"/>
          <w:szCs w:val="32"/>
        </w:rPr>
      </w:pPr>
    </w:p>
    <w:p w14:paraId="02DB925E">
      <w:pPr>
        <w:rPr>
          <w:rFonts w:hint="eastAsia" w:ascii="宋体" w:hAnsi="宋体" w:eastAsia="宋体" w:cs="宋体"/>
          <w:b/>
          <w:bCs/>
          <w:sz w:val="32"/>
          <w:szCs w:val="32"/>
        </w:rPr>
      </w:pPr>
    </w:p>
    <w:p w14:paraId="45740295">
      <w:pPr>
        <w:pStyle w:val="2"/>
        <w:rPr>
          <w:rFonts w:hint="eastAsia" w:ascii="宋体" w:hAnsi="宋体" w:eastAsia="宋体" w:cs="宋体"/>
          <w:b/>
          <w:bCs/>
          <w:sz w:val="32"/>
          <w:szCs w:val="32"/>
        </w:rPr>
      </w:pPr>
    </w:p>
    <w:p w14:paraId="0FF31A88">
      <w:pPr>
        <w:rPr>
          <w:rFonts w:hint="eastAsia" w:ascii="宋体" w:hAnsi="宋体" w:eastAsia="宋体" w:cs="宋体"/>
          <w:b/>
          <w:bCs/>
          <w:sz w:val="32"/>
          <w:szCs w:val="32"/>
        </w:rPr>
      </w:pPr>
    </w:p>
    <w:p w14:paraId="32313579">
      <w:pPr>
        <w:pStyle w:val="2"/>
        <w:rPr>
          <w:rFonts w:hint="eastAsia" w:ascii="宋体" w:hAnsi="宋体" w:eastAsia="宋体" w:cs="宋体"/>
          <w:b/>
          <w:bCs/>
          <w:sz w:val="32"/>
          <w:szCs w:val="32"/>
        </w:rPr>
      </w:pPr>
    </w:p>
    <w:p w14:paraId="2C1EE59A">
      <w:pPr>
        <w:pStyle w:val="2"/>
        <w:rPr>
          <w:rFonts w:hint="eastAsia"/>
        </w:rPr>
      </w:pPr>
    </w:p>
    <w:p w14:paraId="75ECA511">
      <w:pPr>
        <w:spacing w:line="360" w:lineRule="auto"/>
        <w:jc w:val="center"/>
        <w:outlineLvl w:val="0"/>
        <w:rPr>
          <w:rFonts w:hint="eastAsia" w:ascii="宋体" w:hAnsi="宋体" w:eastAsia="宋体" w:cs="宋体"/>
          <w:b/>
          <w:bCs/>
          <w:sz w:val="32"/>
          <w:szCs w:val="32"/>
        </w:rPr>
      </w:pPr>
      <w:r>
        <w:rPr>
          <w:rFonts w:hint="eastAsia" w:ascii="宋体" w:hAnsi="宋体" w:eastAsia="宋体" w:cs="宋体"/>
          <w:b/>
          <w:bCs/>
          <w:sz w:val="32"/>
          <w:szCs w:val="32"/>
        </w:rPr>
        <w:t>第六章  磋商响应文件格式</w:t>
      </w:r>
      <w:bookmarkEnd w:id="270"/>
      <w:bookmarkEnd w:id="271"/>
    </w:p>
    <w:p w14:paraId="5FAA7120">
      <w:pPr>
        <w:widowControl/>
        <w:snapToGrid w:val="0"/>
        <w:spacing w:line="360" w:lineRule="auto"/>
        <w:jc w:val="center"/>
        <w:rPr>
          <w:rFonts w:hint="eastAsia" w:ascii="宋体" w:hAnsi="宋体" w:eastAsia="宋体" w:cs="宋体"/>
          <w:b/>
          <w:bCs/>
          <w:spacing w:val="20"/>
          <w:kern w:val="0"/>
          <w:sz w:val="44"/>
          <w:szCs w:val="44"/>
          <w:u w:val="single"/>
        </w:rPr>
      </w:pPr>
      <w:bookmarkStart w:id="272" w:name="_Toc19319"/>
      <w:bookmarkStart w:id="273" w:name="_Toc403382856"/>
      <w:bookmarkStart w:id="274" w:name="_Toc14722"/>
    </w:p>
    <w:p w14:paraId="30C2EFEF">
      <w:pPr>
        <w:widowControl/>
        <w:snapToGrid w:val="0"/>
        <w:spacing w:line="360" w:lineRule="auto"/>
        <w:jc w:val="center"/>
        <w:rPr>
          <w:rFonts w:hint="eastAsia" w:ascii="宋体" w:hAnsi="宋体" w:eastAsia="宋体" w:cs="宋体"/>
          <w:b/>
          <w:bCs/>
          <w:spacing w:val="20"/>
          <w:kern w:val="0"/>
          <w:sz w:val="44"/>
          <w:szCs w:val="44"/>
        </w:rPr>
      </w:pPr>
      <w:r>
        <w:rPr>
          <w:rFonts w:hint="eastAsia" w:ascii="宋体" w:hAnsi="宋体" w:eastAsia="宋体" w:cs="宋体"/>
          <w:b/>
          <w:bCs/>
          <w:spacing w:val="20"/>
          <w:kern w:val="0"/>
          <w:sz w:val="44"/>
          <w:szCs w:val="44"/>
        </w:rPr>
        <w:t>项目</w:t>
      </w:r>
    </w:p>
    <w:p w14:paraId="3EB93264">
      <w:pPr>
        <w:widowControl/>
        <w:snapToGrid w:val="0"/>
        <w:spacing w:line="360" w:lineRule="auto"/>
        <w:jc w:val="center"/>
        <w:rPr>
          <w:rFonts w:hint="eastAsia" w:ascii="宋体" w:hAnsi="宋体" w:eastAsia="宋体" w:cs="宋体"/>
          <w:b/>
          <w:bCs/>
          <w:spacing w:val="20"/>
          <w:kern w:val="0"/>
          <w:sz w:val="44"/>
          <w:szCs w:val="44"/>
        </w:rPr>
      </w:pPr>
    </w:p>
    <w:p w14:paraId="78FFF0C7">
      <w:pPr>
        <w:widowControl/>
        <w:snapToGrid w:val="0"/>
        <w:spacing w:line="360" w:lineRule="auto"/>
        <w:jc w:val="left"/>
        <w:rPr>
          <w:rFonts w:hint="eastAsia" w:ascii="宋体" w:hAnsi="宋体" w:eastAsia="宋体" w:cs="宋体"/>
          <w:kern w:val="0"/>
          <w:sz w:val="24"/>
        </w:rPr>
      </w:pPr>
    </w:p>
    <w:p w14:paraId="6FCA0BCF">
      <w:pPr>
        <w:widowControl/>
        <w:snapToGrid w:val="0"/>
        <w:spacing w:line="360" w:lineRule="auto"/>
        <w:jc w:val="left"/>
        <w:rPr>
          <w:rFonts w:hint="eastAsia" w:ascii="宋体" w:hAnsi="宋体" w:eastAsia="宋体" w:cs="宋体"/>
          <w:kern w:val="0"/>
          <w:sz w:val="24"/>
        </w:rPr>
      </w:pPr>
      <w:r>
        <w:rPr>
          <w:rFonts w:hint="eastAsia" w:ascii="宋体" w:hAnsi="宋体" w:eastAsia="宋体" w:cs="宋体"/>
          <w:kern w:val="0"/>
          <w:sz w:val="30"/>
          <w:szCs w:val="30"/>
        </w:rPr>
        <w:t> </w:t>
      </w:r>
    </w:p>
    <w:p w14:paraId="5D681B3D">
      <w:pPr>
        <w:widowControl/>
        <w:snapToGrid w:val="0"/>
        <w:spacing w:line="360" w:lineRule="auto"/>
        <w:jc w:val="center"/>
        <w:rPr>
          <w:rFonts w:hint="eastAsia" w:ascii="宋体" w:hAnsi="宋体" w:eastAsia="宋体" w:cs="宋体"/>
          <w:kern w:val="0"/>
          <w:sz w:val="24"/>
        </w:rPr>
      </w:pPr>
      <w:r>
        <w:rPr>
          <w:rFonts w:hint="eastAsia" w:ascii="宋体" w:hAnsi="宋体" w:eastAsia="宋体" w:cs="宋体"/>
          <w:b/>
          <w:kern w:val="0"/>
          <w:sz w:val="84"/>
        </w:rPr>
        <w:t>竞争性磋商响应文件</w:t>
      </w:r>
    </w:p>
    <w:p w14:paraId="660B6E3D">
      <w:pPr>
        <w:widowControl/>
        <w:snapToGrid w:val="0"/>
        <w:spacing w:line="360" w:lineRule="auto"/>
        <w:jc w:val="left"/>
        <w:rPr>
          <w:rFonts w:hint="eastAsia" w:ascii="宋体" w:hAnsi="宋体" w:eastAsia="宋体" w:cs="宋体"/>
          <w:kern w:val="0"/>
          <w:sz w:val="32"/>
          <w:szCs w:val="20"/>
        </w:rPr>
      </w:pPr>
      <w:r>
        <w:rPr>
          <w:rFonts w:hint="eastAsia" w:ascii="宋体" w:hAnsi="宋体" w:eastAsia="宋体" w:cs="宋体"/>
          <w:kern w:val="0"/>
          <w:sz w:val="32"/>
          <w:szCs w:val="20"/>
        </w:rPr>
        <w:t> </w:t>
      </w:r>
    </w:p>
    <w:p w14:paraId="63CE87C1">
      <w:pPr>
        <w:widowControl/>
        <w:snapToGrid w:val="0"/>
        <w:spacing w:line="360" w:lineRule="auto"/>
        <w:jc w:val="left"/>
        <w:rPr>
          <w:rFonts w:hint="eastAsia" w:ascii="宋体" w:hAnsi="宋体" w:eastAsia="宋体" w:cs="宋体"/>
          <w:kern w:val="0"/>
          <w:sz w:val="32"/>
          <w:szCs w:val="20"/>
        </w:rPr>
      </w:pPr>
    </w:p>
    <w:p w14:paraId="563E9048">
      <w:pPr>
        <w:widowControl/>
        <w:snapToGrid w:val="0"/>
        <w:spacing w:line="360" w:lineRule="auto"/>
        <w:jc w:val="left"/>
        <w:rPr>
          <w:rFonts w:hint="eastAsia" w:ascii="宋体" w:hAnsi="宋体" w:eastAsia="宋体" w:cs="宋体"/>
          <w:kern w:val="0"/>
          <w:sz w:val="32"/>
          <w:szCs w:val="20"/>
        </w:rPr>
      </w:pPr>
    </w:p>
    <w:p w14:paraId="5FE10138">
      <w:pPr>
        <w:widowControl/>
        <w:snapToGrid w:val="0"/>
        <w:spacing w:line="360" w:lineRule="auto"/>
        <w:jc w:val="left"/>
        <w:rPr>
          <w:rFonts w:hint="eastAsia" w:ascii="宋体" w:hAnsi="宋体" w:eastAsia="宋体" w:cs="宋体"/>
          <w:kern w:val="0"/>
          <w:sz w:val="32"/>
          <w:szCs w:val="20"/>
        </w:rPr>
      </w:pPr>
    </w:p>
    <w:p w14:paraId="59F3E370">
      <w:pPr>
        <w:widowControl/>
        <w:snapToGrid w:val="0"/>
        <w:spacing w:line="360" w:lineRule="auto"/>
        <w:jc w:val="left"/>
        <w:rPr>
          <w:rFonts w:hint="eastAsia" w:ascii="宋体" w:hAnsi="宋体" w:eastAsia="宋体" w:cs="宋体"/>
          <w:kern w:val="0"/>
          <w:sz w:val="32"/>
          <w:szCs w:val="20"/>
        </w:rPr>
      </w:pPr>
    </w:p>
    <w:p w14:paraId="163DF3D5">
      <w:pPr>
        <w:widowControl/>
        <w:snapToGrid w:val="0"/>
        <w:spacing w:line="360" w:lineRule="auto"/>
        <w:jc w:val="left"/>
        <w:rPr>
          <w:rFonts w:hint="eastAsia" w:ascii="宋体" w:hAnsi="宋体" w:eastAsia="宋体" w:cs="宋体"/>
          <w:kern w:val="0"/>
          <w:sz w:val="32"/>
          <w:szCs w:val="20"/>
        </w:rPr>
      </w:pPr>
    </w:p>
    <w:p w14:paraId="4B79D423">
      <w:pPr>
        <w:widowControl/>
        <w:snapToGrid w:val="0"/>
        <w:spacing w:line="360" w:lineRule="auto"/>
        <w:jc w:val="left"/>
        <w:rPr>
          <w:rFonts w:hint="eastAsia" w:ascii="宋体" w:hAnsi="宋体" w:eastAsia="宋体" w:cs="宋体"/>
          <w:kern w:val="0"/>
          <w:sz w:val="32"/>
          <w:szCs w:val="20"/>
        </w:rPr>
      </w:pPr>
    </w:p>
    <w:p w14:paraId="7AC2AE38">
      <w:pPr>
        <w:widowControl/>
        <w:snapToGrid w:val="0"/>
        <w:spacing w:line="360" w:lineRule="auto"/>
        <w:ind w:firstLine="640" w:firstLineChars="200"/>
        <w:jc w:val="left"/>
        <w:rPr>
          <w:rFonts w:hint="eastAsia" w:ascii="宋体" w:hAnsi="宋体" w:eastAsia="宋体" w:cs="宋体"/>
          <w:spacing w:val="20"/>
          <w:kern w:val="0"/>
          <w:sz w:val="28"/>
          <w:szCs w:val="28"/>
        </w:rPr>
      </w:pPr>
      <w:r>
        <w:rPr>
          <w:rFonts w:hint="eastAsia" w:ascii="宋体" w:hAnsi="宋体" w:eastAsia="宋体" w:cs="宋体"/>
          <w:spacing w:val="20"/>
          <w:kern w:val="0"/>
          <w:sz w:val="28"/>
          <w:szCs w:val="28"/>
          <w:lang w:eastAsia="zh-CN"/>
        </w:rPr>
        <w:t>供</w:t>
      </w:r>
      <w:r>
        <w:rPr>
          <w:rFonts w:hint="eastAsia" w:ascii="宋体" w:hAnsi="宋体" w:cs="宋体"/>
          <w:spacing w:val="20"/>
          <w:kern w:val="0"/>
          <w:sz w:val="28"/>
          <w:szCs w:val="28"/>
          <w:lang w:val="en-US" w:eastAsia="zh-CN"/>
        </w:rPr>
        <w:t xml:space="preserve">  </w:t>
      </w:r>
      <w:r>
        <w:rPr>
          <w:rFonts w:hint="eastAsia" w:ascii="宋体" w:hAnsi="宋体" w:eastAsia="宋体" w:cs="宋体"/>
          <w:spacing w:val="20"/>
          <w:kern w:val="0"/>
          <w:sz w:val="28"/>
          <w:szCs w:val="28"/>
          <w:lang w:eastAsia="zh-CN"/>
        </w:rPr>
        <w:t>应</w:t>
      </w:r>
      <w:r>
        <w:rPr>
          <w:rFonts w:hint="eastAsia" w:ascii="宋体" w:hAnsi="宋体" w:cs="宋体"/>
          <w:spacing w:val="20"/>
          <w:kern w:val="0"/>
          <w:sz w:val="28"/>
          <w:szCs w:val="28"/>
          <w:lang w:val="en-US" w:eastAsia="zh-CN"/>
        </w:rPr>
        <w:t xml:space="preserve">  </w:t>
      </w:r>
      <w:r>
        <w:rPr>
          <w:rFonts w:hint="eastAsia" w:ascii="宋体" w:hAnsi="宋体" w:eastAsia="宋体" w:cs="宋体"/>
          <w:spacing w:val="20"/>
          <w:kern w:val="0"/>
          <w:sz w:val="28"/>
          <w:szCs w:val="28"/>
          <w:lang w:eastAsia="zh-CN"/>
        </w:rPr>
        <w:t>商</w:t>
      </w:r>
      <w:r>
        <w:rPr>
          <w:rFonts w:hint="eastAsia" w:ascii="宋体" w:hAnsi="宋体" w:eastAsia="宋体" w:cs="宋体"/>
          <w:spacing w:val="20"/>
          <w:kern w:val="0"/>
          <w:sz w:val="28"/>
          <w:szCs w:val="28"/>
        </w:rPr>
        <w:t>：</w:t>
      </w:r>
      <w:r>
        <w:rPr>
          <w:rFonts w:hint="eastAsia" w:ascii="宋体" w:hAnsi="宋体" w:cs="宋体"/>
          <w:spacing w:val="20"/>
          <w:kern w:val="0"/>
          <w:sz w:val="28"/>
          <w:szCs w:val="28"/>
          <w:u w:val="single"/>
          <w:lang w:val="en-US" w:eastAsia="zh-CN"/>
        </w:rPr>
        <w:t xml:space="preserve">                        </w:t>
      </w:r>
      <w:r>
        <w:rPr>
          <w:rFonts w:hint="eastAsia" w:ascii="宋体" w:hAnsi="宋体" w:eastAsia="宋体" w:cs="宋体"/>
          <w:spacing w:val="20"/>
          <w:kern w:val="0"/>
          <w:sz w:val="28"/>
          <w:szCs w:val="28"/>
        </w:rPr>
        <w:t>（盖章）</w:t>
      </w:r>
    </w:p>
    <w:p w14:paraId="6FFD7949">
      <w:pPr>
        <w:widowControl/>
        <w:snapToGrid w:val="0"/>
        <w:spacing w:line="360" w:lineRule="auto"/>
        <w:ind w:firstLine="320" w:firstLineChars="100"/>
        <w:rPr>
          <w:rFonts w:hint="eastAsia" w:ascii="宋体" w:hAnsi="宋体" w:eastAsia="宋体" w:cs="宋体"/>
          <w:spacing w:val="20"/>
          <w:kern w:val="0"/>
          <w:sz w:val="28"/>
          <w:szCs w:val="28"/>
        </w:rPr>
      </w:pPr>
    </w:p>
    <w:p w14:paraId="20B462C4">
      <w:pPr>
        <w:widowControl/>
        <w:snapToGrid w:val="0"/>
        <w:spacing w:line="360" w:lineRule="auto"/>
        <w:ind w:firstLine="640" w:firstLineChars="200"/>
        <w:jc w:val="left"/>
        <w:rPr>
          <w:rFonts w:hint="eastAsia" w:ascii="宋体" w:hAnsi="宋体" w:eastAsia="宋体" w:cs="宋体"/>
          <w:spacing w:val="20"/>
          <w:kern w:val="0"/>
          <w:sz w:val="28"/>
          <w:szCs w:val="28"/>
        </w:rPr>
      </w:pPr>
      <w:r>
        <w:rPr>
          <w:rFonts w:hint="eastAsia" w:ascii="宋体" w:hAnsi="宋体" w:eastAsia="宋体" w:cs="宋体"/>
          <w:spacing w:val="20"/>
          <w:kern w:val="0"/>
          <w:sz w:val="28"/>
          <w:szCs w:val="28"/>
        </w:rPr>
        <w:t>投标单位法定代表人或授权代理人：</w:t>
      </w:r>
      <w:r>
        <w:rPr>
          <w:rFonts w:hint="eastAsia" w:ascii="宋体" w:hAnsi="宋体" w:eastAsia="宋体" w:cs="宋体"/>
          <w:spacing w:val="20"/>
          <w:kern w:val="0"/>
          <w:sz w:val="28"/>
          <w:szCs w:val="28"/>
          <w:u w:val="single"/>
          <w:lang w:val="en-US" w:eastAsia="zh-CN"/>
        </w:rPr>
        <w:t xml:space="preserve"> </w:t>
      </w:r>
      <w:r>
        <w:rPr>
          <w:rFonts w:hint="eastAsia" w:ascii="宋体" w:hAnsi="宋体" w:cs="宋体"/>
          <w:spacing w:val="20"/>
          <w:kern w:val="0"/>
          <w:sz w:val="28"/>
          <w:szCs w:val="28"/>
          <w:u w:val="single"/>
          <w:lang w:val="en-US" w:eastAsia="zh-CN"/>
        </w:rPr>
        <w:t xml:space="preserve">     </w:t>
      </w:r>
      <w:r>
        <w:rPr>
          <w:rFonts w:hint="eastAsia" w:ascii="宋体" w:hAnsi="宋体" w:eastAsia="宋体" w:cs="宋体"/>
          <w:spacing w:val="20"/>
          <w:kern w:val="0"/>
          <w:sz w:val="28"/>
          <w:szCs w:val="28"/>
          <w:u w:val="single"/>
          <w:lang w:val="en-US" w:eastAsia="zh-CN"/>
        </w:rPr>
        <w:t xml:space="preserve"> </w:t>
      </w:r>
      <w:r>
        <w:rPr>
          <w:rFonts w:hint="eastAsia" w:ascii="宋体" w:hAnsi="宋体" w:eastAsia="宋体" w:cs="宋体"/>
          <w:spacing w:val="20"/>
          <w:kern w:val="0"/>
          <w:sz w:val="28"/>
          <w:szCs w:val="28"/>
        </w:rPr>
        <w:t>（签字）</w:t>
      </w:r>
    </w:p>
    <w:p w14:paraId="17E46D6A">
      <w:pPr>
        <w:widowControl/>
        <w:snapToGrid w:val="0"/>
        <w:spacing w:line="360" w:lineRule="auto"/>
        <w:jc w:val="center"/>
        <w:rPr>
          <w:rFonts w:hint="eastAsia" w:ascii="宋体" w:hAnsi="宋体" w:eastAsia="宋体" w:cs="宋体"/>
          <w:kern w:val="0"/>
          <w:sz w:val="28"/>
          <w:szCs w:val="28"/>
        </w:rPr>
      </w:pPr>
    </w:p>
    <w:p w14:paraId="3349CD8A">
      <w:pPr>
        <w:widowControl/>
        <w:snapToGrid w:val="0"/>
        <w:spacing w:line="360" w:lineRule="auto"/>
        <w:jc w:val="center"/>
        <w:rPr>
          <w:rFonts w:hint="eastAsia" w:ascii="宋体" w:hAnsi="宋体" w:eastAsia="宋体" w:cs="宋体"/>
          <w:kern w:val="0"/>
          <w:sz w:val="28"/>
          <w:szCs w:val="28"/>
        </w:rPr>
      </w:pPr>
      <w:r>
        <w:rPr>
          <w:rFonts w:hint="eastAsia" w:ascii="宋体" w:hAnsi="宋体" w:eastAsia="宋体" w:cs="宋体"/>
          <w:kern w:val="0"/>
          <w:sz w:val="28"/>
          <w:szCs w:val="28"/>
        </w:rPr>
        <w:t>年  月  日</w:t>
      </w:r>
    </w:p>
    <w:p w14:paraId="620CBABB">
      <w:pPr>
        <w:spacing w:line="360" w:lineRule="auto"/>
        <w:rPr>
          <w:rFonts w:ascii="宋体" w:hAnsi="宋体"/>
          <w:sz w:val="26"/>
        </w:rPr>
      </w:pPr>
    </w:p>
    <w:p w14:paraId="63148FDC">
      <w:pPr>
        <w:spacing w:line="360" w:lineRule="auto"/>
        <w:jc w:val="center"/>
        <w:rPr>
          <w:rFonts w:ascii="宋体" w:hAnsi="宋体"/>
          <w:b/>
          <w:bCs/>
          <w:sz w:val="32"/>
          <w:szCs w:val="32"/>
        </w:rPr>
      </w:pPr>
      <w:r>
        <w:rPr>
          <w:rFonts w:hint="eastAsia" w:ascii="宋体" w:hAnsi="宋体"/>
          <w:b/>
          <w:bCs/>
          <w:sz w:val="32"/>
          <w:szCs w:val="32"/>
        </w:rPr>
        <w:t>目    录</w:t>
      </w:r>
      <w:bookmarkEnd w:id="272"/>
      <w:bookmarkEnd w:id="273"/>
      <w:bookmarkEnd w:id="274"/>
    </w:p>
    <w:p w14:paraId="754567FF">
      <w:pPr>
        <w:spacing w:line="360" w:lineRule="auto"/>
        <w:rPr>
          <w:rFonts w:ascii="宋体" w:hAnsi="宋体"/>
          <w:sz w:val="26"/>
        </w:rPr>
      </w:pPr>
    </w:p>
    <w:p w14:paraId="320A1CEB">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一、响应函及报价一览表</w:t>
      </w:r>
    </w:p>
    <w:p w14:paraId="38AB2114">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二、法定代表人身份证明</w:t>
      </w:r>
    </w:p>
    <w:p w14:paraId="4EFDCD0C">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三、授权委托书</w:t>
      </w:r>
    </w:p>
    <w:p w14:paraId="57CDBA60">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四、</w:t>
      </w:r>
      <w:r>
        <w:rPr>
          <w:rFonts w:hint="eastAsia" w:ascii="宋体" w:hAnsi="宋体" w:eastAsia="宋体" w:cs="宋体"/>
          <w:b w:val="0"/>
          <w:bCs w:val="0"/>
          <w:spacing w:val="1"/>
          <w:sz w:val="24"/>
          <w:szCs w:val="24"/>
        </w:rPr>
        <w:t>开标一览表</w:t>
      </w:r>
    </w:p>
    <w:p w14:paraId="702735DF">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五、</w:t>
      </w:r>
      <w:r>
        <w:rPr>
          <w:rFonts w:hint="eastAsia" w:ascii="宋体" w:hAnsi="宋体" w:eastAsia="宋体" w:cs="宋体"/>
          <w:b w:val="0"/>
          <w:bCs w:val="0"/>
          <w:spacing w:val="-4"/>
          <w:sz w:val="24"/>
          <w:szCs w:val="24"/>
        </w:rPr>
        <w:t>投标报价及明细</w:t>
      </w:r>
    </w:p>
    <w:p w14:paraId="1FFFF153">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六、</w:t>
      </w:r>
      <w:r>
        <w:rPr>
          <w:rFonts w:hint="eastAsia" w:ascii="宋体" w:hAnsi="宋体" w:eastAsia="宋体" w:cs="宋体"/>
          <w:b w:val="0"/>
          <w:bCs w:val="0"/>
          <w:spacing w:val="-5"/>
          <w:sz w:val="24"/>
          <w:szCs w:val="24"/>
        </w:rPr>
        <w:t>项目实施方案</w:t>
      </w:r>
    </w:p>
    <w:p w14:paraId="04182C1A">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七、</w:t>
      </w:r>
      <w:r>
        <w:rPr>
          <w:rFonts w:hint="eastAsia" w:ascii="宋体" w:hAnsi="宋体" w:eastAsia="宋体" w:cs="宋体"/>
          <w:b w:val="0"/>
          <w:bCs w:val="0"/>
          <w:spacing w:val="6"/>
          <w:sz w:val="24"/>
          <w:szCs w:val="24"/>
        </w:rPr>
        <w:t>投标保证金</w:t>
      </w:r>
    </w:p>
    <w:p w14:paraId="6FDAE378">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八、</w:t>
      </w:r>
      <w:r>
        <w:rPr>
          <w:rFonts w:hint="eastAsia" w:ascii="宋体" w:hAnsi="宋体" w:eastAsia="宋体" w:cs="宋体"/>
          <w:b w:val="0"/>
          <w:bCs w:val="0"/>
          <w:spacing w:val="-5"/>
          <w:sz w:val="24"/>
          <w:szCs w:val="24"/>
        </w:rPr>
        <w:t>资格审查资料</w:t>
      </w:r>
    </w:p>
    <w:p w14:paraId="5568EAF7">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九、</w:t>
      </w:r>
      <w:r>
        <w:rPr>
          <w:rFonts w:hint="eastAsia" w:ascii="宋体" w:hAnsi="宋体" w:eastAsia="宋体" w:cs="宋体"/>
          <w:b w:val="0"/>
          <w:bCs w:val="0"/>
          <w:spacing w:val="5"/>
          <w:sz w:val="24"/>
          <w:szCs w:val="24"/>
        </w:rPr>
        <w:t>类似项目业绩</w:t>
      </w:r>
    </w:p>
    <w:p w14:paraId="14A6A850">
      <w:pPr>
        <w:keepNext w:val="0"/>
        <w:keepLines w:val="0"/>
        <w:pageBreakBefore w:val="0"/>
        <w:widowControl w:val="0"/>
        <w:kinsoku/>
        <w:wordWrap/>
        <w:overflowPunct/>
        <w:topLinePunct w:val="0"/>
        <w:autoSpaceDE/>
        <w:autoSpaceDN/>
        <w:bidi w:val="0"/>
        <w:adjustRightInd/>
        <w:snapToGrid/>
        <w:spacing w:before="175" w:line="560" w:lineRule="exact"/>
        <w:ind w:firstLine="480" w:firstLineChars="200"/>
        <w:textAlignment w:val="auto"/>
        <w:outlineLvl w:val="2"/>
        <w:rPr>
          <w:rFonts w:hint="eastAsia" w:ascii="宋体" w:hAnsi="宋体" w:eastAsia="宋体" w:cs="宋体"/>
          <w:b w:val="0"/>
          <w:bCs w:val="0"/>
          <w:spacing w:val="5"/>
          <w:sz w:val="24"/>
          <w:szCs w:val="24"/>
        </w:rPr>
      </w:pPr>
      <w:r>
        <w:rPr>
          <w:rFonts w:hint="eastAsia" w:ascii="宋体" w:hAnsi="宋体" w:eastAsia="宋体" w:cs="宋体"/>
          <w:b w:val="0"/>
          <w:bCs w:val="0"/>
          <w:sz w:val="24"/>
          <w:szCs w:val="24"/>
        </w:rPr>
        <w:t>十、</w:t>
      </w:r>
      <w:r>
        <w:rPr>
          <w:rFonts w:hint="eastAsia" w:ascii="宋体" w:hAnsi="宋体" w:eastAsia="宋体" w:cs="宋体"/>
          <w:b w:val="0"/>
          <w:bCs w:val="0"/>
          <w:spacing w:val="5"/>
          <w:sz w:val="24"/>
          <w:szCs w:val="24"/>
        </w:rPr>
        <w:t>企业综合能力</w:t>
      </w:r>
    </w:p>
    <w:p w14:paraId="5B21B141">
      <w:pPr>
        <w:keepNext w:val="0"/>
        <w:keepLines w:val="0"/>
        <w:pageBreakBefore w:val="0"/>
        <w:widowControl w:val="0"/>
        <w:kinsoku/>
        <w:wordWrap/>
        <w:overflowPunct/>
        <w:topLinePunct w:val="0"/>
        <w:autoSpaceDE/>
        <w:autoSpaceDN/>
        <w:bidi w:val="0"/>
        <w:adjustRightInd/>
        <w:snapToGrid/>
        <w:spacing w:before="162" w:line="560" w:lineRule="exact"/>
        <w:ind w:firstLine="504" w:firstLineChars="200"/>
        <w:textAlignment w:val="auto"/>
        <w:outlineLvl w:val="2"/>
        <w:rPr>
          <w:rFonts w:hint="eastAsia" w:ascii="宋体" w:hAnsi="宋体" w:eastAsia="宋体" w:cs="宋体"/>
          <w:b w:val="0"/>
          <w:bCs w:val="0"/>
          <w:sz w:val="24"/>
          <w:szCs w:val="24"/>
        </w:rPr>
      </w:pPr>
      <w:r>
        <w:rPr>
          <w:rFonts w:hint="eastAsia" w:ascii="宋体" w:hAnsi="宋体" w:eastAsia="宋体" w:cs="宋体"/>
          <w:b w:val="0"/>
          <w:bCs w:val="0"/>
          <w:spacing w:val="6"/>
          <w:sz w:val="24"/>
          <w:szCs w:val="24"/>
        </w:rPr>
        <w:t>十一、</w:t>
      </w:r>
      <w:r>
        <w:rPr>
          <w:rFonts w:hint="eastAsia" w:ascii="宋体" w:hAnsi="宋体" w:eastAsia="宋体" w:cs="宋体"/>
          <w:b w:val="0"/>
          <w:bCs w:val="0"/>
          <w:spacing w:val="6"/>
          <w:sz w:val="24"/>
          <w:szCs w:val="24"/>
          <w:lang w:eastAsia="zh-CN"/>
        </w:rPr>
        <w:t>供应商</w:t>
      </w:r>
      <w:r>
        <w:rPr>
          <w:rFonts w:hint="eastAsia" w:ascii="宋体" w:hAnsi="宋体" w:eastAsia="宋体" w:cs="宋体"/>
          <w:b w:val="0"/>
          <w:bCs w:val="0"/>
          <w:spacing w:val="6"/>
          <w:sz w:val="24"/>
          <w:szCs w:val="24"/>
        </w:rPr>
        <w:t>认为需要提供的其他材料</w:t>
      </w:r>
    </w:p>
    <w:p w14:paraId="118064F6">
      <w:pPr>
        <w:spacing w:before="175" w:line="225" w:lineRule="auto"/>
        <w:outlineLvl w:val="2"/>
        <w:rPr>
          <w:rFonts w:ascii="宋体" w:hAnsi="宋体" w:eastAsia="宋体" w:cs="宋体"/>
          <w:b/>
          <w:bCs/>
          <w:spacing w:val="5"/>
          <w:sz w:val="31"/>
          <w:szCs w:val="31"/>
        </w:rPr>
      </w:pPr>
    </w:p>
    <w:p w14:paraId="5E80EC40">
      <w:pPr>
        <w:spacing w:line="360" w:lineRule="auto"/>
        <w:rPr>
          <w:rFonts w:ascii="宋体" w:hAnsi="宋体"/>
          <w:sz w:val="24"/>
          <w:szCs w:val="24"/>
        </w:rPr>
      </w:pPr>
    </w:p>
    <w:p w14:paraId="08CFEE62">
      <w:pPr>
        <w:spacing w:line="360" w:lineRule="auto"/>
        <w:rPr>
          <w:rFonts w:ascii="宋体" w:hAnsi="宋体"/>
          <w:sz w:val="26"/>
        </w:rPr>
      </w:pPr>
    </w:p>
    <w:p w14:paraId="1AFA0587">
      <w:pPr>
        <w:spacing w:line="360" w:lineRule="auto"/>
        <w:rPr>
          <w:rFonts w:ascii="宋体" w:hAnsi="宋体"/>
          <w:sz w:val="26"/>
        </w:rPr>
      </w:pPr>
    </w:p>
    <w:p w14:paraId="6FFC3324">
      <w:pPr>
        <w:spacing w:line="360" w:lineRule="auto"/>
        <w:rPr>
          <w:rFonts w:ascii="宋体" w:hAnsi="宋体"/>
          <w:sz w:val="26"/>
        </w:rPr>
      </w:pPr>
    </w:p>
    <w:p w14:paraId="779D948F">
      <w:pPr>
        <w:spacing w:line="360" w:lineRule="auto"/>
        <w:rPr>
          <w:rFonts w:ascii="宋体" w:hAnsi="宋体"/>
          <w:sz w:val="26"/>
        </w:rPr>
      </w:pPr>
      <w:bookmarkStart w:id="275" w:name="_Toc29044"/>
      <w:bookmarkStart w:id="276" w:name="_Toc403382857"/>
      <w:bookmarkStart w:id="277" w:name="_Toc15765"/>
    </w:p>
    <w:p w14:paraId="637A57BC">
      <w:pPr>
        <w:spacing w:line="360" w:lineRule="auto"/>
        <w:rPr>
          <w:rFonts w:ascii="宋体" w:hAnsi="宋体"/>
          <w:sz w:val="26"/>
        </w:rPr>
      </w:pPr>
    </w:p>
    <w:p w14:paraId="11BD8E8C">
      <w:pPr>
        <w:spacing w:line="360" w:lineRule="auto"/>
        <w:rPr>
          <w:rFonts w:ascii="宋体" w:hAnsi="宋体"/>
          <w:sz w:val="26"/>
        </w:rPr>
      </w:pPr>
    </w:p>
    <w:p w14:paraId="419385C9">
      <w:pPr>
        <w:spacing w:line="360" w:lineRule="auto"/>
        <w:rPr>
          <w:rFonts w:ascii="宋体" w:hAnsi="宋体"/>
          <w:sz w:val="26"/>
        </w:rPr>
      </w:pPr>
    </w:p>
    <w:p w14:paraId="4F583462">
      <w:pPr>
        <w:spacing w:line="360" w:lineRule="auto"/>
        <w:rPr>
          <w:rFonts w:ascii="宋体" w:hAnsi="宋体"/>
          <w:sz w:val="26"/>
        </w:rPr>
      </w:pPr>
    </w:p>
    <w:bookmarkEnd w:id="275"/>
    <w:bookmarkEnd w:id="276"/>
    <w:bookmarkEnd w:id="277"/>
    <w:p w14:paraId="3A5C6E29">
      <w:pPr>
        <w:widowControl/>
        <w:jc w:val="left"/>
        <w:rPr>
          <w:rFonts w:ascii="宋体" w:hAnsi="宋体"/>
          <w:b/>
          <w:sz w:val="30"/>
          <w:szCs w:val="30"/>
        </w:rPr>
      </w:pPr>
      <w:r>
        <w:rPr>
          <w:rFonts w:ascii="宋体" w:hAnsi="宋体"/>
          <w:b/>
          <w:sz w:val="30"/>
          <w:szCs w:val="30"/>
        </w:rPr>
        <w:br w:type="page"/>
      </w:r>
    </w:p>
    <w:p w14:paraId="5CBF05B5">
      <w:pPr>
        <w:spacing w:line="360" w:lineRule="auto"/>
        <w:jc w:val="center"/>
        <w:rPr>
          <w:rFonts w:ascii="宋体" w:hAnsi="宋体"/>
          <w:b/>
          <w:sz w:val="30"/>
          <w:szCs w:val="30"/>
        </w:rPr>
      </w:pPr>
      <w:r>
        <w:rPr>
          <w:rFonts w:hint="eastAsia" w:ascii="宋体" w:hAnsi="宋体"/>
          <w:b/>
          <w:sz w:val="30"/>
          <w:szCs w:val="30"/>
        </w:rPr>
        <w:t>一、响应函及报价一览表</w:t>
      </w:r>
    </w:p>
    <w:p w14:paraId="10E74D1E">
      <w:pPr>
        <w:spacing w:line="360" w:lineRule="auto"/>
        <w:jc w:val="center"/>
        <w:rPr>
          <w:rFonts w:ascii="宋体" w:hAnsi="宋体"/>
          <w:b/>
          <w:bCs/>
          <w:sz w:val="24"/>
          <w:szCs w:val="24"/>
        </w:rPr>
      </w:pPr>
      <w:bookmarkStart w:id="278" w:name="_Toc403382858"/>
      <w:r>
        <w:rPr>
          <w:rFonts w:hint="eastAsia" w:ascii="宋体" w:hAnsi="宋体"/>
          <w:b/>
          <w:bCs/>
          <w:sz w:val="24"/>
          <w:szCs w:val="24"/>
        </w:rPr>
        <w:t>（一）</w:t>
      </w:r>
      <w:bookmarkEnd w:id="278"/>
      <w:r>
        <w:rPr>
          <w:rFonts w:hint="eastAsia" w:ascii="宋体" w:hAnsi="宋体"/>
          <w:b/>
          <w:bCs/>
          <w:sz w:val="24"/>
          <w:szCs w:val="24"/>
        </w:rPr>
        <w:t>响应函</w:t>
      </w:r>
    </w:p>
    <w:p w14:paraId="79291125">
      <w:pPr>
        <w:spacing w:line="360" w:lineRule="auto"/>
        <w:jc w:val="left"/>
        <w:rPr>
          <w:rFonts w:ascii="宋体" w:hAnsi="宋体"/>
          <w:sz w:val="24"/>
          <w:szCs w:val="24"/>
        </w:rPr>
      </w:pPr>
      <w:r>
        <w:rPr>
          <w:rFonts w:hint="eastAsia" w:ascii="宋体" w:hAnsi="宋体"/>
          <w:sz w:val="26"/>
        </w:rPr>
        <w:t xml:space="preserve"> </w:t>
      </w:r>
      <w:r>
        <w:rPr>
          <w:rFonts w:hint="eastAsia" w:ascii="宋体" w:hAnsi="宋体"/>
          <w:sz w:val="24"/>
          <w:szCs w:val="24"/>
        </w:rPr>
        <w:t>（采购人名称）：</w:t>
      </w:r>
    </w:p>
    <w:p w14:paraId="4AA4FB4D">
      <w:pPr>
        <w:spacing w:line="440" w:lineRule="exact"/>
        <w:rPr>
          <w:rFonts w:ascii="宋体" w:hAnsi="宋体"/>
          <w:sz w:val="24"/>
          <w:szCs w:val="24"/>
        </w:rPr>
      </w:pPr>
      <w:r>
        <w:rPr>
          <w:rFonts w:hint="eastAsia" w:ascii="宋体" w:hAnsi="宋体"/>
          <w:sz w:val="24"/>
          <w:szCs w:val="24"/>
        </w:rPr>
        <w:t>1．我方已仔细研究了</w:t>
      </w:r>
      <w:r>
        <w:rPr>
          <w:rFonts w:hint="eastAsia" w:ascii="宋体" w:hAnsi="宋体"/>
          <w:sz w:val="24"/>
          <w:szCs w:val="24"/>
          <w:u w:val="single"/>
          <w:lang w:val="en-US" w:eastAsia="zh-CN"/>
        </w:rPr>
        <w:t xml:space="preserve">    </w:t>
      </w:r>
      <w:r>
        <w:rPr>
          <w:rFonts w:hint="eastAsia" w:ascii="宋体" w:hAnsi="宋体"/>
          <w:sz w:val="24"/>
          <w:szCs w:val="24"/>
          <w:u w:val="single"/>
        </w:rPr>
        <w:t>（项目名称）</w:t>
      </w:r>
      <w:r>
        <w:rPr>
          <w:rFonts w:hint="eastAsia" w:ascii="宋体" w:hAnsi="宋体"/>
          <w:sz w:val="24"/>
          <w:szCs w:val="24"/>
          <w:u w:val="single"/>
          <w:lang w:val="en-US" w:eastAsia="zh-CN"/>
        </w:rPr>
        <w:t xml:space="preserve">     </w:t>
      </w:r>
      <w:r>
        <w:rPr>
          <w:rFonts w:hint="eastAsia" w:ascii="宋体" w:hAnsi="宋体"/>
          <w:sz w:val="24"/>
          <w:szCs w:val="24"/>
        </w:rPr>
        <w:t>项目竞争性磋商文件的全部内容，愿意以人民币（大写）</w:t>
      </w:r>
      <w:r>
        <w:rPr>
          <w:rFonts w:hint="eastAsia" w:ascii="宋体" w:hAnsi="宋体"/>
          <w:sz w:val="24"/>
          <w:szCs w:val="24"/>
          <w:u w:val="single"/>
          <w:lang w:val="en-US" w:eastAsia="zh-CN"/>
        </w:rPr>
        <w:t xml:space="preserve">        </w:t>
      </w:r>
      <w:r>
        <w:rPr>
          <w:rFonts w:hint="eastAsia" w:ascii="宋体" w:hAnsi="宋体"/>
          <w:sz w:val="24"/>
          <w:szCs w:val="24"/>
        </w:rPr>
        <w:t>元（¥</w:t>
      </w:r>
      <w:r>
        <w:rPr>
          <w:rFonts w:hint="eastAsia" w:ascii="宋体" w:hAnsi="宋体"/>
          <w:sz w:val="24"/>
          <w:szCs w:val="24"/>
          <w:u w:val="single"/>
        </w:rPr>
        <w:t xml:space="preserve">           </w:t>
      </w:r>
      <w:r>
        <w:rPr>
          <w:rFonts w:hint="eastAsia" w:ascii="宋体" w:hAnsi="宋体"/>
          <w:sz w:val="24"/>
          <w:szCs w:val="24"/>
        </w:rPr>
        <w:t>元）的总报价，服务期</w:t>
      </w:r>
      <w:r>
        <w:rPr>
          <w:rFonts w:hint="eastAsia" w:ascii="宋体" w:hAnsi="宋体"/>
          <w:sz w:val="24"/>
          <w:szCs w:val="24"/>
          <w:u w:val="single"/>
        </w:rPr>
        <w:t xml:space="preserve">  </w:t>
      </w:r>
      <w:r>
        <w:rPr>
          <w:rFonts w:hint="eastAsia" w:ascii="宋体" w:hAnsi="宋体"/>
          <w:sz w:val="24"/>
          <w:szCs w:val="24"/>
          <w:u w:val="single"/>
          <w:lang w:val="en-US" w:eastAsia="zh-CN"/>
        </w:rPr>
        <w:t xml:space="preserve">     </w:t>
      </w:r>
      <w:r>
        <w:rPr>
          <w:rFonts w:hint="eastAsia" w:ascii="宋体" w:hAnsi="宋体"/>
          <w:sz w:val="24"/>
          <w:szCs w:val="24"/>
        </w:rPr>
        <w:t>，按合同约定实施</w:t>
      </w:r>
      <w:r>
        <w:rPr>
          <w:rFonts w:hint="eastAsia" w:ascii="宋体" w:hAnsi="宋体"/>
          <w:sz w:val="24"/>
          <w:szCs w:val="24"/>
          <w:lang w:val="en-US" w:eastAsia="zh-CN"/>
        </w:rPr>
        <w:t>和</w:t>
      </w:r>
      <w:r>
        <w:rPr>
          <w:rFonts w:hint="eastAsia" w:ascii="宋体" w:hAnsi="宋体"/>
          <w:sz w:val="24"/>
          <w:szCs w:val="24"/>
        </w:rPr>
        <w:t>完成</w:t>
      </w:r>
      <w:r>
        <w:rPr>
          <w:rFonts w:hint="eastAsia" w:ascii="宋体" w:hAnsi="宋体"/>
          <w:sz w:val="24"/>
          <w:szCs w:val="24"/>
          <w:lang w:val="en-US" w:eastAsia="zh-CN"/>
        </w:rPr>
        <w:t>承包上述采购项目</w:t>
      </w:r>
      <w:r>
        <w:rPr>
          <w:rFonts w:hint="eastAsia" w:ascii="宋体" w:hAnsi="宋体"/>
          <w:sz w:val="24"/>
          <w:szCs w:val="24"/>
        </w:rPr>
        <w:t>。</w:t>
      </w:r>
    </w:p>
    <w:p w14:paraId="2DF1D4D7">
      <w:pPr>
        <w:spacing w:line="440" w:lineRule="exact"/>
        <w:rPr>
          <w:rFonts w:ascii="宋体" w:hAnsi="宋体"/>
          <w:sz w:val="24"/>
          <w:szCs w:val="24"/>
        </w:rPr>
      </w:pPr>
      <w:r>
        <w:rPr>
          <w:rFonts w:hint="eastAsia" w:ascii="宋体" w:hAnsi="宋体"/>
          <w:sz w:val="24"/>
          <w:szCs w:val="24"/>
        </w:rPr>
        <w:t>2. 我方承诺在响应有效期</w:t>
      </w:r>
      <w:r>
        <w:rPr>
          <w:rFonts w:hint="eastAsia" w:ascii="宋体" w:hAnsi="宋体"/>
          <w:sz w:val="24"/>
          <w:szCs w:val="24"/>
          <w:u w:val="single"/>
        </w:rPr>
        <w:t xml:space="preserve">  </w:t>
      </w:r>
      <w:r>
        <w:rPr>
          <w:rFonts w:hint="eastAsia" w:ascii="宋体" w:hAnsi="宋体"/>
          <w:sz w:val="24"/>
          <w:szCs w:val="24"/>
          <w:u w:val="single"/>
          <w:lang w:val="en-US" w:eastAsia="zh-CN"/>
        </w:rPr>
        <w:t xml:space="preserve">  </w:t>
      </w:r>
      <w:r>
        <w:rPr>
          <w:rFonts w:hint="eastAsia" w:ascii="宋体" w:hAnsi="宋体"/>
          <w:sz w:val="24"/>
          <w:szCs w:val="24"/>
        </w:rPr>
        <w:t>天内不修改、撤销响应文件。</w:t>
      </w:r>
    </w:p>
    <w:p w14:paraId="799688A1">
      <w:pPr>
        <w:spacing w:line="440" w:lineRule="exact"/>
        <w:rPr>
          <w:rFonts w:ascii="宋体" w:hAnsi="宋体"/>
          <w:sz w:val="24"/>
          <w:szCs w:val="24"/>
        </w:rPr>
      </w:pPr>
      <w:r>
        <w:rPr>
          <w:rFonts w:hint="eastAsia" w:ascii="宋体" w:hAnsi="宋体"/>
          <w:sz w:val="24"/>
          <w:szCs w:val="24"/>
        </w:rPr>
        <w:t>3．随同本响应函提交磋商保证金一份，金额为人民币（大写）</w:t>
      </w:r>
      <w:r>
        <w:rPr>
          <w:rFonts w:hint="eastAsia" w:ascii="宋体" w:hAnsi="宋体"/>
          <w:sz w:val="24"/>
          <w:szCs w:val="24"/>
          <w:u w:val="single"/>
          <w:lang w:val="en-US" w:eastAsia="zh-CN"/>
        </w:rPr>
        <w:t xml:space="preserve">       </w:t>
      </w:r>
      <w:r>
        <w:rPr>
          <w:rFonts w:hint="eastAsia" w:ascii="宋体" w:hAnsi="宋体"/>
          <w:sz w:val="24"/>
          <w:szCs w:val="24"/>
        </w:rPr>
        <w:t>元（¥</w:t>
      </w:r>
      <w:r>
        <w:rPr>
          <w:rFonts w:hint="eastAsia" w:ascii="宋体" w:hAnsi="宋体"/>
          <w:sz w:val="24"/>
          <w:szCs w:val="24"/>
          <w:u w:val="single"/>
        </w:rPr>
        <w:t xml:space="preserve">       </w:t>
      </w:r>
      <w:r>
        <w:rPr>
          <w:rFonts w:hint="eastAsia" w:ascii="宋体" w:hAnsi="宋体"/>
          <w:sz w:val="24"/>
          <w:szCs w:val="24"/>
        </w:rPr>
        <w:t>）。</w:t>
      </w:r>
    </w:p>
    <w:p w14:paraId="510B443B">
      <w:pPr>
        <w:spacing w:line="440" w:lineRule="exact"/>
        <w:rPr>
          <w:rFonts w:ascii="宋体" w:hAnsi="宋体"/>
          <w:sz w:val="24"/>
          <w:szCs w:val="24"/>
        </w:rPr>
      </w:pPr>
      <w:r>
        <w:rPr>
          <w:rFonts w:hint="eastAsia" w:ascii="宋体" w:hAnsi="宋体"/>
          <w:sz w:val="24"/>
          <w:szCs w:val="24"/>
        </w:rPr>
        <w:t>4．如我方成交：</w:t>
      </w:r>
    </w:p>
    <w:p w14:paraId="75C8CB97">
      <w:pPr>
        <w:spacing w:line="440" w:lineRule="exact"/>
        <w:rPr>
          <w:rFonts w:ascii="宋体" w:hAnsi="宋体"/>
          <w:sz w:val="24"/>
          <w:szCs w:val="24"/>
        </w:rPr>
      </w:pPr>
      <w:r>
        <w:rPr>
          <w:rFonts w:hint="eastAsia" w:ascii="宋体" w:hAnsi="宋体"/>
          <w:sz w:val="24"/>
          <w:szCs w:val="24"/>
        </w:rPr>
        <w:t>（1）我方承诺在收到成交通知书后，在成交通知书规定的期限内与你方签订合同。</w:t>
      </w:r>
    </w:p>
    <w:p w14:paraId="4A7E8DB0">
      <w:pPr>
        <w:spacing w:line="440" w:lineRule="exact"/>
        <w:rPr>
          <w:rFonts w:ascii="宋体" w:hAnsi="宋体"/>
          <w:sz w:val="24"/>
          <w:szCs w:val="24"/>
        </w:rPr>
      </w:pPr>
      <w:r>
        <w:rPr>
          <w:rFonts w:hint="eastAsia" w:ascii="宋体" w:hAnsi="宋体"/>
          <w:sz w:val="24"/>
          <w:szCs w:val="24"/>
        </w:rPr>
        <w:t>（2）随同本响应函递交的响应函附录属于合同文件的组成部分。</w:t>
      </w:r>
    </w:p>
    <w:p w14:paraId="2008D40A">
      <w:pPr>
        <w:spacing w:line="440" w:lineRule="exact"/>
        <w:rPr>
          <w:rFonts w:ascii="宋体" w:hAnsi="宋体"/>
          <w:sz w:val="24"/>
          <w:szCs w:val="24"/>
        </w:rPr>
      </w:pPr>
      <w:r>
        <w:rPr>
          <w:rFonts w:hint="eastAsia" w:ascii="宋体" w:hAnsi="宋体"/>
          <w:sz w:val="24"/>
          <w:szCs w:val="24"/>
        </w:rPr>
        <w:t>（3）我方承诺按照竞争性磋商文件规定向你方递交履约保证金。</w:t>
      </w:r>
    </w:p>
    <w:p w14:paraId="5623B739">
      <w:pPr>
        <w:spacing w:line="440" w:lineRule="exact"/>
        <w:rPr>
          <w:rFonts w:ascii="宋体" w:hAnsi="宋体"/>
          <w:sz w:val="24"/>
          <w:szCs w:val="24"/>
        </w:rPr>
      </w:pPr>
      <w:r>
        <w:rPr>
          <w:rFonts w:hint="eastAsia" w:ascii="宋体" w:hAnsi="宋体"/>
          <w:sz w:val="24"/>
          <w:szCs w:val="24"/>
        </w:rPr>
        <w:t>5．我方在此声明，所递交的响应文件及有关资料内容完整、真实和准确，且不存在第二章“供应商须知”第1.4.3项和第1.4.4项规定的任何一种情形。</w:t>
      </w:r>
    </w:p>
    <w:p w14:paraId="2106215E">
      <w:pPr>
        <w:spacing w:line="440" w:lineRule="exact"/>
        <w:rPr>
          <w:rFonts w:ascii="宋体" w:hAnsi="宋体"/>
          <w:sz w:val="24"/>
          <w:szCs w:val="24"/>
        </w:rPr>
      </w:pPr>
      <w:r>
        <w:rPr>
          <w:rFonts w:hint="eastAsia" w:ascii="宋体" w:hAnsi="宋体"/>
          <w:sz w:val="24"/>
          <w:szCs w:val="24"/>
        </w:rPr>
        <w:t>6．</w:t>
      </w:r>
      <w:r>
        <w:rPr>
          <w:rFonts w:hint="eastAsia" w:ascii="宋体" w:hAnsi="宋体"/>
          <w:sz w:val="24"/>
          <w:szCs w:val="24"/>
          <w:u w:val="single"/>
          <w:lang w:val="en-US" w:eastAsia="zh-CN"/>
        </w:rPr>
        <w:t xml:space="preserve">          </w:t>
      </w:r>
      <w:r>
        <w:rPr>
          <w:rFonts w:hint="eastAsia" w:ascii="宋体" w:hAnsi="宋体"/>
          <w:sz w:val="24"/>
          <w:szCs w:val="24"/>
          <w:u w:val="single"/>
        </w:rPr>
        <w:t>（其他补充说明）</w:t>
      </w:r>
      <w:r>
        <w:rPr>
          <w:rFonts w:hint="eastAsia" w:ascii="宋体" w:hAnsi="宋体"/>
          <w:sz w:val="24"/>
          <w:szCs w:val="24"/>
        </w:rPr>
        <w:t>。</w:t>
      </w:r>
    </w:p>
    <w:p w14:paraId="2207CF6F">
      <w:pPr>
        <w:spacing w:line="440" w:lineRule="exact"/>
        <w:rPr>
          <w:rFonts w:ascii="宋体" w:hAnsi="宋体"/>
          <w:sz w:val="24"/>
          <w:szCs w:val="24"/>
        </w:rPr>
      </w:pPr>
    </w:p>
    <w:p w14:paraId="50A9F490">
      <w:pPr>
        <w:spacing w:line="440" w:lineRule="exact"/>
        <w:rPr>
          <w:rFonts w:ascii="宋体" w:hAnsi="宋体"/>
          <w:sz w:val="24"/>
          <w:szCs w:val="24"/>
        </w:rPr>
      </w:pPr>
    </w:p>
    <w:p w14:paraId="3FB634F5">
      <w:pPr>
        <w:spacing w:line="440" w:lineRule="exact"/>
        <w:ind w:firstLine="2400" w:firstLineChars="1000"/>
        <w:rPr>
          <w:rFonts w:ascii="宋体" w:hAnsi="宋体"/>
          <w:sz w:val="24"/>
          <w:szCs w:val="24"/>
        </w:rPr>
      </w:pPr>
      <w:r>
        <w:rPr>
          <w:rFonts w:hint="eastAsia" w:ascii="宋体" w:hAnsi="宋体"/>
          <w:sz w:val="24"/>
          <w:szCs w:val="24"/>
        </w:rPr>
        <w:t>供应商：</w:t>
      </w:r>
      <w:r>
        <w:rPr>
          <w:rFonts w:hint="eastAsia" w:ascii="宋体" w:hAnsi="宋体"/>
          <w:sz w:val="24"/>
          <w:szCs w:val="24"/>
          <w:u w:val="single"/>
        </w:rPr>
        <w:t xml:space="preserve">                   </w:t>
      </w:r>
      <w:r>
        <w:rPr>
          <w:rFonts w:hint="eastAsia" w:ascii="宋体" w:hAnsi="宋体"/>
          <w:sz w:val="24"/>
          <w:szCs w:val="24"/>
          <w:u w:val="single"/>
          <w:lang w:val="en-US" w:eastAsia="zh-CN"/>
        </w:rPr>
        <w:t xml:space="preserve">  </w:t>
      </w:r>
      <w:r>
        <w:rPr>
          <w:rFonts w:hint="eastAsia" w:ascii="宋体" w:hAnsi="宋体"/>
          <w:sz w:val="24"/>
          <w:szCs w:val="24"/>
          <w:u w:val="single"/>
        </w:rPr>
        <w:t xml:space="preserve">   </w:t>
      </w:r>
      <w:r>
        <w:rPr>
          <w:rFonts w:hint="eastAsia" w:ascii="宋体" w:hAnsi="宋体"/>
          <w:sz w:val="24"/>
          <w:szCs w:val="24"/>
        </w:rPr>
        <w:t>（盖单位章）</w:t>
      </w:r>
    </w:p>
    <w:p w14:paraId="4CD78F11">
      <w:pPr>
        <w:spacing w:line="440" w:lineRule="exact"/>
        <w:jc w:val="center"/>
        <w:rPr>
          <w:rFonts w:ascii="宋体" w:hAnsi="宋体"/>
          <w:sz w:val="24"/>
          <w:szCs w:val="24"/>
        </w:rPr>
      </w:pPr>
      <w:r>
        <w:rPr>
          <w:rFonts w:hint="eastAsia" w:ascii="宋体" w:hAnsi="宋体"/>
          <w:sz w:val="24"/>
          <w:szCs w:val="24"/>
          <w:lang w:val="en-US" w:eastAsia="zh-CN"/>
        </w:rPr>
        <w:t xml:space="preserve">                </w:t>
      </w:r>
      <w:r>
        <w:rPr>
          <w:rFonts w:hint="eastAsia" w:ascii="宋体" w:hAnsi="宋体"/>
          <w:sz w:val="24"/>
          <w:szCs w:val="24"/>
        </w:rPr>
        <w:t>法定代表人或其委托代理人：</w:t>
      </w:r>
      <w:r>
        <w:rPr>
          <w:rFonts w:hint="eastAsia" w:ascii="宋体" w:hAnsi="宋体"/>
          <w:sz w:val="24"/>
          <w:szCs w:val="24"/>
          <w:u w:val="single"/>
          <w:lang w:val="en-US" w:eastAsia="zh-CN"/>
        </w:rPr>
        <w:t xml:space="preserve">       </w:t>
      </w:r>
      <w:r>
        <w:rPr>
          <w:rFonts w:hint="eastAsia" w:ascii="宋体" w:hAnsi="宋体"/>
          <w:sz w:val="24"/>
          <w:szCs w:val="24"/>
        </w:rPr>
        <w:t>（</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hint="eastAsia" w:ascii="宋体" w:hAnsi="宋体"/>
          <w:sz w:val="24"/>
          <w:szCs w:val="24"/>
        </w:rPr>
        <w:t>）</w:t>
      </w:r>
    </w:p>
    <w:p w14:paraId="532E26C5">
      <w:pPr>
        <w:spacing w:line="440" w:lineRule="exact"/>
        <w:rPr>
          <w:rFonts w:hint="default" w:ascii="宋体" w:hAnsi="宋体" w:eastAsia="宋体"/>
          <w:sz w:val="24"/>
          <w:szCs w:val="24"/>
          <w:lang w:val="en-US" w:eastAsia="zh-CN"/>
        </w:rPr>
      </w:pPr>
      <w:r>
        <w:rPr>
          <w:rFonts w:hint="eastAsia" w:ascii="宋体" w:hAnsi="宋体"/>
          <w:sz w:val="24"/>
          <w:szCs w:val="24"/>
        </w:rPr>
        <w:t xml:space="preserve">                    地址：</w:t>
      </w:r>
      <w:r>
        <w:rPr>
          <w:rFonts w:hint="eastAsia" w:ascii="宋体" w:hAnsi="宋体"/>
          <w:sz w:val="24"/>
          <w:szCs w:val="24"/>
          <w:u w:val="single"/>
          <w:lang w:val="en-US" w:eastAsia="zh-CN"/>
        </w:rPr>
        <w:t xml:space="preserve">                   </w:t>
      </w:r>
    </w:p>
    <w:p w14:paraId="6FE52DA3">
      <w:pPr>
        <w:spacing w:line="440" w:lineRule="exact"/>
        <w:ind w:firstLine="2400" w:firstLineChars="1000"/>
        <w:jc w:val="both"/>
        <w:rPr>
          <w:rFonts w:hint="default" w:ascii="宋体" w:hAnsi="宋体" w:eastAsia="宋体"/>
          <w:sz w:val="24"/>
          <w:szCs w:val="24"/>
          <w:lang w:val="en-US" w:eastAsia="zh-CN"/>
        </w:rPr>
      </w:pPr>
      <w:r>
        <w:rPr>
          <w:rFonts w:hint="eastAsia" w:ascii="宋体" w:hAnsi="宋体"/>
          <w:sz w:val="24"/>
          <w:szCs w:val="24"/>
        </w:rPr>
        <w:t>电话：</w:t>
      </w:r>
      <w:r>
        <w:rPr>
          <w:rFonts w:hint="eastAsia" w:ascii="宋体" w:hAnsi="宋体"/>
          <w:sz w:val="24"/>
          <w:szCs w:val="24"/>
          <w:u w:val="single"/>
          <w:lang w:val="en-US" w:eastAsia="zh-CN"/>
        </w:rPr>
        <w:t xml:space="preserve">                   </w:t>
      </w:r>
      <w:r>
        <w:rPr>
          <w:rFonts w:hint="eastAsia" w:ascii="宋体" w:hAnsi="宋体"/>
          <w:sz w:val="24"/>
          <w:szCs w:val="24"/>
          <w:lang w:val="en-US" w:eastAsia="zh-CN"/>
        </w:rPr>
        <w:t xml:space="preserve"> </w:t>
      </w:r>
    </w:p>
    <w:p w14:paraId="721BCE55">
      <w:pPr>
        <w:spacing w:line="440" w:lineRule="exact"/>
        <w:ind w:firstLine="2400" w:firstLineChars="1000"/>
        <w:jc w:val="both"/>
        <w:rPr>
          <w:rFonts w:hint="default" w:ascii="宋体" w:hAnsi="宋体" w:eastAsia="宋体"/>
          <w:sz w:val="24"/>
          <w:szCs w:val="24"/>
          <w:lang w:val="en-US" w:eastAsia="zh-CN"/>
        </w:rPr>
      </w:pPr>
      <w:r>
        <w:rPr>
          <w:rFonts w:hint="eastAsia" w:ascii="宋体" w:hAnsi="宋体"/>
          <w:sz w:val="24"/>
          <w:szCs w:val="24"/>
        </w:rPr>
        <w:t>传真：</w:t>
      </w:r>
      <w:r>
        <w:rPr>
          <w:rFonts w:hint="eastAsia" w:ascii="宋体" w:hAnsi="宋体"/>
          <w:sz w:val="24"/>
          <w:szCs w:val="24"/>
          <w:u w:val="single"/>
          <w:lang w:val="en-US" w:eastAsia="zh-CN"/>
        </w:rPr>
        <w:t xml:space="preserve">                   </w:t>
      </w:r>
    </w:p>
    <w:p w14:paraId="554B5321">
      <w:pPr>
        <w:spacing w:line="440" w:lineRule="exact"/>
        <w:ind w:firstLine="2400" w:firstLineChars="1000"/>
        <w:jc w:val="both"/>
        <w:rPr>
          <w:rFonts w:hint="default" w:ascii="宋体" w:hAnsi="宋体" w:eastAsia="宋体"/>
          <w:sz w:val="24"/>
          <w:szCs w:val="24"/>
          <w:lang w:val="en-US" w:eastAsia="zh-CN"/>
        </w:rPr>
      </w:pPr>
      <w:r>
        <w:rPr>
          <w:rFonts w:hint="eastAsia" w:ascii="宋体" w:hAnsi="宋体"/>
          <w:sz w:val="24"/>
          <w:szCs w:val="24"/>
        </w:rPr>
        <w:t>邮政编码：</w:t>
      </w:r>
      <w:r>
        <w:rPr>
          <w:rFonts w:hint="eastAsia" w:ascii="宋体" w:hAnsi="宋体"/>
          <w:sz w:val="24"/>
          <w:szCs w:val="24"/>
          <w:u w:val="single"/>
          <w:lang w:val="en-US" w:eastAsia="zh-CN"/>
        </w:rPr>
        <w:t xml:space="preserve">               </w:t>
      </w:r>
      <w:r>
        <w:rPr>
          <w:rFonts w:hint="eastAsia" w:ascii="宋体" w:hAnsi="宋体"/>
          <w:sz w:val="24"/>
          <w:szCs w:val="24"/>
          <w:lang w:val="en-US" w:eastAsia="zh-CN"/>
        </w:rPr>
        <w:t xml:space="preserve">      </w:t>
      </w:r>
    </w:p>
    <w:p w14:paraId="0EB79267">
      <w:pPr>
        <w:spacing w:line="440" w:lineRule="exact"/>
        <w:ind w:firstLine="2400" w:firstLineChars="1000"/>
        <w:jc w:val="both"/>
        <w:rPr>
          <w:rFonts w:ascii="宋体" w:hAnsi="宋体"/>
          <w:sz w:val="24"/>
          <w:szCs w:val="24"/>
        </w:rPr>
      </w:pPr>
      <w:r>
        <w:rPr>
          <w:rFonts w:hint="eastAsia" w:ascii="宋体" w:hAnsi="宋体"/>
          <w:sz w:val="24"/>
          <w:szCs w:val="24"/>
        </w:rPr>
        <w:t xml:space="preserve">年 </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 xml:space="preserve"> 日</w:t>
      </w:r>
    </w:p>
    <w:p w14:paraId="2DD45690">
      <w:pPr>
        <w:spacing w:line="360" w:lineRule="auto"/>
        <w:jc w:val="center"/>
        <w:rPr>
          <w:rFonts w:ascii="宋体" w:hAnsi="宋体"/>
          <w:sz w:val="26"/>
        </w:rPr>
      </w:pPr>
    </w:p>
    <w:p w14:paraId="23ED5FC4">
      <w:pPr>
        <w:spacing w:line="360" w:lineRule="auto"/>
        <w:rPr>
          <w:rFonts w:ascii="宋体" w:hAnsi="宋体"/>
          <w:sz w:val="26"/>
        </w:rPr>
      </w:pPr>
    </w:p>
    <w:p w14:paraId="7C8BC07F">
      <w:pPr>
        <w:widowControl/>
        <w:jc w:val="left"/>
        <w:rPr>
          <w:rFonts w:ascii="宋体" w:hAnsi="宋体"/>
          <w:sz w:val="26"/>
        </w:rPr>
      </w:pPr>
      <w:bookmarkStart w:id="279" w:name="_Toc403382859"/>
      <w:r>
        <w:rPr>
          <w:rFonts w:ascii="宋体" w:hAnsi="宋体"/>
          <w:sz w:val="26"/>
        </w:rPr>
        <w:br w:type="page"/>
      </w:r>
    </w:p>
    <w:bookmarkEnd w:id="279"/>
    <w:p w14:paraId="1E9942D5">
      <w:pPr>
        <w:spacing w:before="117" w:line="225" w:lineRule="auto"/>
        <w:jc w:val="center"/>
        <w:outlineLvl w:val="2"/>
        <w:rPr>
          <w:rFonts w:ascii="宋体" w:hAnsi="宋体" w:eastAsia="宋体" w:cs="宋体"/>
          <w:sz w:val="31"/>
          <w:szCs w:val="31"/>
        </w:rPr>
      </w:pPr>
      <w:r>
        <w:rPr>
          <w:rFonts w:ascii="宋体" w:hAnsi="宋体" w:eastAsia="宋体" w:cs="宋体"/>
          <w:b/>
          <w:bCs/>
          <w:spacing w:val="6"/>
          <w:sz w:val="31"/>
          <w:szCs w:val="31"/>
        </w:rPr>
        <w:t>二、法定代表人身份证明</w:t>
      </w:r>
    </w:p>
    <w:p w14:paraId="42961DBC">
      <w:pPr>
        <w:pStyle w:val="2"/>
        <w:spacing w:line="377" w:lineRule="auto"/>
      </w:pPr>
    </w:p>
    <w:p w14:paraId="7809A151">
      <w:pPr>
        <w:keepNext w:val="0"/>
        <w:keepLines w:val="0"/>
        <w:pageBreakBefore w:val="0"/>
        <w:widowControl w:val="0"/>
        <w:kinsoku/>
        <w:wordWrap/>
        <w:overflowPunct/>
        <w:topLinePunct w:val="0"/>
        <w:autoSpaceDE/>
        <w:autoSpaceDN/>
        <w:bidi w:val="0"/>
        <w:adjustRightInd/>
        <w:snapToGrid/>
        <w:spacing w:before="62" w:line="500" w:lineRule="exact"/>
        <w:ind w:left="204" w:firstLine="472" w:firstLineChars="200"/>
        <w:textAlignment w:val="auto"/>
        <w:rPr>
          <w:sz w:val="24"/>
          <w:szCs w:val="24"/>
        </w:rPr>
      </w:pPr>
      <w:r>
        <w:rPr>
          <w:rFonts w:ascii="宋体" w:hAnsi="宋体" w:eastAsia="宋体" w:cs="宋体"/>
          <w:spacing w:val="-2"/>
          <w:sz w:val="24"/>
          <w:szCs w:val="24"/>
        </w:rPr>
        <w:t>投</w:t>
      </w:r>
      <w:r>
        <w:rPr>
          <w:rFonts w:ascii="宋体" w:hAnsi="宋体" w:eastAsia="宋体" w:cs="宋体"/>
          <w:spacing w:val="15"/>
          <w:sz w:val="24"/>
          <w:szCs w:val="24"/>
        </w:rPr>
        <w:t xml:space="preserve"> </w:t>
      </w:r>
      <w:r>
        <w:rPr>
          <w:rFonts w:ascii="宋体" w:hAnsi="宋体" w:eastAsia="宋体" w:cs="宋体"/>
          <w:spacing w:val="-2"/>
          <w:sz w:val="24"/>
          <w:szCs w:val="24"/>
        </w:rPr>
        <w:t>标</w:t>
      </w:r>
      <w:r>
        <w:rPr>
          <w:rFonts w:ascii="宋体" w:hAnsi="宋体" w:eastAsia="宋体" w:cs="宋体"/>
          <w:spacing w:val="15"/>
          <w:sz w:val="24"/>
          <w:szCs w:val="24"/>
        </w:rPr>
        <w:t xml:space="preserve"> </w:t>
      </w:r>
      <w:r>
        <w:rPr>
          <w:rFonts w:ascii="宋体" w:hAnsi="宋体" w:eastAsia="宋体" w:cs="宋体"/>
          <w:spacing w:val="-2"/>
          <w:sz w:val="24"/>
          <w:szCs w:val="24"/>
        </w:rPr>
        <w:t>人</w:t>
      </w:r>
      <w:r>
        <w:rPr>
          <w:rFonts w:ascii="宋体" w:hAnsi="宋体" w:eastAsia="宋体" w:cs="宋体"/>
          <w:spacing w:val="-70"/>
          <w:sz w:val="24"/>
          <w:szCs w:val="24"/>
        </w:rPr>
        <w:t xml:space="preserve"> </w:t>
      </w:r>
      <w:r>
        <w:rPr>
          <w:rFonts w:ascii="宋体" w:hAnsi="宋体" w:eastAsia="宋体" w:cs="宋体"/>
          <w:spacing w:val="-2"/>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14:paraId="085BED3B">
      <w:pPr>
        <w:keepNext w:val="0"/>
        <w:keepLines w:val="0"/>
        <w:pageBreakBefore w:val="0"/>
        <w:widowControl w:val="0"/>
        <w:kinsoku/>
        <w:wordWrap/>
        <w:overflowPunct/>
        <w:topLinePunct w:val="0"/>
        <w:autoSpaceDE/>
        <w:autoSpaceDN/>
        <w:bidi w:val="0"/>
        <w:adjustRightInd/>
        <w:snapToGrid/>
        <w:spacing w:before="61" w:line="500" w:lineRule="exact"/>
        <w:ind w:left="199" w:firstLine="496" w:firstLineChars="200"/>
        <w:textAlignment w:val="auto"/>
        <w:rPr>
          <w:sz w:val="24"/>
          <w:szCs w:val="24"/>
        </w:rPr>
      </w:pPr>
      <w:r>
        <w:rPr>
          <w:rFonts w:ascii="宋体" w:hAnsi="宋体" w:eastAsia="宋体" w:cs="宋体"/>
          <w:spacing w:val="4"/>
          <w:sz w:val="24"/>
          <w:szCs w:val="24"/>
        </w:rPr>
        <w:t>单位性质:</w:t>
      </w:r>
      <w:r>
        <w:rPr>
          <w:rFonts w:ascii="宋体" w:hAnsi="宋体" w:eastAsia="宋体" w:cs="宋体"/>
          <w:spacing w:val="4"/>
          <w:sz w:val="24"/>
          <w:szCs w:val="24"/>
          <w:u w:val="single" w:color="auto"/>
        </w:rPr>
        <w:t xml:space="preserve">                           </w:t>
      </w:r>
      <w:r>
        <w:rPr>
          <w:rFonts w:ascii="宋体" w:hAnsi="宋体" w:eastAsia="宋体" w:cs="宋体"/>
          <w:spacing w:val="3"/>
          <w:sz w:val="24"/>
          <w:szCs w:val="24"/>
          <w:u w:val="single" w:color="auto"/>
        </w:rPr>
        <w:t xml:space="preserve">                      </w:t>
      </w:r>
    </w:p>
    <w:p w14:paraId="3BF3CFA0">
      <w:pPr>
        <w:keepNext w:val="0"/>
        <w:keepLines w:val="0"/>
        <w:pageBreakBefore w:val="0"/>
        <w:widowControl w:val="0"/>
        <w:kinsoku/>
        <w:wordWrap/>
        <w:overflowPunct/>
        <w:topLinePunct w:val="0"/>
        <w:autoSpaceDE/>
        <w:autoSpaceDN/>
        <w:bidi w:val="0"/>
        <w:adjustRightInd/>
        <w:snapToGrid/>
        <w:spacing w:before="61" w:line="500" w:lineRule="exact"/>
        <w:ind w:left="202" w:firstLine="460" w:firstLineChars="200"/>
        <w:textAlignment w:val="auto"/>
        <w:rPr>
          <w:sz w:val="24"/>
          <w:szCs w:val="24"/>
        </w:rPr>
      </w:pPr>
      <w:r>
        <w:rPr>
          <w:rFonts w:ascii="宋体" w:hAnsi="宋体" w:eastAsia="宋体" w:cs="宋体"/>
          <w:spacing w:val="-5"/>
          <w:sz w:val="24"/>
          <w:szCs w:val="24"/>
        </w:rPr>
        <w:t>地</w:t>
      </w:r>
      <w:r>
        <w:rPr>
          <w:rFonts w:ascii="宋体" w:hAnsi="宋体" w:eastAsia="宋体" w:cs="宋体"/>
          <w:spacing w:val="2"/>
          <w:sz w:val="24"/>
          <w:szCs w:val="24"/>
        </w:rPr>
        <w:t xml:space="preserve">     </w:t>
      </w:r>
      <w:r>
        <w:rPr>
          <w:rFonts w:ascii="宋体" w:hAnsi="宋体" w:eastAsia="宋体" w:cs="宋体"/>
          <w:spacing w:val="-5"/>
          <w:sz w:val="24"/>
          <w:szCs w:val="24"/>
        </w:rPr>
        <w:t>址</w:t>
      </w:r>
      <w:r>
        <w:rPr>
          <w:rFonts w:ascii="宋体" w:hAnsi="宋体" w:eastAsia="宋体" w:cs="宋体"/>
          <w:spacing w:val="-70"/>
          <w:sz w:val="24"/>
          <w:szCs w:val="24"/>
        </w:rPr>
        <w:t xml:space="preserve"> </w:t>
      </w:r>
      <w:r>
        <w:rPr>
          <w:rFonts w:ascii="宋体" w:hAnsi="宋体" w:eastAsia="宋体" w:cs="宋体"/>
          <w:spacing w:val="-5"/>
          <w:sz w:val="24"/>
          <w:szCs w:val="24"/>
        </w:rPr>
        <w:t>：</w:t>
      </w:r>
      <w:r>
        <w:rPr>
          <w:rFonts w:ascii="宋体" w:hAnsi="宋体" w:eastAsia="宋体" w:cs="宋体"/>
          <w:sz w:val="24"/>
          <w:szCs w:val="24"/>
          <w:u w:val="single" w:color="auto"/>
        </w:rPr>
        <w:t xml:space="preserve">                                                 </w:t>
      </w:r>
    </w:p>
    <w:p w14:paraId="4453A36B">
      <w:pPr>
        <w:keepNext w:val="0"/>
        <w:keepLines w:val="0"/>
        <w:pageBreakBefore w:val="0"/>
        <w:widowControl w:val="0"/>
        <w:kinsoku/>
        <w:wordWrap/>
        <w:overflowPunct/>
        <w:topLinePunct w:val="0"/>
        <w:autoSpaceDE/>
        <w:autoSpaceDN/>
        <w:bidi w:val="0"/>
        <w:adjustRightInd/>
        <w:snapToGrid/>
        <w:spacing w:before="62" w:line="500" w:lineRule="exact"/>
        <w:ind w:left="4" w:firstLine="744" w:firstLineChars="300"/>
        <w:textAlignment w:val="auto"/>
        <w:rPr>
          <w:sz w:val="24"/>
          <w:szCs w:val="24"/>
        </w:rPr>
      </w:pPr>
      <w:r>
        <w:rPr>
          <w:rFonts w:ascii="宋体" w:hAnsi="宋体" w:eastAsia="宋体" w:cs="宋体"/>
          <w:spacing w:val="4"/>
          <w:sz w:val="24"/>
          <w:szCs w:val="24"/>
        </w:rPr>
        <w:t>成立时间：</w:t>
      </w:r>
      <w:r>
        <w:rPr>
          <w:rFonts w:ascii="宋体" w:hAnsi="宋体" w:eastAsia="宋体" w:cs="宋体"/>
          <w:sz w:val="24"/>
          <w:szCs w:val="24"/>
          <w:u w:val="single" w:color="auto"/>
        </w:rPr>
        <w:t xml:space="preserve">             </w:t>
      </w:r>
      <w:r>
        <w:rPr>
          <w:rFonts w:ascii="宋体" w:hAnsi="宋体" w:eastAsia="宋体" w:cs="宋体"/>
          <w:spacing w:val="-76"/>
          <w:sz w:val="24"/>
          <w:szCs w:val="24"/>
        </w:rPr>
        <w:t xml:space="preserve"> </w:t>
      </w:r>
      <w:r>
        <w:rPr>
          <w:rFonts w:ascii="宋体" w:hAnsi="宋体" w:eastAsia="宋体" w:cs="宋体"/>
          <w:spacing w:val="4"/>
          <w:sz w:val="24"/>
          <w:szCs w:val="24"/>
        </w:rPr>
        <w:t>年</w:t>
      </w:r>
      <w:r>
        <w:rPr>
          <w:rFonts w:ascii="宋体" w:hAnsi="宋体" w:eastAsia="宋体" w:cs="宋体"/>
          <w:spacing w:val="-95"/>
          <w:sz w:val="24"/>
          <w:szCs w:val="24"/>
        </w:rPr>
        <w:t xml:space="preserve"> </w:t>
      </w:r>
      <w:r>
        <w:rPr>
          <w:rFonts w:ascii="宋体" w:hAnsi="宋体" w:eastAsia="宋体" w:cs="宋体"/>
          <w:spacing w:val="11"/>
          <w:sz w:val="24"/>
          <w:szCs w:val="24"/>
          <w:u w:val="single" w:color="auto"/>
        </w:rPr>
        <w:t xml:space="preserve">        </w:t>
      </w:r>
      <w:r>
        <w:rPr>
          <w:rFonts w:ascii="宋体" w:hAnsi="宋体" w:eastAsia="宋体" w:cs="宋体"/>
          <w:spacing w:val="-78"/>
          <w:sz w:val="24"/>
          <w:szCs w:val="24"/>
        </w:rPr>
        <w:t xml:space="preserve"> </w:t>
      </w:r>
      <w:r>
        <w:rPr>
          <w:rFonts w:ascii="宋体" w:hAnsi="宋体" w:eastAsia="宋体" w:cs="宋体"/>
          <w:spacing w:val="4"/>
          <w:sz w:val="24"/>
          <w:szCs w:val="24"/>
        </w:rPr>
        <w:t>月</w:t>
      </w:r>
      <w:r>
        <w:rPr>
          <w:rFonts w:ascii="宋体" w:hAnsi="宋体" w:eastAsia="宋体" w:cs="宋体"/>
          <w:spacing w:val="11"/>
          <w:sz w:val="24"/>
          <w:szCs w:val="24"/>
          <w:u w:val="single" w:color="auto"/>
        </w:rPr>
        <w:t xml:space="preserve">        </w:t>
      </w:r>
      <w:r>
        <w:rPr>
          <w:rFonts w:ascii="宋体" w:hAnsi="宋体" w:eastAsia="宋体" w:cs="宋体"/>
          <w:spacing w:val="-51"/>
          <w:sz w:val="24"/>
          <w:szCs w:val="24"/>
        </w:rPr>
        <w:t xml:space="preserve"> </w:t>
      </w:r>
      <w:r>
        <w:rPr>
          <w:rFonts w:ascii="宋体" w:hAnsi="宋体" w:eastAsia="宋体" w:cs="宋体"/>
          <w:spacing w:val="4"/>
          <w:sz w:val="24"/>
          <w:szCs w:val="24"/>
        </w:rPr>
        <w:t>日</w:t>
      </w:r>
    </w:p>
    <w:p w14:paraId="10803E90">
      <w:pPr>
        <w:keepNext w:val="0"/>
        <w:keepLines w:val="0"/>
        <w:pageBreakBefore w:val="0"/>
        <w:widowControl w:val="0"/>
        <w:kinsoku/>
        <w:wordWrap/>
        <w:overflowPunct/>
        <w:topLinePunct w:val="0"/>
        <w:autoSpaceDE/>
        <w:autoSpaceDN/>
        <w:bidi w:val="0"/>
        <w:adjustRightInd/>
        <w:snapToGrid/>
        <w:spacing w:before="62" w:line="500" w:lineRule="exact"/>
        <w:ind w:firstLine="762" w:firstLineChars="300"/>
        <w:textAlignment w:val="auto"/>
        <w:rPr>
          <w:sz w:val="24"/>
          <w:szCs w:val="24"/>
        </w:rPr>
      </w:pPr>
      <w:r>
        <w:rPr>
          <w:rFonts w:ascii="宋体" w:hAnsi="宋体" w:eastAsia="宋体" w:cs="宋体"/>
          <w:spacing w:val="7"/>
          <w:sz w:val="24"/>
          <w:szCs w:val="24"/>
        </w:rPr>
        <w:t>经营期限：</w:t>
      </w:r>
      <w:r>
        <w:rPr>
          <w:rFonts w:ascii="宋体" w:hAnsi="宋体" w:eastAsia="宋体" w:cs="宋体"/>
          <w:sz w:val="24"/>
          <w:szCs w:val="24"/>
          <w:u w:val="single" w:color="auto"/>
        </w:rPr>
        <w:t xml:space="preserve">                                                    </w:t>
      </w:r>
    </w:p>
    <w:p w14:paraId="451F220D">
      <w:pPr>
        <w:keepNext w:val="0"/>
        <w:keepLines w:val="0"/>
        <w:pageBreakBefore w:val="0"/>
        <w:widowControl w:val="0"/>
        <w:kinsoku/>
        <w:wordWrap/>
        <w:overflowPunct/>
        <w:topLinePunct w:val="0"/>
        <w:autoSpaceDE/>
        <w:autoSpaceDN/>
        <w:bidi w:val="0"/>
        <w:adjustRightInd/>
        <w:snapToGrid/>
        <w:spacing w:before="66" w:line="500" w:lineRule="exact"/>
        <w:ind w:firstLine="690" w:firstLineChars="300"/>
        <w:textAlignment w:val="auto"/>
        <w:rPr>
          <w:rFonts w:ascii="宋体" w:hAnsi="宋体" w:eastAsia="宋体" w:cs="宋体"/>
          <w:spacing w:val="-5"/>
          <w:sz w:val="24"/>
          <w:szCs w:val="24"/>
          <w:u w:val="single" w:color="auto"/>
        </w:rPr>
      </w:pPr>
      <w:r>
        <w:rPr>
          <w:rFonts w:ascii="宋体" w:hAnsi="宋体" w:eastAsia="宋体" w:cs="宋体"/>
          <w:spacing w:val="-5"/>
          <w:sz w:val="24"/>
          <w:szCs w:val="24"/>
        </w:rPr>
        <w:t>姓</w:t>
      </w:r>
      <w:r>
        <w:rPr>
          <w:rFonts w:ascii="宋体" w:hAnsi="宋体" w:eastAsia="宋体" w:cs="宋体"/>
          <w:spacing w:val="13"/>
          <w:sz w:val="24"/>
          <w:szCs w:val="24"/>
        </w:rPr>
        <w:t xml:space="preserve">    </w:t>
      </w:r>
      <w:r>
        <w:rPr>
          <w:rFonts w:ascii="宋体" w:hAnsi="宋体" w:eastAsia="宋体" w:cs="宋体"/>
          <w:spacing w:val="-5"/>
          <w:sz w:val="24"/>
          <w:szCs w:val="24"/>
        </w:rPr>
        <w:t>名</w:t>
      </w:r>
      <w:r>
        <w:rPr>
          <w:rFonts w:ascii="宋体" w:hAnsi="宋体" w:eastAsia="宋体" w:cs="宋体"/>
          <w:spacing w:val="-74"/>
          <w:sz w:val="24"/>
          <w:szCs w:val="24"/>
        </w:rPr>
        <w:t xml:space="preserve"> </w:t>
      </w:r>
      <w:r>
        <w:rPr>
          <w:rFonts w:ascii="宋体" w:hAnsi="宋体" w:eastAsia="宋体" w:cs="宋体"/>
          <w:spacing w:val="-5"/>
          <w:sz w:val="24"/>
          <w:szCs w:val="24"/>
        </w:rPr>
        <w:t>：</w:t>
      </w:r>
      <w:r>
        <w:rPr>
          <w:rFonts w:ascii="宋体" w:hAnsi="宋体" w:eastAsia="宋体" w:cs="宋体"/>
          <w:spacing w:val="5"/>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5"/>
          <w:sz w:val="24"/>
          <w:szCs w:val="24"/>
        </w:rPr>
        <w:t>性</w:t>
      </w:r>
      <w:r>
        <w:rPr>
          <w:rFonts w:ascii="宋体" w:hAnsi="宋体" w:eastAsia="宋体" w:cs="宋体"/>
          <w:spacing w:val="8"/>
          <w:sz w:val="24"/>
          <w:szCs w:val="24"/>
        </w:rPr>
        <w:t xml:space="preserve">     </w:t>
      </w:r>
      <w:r>
        <w:rPr>
          <w:rFonts w:ascii="宋体" w:hAnsi="宋体" w:eastAsia="宋体" w:cs="宋体"/>
          <w:spacing w:val="-5"/>
          <w:sz w:val="24"/>
          <w:szCs w:val="24"/>
        </w:rPr>
        <w:t>别</w:t>
      </w:r>
      <w:r>
        <w:rPr>
          <w:rFonts w:ascii="宋体" w:hAnsi="宋体" w:eastAsia="宋体" w:cs="宋体"/>
          <w:spacing w:val="-73"/>
          <w:sz w:val="24"/>
          <w:szCs w:val="24"/>
        </w:rPr>
        <w:t xml:space="preserve"> </w:t>
      </w:r>
      <w:r>
        <w:rPr>
          <w:rFonts w:ascii="宋体" w:hAnsi="宋体" w:eastAsia="宋体" w:cs="宋体"/>
          <w:spacing w:val="-5"/>
          <w:sz w:val="24"/>
          <w:szCs w:val="24"/>
        </w:rPr>
        <w:t>：</w:t>
      </w:r>
      <w:r>
        <w:rPr>
          <w:rFonts w:ascii="宋体" w:hAnsi="宋体" w:eastAsia="宋体" w:cs="宋体"/>
          <w:spacing w:val="-5"/>
          <w:sz w:val="24"/>
          <w:szCs w:val="24"/>
          <w:u w:val="single" w:color="auto"/>
        </w:rPr>
        <w:t xml:space="preserve">                  </w:t>
      </w:r>
    </w:p>
    <w:p w14:paraId="096C99B5">
      <w:pPr>
        <w:keepNext w:val="0"/>
        <w:keepLines w:val="0"/>
        <w:pageBreakBefore w:val="0"/>
        <w:widowControl w:val="0"/>
        <w:kinsoku/>
        <w:wordWrap/>
        <w:overflowPunct/>
        <w:topLinePunct w:val="0"/>
        <w:autoSpaceDE/>
        <w:autoSpaceDN/>
        <w:bidi w:val="0"/>
        <w:adjustRightInd/>
        <w:snapToGrid/>
        <w:spacing w:before="66" w:line="500" w:lineRule="exact"/>
        <w:ind w:firstLine="696" w:firstLineChars="300"/>
        <w:textAlignment w:val="auto"/>
        <w:rPr>
          <w:rFonts w:ascii="宋体" w:hAnsi="宋体" w:eastAsia="宋体" w:cs="宋体"/>
          <w:sz w:val="24"/>
          <w:szCs w:val="24"/>
        </w:rPr>
      </w:pPr>
      <w:r>
        <w:rPr>
          <w:rFonts w:ascii="宋体" w:hAnsi="宋体" w:eastAsia="宋体" w:cs="宋体"/>
          <w:spacing w:val="-4"/>
          <w:sz w:val="24"/>
          <w:szCs w:val="24"/>
        </w:rPr>
        <w:t>年</w:t>
      </w:r>
      <w:r>
        <w:rPr>
          <w:rFonts w:ascii="宋体" w:hAnsi="宋体" w:eastAsia="宋体" w:cs="宋体"/>
          <w:spacing w:val="8"/>
          <w:sz w:val="24"/>
          <w:szCs w:val="24"/>
        </w:rPr>
        <w:t xml:space="preserve">    </w:t>
      </w:r>
      <w:r>
        <w:rPr>
          <w:rFonts w:ascii="宋体" w:hAnsi="宋体" w:eastAsia="宋体" w:cs="宋体"/>
          <w:spacing w:val="-4"/>
          <w:sz w:val="24"/>
          <w:szCs w:val="24"/>
        </w:rPr>
        <w:t>龄</w:t>
      </w:r>
      <w:r>
        <w:rPr>
          <w:rFonts w:ascii="宋体" w:hAnsi="宋体" w:eastAsia="宋体" w:cs="宋体"/>
          <w:spacing w:val="-74"/>
          <w:sz w:val="24"/>
          <w:szCs w:val="24"/>
        </w:rPr>
        <w:t xml:space="preserve"> </w:t>
      </w:r>
      <w:r>
        <w:rPr>
          <w:rFonts w:ascii="宋体" w:hAnsi="宋体" w:eastAsia="宋体" w:cs="宋体"/>
          <w:spacing w:val="-4"/>
          <w:sz w:val="24"/>
          <w:szCs w:val="24"/>
        </w:rPr>
        <w:t>：</w:t>
      </w:r>
      <w:r>
        <w:rPr>
          <w:rFonts w:ascii="宋体" w:hAnsi="宋体" w:eastAsia="宋体" w:cs="宋体"/>
          <w:spacing w:val="5"/>
          <w:sz w:val="24"/>
          <w:szCs w:val="24"/>
          <w:u w:val="single" w:color="auto"/>
        </w:rPr>
        <w:t xml:space="preserve">                 </w:t>
      </w:r>
      <w:r>
        <w:rPr>
          <w:rFonts w:ascii="宋体" w:hAnsi="宋体" w:eastAsia="宋体" w:cs="宋体"/>
          <w:spacing w:val="-90"/>
          <w:sz w:val="24"/>
          <w:szCs w:val="24"/>
        </w:rPr>
        <w:t xml:space="preserve"> </w:t>
      </w:r>
      <w:r>
        <w:rPr>
          <w:rFonts w:ascii="宋体" w:hAnsi="宋体" w:eastAsia="宋体" w:cs="宋体"/>
          <w:spacing w:val="-4"/>
          <w:sz w:val="24"/>
          <w:szCs w:val="24"/>
        </w:rPr>
        <w:t>职</w:t>
      </w:r>
      <w:r>
        <w:rPr>
          <w:rFonts w:ascii="宋体" w:hAnsi="宋体" w:eastAsia="宋体" w:cs="宋体"/>
          <w:spacing w:val="8"/>
          <w:sz w:val="24"/>
          <w:szCs w:val="24"/>
        </w:rPr>
        <w:t xml:space="preserve">     </w:t>
      </w:r>
      <w:r>
        <w:rPr>
          <w:rFonts w:ascii="宋体" w:hAnsi="宋体" w:eastAsia="宋体" w:cs="宋体"/>
          <w:spacing w:val="-4"/>
          <w:sz w:val="24"/>
          <w:szCs w:val="24"/>
        </w:rPr>
        <w:t>务</w:t>
      </w:r>
      <w:r>
        <w:rPr>
          <w:rFonts w:ascii="宋体" w:hAnsi="宋体" w:eastAsia="宋体" w:cs="宋体"/>
          <w:spacing w:val="-74"/>
          <w:sz w:val="24"/>
          <w:szCs w:val="24"/>
        </w:rPr>
        <w:t xml:space="preserve"> </w:t>
      </w:r>
      <w:r>
        <w:rPr>
          <w:rFonts w:ascii="宋体" w:hAnsi="宋体" w:eastAsia="宋体" w:cs="宋体"/>
          <w:spacing w:val="-4"/>
          <w:sz w:val="24"/>
          <w:szCs w:val="24"/>
        </w:rPr>
        <w:t>：</w:t>
      </w:r>
      <w:r>
        <w:rPr>
          <w:rFonts w:ascii="宋体" w:hAnsi="宋体" w:eastAsia="宋体" w:cs="宋体"/>
          <w:spacing w:val="-4"/>
          <w:sz w:val="24"/>
          <w:szCs w:val="24"/>
          <w:u w:val="single" w:color="auto"/>
        </w:rPr>
        <w:t xml:space="preserve">             </w:t>
      </w:r>
      <w:r>
        <w:rPr>
          <w:rFonts w:ascii="宋体" w:hAnsi="宋体" w:eastAsia="宋体" w:cs="宋体"/>
          <w:spacing w:val="-5"/>
          <w:sz w:val="24"/>
          <w:szCs w:val="24"/>
          <w:u w:val="single" w:color="auto"/>
        </w:rPr>
        <w:t xml:space="preserve">     </w:t>
      </w:r>
    </w:p>
    <w:p w14:paraId="1A195B42">
      <w:pPr>
        <w:pStyle w:val="2"/>
        <w:spacing w:line="245" w:lineRule="auto"/>
        <w:rPr>
          <w:sz w:val="24"/>
          <w:szCs w:val="24"/>
        </w:rPr>
      </w:pPr>
    </w:p>
    <w:p w14:paraId="13941AF3">
      <w:pPr>
        <w:spacing w:before="62" w:line="229" w:lineRule="auto"/>
        <w:ind w:firstLine="768" w:firstLineChars="300"/>
        <w:rPr>
          <w:rFonts w:ascii="宋体" w:hAnsi="宋体" w:eastAsia="宋体" w:cs="宋体"/>
          <w:sz w:val="24"/>
          <w:szCs w:val="24"/>
        </w:rPr>
      </w:pPr>
      <w:r>
        <w:rPr>
          <w:rFonts w:ascii="宋体" w:hAnsi="宋体" w:eastAsia="宋体" w:cs="宋体"/>
          <w:spacing w:val="8"/>
          <w:sz w:val="24"/>
          <w:szCs w:val="24"/>
        </w:rPr>
        <w:t>系</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8"/>
          <w:sz w:val="24"/>
          <w:szCs w:val="24"/>
        </w:rPr>
        <w:t>（</w:t>
      </w:r>
      <w:r>
        <w:rPr>
          <w:rFonts w:hint="eastAsia" w:ascii="宋体" w:hAnsi="宋体" w:eastAsia="宋体" w:cs="宋体"/>
          <w:spacing w:val="8"/>
          <w:sz w:val="24"/>
          <w:szCs w:val="24"/>
          <w:lang w:eastAsia="zh-CN"/>
        </w:rPr>
        <w:t>供应商</w:t>
      </w:r>
      <w:r>
        <w:rPr>
          <w:rFonts w:ascii="宋体" w:hAnsi="宋体" w:eastAsia="宋体" w:cs="宋体"/>
          <w:spacing w:val="8"/>
          <w:sz w:val="24"/>
          <w:szCs w:val="24"/>
        </w:rPr>
        <w:t>名称）的法定代表人。</w:t>
      </w:r>
    </w:p>
    <w:p w14:paraId="1AACA0F8">
      <w:pPr>
        <w:spacing w:before="195"/>
      </w:pPr>
    </w:p>
    <w:tbl>
      <w:tblPr>
        <w:tblStyle w:val="51"/>
        <w:tblW w:w="6733" w:type="dxa"/>
        <w:tblInd w:w="149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6733"/>
      </w:tblGrid>
      <w:tr w14:paraId="08DD63B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554" w:hRule="atLeast"/>
        </w:trPr>
        <w:tc>
          <w:tcPr>
            <w:tcW w:w="6733" w:type="dxa"/>
            <w:vAlign w:val="top"/>
          </w:tcPr>
          <w:p w14:paraId="34CC4C18">
            <w:pPr>
              <w:spacing w:line="256" w:lineRule="auto"/>
              <w:rPr>
                <w:rFonts w:ascii="Arial"/>
                <w:sz w:val="21"/>
              </w:rPr>
            </w:pPr>
          </w:p>
          <w:p w14:paraId="49B0A566">
            <w:pPr>
              <w:spacing w:line="256" w:lineRule="auto"/>
              <w:rPr>
                <w:rFonts w:ascii="Arial"/>
                <w:sz w:val="21"/>
              </w:rPr>
            </w:pPr>
          </w:p>
          <w:p w14:paraId="7F25ACD7">
            <w:pPr>
              <w:spacing w:line="256" w:lineRule="auto"/>
              <w:rPr>
                <w:rFonts w:ascii="Arial"/>
                <w:sz w:val="21"/>
              </w:rPr>
            </w:pPr>
          </w:p>
          <w:p w14:paraId="14C86DD9">
            <w:pPr>
              <w:spacing w:line="256" w:lineRule="auto"/>
              <w:rPr>
                <w:rFonts w:ascii="Arial"/>
                <w:sz w:val="21"/>
              </w:rPr>
            </w:pPr>
          </w:p>
          <w:p w14:paraId="0BDD6B45">
            <w:pPr>
              <w:spacing w:line="256" w:lineRule="auto"/>
              <w:rPr>
                <w:rFonts w:ascii="Arial"/>
                <w:sz w:val="21"/>
              </w:rPr>
            </w:pPr>
          </w:p>
          <w:p w14:paraId="152216A5">
            <w:pPr>
              <w:spacing w:line="256" w:lineRule="auto"/>
              <w:rPr>
                <w:rFonts w:ascii="Arial"/>
                <w:sz w:val="21"/>
              </w:rPr>
            </w:pPr>
          </w:p>
          <w:p w14:paraId="31B705B2">
            <w:pPr>
              <w:spacing w:line="257" w:lineRule="auto"/>
              <w:rPr>
                <w:rFonts w:ascii="Arial"/>
                <w:sz w:val="21"/>
              </w:rPr>
            </w:pPr>
          </w:p>
          <w:p w14:paraId="755A3D2B">
            <w:pPr>
              <w:spacing w:line="257" w:lineRule="auto"/>
              <w:rPr>
                <w:rFonts w:ascii="Arial"/>
                <w:sz w:val="21"/>
              </w:rPr>
            </w:pPr>
          </w:p>
          <w:p w14:paraId="7D6AD685">
            <w:pPr>
              <w:pStyle w:val="50"/>
              <w:spacing w:before="78" w:line="220" w:lineRule="auto"/>
              <w:ind w:left="1085"/>
              <w:rPr>
                <w:sz w:val="24"/>
                <w:szCs w:val="24"/>
              </w:rPr>
            </w:pPr>
            <w:r>
              <w:rPr>
                <w:b/>
                <w:bCs/>
                <w:spacing w:val="-3"/>
                <w:sz w:val="24"/>
                <w:szCs w:val="24"/>
              </w:rPr>
              <w:t>法定代表人居民身份证复印件（正、反面）</w:t>
            </w:r>
          </w:p>
        </w:tc>
      </w:tr>
    </w:tbl>
    <w:p w14:paraId="2B9B1264">
      <w:pPr>
        <w:spacing w:before="144" w:line="229" w:lineRule="auto"/>
        <w:ind w:left="4284"/>
        <w:rPr>
          <w:rFonts w:ascii="宋体" w:hAnsi="宋体" w:eastAsia="宋体" w:cs="宋体"/>
          <w:sz w:val="24"/>
          <w:szCs w:val="24"/>
        </w:rPr>
      </w:pPr>
      <w:r>
        <w:rPr>
          <w:rFonts w:ascii="宋体" w:hAnsi="宋体" w:eastAsia="宋体" w:cs="宋体"/>
          <w:spacing w:val="6"/>
          <w:sz w:val="24"/>
          <w:szCs w:val="24"/>
        </w:rPr>
        <w:t>特此证明。</w:t>
      </w:r>
    </w:p>
    <w:p w14:paraId="381FD49C">
      <w:pPr>
        <w:pStyle w:val="2"/>
        <w:spacing w:line="278" w:lineRule="auto"/>
        <w:rPr>
          <w:sz w:val="24"/>
          <w:szCs w:val="24"/>
        </w:rPr>
      </w:pPr>
    </w:p>
    <w:p w14:paraId="49E7BA53">
      <w:pPr>
        <w:pStyle w:val="2"/>
        <w:spacing w:line="278" w:lineRule="auto"/>
        <w:rPr>
          <w:sz w:val="24"/>
          <w:szCs w:val="24"/>
        </w:rPr>
      </w:pPr>
    </w:p>
    <w:p w14:paraId="1F5FE431">
      <w:pPr>
        <w:spacing w:before="62" w:line="228" w:lineRule="auto"/>
        <w:ind w:left="1452"/>
        <w:rPr>
          <w:rFonts w:ascii="宋体" w:hAnsi="宋体" w:eastAsia="宋体" w:cs="宋体"/>
          <w:sz w:val="24"/>
          <w:szCs w:val="24"/>
        </w:rPr>
      </w:pPr>
      <w:r>
        <w:rPr>
          <w:rFonts w:hint="eastAsia" w:ascii="宋体" w:hAnsi="宋体"/>
          <w:sz w:val="24"/>
          <w:szCs w:val="24"/>
        </w:rPr>
        <w:t>供</w:t>
      </w:r>
      <w:r>
        <w:rPr>
          <w:rFonts w:hint="eastAsia" w:ascii="宋体" w:hAnsi="宋体"/>
          <w:sz w:val="24"/>
          <w:szCs w:val="24"/>
          <w:lang w:val="en-US" w:eastAsia="zh-CN"/>
        </w:rPr>
        <w:t xml:space="preserve">  </w:t>
      </w:r>
      <w:r>
        <w:rPr>
          <w:rFonts w:hint="eastAsia" w:ascii="宋体" w:hAnsi="宋体"/>
          <w:sz w:val="24"/>
          <w:szCs w:val="24"/>
        </w:rPr>
        <w:t>应</w:t>
      </w:r>
      <w:r>
        <w:rPr>
          <w:rFonts w:hint="eastAsia" w:ascii="宋体" w:hAnsi="宋体"/>
          <w:sz w:val="24"/>
          <w:szCs w:val="24"/>
          <w:lang w:val="en-US" w:eastAsia="zh-CN"/>
        </w:rPr>
        <w:t xml:space="preserve">  </w:t>
      </w:r>
      <w:r>
        <w:rPr>
          <w:rFonts w:hint="eastAsia" w:ascii="宋体" w:hAnsi="宋体"/>
          <w:sz w:val="24"/>
          <w:szCs w:val="24"/>
        </w:rPr>
        <w:t>商</w:t>
      </w:r>
      <w:r>
        <w:rPr>
          <w:rFonts w:ascii="宋体" w:hAnsi="宋体" w:eastAsia="宋体" w:cs="宋体"/>
          <w:spacing w:val="-15"/>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5"/>
          <w:sz w:val="24"/>
          <w:szCs w:val="24"/>
        </w:rPr>
        <w:t>（</w:t>
      </w:r>
      <w:r>
        <w:rPr>
          <w:rFonts w:ascii="宋体" w:hAnsi="宋体" w:eastAsia="宋体" w:cs="宋体"/>
          <w:spacing w:val="11"/>
          <w:sz w:val="24"/>
          <w:szCs w:val="24"/>
        </w:rPr>
        <w:t>盖单位公章）</w:t>
      </w:r>
    </w:p>
    <w:p w14:paraId="0BF01748">
      <w:pPr>
        <w:pStyle w:val="2"/>
        <w:spacing w:line="278" w:lineRule="auto"/>
        <w:rPr>
          <w:sz w:val="24"/>
          <w:szCs w:val="24"/>
        </w:rPr>
      </w:pPr>
    </w:p>
    <w:p w14:paraId="6D158160">
      <w:pPr>
        <w:pStyle w:val="2"/>
        <w:spacing w:line="278" w:lineRule="auto"/>
        <w:rPr>
          <w:sz w:val="24"/>
          <w:szCs w:val="24"/>
        </w:rPr>
      </w:pPr>
    </w:p>
    <w:p w14:paraId="0313F898">
      <w:pPr>
        <w:spacing w:before="62" w:line="229" w:lineRule="auto"/>
        <w:ind w:left="1436"/>
        <w:rPr>
          <w:rFonts w:ascii="宋体" w:hAnsi="宋体" w:eastAsia="宋体" w:cs="宋体"/>
          <w:sz w:val="24"/>
          <w:szCs w:val="24"/>
        </w:rPr>
      </w:pPr>
      <w:r>
        <w:rPr>
          <w:rFonts w:hint="eastAsia" w:ascii="宋体" w:hAnsi="宋体"/>
          <w:sz w:val="26"/>
        </w:rPr>
        <w:t>法定代表人或其委托代理人</w:t>
      </w:r>
      <w:r>
        <w:rPr>
          <w:rFonts w:ascii="宋体" w:hAnsi="宋体" w:eastAsia="宋体" w:cs="宋体"/>
          <w:spacing w:val="-4"/>
          <w:sz w:val="24"/>
          <w:szCs w:val="24"/>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4"/>
          <w:sz w:val="24"/>
          <w:szCs w:val="24"/>
        </w:rPr>
        <w:t>（</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ascii="宋体" w:hAnsi="宋体" w:eastAsia="宋体" w:cs="宋体"/>
          <w:spacing w:val="11"/>
          <w:sz w:val="24"/>
          <w:szCs w:val="24"/>
        </w:rPr>
        <w:t>）</w:t>
      </w:r>
    </w:p>
    <w:p w14:paraId="63C566AE">
      <w:pPr>
        <w:pStyle w:val="2"/>
        <w:spacing w:line="279" w:lineRule="auto"/>
        <w:rPr>
          <w:sz w:val="24"/>
          <w:szCs w:val="24"/>
        </w:rPr>
      </w:pPr>
    </w:p>
    <w:p w14:paraId="70A67011">
      <w:pPr>
        <w:spacing w:before="62" w:line="229" w:lineRule="auto"/>
        <w:ind w:firstLine="1380" w:firstLineChars="600"/>
        <w:rPr>
          <w:rFonts w:ascii="宋体" w:hAnsi="宋体" w:eastAsia="宋体" w:cs="宋体"/>
          <w:sz w:val="24"/>
          <w:szCs w:val="24"/>
        </w:rPr>
      </w:pPr>
      <w:r>
        <w:rPr>
          <w:rFonts w:ascii="宋体" w:hAnsi="宋体" w:eastAsia="宋体" w:cs="宋体"/>
          <w:spacing w:val="-5"/>
          <w:sz w:val="24"/>
          <w:szCs w:val="24"/>
        </w:rPr>
        <w:t>日</w:t>
      </w:r>
      <w:r>
        <w:rPr>
          <w:rFonts w:ascii="宋体" w:hAnsi="宋体" w:eastAsia="宋体" w:cs="宋体"/>
          <w:spacing w:val="4"/>
          <w:sz w:val="24"/>
          <w:szCs w:val="24"/>
        </w:rPr>
        <w:t xml:space="preserve">      </w:t>
      </w:r>
      <w:r>
        <w:rPr>
          <w:rFonts w:ascii="宋体" w:hAnsi="宋体" w:eastAsia="宋体" w:cs="宋体"/>
          <w:spacing w:val="-5"/>
          <w:sz w:val="24"/>
          <w:szCs w:val="24"/>
        </w:rPr>
        <w:t>期：</w:t>
      </w:r>
      <w:r>
        <w:rPr>
          <w:rFonts w:ascii="宋体" w:hAnsi="宋体" w:eastAsia="宋体" w:cs="宋体"/>
          <w:spacing w:val="1"/>
          <w:sz w:val="24"/>
          <w:szCs w:val="24"/>
          <w:u w:val="single" w:color="auto"/>
        </w:rPr>
        <w:t xml:space="preserve">      </w:t>
      </w:r>
      <w:r>
        <w:rPr>
          <w:rFonts w:ascii="宋体" w:hAnsi="宋体" w:eastAsia="宋体" w:cs="宋体"/>
          <w:spacing w:val="-78"/>
          <w:sz w:val="24"/>
          <w:szCs w:val="24"/>
        </w:rPr>
        <w:t xml:space="preserve"> </w:t>
      </w:r>
      <w:r>
        <w:rPr>
          <w:rFonts w:ascii="宋体" w:hAnsi="宋体" w:eastAsia="宋体" w:cs="宋体"/>
          <w:spacing w:val="-5"/>
          <w:sz w:val="24"/>
          <w:szCs w:val="24"/>
        </w:rPr>
        <w:t>年</w:t>
      </w:r>
      <w:r>
        <w:rPr>
          <w:rFonts w:ascii="宋体" w:hAnsi="宋体" w:eastAsia="宋体" w:cs="宋体"/>
          <w:spacing w:val="-94"/>
          <w:sz w:val="24"/>
          <w:szCs w:val="24"/>
        </w:rPr>
        <w:t xml:space="preserve"> </w:t>
      </w:r>
      <w:r>
        <w:rPr>
          <w:rFonts w:ascii="宋体" w:hAnsi="宋体" w:eastAsia="宋体" w:cs="宋体"/>
          <w:spacing w:val="11"/>
          <w:sz w:val="24"/>
          <w:szCs w:val="24"/>
          <w:u w:val="single" w:color="auto"/>
        </w:rPr>
        <w:t xml:space="preserve">     </w:t>
      </w:r>
      <w:r>
        <w:rPr>
          <w:rFonts w:ascii="宋体" w:hAnsi="宋体" w:eastAsia="宋体" w:cs="宋体"/>
          <w:spacing w:val="-79"/>
          <w:sz w:val="24"/>
          <w:szCs w:val="24"/>
        </w:rPr>
        <w:t xml:space="preserve"> </w:t>
      </w:r>
      <w:r>
        <w:rPr>
          <w:rFonts w:ascii="宋体" w:hAnsi="宋体" w:eastAsia="宋体" w:cs="宋体"/>
          <w:spacing w:val="-5"/>
          <w:sz w:val="24"/>
          <w:szCs w:val="24"/>
        </w:rPr>
        <w:t>月</w:t>
      </w:r>
      <w:r>
        <w:rPr>
          <w:rFonts w:ascii="宋体" w:hAnsi="宋体" w:eastAsia="宋体" w:cs="宋体"/>
          <w:spacing w:val="-93"/>
          <w:sz w:val="24"/>
          <w:szCs w:val="24"/>
        </w:rPr>
        <w:t xml:space="preserve"> </w:t>
      </w:r>
      <w:r>
        <w:rPr>
          <w:rFonts w:ascii="宋体" w:hAnsi="宋体" w:eastAsia="宋体" w:cs="宋体"/>
          <w:spacing w:val="11"/>
          <w:sz w:val="24"/>
          <w:szCs w:val="24"/>
          <w:u w:val="single" w:color="auto"/>
        </w:rPr>
        <w:t xml:space="preserve">     </w:t>
      </w:r>
      <w:r>
        <w:rPr>
          <w:rFonts w:ascii="宋体" w:hAnsi="宋体" w:eastAsia="宋体" w:cs="宋体"/>
          <w:spacing w:val="-48"/>
          <w:sz w:val="24"/>
          <w:szCs w:val="24"/>
        </w:rPr>
        <w:t xml:space="preserve"> </w:t>
      </w:r>
      <w:r>
        <w:rPr>
          <w:rFonts w:ascii="宋体" w:hAnsi="宋体" w:eastAsia="宋体" w:cs="宋体"/>
          <w:spacing w:val="-5"/>
          <w:sz w:val="24"/>
          <w:szCs w:val="24"/>
        </w:rPr>
        <w:t>日</w:t>
      </w:r>
    </w:p>
    <w:p w14:paraId="6BF7F79F">
      <w:pPr>
        <w:spacing w:before="94" w:line="228" w:lineRule="auto"/>
        <w:jc w:val="right"/>
        <w:rPr>
          <w:rFonts w:ascii="宋体" w:hAnsi="宋体" w:eastAsia="宋体" w:cs="宋体"/>
          <w:b/>
          <w:bCs/>
          <w:spacing w:val="-3"/>
          <w:sz w:val="20"/>
          <w:szCs w:val="20"/>
        </w:rPr>
      </w:pPr>
    </w:p>
    <w:p w14:paraId="7EE7DCED">
      <w:pPr>
        <w:spacing w:before="94" w:line="228" w:lineRule="auto"/>
        <w:jc w:val="right"/>
        <w:rPr>
          <w:rFonts w:ascii="宋体" w:hAnsi="宋体" w:eastAsia="宋体" w:cs="宋体"/>
          <w:sz w:val="20"/>
          <w:szCs w:val="20"/>
        </w:rPr>
      </w:pPr>
      <w:r>
        <w:rPr>
          <w:rFonts w:ascii="宋体" w:hAnsi="宋体" w:eastAsia="宋体" w:cs="宋体"/>
          <w:b/>
          <w:bCs/>
          <w:spacing w:val="-3"/>
          <w:sz w:val="20"/>
          <w:szCs w:val="20"/>
        </w:rPr>
        <w:t>※法定代表人参加开标时必须按照以上格式填写并在开标时单独打印一份签字并盖章，开标现场备查</w:t>
      </w:r>
      <w:r>
        <w:rPr>
          <w:rFonts w:ascii="宋体" w:hAnsi="宋体" w:eastAsia="宋体" w:cs="宋体"/>
          <w:spacing w:val="-3"/>
          <w:sz w:val="20"/>
          <w:szCs w:val="20"/>
        </w:rPr>
        <w:t>。</w:t>
      </w:r>
    </w:p>
    <w:p w14:paraId="008D6DA3">
      <w:pPr>
        <w:spacing w:line="228" w:lineRule="auto"/>
        <w:rPr>
          <w:rFonts w:ascii="宋体" w:hAnsi="宋体" w:eastAsia="宋体" w:cs="宋体"/>
          <w:sz w:val="20"/>
          <w:szCs w:val="20"/>
        </w:rPr>
        <w:sectPr>
          <w:footerReference r:id="rId6" w:type="default"/>
          <w:pgSz w:w="11910" w:h="16850"/>
          <w:pgMar w:top="1432" w:right="1701" w:bottom="1434" w:left="1701" w:header="1134" w:footer="1134" w:gutter="0"/>
          <w:cols w:space="720" w:num="1"/>
        </w:sectPr>
      </w:pPr>
    </w:p>
    <w:p w14:paraId="33121784">
      <w:pPr>
        <w:spacing w:before="300" w:line="220" w:lineRule="auto"/>
        <w:jc w:val="center"/>
        <w:outlineLvl w:val="3"/>
        <w:rPr>
          <w:rFonts w:ascii="宋体" w:hAnsi="宋体" w:eastAsia="宋体" w:cs="宋体"/>
          <w:sz w:val="28"/>
          <w:szCs w:val="28"/>
        </w:rPr>
      </w:pPr>
      <w:r>
        <w:rPr>
          <w:rFonts w:ascii="宋体" w:hAnsi="宋体" w:eastAsia="宋体" w:cs="宋体"/>
          <w:b/>
          <w:bCs/>
          <w:spacing w:val="-4"/>
          <w:sz w:val="28"/>
          <w:szCs w:val="28"/>
        </w:rPr>
        <w:t>三、授权委托书</w:t>
      </w:r>
    </w:p>
    <w:p w14:paraId="74E1C49E">
      <w:pPr>
        <w:spacing w:before="264" w:line="587" w:lineRule="auto"/>
        <w:ind w:firstLine="396" w:firstLineChars="200"/>
        <w:rPr>
          <w:rFonts w:ascii="宋体" w:hAnsi="宋体" w:eastAsia="宋体" w:cs="宋体"/>
          <w:spacing w:val="4"/>
          <w:sz w:val="19"/>
          <w:szCs w:val="19"/>
        </w:rPr>
      </w:pPr>
    </w:p>
    <w:p w14:paraId="3BD08EB1">
      <w:pPr>
        <w:spacing w:before="264" w:line="587" w:lineRule="auto"/>
        <w:ind w:firstLine="496" w:firstLineChars="200"/>
        <w:rPr>
          <w:rFonts w:ascii="宋体" w:hAnsi="宋体" w:eastAsia="宋体" w:cs="宋体"/>
          <w:sz w:val="24"/>
          <w:szCs w:val="24"/>
        </w:rPr>
      </w:pPr>
      <w:r>
        <w:rPr>
          <w:rFonts w:ascii="宋体" w:hAnsi="宋体" w:eastAsia="宋体" w:cs="宋体"/>
          <w:spacing w:val="4"/>
          <w:sz w:val="24"/>
          <w:szCs w:val="24"/>
        </w:rPr>
        <w:t>本</w:t>
      </w:r>
      <w:r>
        <w:rPr>
          <w:rFonts w:ascii="宋体" w:hAnsi="宋体" w:eastAsia="宋体" w:cs="宋体"/>
          <w:spacing w:val="-55"/>
          <w:sz w:val="24"/>
          <w:szCs w:val="24"/>
        </w:rPr>
        <w:t xml:space="preserve"> </w:t>
      </w:r>
      <w:r>
        <w:rPr>
          <w:rFonts w:ascii="宋体" w:hAnsi="宋体" w:eastAsia="宋体" w:cs="宋体"/>
          <w:spacing w:val="4"/>
          <w:sz w:val="24"/>
          <w:szCs w:val="24"/>
        </w:rPr>
        <w:t>人</w:t>
      </w:r>
      <w:r>
        <w:rPr>
          <w:rFonts w:ascii="宋体" w:hAnsi="宋体" w:eastAsia="宋体" w:cs="宋体"/>
          <w:spacing w:val="-64"/>
          <w:sz w:val="24"/>
          <w:szCs w:val="24"/>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（姓名</w:t>
      </w:r>
      <w:r>
        <w:rPr>
          <w:rFonts w:ascii="宋体" w:hAnsi="宋体" w:eastAsia="宋体" w:cs="宋体"/>
          <w:spacing w:val="-34"/>
          <w:sz w:val="24"/>
          <w:szCs w:val="24"/>
        </w:rPr>
        <w:t xml:space="preserve"> </w:t>
      </w:r>
      <w:r>
        <w:rPr>
          <w:rFonts w:ascii="宋体" w:hAnsi="宋体" w:eastAsia="宋体" w:cs="宋体"/>
          <w:spacing w:val="4"/>
          <w:sz w:val="24"/>
          <w:szCs w:val="24"/>
        </w:rPr>
        <w:t>）</w:t>
      </w:r>
      <w:r>
        <w:rPr>
          <w:rFonts w:ascii="宋体" w:hAnsi="宋体" w:eastAsia="宋体" w:cs="宋体"/>
          <w:spacing w:val="-47"/>
          <w:sz w:val="24"/>
          <w:szCs w:val="24"/>
        </w:rPr>
        <w:t xml:space="preserve"> </w:t>
      </w:r>
      <w:r>
        <w:rPr>
          <w:rFonts w:ascii="宋体" w:hAnsi="宋体" w:eastAsia="宋体" w:cs="宋体"/>
          <w:spacing w:val="4"/>
          <w:sz w:val="24"/>
          <w:szCs w:val="24"/>
        </w:rPr>
        <w:t>系</w:t>
      </w:r>
      <w:r>
        <w:rPr>
          <w:rFonts w:ascii="宋体" w:hAnsi="宋体" w:eastAsia="宋体" w:cs="宋体"/>
          <w:spacing w:val="-66"/>
          <w:sz w:val="24"/>
          <w:szCs w:val="24"/>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w:t>
      </w:r>
      <w:r>
        <w:rPr>
          <w:rFonts w:ascii="宋体" w:hAnsi="宋体" w:eastAsia="宋体" w:cs="宋体"/>
          <w:spacing w:val="3"/>
          <w:sz w:val="24"/>
          <w:szCs w:val="24"/>
        </w:rPr>
        <w:t>投标</w:t>
      </w:r>
      <w:r>
        <w:rPr>
          <w:rFonts w:ascii="宋体" w:hAnsi="宋体" w:eastAsia="宋体" w:cs="宋体"/>
          <w:spacing w:val="-55"/>
          <w:sz w:val="24"/>
          <w:szCs w:val="24"/>
        </w:rPr>
        <w:t xml:space="preserve"> </w:t>
      </w:r>
      <w:r>
        <w:rPr>
          <w:rFonts w:ascii="宋体" w:hAnsi="宋体" w:eastAsia="宋体" w:cs="宋体"/>
          <w:spacing w:val="3"/>
          <w:sz w:val="24"/>
          <w:szCs w:val="24"/>
        </w:rPr>
        <w:t>人</w:t>
      </w:r>
      <w:r>
        <w:rPr>
          <w:rFonts w:ascii="宋体" w:hAnsi="宋体" w:eastAsia="宋体" w:cs="宋体"/>
          <w:spacing w:val="-53"/>
          <w:sz w:val="24"/>
          <w:szCs w:val="24"/>
        </w:rPr>
        <w:t xml:space="preserve"> </w:t>
      </w:r>
      <w:r>
        <w:rPr>
          <w:rFonts w:ascii="宋体" w:hAnsi="宋体" w:eastAsia="宋体" w:cs="宋体"/>
          <w:spacing w:val="3"/>
          <w:sz w:val="24"/>
          <w:szCs w:val="24"/>
        </w:rPr>
        <w:t>名</w:t>
      </w:r>
      <w:r>
        <w:rPr>
          <w:rFonts w:ascii="宋体" w:hAnsi="宋体" w:eastAsia="宋体" w:cs="宋体"/>
          <w:spacing w:val="-57"/>
          <w:sz w:val="24"/>
          <w:szCs w:val="24"/>
        </w:rPr>
        <w:t xml:space="preserve"> </w:t>
      </w:r>
      <w:r>
        <w:rPr>
          <w:rFonts w:ascii="宋体" w:hAnsi="宋体" w:eastAsia="宋体" w:cs="宋体"/>
          <w:spacing w:val="3"/>
          <w:sz w:val="24"/>
          <w:szCs w:val="24"/>
        </w:rPr>
        <w:t>称）</w:t>
      </w:r>
      <w:r>
        <w:rPr>
          <w:rFonts w:ascii="宋体" w:hAnsi="宋体" w:eastAsia="宋体" w:cs="宋体"/>
          <w:spacing w:val="-30"/>
          <w:sz w:val="24"/>
          <w:szCs w:val="24"/>
        </w:rPr>
        <w:t xml:space="preserve"> </w:t>
      </w:r>
      <w:r>
        <w:rPr>
          <w:rFonts w:ascii="宋体" w:hAnsi="宋体" w:eastAsia="宋体" w:cs="宋体"/>
          <w:spacing w:val="3"/>
          <w:sz w:val="24"/>
          <w:szCs w:val="24"/>
        </w:rPr>
        <w:t>的</w:t>
      </w:r>
      <w:r>
        <w:rPr>
          <w:rFonts w:ascii="宋体" w:hAnsi="宋体" w:eastAsia="宋体" w:cs="宋体"/>
          <w:spacing w:val="-55"/>
          <w:sz w:val="24"/>
          <w:szCs w:val="24"/>
        </w:rPr>
        <w:t xml:space="preserve"> </w:t>
      </w:r>
      <w:r>
        <w:rPr>
          <w:rFonts w:ascii="宋体" w:hAnsi="宋体" w:eastAsia="宋体" w:cs="宋体"/>
          <w:spacing w:val="3"/>
          <w:sz w:val="24"/>
          <w:szCs w:val="24"/>
        </w:rPr>
        <w:t>法</w:t>
      </w:r>
      <w:r>
        <w:rPr>
          <w:rFonts w:ascii="宋体" w:hAnsi="宋体" w:eastAsia="宋体" w:cs="宋体"/>
          <w:spacing w:val="-54"/>
          <w:sz w:val="24"/>
          <w:szCs w:val="24"/>
        </w:rPr>
        <w:t xml:space="preserve"> </w:t>
      </w:r>
      <w:r>
        <w:rPr>
          <w:rFonts w:ascii="宋体" w:hAnsi="宋体" w:eastAsia="宋体" w:cs="宋体"/>
          <w:spacing w:val="3"/>
          <w:sz w:val="24"/>
          <w:szCs w:val="24"/>
        </w:rPr>
        <w:t>定代</w:t>
      </w:r>
      <w:r>
        <w:rPr>
          <w:rFonts w:ascii="宋体" w:hAnsi="宋体" w:eastAsia="宋体" w:cs="宋体"/>
          <w:spacing w:val="-56"/>
          <w:sz w:val="24"/>
          <w:szCs w:val="24"/>
        </w:rPr>
        <w:t xml:space="preserve"> </w:t>
      </w:r>
      <w:r>
        <w:rPr>
          <w:rFonts w:ascii="宋体" w:hAnsi="宋体" w:eastAsia="宋体" w:cs="宋体"/>
          <w:spacing w:val="3"/>
          <w:sz w:val="24"/>
          <w:szCs w:val="24"/>
        </w:rPr>
        <w:t>表</w:t>
      </w:r>
      <w:r>
        <w:rPr>
          <w:rFonts w:ascii="宋体" w:hAnsi="宋体" w:eastAsia="宋体" w:cs="宋体"/>
          <w:spacing w:val="-55"/>
          <w:sz w:val="24"/>
          <w:szCs w:val="24"/>
        </w:rPr>
        <w:t xml:space="preserve"> </w:t>
      </w:r>
      <w:r>
        <w:rPr>
          <w:rFonts w:ascii="宋体" w:hAnsi="宋体" w:eastAsia="宋体" w:cs="宋体"/>
          <w:spacing w:val="3"/>
          <w:sz w:val="24"/>
          <w:szCs w:val="24"/>
        </w:rPr>
        <w:t>人</w:t>
      </w:r>
      <w:r>
        <w:rPr>
          <w:rFonts w:ascii="宋体" w:hAnsi="宋体" w:eastAsia="宋体" w:cs="宋体"/>
          <w:spacing w:val="-44"/>
          <w:sz w:val="24"/>
          <w:szCs w:val="24"/>
        </w:rPr>
        <w:t xml:space="preserve"> </w:t>
      </w:r>
      <w:r>
        <w:rPr>
          <w:rFonts w:ascii="宋体" w:hAnsi="宋体" w:eastAsia="宋体" w:cs="宋体"/>
          <w:spacing w:val="3"/>
          <w:sz w:val="24"/>
          <w:szCs w:val="24"/>
        </w:rPr>
        <w:t>，现</w:t>
      </w:r>
      <w:r>
        <w:rPr>
          <w:rFonts w:ascii="宋体" w:hAnsi="宋体" w:eastAsia="宋体" w:cs="宋体"/>
          <w:spacing w:val="-56"/>
          <w:sz w:val="24"/>
          <w:szCs w:val="24"/>
        </w:rPr>
        <w:t xml:space="preserve"> </w:t>
      </w:r>
      <w:r>
        <w:rPr>
          <w:rFonts w:ascii="宋体" w:hAnsi="宋体" w:eastAsia="宋体" w:cs="宋体"/>
          <w:spacing w:val="3"/>
          <w:sz w:val="24"/>
          <w:szCs w:val="24"/>
        </w:rPr>
        <w:t>委托</w:t>
      </w:r>
      <w:r>
        <w:rPr>
          <w:rFonts w:ascii="宋体" w:hAnsi="宋体" w:eastAsia="宋体" w:cs="宋体"/>
          <w:sz w:val="24"/>
          <w:szCs w:val="24"/>
        </w:rPr>
        <w:t xml:space="preserve"> </w:t>
      </w:r>
      <w:r>
        <w:rPr>
          <w:rFonts w:ascii="宋体" w:hAnsi="宋体" w:eastAsia="宋体" w:cs="宋体"/>
          <w:spacing w:val="5"/>
          <w:sz w:val="24"/>
          <w:szCs w:val="24"/>
        </w:rPr>
        <w:t>（姓名）</w:t>
      </w:r>
      <w:r>
        <w:rPr>
          <w:rFonts w:ascii="宋体" w:hAnsi="宋体" w:eastAsia="宋体" w:cs="宋体"/>
          <w:spacing w:val="2"/>
          <w:sz w:val="24"/>
          <w:szCs w:val="24"/>
          <w:u w:val="single" w:color="auto"/>
        </w:rPr>
        <w:t xml:space="preserve">          </w:t>
      </w:r>
      <w:r>
        <w:rPr>
          <w:rFonts w:ascii="宋体" w:hAnsi="宋体" w:eastAsia="宋体" w:cs="宋体"/>
          <w:spacing w:val="-79"/>
          <w:sz w:val="24"/>
          <w:szCs w:val="24"/>
        </w:rPr>
        <w:t xml:space="preserve"> </w:t>
      </w:r>
      <w:r>
        <w:rPr>
          <w:rFonts w:ascii="宋体" w:hAnsi="宋体" w:eastAsia="宋体" w:cs="宋体"/>
          <w:spacing w:val="5"/>
          <w:sz w:val="24"/>
          <w:szCs w:val="24"/>
        </w:rPr>
        <w:t>为我方代理人，代理人根据授权，以我方名义签署、</w:t>
      </w:r>
      <w:r>
        <w:rPr>
          <w:rFonts w:ascii="宋体" w:hAnsi="宋体" w:eastAsia="宋体" w:cs="宋体"/>
          <w:spacing w:val="4"/>
          <w:sz w:val="24"/>
          <w:szCs w:val="24"/>
        </w:rPr>
        <w:t>澄清、说明、补正、递交、</w:t>
      </w:r>
      <w:r>
        <w:rPr>
          <w:rFonts w:ascii="宋体" w:hAnsi="宋体" w:eastAsia="宋体" w:cs="宋体"/>
          <w:spacing w:val="6"/>
          <w:sz w:val="24"/>
          <w:szCs w:val="24"/>
        </w:rPr>
        <w:t>撤回、修改</w:t>
      </w:r>
      <w:r>
        <w:rPr>
          <w:rFonts w:ascii="宋体" w:hAnsi="宋体" w:eastAsia="宋体" w:cs="宋体"/>
          <w:spacing w:val="-95"/>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（项目名</w:t>
      </w:r>
      <w:r>
        <w:rPr>
          <w:rFonts w:ascii="宋体" w:hAnsi="宋体" w:eastAsia="宋体" w:cs="宋体"/>
          <w:spacing w:val="5"/>
          <w:sz w:val="24"/>
          <w:szCs w:val="24"/>
        </w:rPr>
        <w:t>称）投标文件、签订合同和处理有关事宜，其法律后</w:t>
      </w:r>
      <w:r>
        <w:rPr>
          <w:rFonts w:ascii="宋体" w:hAnsi="宋体" w:eastAsia="宋体" w:cs="宋体"/>
          <w:sz w:val="24"/>
          <w:szCs w:val="24"/>
        </w:rPr>
        <w:t xml:space="preserve"> </w:t>
      </w:r>
      <w:r>
        <w:rPr>
          <w:rFonts w:ascii="宋体" w:hAnsi="宋体" w:eastAsia="宋体" w:cs="宋体"/>
          <w:spacing w:val="6"/>
          <w:sz w:val="24"/>
          <w:szCs w:val="24"/>
        </w:rPr>
        <w:t>果由我方承担。</w:t>
      </w:r>
    </w:p>
    <w:p w14:paraId="37A03B0E">
      <w:pPr>
        <w:spacing w:before="18" w:line="230" w:lineRule="auto"/>
        <w:rPr>
          <w:sz w:val="24"/>
          <w:szCs w:val="24"/>
        </w:rPr>
      </w:pPr>
      <w:r>
        <w:rPr>
          <w:rFonts w:ascii="宋体" w:hAnsi="宋体" w:eastAsia="宋体" w:cs="宋体"/>
          <w:spacing w:val="7"/>
          <w:sz w:val="24"/>
          <w:szCs w:val="24"/>
        </w:rPr>
        <w:t>委托期限：</w:t>
      </w:r>
      <w:r>
        <w:rPr>
          <w:rFonts w:ascii="宋体" w:hAnsi="宋体" w:eastAsia="宋体" w:cs="宋体"/>
          <w:sz w:val="24"/>
          <w:szCs w:val="24"/>
          <w:u w:val="single" w:color="auto"/>
        </w:rPr>
        <w:t xml:space="preserve">                                 </w:t>
      </w:r>
      <w:r>
        <w:rPr>
          <w:rFonts w:ascii="宋体" w:hAnsi="宋体" w:eastAsia="宋体" w:cs="宋体"/>
          <w:spacing w:val="7"/>
          <w:sz w:val="24"/>
          <w:szCs w:val="24"/>
        </w:rPr>
        <w:t>。</w:t>
      </w:r>
    </w:p>
    <w:p w14:paraId="60683960">
      <w:pPr>
        <w:spacing w:before="62" w:line="229" w:lineRule="auto"/>
        <w:ind w:left="3972"/>
        <w:rPr>
          <w:rFonts w:ascii="宋体" w:hAnsi="宋体" w:eastAsia="宋体" w:cs="宋体"/>
          <w:spacing w:val="7"/>
          <w:sz w:val="24"/>
          <w:szCs w:val="24"/>
        </w:rPr>
      </w:pPr>
    </w:p>
    <w:p w14:paraId="7924B26A">
      <w:pPr>
        <w:spacing w:before="62" w:line="229" w:lineRule="auto"/>
        <w:rPr>
          <w:rFonts w:ascii="宋体" w:hAnsi="宋体" w:eastAsia="宋体" w:cs="宋体"/>
          <w:sz w:val="24"/>
          <w:szCs w:val="24"/>
        </w:rPr>
      </w:pPr>
      <w:r>
        <w:rPr>
          <w:rFonts w:ascii="宋体" w:hAnsi="宋体" w:eastAsia="宋体" w:cs="宋体"/>
          <w:spacing w:val="7"/>
          <w:sz w:val="24"/>
          <w:szCs w:val="24"/>
        </w:rPr>
        <w:t>代理人无转委托权。</w:t>
      </w:r>
    </w:p>
    <w:p w14:paraId="50BF077B">
      <w:pPr>
        <w:spacing w:before="162"/>
      </w:pPr>
    </w:p>
    <w:tbl>
      <w:tblPr>
        <w:tblStyle w:val="51"/>
        <w:tblW w:w="5175" w:type="dxa"/>
        <w:tblInd w:w="158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5175"/>
      </w:tblGrid>
      <w:tr w14:paraId="2040C94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718" w:hRule="atLeast"/>
        </w:trPr>
        <w:tc>
          <w:tcPr>
            <w:tcW w:w="5175" w:type="dxa"/>
            <w:vAlign w:val="top"/>
          </w:tcPr>
          <w:p w14:paraId="2D51DA51">
            <w:pPr>
              <w:spacing w:line="265" w:lineRule="auto"/>
              <w:rPr>
                <w:rFonts w:ascii="Arial"/>
                <w:sz w:val="21"/>
              </w:rPr>
            </w:pPr>
          </w:p>
          <w:p w14:paraId="7579884E">
            <w:pPr>
              <w:spacing w:line="266" w:lineRule="auto"/>
              <w:rPr>
                <w:rFonts w:ascii="Arial"/>
                <w:sz w:val="21"/>
              </w:rPr>
            </w:pPr>
          </w:p>
          <w:p w14:paraId="3C15AAA5">
            <w:pPr>
              <w:spacing w:line="266" w:lineRule="auto"/>
              <w:rPr>
                <w:rFonts w:ascii="Arial"/>
                <w:sz w:val="21"/>
              </w:rPr>
            </w:pPr>
          </w:p>
          <w:p w14:paraId="347742EF">
            <w:pPr>
              <w:pStyle w:val="50"/>
              <w:spacing w:before="78" w:line="220" w:lineRule="auto"/>
              <w:ind w:left="1328"/>
              <w:rPr>
                <w:sz w:val="24"/>
                <w:szCs w:val="24"/>
              </w:rPr>
            </w:pPr>
            <w:r>
              <w:rPr>
                <w:b/>
                <w:bCs/>
                <w:spacing w:val="-3"/>
                <w:sz w:val="24"/>
                <w:szCs w:val="24"/>
              </w:rPr>
              <w:t>授权委托人居民身份证复</w:t>
            </w:r>
          </w:p>
          <w:p w14:paraId="2D9ED49F">
            <w:pPr>
              <w:pStyle w:val="50"/>
              <w:spacing w:before="25" w:line="220" w:lineRule="auto"/>
              <w:ind w:left="1707"/>
              <w:rPr>
                <w:sz w:val="24"/>
                <w:szCs w:val="24"/>
              </w:rPr>
            </w:pPr>
            <w:r>
              <w:rPr>
                <w:b/>
                <w:bCs/>
                <w:spacing w:val="-6"/>
                <w:sz w:val="24"/>
                <w:szCs w:val="24"/>
              </w:rPr>
              <w:t>印件（正、反面）</w:t>
            </w:r>
          </w:p>
        </w:tc>
      </w:tr>
    </w:tbl>
    <w:p w14:paraId="6E038779">
      <w:pPr>
        <w:pStyle w:val="2"/>
        <w:spacing w:line="279" w:lineRule="auto"/>
      </w:pPr>
    </w:p>
    <w:p w14:paraId="505625B5">
      <w:pPr>
        <w:spacing w:before="62" w:line="587" w:lineRule="auto"/>
        <w:ind w:left="2096" w:right="1949" w:hanging="2"/>
        <w:rPr>
          <w:rFonts w:ascii="宋体" w:hAnsi="宋体" w:eastAsia="宋体" w:cs="宋体"/>
          <w:spacing w:val="17"/>
          <w:sz w:val="24"/>
          <w:szCs w:val="24"/>
        </w:rPr>
      </w:pPr>
      <w:r>
        <w:rPr>
          <w:rFonts w:hint="eastAsia" w:ascii="宋体" w:hAnsi="宋体"/>
          <w:sz w:val="24"/>
          <w:szCs w:val="24"/>
        </w:rPr>
        <w:t>供</w:t>
      </w:r>
      <w:r>
        <w:rPr>
          <w:rFonts w:hint="eastAsia" w:ascii="宋体" w:hAnsi="宋体"/>
          <w:sz w:val="24"/>
          <w:szCs w:val="24"/>
          <w:lang w:val="en-US" w:eastAsia="zh-CN"/>
        </w:rPr>
        <w:t xml:space="preserve">  </w:t>
      </w:r>
      <w:r>
        <w:rPr>
          <w:rFonts w:hint="eastAsia" w:ascii="宋体" w:hAnsi="宋体"/>
          <w:sz w:val="24"/>
          <w:szCs w:val="24"/>
        </w:rPr>
        <w:t>应</w:t>
      </w:r>
      <w:r>
        <w:rPr>
          <w:rFonts w:hint="eastAsia" w:ascii="宋体" w:hAnsi="宋体"/>
          <w:sz w:val="24"/>
          <w:szCs w:val="24"/>
          <w:lang w:val="en-US" w:eastAsia="zh-CN"/>
        </w:rPr>
        <w:t xml:space="preserve">  </w:t>
      </w:r>
      <w:r>
        <w:rPr>
          <w:rFonts w:hint="eastAsia" w:ascii="宋体" w:hAnsi="宋体"/>
          <w:sz w:val="24"/>
          <w:szCs w:val="24"/>
        </w:rPr>
        <w:t>商</w:t>
      </w:r>
      <w:r>
        <w:rPr>
          <w:rFonts w:ascii="宋体" w:hAnsi="宋体" w:eastAsia="宋体" w:cs="宋体"/>
          <w:spacing w:val="-4"/>
          <w:sz w:val="24"/>
          <w:szCs w:val="24"/>
        </w:rPr>
        <w:t>：</w:t>
      </w:r>
      <w:r>
        <w:rPr>
          <w:rFonts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ascii="宋体" w:hAnsi="宋体" w:eastAsia="宋体" w:cs="宋体"/>
          <w:sz w:val="24"/>
          <w:szCs w:val="24"/>
          <w:u w:val="single" w:color="auto"/>
        </w:rPr>
        <w:t xml:space="preserve">   </w:t>
      </w:r>
      <w:r>
        <w:rPr>
          <w:rFonts w:ascii="宋体" w:hAnsi="宋体" w:eastAsia="宋体" w:cs="宋体"/>
          <w:spacing w:val="-4"/>
          <w:sz w:val="24"/>
          <w:szCs w:val="24"/>
        </w:rPr>
        <w:t>（</w:t>
      </w:r>
      <w:r>
        <w:rPr>
          <w:rFonts w:ascii="宋体" w:hAnsi="宋体" w:eastAsia="宋体" w:cs="宋体"/>
          <w:spacing w:val="10"/>
          <w:sz w:val="24"/>
          <w:szCs w:val="24"/>
        </w:rPr>
        <w:t>盖单位章）</w:t>
      </w:r>
      <w:r>
        <w:rPr>
          <w:rFonts w:ascii="宋体" w:hAnsi="宋体" w:eastAsia="宋体" w:cs="宋体"/>
          <w:spacing w:val="17"/>
          <w:sz w:val="24"/>
          <w:szCs w:val="24"/>
        </w:rPr>
        <w:t xml:space="preserve"> </w:t>
      </w:r>
    </w:p>
    <w:p w14:paraId="0B74E308">
      <w:pPr>
        <w:spacing w:before="62" w:line="587" w:lineRule="auto"/>
        <w:ind w:left="2096" w:right="1949" w:hanging="2"/>
        <w:rPr>
          <w:rFonts w:hint="default" w:ascii="宋体" w:hAnsi="宋体" w:eastAsia="宋体" w:cs="宋体"/>
          <w:sz w:val="24"/>
          <w:szCs w:val="24"/>
          <w:lang w:val="en-US" w:eastAsia="zh-CN"/>
        </w:rPr>
      </w:pPr>
      <w:r>
        <w:rPr>
          <w:rFonts w:ascii="宋体" w:hAnsi="宋体" w:eastAsia="宋体" w:cs="宋体"/>
          <w:spacing w:val="10"/>
          <w:sz w:val="24"/>
          <w:szCs w:val="24"/>
        </w:rPr>
        <w:t>法定代表人</w:t>
      </w:r>
      <w:r>
        <w:rPr>
          <w:rFonts w:ascii="宋体" w:hAnsi="宋体" w:eastAsia="宋体" w:cs="宋体"/>
          <w:spacing w:val="-2"/>
          <w:sz w:val="24"/>
          <w:szCs w:val="24"/>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color w:val="FF0000"/>
          <w:spacing w:val="-2"/>
          <w:sz w:val="24"/>
          <w:szCs w:val="24"/>
        </w:rPr>
        <w:t>（</w:t>
      </w:r>
      <w:r>
        <w:rPr>
          <w:rFonts w:ascii="宋体" w:hAnsi="宋体" w:eastAsia="宋体" w:cs="宋体"/>
          <w:color w:val="FF0000"/>
          <w:spacing w:val="10"/>
          <w:sz w:val="24"/>
          <w:szCs w:val="24"/>
        </w:rPr>
        <w:t>签字）</w:t>
      </w:r>
      <w:r>
        <w:rPr>
          <w:rFonts w:ascii="宋体" w:hAnsi="宋体" w:eastAsia="宋体" w:cs="宋体"/>
          <w:color w:val="FF0000"/>
          <w:sz w:val="24"/>
          <w:szCs w:val="24"/>
        </w:rPr>
        <w:t xml:space="preserve">  </w:t>
      </w:r>
      <w:r>
        <w:rPr>
          <w:rFonts w:ascii="宋体" w:hAnsi="宋体" w:eastAsia="宋体" w:cs="宋体"/>
          <w:sz w:val="24"/>
          <w:szCs w:val="24"/>
        </w:rPr>
        <w:t xml:space="preserve"> </w:t>
      </w:r>
      <w:r>
        <w:rPr>
          <w:rFonts w:ascii="宋体" w:hAnsi="宋体" w:eastAsia="宋体" w:cs="宋体"/>
          <w:spacing w:val="5"/>
          <w:sz w:val="24"/>
          <w:szCs w:val="24"/>
        </w:rPr>
        <w:t>身份证号码：</w:t>
      </w:r>
      <w:r>
        <w:rPr>
          <w:rFonts w:hint="eastAsia" w:ascii="宋体" w:hAnsi="宋体" w:eastAsia="宋体" w:cs="宋体"/>
          <w:spacing w:val="5"/>
          <w:sz w:val="24"/>
          <w:szCs w:val="24"/>
          <w:u w:val="single"/>
          <w:lang w:val="en-US" w:eastAsia="zh-CN"/>
        </w:rPr>
        <w:t xml:space="preserve">                </w:t>
      </w:r>
    </w:p>
    <w:p w14:paraId="5B2F87E6">
      <w:pPr>
        <w:spacing w:before="16" w:line="580" w:lineRule="auto"/>
        <w:ind w:left="2298" w:right="2067" w:hanging="248"/>
        <w:rPr>
          <w:rFonts w:ascii="宋体" w:hAnsi="宋体" w:eastAsia="宋体" w:cs="宋体"/>
          <w:spacing w:val="1"/>
          <w:sz w:val="24"/>
          <w:szCs w:val="24"/>
        </w:rPr>
      </w:pPr>
      <w:r>
        <w:rPr>
          <w:rFonts w:ascii="宋体" w:hAnsi="宋体" w:eastAsia="宋体" w:cs="宋体"/>
          <w:spacing w:val="10"/>
          <w:sz w:val="24"/>
          <w:szCs w:val="24"/>
        </w:rPr>
        <w:t>授权委托人</w:t>
      </w:r>
      <w:r>
        <w:rPr>
          <w:rFonts w:ascii="宋体" w:hAnsi="宋体" w:eastAsia="宋体" w:cs="宋体"/>
          <w:spacing w:val="-4"/>
          <w:sz w:val="24"/>
          <w:szCs w:val="24"/>
        </w:rPr>
        <w:t>：</w:t>
      </w:r>
      <w:r>
        <w:rPr>
          <w:rFonts w:ascii="宋体" w:hAnsi="宋体" w:eastAsia="宋体" w:cs="宋体"/>
          <w:spacing w:val="1"/>
          <w:sz w:val="24"/>
          <w:szCs w:val="24"/>
          <w:u w:val="single" w:color="auto"/>
        </w:rPr>
        <w:t xml:space="preserve">       </w:t>
      </w:r>
      <w:r>
        <w:rPr>
          <w:rFonts w:hint="eastAsia" w:ascii="宋体" w:hAnsi="宋体" w:eastAsia="宋体" w:cs="宋体"/>
          <w:spacing w:val="1"/>
          <w:sz w:val="24"/>
          <w:szCs w:val="24"/>
          <w:u w:val="single" w:color="auto"/>
          <w:lang w:val="en-US" w:eastAsia="zh-CN"/>
        </w:rPr>
        <w:t xml:space="preserve">        </w:t>
      </w:r>
      <w:r>
        <w:rPr>
          <w:rFonts w:ascii="宋体" w:hAnsi="宋体" w:eastAsia="宋体" w:cs="宋体"/>
          <w:spacing w:val="1"/>
          <w:sz w:val="24"/>
          <w:szCs w:val="24"/>
          <w:u w:val="single" w:color="auto"/>
        </w:rPr>
        <w:t xml:space="preserve">  </w:t>
      </w:r>
      <w:r>
        <w:rPr>
          <w:rFonts w:ascii="宋体" w:hAnsi="宋体" w:eastAsia="宋体" w:cs="宋体"/>
          <w:color w:val="FF0000"/>
          <w:spacing w:val="-4"/>
          <w:sz w:val="24"/>
          <w:szCs w:val="24"/>
        </w:rPr>
        <w:t>（</w:t>
      </w:r>
      <w:r>
        <w:rPr>
          <w:rFonts w:ascii="宋体" w:hAnsi="宋体" w:eastAsia="宋体" w:cs="宋体"/>
          <w:color w:val="FF0000"/>
          <w:spacing w:val="10"/>
          <w:sz w:val="24"/>
          <w:szCs w:val="24"/>
        </w:rPr>
        <w:t>签字）</w:t>
      </w:r>
      <w:r>
        <w:rPr>
          <w:rFonts w:ascii="宋体" w:hAnsi="宋体" w:eastAsia="宋体" w:cs="宋体"/>
          <w:color w:val="FF0000"/>
          <w:spacing w:val="1"/>
          <w:sz w:val="24"/>
          <w:szCs w:val="24"/>
        </w:rPr>
        <w:t xml:space="preserve"> </w:t>
      </w:r>
    </w:p>
    <w:p w14:paraId="0F1F61A0">
      <w:pPr>
        <w:spacing w:before="16" w:line="580" w:lineRule="auto"/>
        <w:ind w:left="2298" w:right="2067" w:hanging="248"/>
        <w:rPr>
          <w:rFonts w:hint="default" w:ascii="宋体" w:hAnsi="宋体" w:eastAsia="宋体" w:cs="宋体"/>
          <w:sz w:val="24"/>
          <w:szCs w:val="24"/>
          <w:u w:val="single"/>
          <w:lang w:val="en-US" w:eastAsia="zh-CN"/>
        </w:rPr>
      </w:pPr>
      <w:r>
        <w:rPr>
          <w:rFonts w:ascii="宋体" w:hAnsi="宋体" w:eastAsia="宋体" w:cs="宋体"/>
          <w:spacing w:val="5"/>
          <w:sz w:val="24"/>
          <w:szCs w:val="24"/>
        </w:rPr>
        <w:t>身份证号码：</w:t>
      </w:r>
      <w:r>
        <w:rPr>
          <w:rFonts w:hint="eastAsia" w:ascii="宋体" w:hAnsi="宋体" w:eastAsia="宋体" w:cs="宋体"/>
          <w:spacing w:val="5"/>
          <w:sz w:val="24"/>
          <w:szCs w:val="24"/>
          <w:u w:val="single"/>
          <w:lang w:val="en-US" w:eastAsia="zh-CN"/>
        </w:rPr>
        <w:t xml:space="preserve">                 </w:t>
      </w:r>
    </w:p>
    <w:p w14:paraId="040D6CE7">
      <w:pPr>
        <w:spacing w:before="18" w:line="229" w:lineRule="auto"/>
        <w:ind w:firstLine="2106" w:firstLineChars="900"/>
        <w:rPr>
          <w:rFonts w:hint="eastAsia" w:ascii="宋体" w:hAnsi="宋体" w:eastAsia="宋体" w:cs="宋体"/>
          <w:spacing w:val="-3"/>
          <w:sz w:val="24"/>
          <w:szCs w:val="24"/>
        </w:rPr>
      </w:pPr>
      <w:r>
        <w:rPr>
          <w:rFonts w:hint="eastAsia" w:ascii="宋体" w:hAnsi="宋体" w:eastAsia="宋体" w:cs="宋体"/>
          <w:spacing w:val="-3"/>
          <w:sz w:val="24"/>
          <w:szCs w:val="24"/>
        </w:rPr>
        <w:t>日</w:t>
      </w:r>
      <w:r>
        <w:rPr>
          <w:rFonts w:hint="eastAsia" w:ascii="宋体" w:hAnsi="宋体" w:eastAsia="宋体" w:cs="宋体"/>
          <w:spacing w:val="5"/>
          <w:sz w:val="24"/>
          <w:szCs w:val="24"/>
        </w:rPr>
        <w:t xml:space="preserve">     </w:t>
      </w:r>
      <w:r>
        <w:rPr>
          <w:rFonts w:hint="eastAsia" w:ascii="宋体" w:hAnsi="宋体" w:eastAsia="宋体" w:cs="宋体"/>
          <w:spacing w:val="-3"/>
          <w:sz w:val="24"/>
          <w:szCs w:val="24"/>
        </w:rPr>
        <w:t>期：</w:t>
      </w:r>
      <w:r>
        <w:rPr>
          <w:rFonts w:hint="eastAsia" w:ascii="宋体" w:hAnsi="宋体" w:eastAsia="宋体" w:cs="宋体"/>
          <w:spacing w:val="-3"/>
          <w:sz w:val="24"/>
          <w:szCs w:val="24"/>
          <w:u w:val="single" w:color="auto"/>
        </w:rPr>
        <w:t xml:space="preserve">      </w:t>
      </w:r>
      <w:r>
        <w:rPr>
          <w:rFonts w:hint="eastAsia" w:ascii="宋体" w:hAnsi="宋体" w:eastAsia="宋体" w:cs="宋体"/>
          <w:spacing w:val="-81"/>
          <w:sz w:val="24"/>
          <w:szCs w:val="24"/>
        </w:rPr>
        <w:t xml:space="preserve"> </w:t>
      </w:r>
      <w:r>
        <w:rPr>
          <w:rFonts w:hint="eastAsia" w:ascii="宋体" w:hAnsi="宋体" w:eastAsia="宋体" w:cs="宋体"/>
          <w:spacing w:val="-3"/>
          <w:sz w:val="24"/>
          <w:szCs w:val="24"/>
        </w:rPr>
        <w:t>年</w:t>
      </w:r>
      <w:r>
        <w:rPr>
          <w:rFonts w:hint="eastAsia" w:ascii="宋体" w:hAnsi="宋体" w:eastAsia="宋体" w:cs="宋体"/>
          <w:spacing w:val="-93"/>
          <w:sz w:val="24"/>
          <w:szCs w:val="24"/>
        </w:rPr>
        <w:t xml:space="preserve"> </w:t>
      </w:r>
      <w:r>
        <w:rPr>
          <w:rFonts w:hint="eastAsia" w:ascii="宋体" w:hAnsi="宋体" w:eastAsia="宋体" w:cs="宋体"/>
          <w:spacing w:val="12"/>
          <w:sz w:val="24"/>
          <w:szCs w:val="24"/>
          <w:u w:val="single" w:color="auto"/>
        </w:rPr>
        <w:t xml:space="preserve">    </w:t>
      </w:r>
      <w:r>
        <w:rPr>
          <w:rFonts w:hint="eastAsia" w:ascii="宋体" w:hAnsi="宋体" w:eastAsia="宋体" w:cs="宋体"/>
          <w:spacing w:val="-82"/>
          <w:sz w:val="24"/>
          <w:szCs w:val="24"/>
        </w:rPr>
        <w:t xml:space="preserve"> </w:t>
      </w:r>
      <w:r>
        <w:rPr>
          <w:rFonts w:hint="eastAsia" w:ascii="宋体" w:hAnsi="宋体" w:eastAsia="宋体" w:cs="宋体"/>
          <w:spacing w:val="-3"/>
          <w:sz w:val="24"/>
          <w:szCs w:val="24"/>
        </w:rPr>
        <w:t>月</w:t>
      </w:r>
      <w:r>
        <w:rPr>
          <w:rFonts w:hint="eastAsia" w:ascii="宋体" w:hAnsi="宋体" w:eastAsia="宋体" w:cs="宋体"/>
          <w:spacing w:val="12"/>
          <w:sz w:val="24"/>
          <w:szCs w:val="24"/>
          <w:u w:val="single" w:color="auto"/>
        </w:rPr>
        <w:t xml:space="preserve">    </w:t>
      </w:r>
      <w:r>
        <w:rPr>
          <w:rFonts w:hint="eastAsia" w:ascii="宋体" w:hAnsi="宋体" w:eastAsia="宋体" w:cs="宋体"/>
          <w:spacing w:val="-52"/>
          <w:sz w:val="24"/>
          <w:szCs w:val="24"/>
        </w:rPr>
        <w:t xml:space="preserve"> </w:t>
      </w:r>
      <w:r>
        <w:rPr>
          <w:rFonts w:hint="eastAsia" w:ascii="宋体" w:hAnsi="宋体" w:eastAsia="宋体" w:cs="宋体"/>
          <w:spacing w:val="-3"/>
          <w:sz w:val="24"/>
          <w:szCs w:val="24"/>
        </w:rPr>
        <w:t>日</w:t>
      </w:r>
    </w:p>
    <w:p w14:paraId="5205DE0E">
      <w:pPr>
        <w:spacing w:before="18" w:line="229" w:lineRule="auto"/>
        <w:ind w:left="2752"/>
        <w:rPr>
          <w:rFonts w:ascii="宋体" w:hAnsi="宋体" w:eastAsia="宋体" w:cs="宋体"/>
          <w:spacing w:val="-3"/>
          <w:sz w:val="19"/>
          <w:szCs w:val="19"/>
        </w:rPr>
      </w:pPr>
    </w:p>
    <w:p w14:paraId="149BA01D">
      <w:pPr>
        <w:spacing w:before="18" w:line="229" w:lineRule="auto"/>
        <w:ind w:left="2752"/>
        <w:rPr>
          <w:rFonts w:ascii="宋体" w:hAnsi="宋体" w:eastAsia="宋体" w:cs="宋体"/>
          <w:spacing w:val="-3"/>
          <w:sz w:val="19"/>
          <w:szCs w:val="19"/>
        </w:rPr>
      </w:pPr>
    </w:p>
    <w:p w14:paraId="371EFA0F">
      <w:pPr>
        <w:spacing w:before="18" w:line="229" w:lineRule="auto"/>
        <w:rPr>
          <w:rFonts w:ascii="宋体" w:hAnsi="宋体" w:eastAsia="宋体" w:cs="宋体"/>
          <w:spacing w:val="-3"/>
          <w:sz w:val="19"/>
          <w:szCs w:val="19"/>
        </w:rPr>
      </w:pPr>
    </w:p>
    <w:p w14:paraId="6C17F10E">
      <w:pPr>
        <w:spacing w:before="116" w:line="226" w:lineRule="auto"/>
        <w:jc w:val="center"/>
        <w:outlineLvl w:val="2"/>
        <w:rPr>
          <w:rFonts w:ascii="宋体" w:hAnsi="宋体" w:eastAsia="宋体" w:cs="宋体"/>
          <w:sz w:val="31"/>
          <w:szCs w:val="31"/>
        </w:rPr>
      </w:pPr>
      <w:r>
        <w:rPr>
          <w:rFonts w:ascii="宋体" w:hAnsi="宋体" w:eastAsia="宋体" w:cs="宋体"/>
          <w:b/>
          <w:bCs/>
          <w:spacing w:val="1"/>
          <w:sz w:val="31"/>
          <w:szCs w:val="31"/>
        </w:rPr>
        <w:t>四、开标一览表</w:t>
      </w:r>
    </w:p>
    <w:p w14:paraId="6EF8F6C9">
      <w:pPr>
        <w:pStyle w:val="2"/>
        <w:spacing w:line="384" w:lineRule="auto"/>
      </w:pPr>
    </w:p>
    <w:p w14:paraId="761F0183">
      <w:pPr>
        <w:spacing w:before="78" w:line="347" w:lineRule="auto"/>
        <w:ind w:left="723" w:right="5838"/>
        <w:rPr>
          <w:rFonts w:ascii="宋体" w:hAnsi="宋体" w:eastAsia="宋体" w:cs="宋体"/>
          <w:sz w:val="24"/>
          <w:szCs w:val="24"/>
        </w:rPr>
      </w:pPr>
      <w:r>
        <w:rPr>
          <w:rFonts w:ascii="宋体" w:hAnsi="宋体" w:eastAsia="宋体" w:cs="宋体"/>
          <w:spacing w:val="-4"/>
          <w:sz w:val="24"/>
          <w:szCs w:val="24"/>
        </w:rPr>
        <w:t>项目名称：</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w:t>
      </w:r>
      <w:r>
        <w:rPr>
          <w:rFonts w:ascii="宋体" w:hAnsi="宋体" w:eastAsia="宋体" w:cs="宋体"/>
          <w:spacing w:val="-4"/>
          <w:sz w:val="24"/>
          <w:szCs w:val="24"/>
        </w:rPr>
        <w:t>项目编号：</w:t>
      </w:r>
      <w:r>
        <w:rPr>
          <w:rFonts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ascii="宋体" w:hAnsi="宋体" w:eastAsia="宋体" w:cs="宋体"/>
          <w:sz w:val="24"/>
          <w:szCs w:val="24"/>
          <w:u w:val="single" w:color="auto"/>
        </w:rPr>
        <w:t xml:space="preserve">             </w:t>
      </w:r>
    </w:p>
    <w:p w14:paraId="011F2608">
      <w:pPr>
        <w:spacing w:before="188"/>
      </w:pPr>
    </w:p>
    <w:tbl>
      <w:tblPr>
        <w:tblStyle w:val="51"/>
        <w:tblW w:w="8095" w:type="dxa"/>
        <w:tblInd w:w="4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39"/>
        <w:gridCol w:w="1466"/>
        <w:gridCol w:w="1800"/>
        <w:gridCol w:w="1527"/>
        <w:gridCol w:w="1363"/>
      </w:tblGrid>
      <w:tr w14:paraId="0A629D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3" w:hRule="atLeast"/>
        </w:trPr>
        <w:tc>
          <w:tcPr>
            <w:tcW w:w="1939" w:type="dxa"/>
            <w:tcBorders>
              <w:top w:val="single" w:color="000000" w:sz="6" w:space="0"/>
            </w:tcBorders>
            <w:vAlign w:val="center"/>
          </w:tcPr>
          <w:p w14:paraId="4675FE1A">
            <w:pPr>
              <w:spacing w:line="320" w:lineRule="auto"/>
              <w:jc w:val="center"/>
              <w:rPr>
                <w:rFonts w:ascii="Arial"/>
                <w:sz w:val="21"/>
              </w:rPr>
            </w:pPr>
          </w:p>
          <w:p w14:paraId="0C793366">
            <w:pPr>
              <w:pStyle w:val="50"/>
              <w:spacing w:before="65" w:line="229" w:lineRule="auto"/>
              <w:jc w:val="center"/>
              <w:rPr>
                <w:sz w:val="20"/>
                <w:szCs w:val="20"/>
              </w:rPr>
            </w:pPr>
            <w:r>
              <w:rPr>
                <w:rFonts w:hint="eastAsia"/>
                <w:spacing w:val="7"/>
                <w:sz w:val="20"/>
                <w:szCs w:val="20"/>
                <w:lang w:eastAsia="zh-CN"/>
              </w:rPr>
              <w:t>供应商</w:t>
            </w:r>
            <w:r>
              <w:rPr>
                <w:spacing w:val="7"/>
                <w:sz w:val="20"/>
                <w:szCs w:val="20"/>
              </w:rPr>
              <w:t>名称</w:t>
            </w:r>
            <w:r>
              <w:rPr>
                <w:spacing w:val="5"/>
                <w:sz w:val="20"/>
                <w:szCs w:val="20"/>
              </w:rPr>
              <w:t>（盖单位章）</w:t>
            </w:r>
          </w:p>
        </w:tc>
        <w:tc>
          <w:tcPr>
            <w:tcW w:w="1466" w:type="dxa"/>
            <w:tcBorders>
              <w:top w:val="single" w:color="000000" w:sz="6" w:space="0"/>
            </w:tcBorders>
            <w:vAlign w:val="center"/>
          </w:tcPr>
          <w:p w14:paraId="24EBA855">
            <w:pPr>
              <w:spacing w:line="320" w:lineRule="auto"/>
              <w:jc w:val="center"/>
              <w:rPr>
                <w:rFonts w:ascii="Arial"/>
                <w:sz w:val="21"/>
              </w:rPr>
            </w:pPr>
          </w:p>
          <w:p w14:paraId="642B7BF5">
            <w:pPr>
              <w:pStyle w:val="50"/>
              <w:spacing w:before="65" w:line="227" w:lineRule="auto"/>
              <w:jc w:val="center"/>
              <w:rPr>
                <w:sz w:val="20"/>
                <w:szCs w:val="20"/>
              </w:rPr>
            </w:pPr>
            <w:r>
              <w:rPr>
                <w:spacing w:val="6"/>
                <w:sz w:val="20"/>
                <w:szCs w:val="20"/>
              </w:rPr>
              <w:t>投标总价</w:t>
            </w:r>
            <w:r>
              <w:rPr>
                <w:spacing w:val="-1"/>
                <w:sz w:val="20"/>
                <w:szCs w:val="20"/>
              </w:rPr>
              <w:t>（元）</w:t>
            </w:r>
          </w:p>
        </w:tc>
        <w:tc>
          <w:tcPr>
            <w:tcW w:w="1800" w:type="dxa"/>
            <w:tcBorders>
              <w:top w:val="single" w:color="000000" w:sz="6" w:space="0"/>
              <w:right w:val="single" w:color="000000" w:sz="6" w:space="0"/>
            </w:tcBorders>
            <w:vAlign w:val="center"/>
          </w:tcPr>
          <w:p w14:paraId="578315BD">
            <w:pPr>
              <w:spacing w:line="320" w:lineRule="auto"/>
              <w:jc w:val="center"/>
              <w:rPr>
                <w:rFonts w:ascii="Arial"/>
                <w:sz w:val="21"/>
              </w:rPr>
            </w:pPr>
          </w:p>
          <w:p w14:paraId="4182CE65">
            <w:pPr>
              <w:pStyle w:val="50"/>
              <w:spacing w:before="65" w:line="229" w:lineRule="auto"/>
              <w:jc w:val="center"/>
              <w:rPr>
                <w:spacing w:val="8"/>
                <w:sz w:val="20"/>
                <w:szCs w:val="20"/>
              </w:rPr>
            </w:pPr>
            <w:r>
              <w:rPr>
                <w:spacing w:val="8"/>
                <w:sz w:val="20"/>
                <w:szCs w:val="20"/>
              </w:rPr>
              <w:t>投标保证金递交</w:t>
            </w:r>
          </w:p>
          <w:p w14:paraId="1F64A39D">
            <w:pPr>
              <w:pStyle w:val="50"/>
              <w:spacing w:before="65" w:line="229" w:lineRule="auto"/>
              <w:jc w:val="center"/>
              <w:rPr>
                <w:sz w:val="20"/>
                <w:szCs w:val="20"/>
              </w:rPr>
            </w:pPr>
            <w:r>
              <w:rPr>
                <w:spacing w:val="5"/>
                <w:sz w:val="20"/>
                <w:szCs w:val="20"/>
              </w:rPr>
              <w:t>金额（元）</w:t>
            </w:r>
          </w:p>
        </w:tc>
        <w:tc>
          <w:tcPr>
            <w:tcW w:w="1527" w:type="dxa"/>
            <w:tcBorders>
              <w:top w:val="single" w:color="000000" w:sz="6" w:space="0"/>
              <w:left w:val="single" w:color="000000" w:sz="6" w:space="0"/>
            </w:tcBorders>
            <w:vAlign w:val="center"/>
          </w:tcPr>
          <w:p w14:paraId="42C473E8">
            <w:pPr>
              <w:spacing w:line="320" w:lineRule="auto"/>
              <w:jc w:val="center"/>
              <w:rPr>
                <w:rFonts w:ascii="Arial"/>
                <w:sz w:val="21"/>
              </w:rPr>
            </w:pPr>
          </w:p>
          <w:p w14:paraId="5177C403">
            <w:pPr>
              <w:pStyle w:val="50"/>
              <w:spacing w:before="65" w:line="228" w:lineRule="auto"/>
              <w:jc w:val="center"/>
              <w:rPr>
                <w:sz w:val="20"/>
                <w:szCs w:val="20"/>
              </w:rPr>
            </w:pPr>
            <w:r>
              <w:rPr>
                <w:spacing w:val="7"/>
                <w:sz w:val="20"/>
                <w:szCs w:val="20"/>
              </w:rPr>
              <w:t>服务期限</w:t>
            </w:r>
          </w:p>
        </w:tc>
        <w:tc>
          <w:tcPr>
            <w:tcW w:w="1363" w:type="dxa"/>
            <w:tcBorders>
              <w:top w:val="single" w:color="000000" w:sz="6" w:space="0"/>
            </w:tcBorders>
            <w:vAlign w:val="center"/>
          </w:tcPr>
          <w:p w14:paraId="054DC927">
            <w:pPr>
              <w:spacing w:line="320" w:lineRule="auto"/>
              <w:jc w:val="center"/>
              <w:rPr>
                <w:rFonts w:ascii="Arial"/>
                <w:sz w:val="21"/>
              </w:rPr>
            </w:pPr>
          </w:p>
          <w:p w14:paraId="42217CB4">
            <w:pPr>
              <w:pStyle w:val="50"/>
              <w:spacing w:before="65" w:line="228" w:lineRule="auto"/>
              <w:jc w:val="center"/>
              <w:rPr>
                <w:sz w:val="20"/>
                <w:szCs w:val="20"/>
              </w:rPr>
            </w:pPr>
            <w:r>
              <w:rPr>
                <w:spacing w:val="6"/>
                <w:sz w:val="20"/>
                <w:szCs w:val="20"/>
              </w:rPr>
              <w:t>服务标</w:t>
            </w:r>
            <w:r>
              <w:rPr>
                <w:sz w:val="20"/>
                <w:szCs w:val="20"/>
              </w:rPr>
              <w:t>准</w:t>
            </w:r>
          </w:p>
        </w:tc>
      </w:tr>
      <w:tr w14:paraId="4C9CB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47" w:hRule="atLeast"/>
        </w:trPr>
        <w:tc>
          <w:tcPr>
            <w:tcW w:w="1939" w:type="dxa"/>
            <w:vAlign w:val="top"/>
          </w:tcPr>
          <w:p w14:paraId="216A9B38">
            <w:pPr>
              <w:rPr>
                <w:rFonts w:ascii="Arial"/>
                <w:sz w:val="21"/>
              </w:rPr>
            </w:pPr>
          </w:p>
        </w:tc>
        <w:tc>
          <w:tcPr>
            <w:tcW w:w="1466" w:type="dxa"/>
            <w:vAlign w:val="top"/>
          </w:tcPr>
          <w:p w14:paraId="0D9ACF46">
            <w:pPr>
              <w:rPr>
                <w:rFonts w:ascii="Arial"/>
                <w:sz w:val="21"/>
              </w:rPr>
            </w:pPr>
          </w:p>
        </w:tc>
        <w:tc>
          <w:tcPr>
            <w:tcW w:w="1800" w:type="dxa"/>
            <w:tcBorders>
              <w:right w:val="single" w:color="000000" w:sz="6" w:space="0"/>
            </w:tcBorders>
            <w:vAlign w:val="top"/>
          </w:tcPr>
          <w:p w14:paraId="19BAF945">
            <w:pPr>
              <w:rPr>
                <w:rFonts w:ascii="Arial"/>
                <w:sz w:val="21"/>
              </w:rPr>
            </w:pPr>
          </w:p>
        </w:tc>
        <w:tc>
          <w:tcPr>
            <w:tcW w:w="1527" w:type="dxa"/>
            <w:tcBorders>
              <w:left w:val="single" w:color="000000" w:sz="6" w:space="0"/>
            </w:tcBorders>
            <w:vAlign w:val="top"/>
          </w:tcPr>
          <w:p w14:paraId="66AC685C">
            <w:pPr>
              <w:rPr>
                <w:rFonts w:ascii="Arial"/>
                <w:sz w:val="21"/>
              </w:rPr>
            </w:pPr>
          </w:p>
        </w:tc>
        <w:tc>
          <w:tcPr>
            <w:tcW w:w="1363" w:type="dxa"/>
            <w:vAlign w:val="top"/>
          </w:tcPr>
          <w:p w14:paraId="76D47FCA">
            <w:pPr>
              <w:rPr>
                <w:rFonts w:ascii="Arial"/>
                <w:sz w:val="21"/>
              </w:rPr>
            </w:pPr>
          </w:p>
        </w:tc>
      </w:tr>
    </w:tbl>
    <w:p w14:paraId="4CF32041">
      <w:pPr>
        <w:pStyle w:val="2"/>
        <w:spacing w:line="250" w:lineRule="auto"/>
      </w:pPr>
    </w:p>
    <w:p w14:paraId="37CF1C06">
      <w:pPr>
        <w:pStyle w:val="2"/>
        <w:spacing w:line="251" w:lineRule="auto"/>
      </w:pPr>
    </w:p>
    <w:p w14:paraId="65B1792A">
      <w:pPr>
        <w:pStyle w:val="2"/>
        <w:spacing w:line="251" w:lineRule="auto"/>
      </w:pPr>
    </w:p>
    <w:p w14:paraId="1E8203CA">
      <w:pPr>
        <w:spacing w:before="65" w:line="228" w:lineRule="auto"/>
        <w:ind w:left="15"/>
        <w:outlineLvl w:val="3"/>
        <w:rPr>
          <w:rFonts w:ascii="宋体" w:hAnsi="宋体" w:eastAsia="宋体" w:cs="宋体"/>
          <w:sz w:val="24"/>
          <w:szCs w:val="24"/>
        </w:rPr>
      </w:pPr>
      <w:r>
        <w:rPr>
          <w:rFonts w:ascii="宋体" w:hAnsi="宋体" w:eastAsia="宋体" w:cs="宋体"/>
          <w:spacing w:val="2"/>
          <w:sz w:val="24"/>
          <w:szCs w:val="24"/>
        </w:rPr>
        <w:t>说明：</w:t>
      </w:r>
    </w:p>
    <w:p w14:paraId="7371497A">
      <w:pPr>
        <w:spacing w:before="184" w:line="219" w:lineRule="auto"/>
        <w:rPr>
          <w:rFonts w:ascii="宋体" w:hAnsi="宋体" w:eastAsia="宋体" w:cs="宋体"/>
          <w:sz w:val="24"/>
          <w:szCs w:val="24"/>
        </w:rPr>
      </w:pPr>
      <w:r>
        <w:rPr>
          <w:rFonts w:ascii="宋体" w:hAnsi="宋体" w:eastAsia="宋体" w:cs="宋体"/>
          <w:spacing w:val="-1"/>
          <w:sz w:val="24"/>
          <w:szCs w:val="24"/>
        </w:rPr>
        <w:t>“开标一览表</w:t>
      </w:r>
      <w:r>
        <w:rPr>
          <w:rFonts w:ascii="宋体" w:hAnsi="宋体" w:eastAsia="宋体" w:cs="宋体"/>
          <w:spacing w:val="-78"/>
          <w:sz w:val="24"/>
          <w:szCs w:val="24"/>
        </w:rPr>
        <w:t xml:space="preserve"> </w:t>
      </w:r>
      <w:r>
        <w:rPr>
          <w:rFonts w:ascii="宋体" w:hAnsi="宋体" w:eastAsia="宋体" w:cs="宋体"/>
          <w:spacing w:val="-1"/>
          <w:sz w:val="24"/>
          <w:szCs w:val="24"/>
        </w:rPr>
        <w:t>”是投标文件的组成部分，必须按要求签署和加盖公章，否则为无效投标。</w:t>
      </w:r>
    </w:p>
    <w:p w14:paraId="36C1A52F">
      <w:pPr>
        <w:pStyle w:val="2"/>
        <w:spacing w:line="259" w:lineRule="auto"/>
        <w:rPr>
          <w:sz w:val="24"/>
          <w:szCs w:val="24"/>
        </w:rPr>
      </w:pPr>
    </w:p>
    <w:p w14:paraId="4D722977">
      <w:pPr>
        <w:pStyle w:val="2"/>
        <w:spacing w:line="259" w:lineRule="auto"/>
        <w:rPr>
          <w:sz w:val="24"/>
          <w:szCs w:val="24"/>
        </w:rPr>
      </w:pPr>
    </w:p>
    <w:p w14:paraId="5ACA225A">
      <w:pPr>
        <w:pStyle w:val="2"/>
        <w:spacing w:line="260" w:lineRule="auto"/>
        <w:rPr>
          <w:sz w:val="24"/>
          <w:szCs w:val="24"/>
        </w:rPr>
      </w:pPr>
    </w:p>
    <w:p w14:paraId="201BEC87">
      <w:pPr>
        <w:spacing w:before="61" w:line="228" w:lineRule="auto"/>
        <w:ind w:firstLine="2400" w:firstLineChars="1000"/>
        <w:rPr>
          <w:rFonts w:ascii="宋体" w:hAnsi="宋体" w:eastAsia="宋体" w:cs="宋体"/>
          <w:sz w:val="24"/>
          <w:szCs w:val="24"/>
        </w:rPr>
      </w:pPr>
      <w:r>
        <w:rPr>
          <w:rFonts w:hint="eastAsia" w:ascii="宋体" w:hAnsi="宋体"/>
          <w:sz w:val="24"/>
          <w:szCs w:val="24"/>
        </w:rPr>
        <w:t>供</w:t>
      </w:r>
      <w:r>
        <w:rPr>
          <w:rFonts w:hint="eastAsia" w:ascii="宋体" w:hAnsi="宋体"/>
          <w:sz w:val="24"/>
          <w:szCs w:val="24"/>
          <w:lang w:val="en-US" w:eastAsia="zh-CN"/>
        </w:rPr>
        <w:t xml:space="preserve">  </w:t>
      </w:r>
      <w:r>
        <w:rPr>
          <w:rFonts w:hint="eastAsia" w:ascii="宋体" w:hAnsi="宋体"/>
          <w:sz w:val="24"/>
          <w:szCs w:val="24"/>
        </w:rPr>
        <w:t>应</w:t>
      </w:r>
      <w:r>
        <w:rPr>
          <w:rFonts w:hint="eastAsia" w:ascii="宋体" w:hAnsi="宋体"/>
          <w:sz w:val="24"/>
          <w:szCs w:val="24"/>
          <w:lang w:val="en-US" w:eastAsia="zh-CN"/>
        </w:rPr>
        <w:t xml:space="preserve">  </w:t>
      </w:r>
      <w:r>
        <w:rPr>
          <w:rFonts w:hint="eastAsia" w:ascii="宋体" w:hAnsi="宋体"/>
          <w:sz w:val="24"/>
          <w:szCs w:val="24"/>
        </w:rPr>
        <w:t>商</w:t>
      </w:r>
      <w:r>
        <w:rPr>
          <w:rFonts w:ascii="宋体" w:hAnsi="宋体" w:eastAsia="宋体" w:cs="宋体"/>
          <w:spacing w:val="-15"/>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5"/>
          <w:sz w:val="24"/>
          <w:szCs w:val="24"/>
        </w:rPr>
        <w:t>（</w:t>
      </w:r>
      <w:r>
        <w:rPr>
          <w:rFonts w:ascii="宋体" w:hAnsi="宋体" w:eastAsia="宋体" w:cs="宋体"/>
          <w:spacing w:val="11"/>
          <w:sz w:val="24"/>
          <w:szCs w:val="24"/>
        </w:rPr>
        <w:t>盖单位公章）</w:t>
      </w:r>
    </w:p>
    <w:p w14:paraId="3A6073D9">
      <w:pPr>
        <w:pStyle w:val="2"/>
        <w:spacing w:line="278" w:lineRule="auto"/>
        <w:rPr>
          <w:sz w:val="24"/>
          <w:szCs w:val="24"/>
        </w:rPr>
      </w:pPr>
    </w:p>
    <w:p w14:paraId="5E807DD6">
      <w:pPr>
        <w:pStyle w:val="2"/>
        <w:spacing w:line="278" w:lineRule="auto"/>
        <w:rPr>
          <w:sz w:val="24"/>
          <w:szCs w:val="24"/>
        </w:rPr>
      </w:pPr>
    </w:p>
    <w:p w14:paraId="0692BB26">
      <w:pPr>
        <w:spacing w:before="63" w:line="229" w:lineRule="auto"/>
        <w:ind w:firstLine="2340" w:firstLineChars="900"/>
        <w:rPr>
          <w:rFonts w:ascii="宋体" w:hAnsi="宋体" w:eastAsia="宋体" w:cs="宋体"/>
          <w:sz w:val="24"/>
          <w:szCs w:val="24"/>
        </w:rPr>
      </w:pPr>
      <w:r>
        <w:rPr>
          <w:rFonts w:hint="eastAsia" w:ascii="宋体" w:hAnsi="宋体"/>
          <w:sz w:val="26"/>
        </w:rPr>
        <w:t>法定代表人或其委托代理人</w:t>
      </w:r>
      <w:r>
        <w:rPr>
          <w:rFonts w:ascii="宋体" w:hAnsi="宋体" w:eastAsia="宋体" w:cs="宋体"/>
          <w:spacing w:val="-4"/>
          <w:sz w:val="24"/>
          <w:szCs w:val="24"/>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4"/>
          <w:sz w:val="24"/>
          <w:szCs w:val="24"/>
        </w:rPr>
        <w:t>（</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ascii="宋体" w:hAnsi="宋体" w:eastAsia="宋体" w:cs="宋体"/>
          <w:spacing w:val="11"/>
          <w:sz w:val="24"/>
          <w:szCs w:val="24"/>
        </w:rPr>
        <w:t>）</w:t>
      </w:r>
    </w:p>
    <w:p w14:paraId="374DBECC">
      <w:pPr>
        <w:pStyle w:val="2"/>
        <w:spacing w:line="277" w:lineRule="auto"/>
        <w:rPr>
          <w:sz w:val="24"/>
          <w:szCs w:val="24"/>
        </w:rPr>
      </w:pPr>
    </w:p>
    <w:p w14:paraId="2942B519">
      <w:pPr>
        <w:pStyle w:val="2"/>
        <w:spacing w:line="278" w:lineRule="auto"/>
        <w:rPr>
          <w:sz w:val="24"/>
          <w:szCs w:val="24"/>
        </w:rPr>
      </w:pPr>
    </w:p>
    <w:p w14:paraId="2189F026">
      <w:pPr>
        <w:spacing w:before="62" w:line="229" w:lineRule="auto"/>
        <w:ind w:firstLine="2300" w:firstLineChars="1000"/>
        <w:rPr>
          <w:rFonts w:ascii="宋体" w:hAnsi="宋体" w:eastAsia="宋体" w:cs="宋体"/>
          <w:sz w:val="24"/>
          <w:szCs w:val="24"/>
        </w:rPr>
      </w:pPr>
      <w:r>
        <w:rPr>
          <w:rFonts w:ascii="宋体" w:hAnsi="宋体" w:eastAsia="宋体" w:cs="宋体"/>
          <w:spacing w:val="-5"/>
          <w:sz w:val="24"/>
          <w:szCs w:val="24"/>
        </w:rPr>
        <w:t>日</w:t>
      </w:r>
      <w:r>
        <w:rPr>
          <w:rFonts w:ascii="宋体" w:hAnsi="宋体" w:eastAsia="宋体" w:cs="宋体"/>
          <w:spacing w:val="4"/>
          <w:sz w:val="24"/>
          <w:szCs w:val="24"/>
        </w:rPr>
        <w:t xml:space="preserve">      </w:t>
      </w:r>
      <w:r>
        <w:rPr>
          <w:rFonts w:ascii="宋体" w:hAnsi="宋体" w:eastAsia="宋体" w:cs="宋体"/>
          <w:spacing w:val="-5"/>
          <w:sz w:val="24"/>
          <w:szCs w:val="24"/>
        </w:rPr>
        <w:t>期：</w:t>
      </w:r>
      <w:r>
        <w:rPr>
          <w:rFonts w:ascii="宋体" w:hAnsi="宋体" w:eastAsia="宋体" w:cs="宋体"/>
          <w:spacing w:val="1"/>
          <w:sz w:val="24"/>
          <w:szCs w:val="24"/>
          <w:u w:val="single" w:color="auto"/>
        </w:rPr>
        <w:t xml:space="preserve">      </w:t>
      </w:r>
      <w:r>
        <w:rPr>
          <w:rFonts w:ascii="宋体" w:hAnsi="宋体" w:eastAsia="宋体" w:cs="宋体"/>
          <w:spacing w:val="-78"/>
          <w:sz w:val="24"/>
          <w:szCs w:val="24"/>
        </w:rPr>
        <w:t xml:space="preserve"> </w:t>
      </w:r>
      <w:r>
        <w:rPr>
          <w:rFonts w:ascii="宋体" w:hAnsi="宋体" w:eastAsia="宋体" w:cs="宋体"/>
          <w:spacing w:val="-5"/>
          <w:sz w:val="24"/>
          <w:szCs w:val="24"/>
        </w:rPr>
        <w:t>年</w:t>
      </w:r>
      <w:r>
        <w:rPr>
          <w:rFonts w:ascii="宋体" w:hAnsi="宋体" w:eastAsia="宋体" w:cs="宋体"/>
          <w:spacing w:val="-94"/>
          <w:sz w:val="24"/>
          <w:szCs w:val="24"/>
        </w:rPr>
        <w:t xml:space="preserve"> </w:t>
      </w:r>
      <w:r>
        <w:rPr>
          <w:rFonts w:ascii="宋体" w:hAnsi="宋体" w:eastAsia="宋体" w:cs="宋体"/>
          <w:spacing w:val="11"/>
          <w:sz w:val="24"/>
          <w:szCs w:val="24"/>
          <w:u w:val="single" w:color="auto"/>
        </w:rPr>
        <w:t xml:space="preserve">    </w:t>
      </w:r>
      <w:r>
        <w:rPr>
          <w:rFonts w:ascii="宋体" w:hAnsi="宋体" w:eastAsia="宋体" w:cs="宋体"/>
          <w:spacing w:val="-79"/>
          <w:sz w:val="24"/>
          <w:szCs w:val="24"/>
        </w:rPr>
        <w:t xml:space="preserve"> </w:t>
      </w:r>
      <w:r>
        <w:rPr>
          <w:rFonts w:ascii="宋体" w:hAnsi="宋体" w:eastAsia="宋体" w:cs="宋体"/>
          <w:spacing w:val="-5"/>
          <w:sz w:val="24"/>
          <w:szCs w:val="24"/>
        </w:rPr>
        <w:t>月</w:t>
      </w:r>
      <w:r>
        <w:rPr>
          <w:rFonts w:ascii="宋体" w:hAnsi="宋体" w:eastAsia="宋体" w:cs="宋体"/>
          <w:spacing w:val="-93"/>
          <w:sz w:val="24"/>
          <w:szCs w:val="24"/>
        </w:rPr>
        <w:t xml:space="preserve"> </w:t>
      </w:r>
      <w:r>
        <w:rPr>
          <w:rFonts w:ascii="宋体" w:hAnsi="宋体" w:eastAsia="宋体" w:cs="宋体"/>
          <w:spacing w:val="11"/>
          <w:sz w:val="24"/>
          <w:szCs w:val="24"/>
          <w:u w:val="single" w:color="auto"/>
        </w:rPr>
        <w:t xml:space="preserve">   </w:t>
      </w:r>
      <w:r>
        <w:rPr>
          <w:rFonts w:hint="eastAsia" w:ascii="宋体" w:hAnsi="宋体" w:eastAsia="宋体" w:cs="宋体"/>
          <w:spacing w:val="11"/>
          <w:sz w:val="24"/>
          <w:szCs w:val="24"/>
          <w:u w:val="single" w:color="auto"/>
          <w:lang w:val="en-US" w:eastAsia="zh-CN"/>
        </w:rPr>
        <w:t xml:space="preserve">  </w:t>
      </w:r>
      <w:r>
        <w:rPr>
          <w:rFonts w:ascii="宋体" w:hAnsi="宋体" w:eastAsia="宋体" w:cs="宋体"/>
          <w:spacing w:val="11"/>
          <w:sz w:val="24"/>
          <w:szCs w:val="24"/>
          <w:u w:val="single" w:color="auto"/>
        </w:rPr>
        <w:t xml:space="preserve"> </w:t>
      </w:r>
      <w:r>
        <w:rPr>
          <w:rFonts w:ascii="宋体" w:hAnsi="宋体" w:eastAsia="宋体" w:cs="宋体"/>
          <w:spacing w:val="-48"/>
          <w:sz w:val="24"/>
          <w:szCs w:val="24"/>
        </w:rPr>
        <w:t xml:space="preserve"> </w:t>
      </w:r>
      <w:r>
        <w:rPr>
          <w:rFonts w:ascii="宋体" w:hAnsi="宋体" w:eastAsia="宋体" w:cs="宋体"/>
          <w:spacing w:val="-5"/>
          <w:sz w:val="24"/>
          <w:szCs w:val="24"/>
        </w:rPr>
        <w:t>日</w:t>
      </w:r>
    </w:p>
    <w:p w14:paraId="46CBD34D">
      <w:pPr>
        <w:spacing w:line="229" w:lineRule="auto"/>
        <w:rPr>
          <w:rFonts w:ascii="宋体" w:hAnsi="宋体" w:eastAsia="宋体" w:cs="宋体"/>
          <w:sz w:val="19"/>
          <w:szCs w:val="19"/>
        </w:rPr>
        <w:sectPr>
          <w:footerReference r:id="rId7" w:type="default"/>
          <w:pgSz w:w="11910" w:h="16850"/>
          <w:pgMar w:top="1432" w:right="1701" w:bottom="1417" w:left="1701" w:header="1134" w:footer="1134" w:gutter="0"/>
          <w:cols w:space="720" w:num="1"/>
        </w:sectPr>
      </w:pPr>
    </w:p>
    <w:p w14:paraId="6FFCFDD3">
      <w:pPr>
        <w:spacing w:before="170" w:line="219" w:lineRule="auto"/>
        <w:ind w:left="2799"/>
        <w:rPr>
          <w:rFonts w:ascii="宋体" w:hAnsi="宋体" w:eastAsia="宋体" w:cs="宋体"/>
          <w:b/>
          <w:bCs/>
          <w:spacing w:val="-4"/>
          <w:sz w:val="30"/>
          <w:szCs w:val="30"/>
        </w:rPr>
      </w:pPr>
    </w:p>
    <w:p w14:paraId="0ACBB4C9">
      <w:pPr>
        <w:spacing w:before="170" w:line="219" w:lineRule="auto"/>
        <w:ind w:left="2799"/>
        <w:rPr>
          <w:rFonts w:ascii="宋体" w:hAnsi="宋体" w:eastAsia="宋体" w:cs="宋体"/>
          <w:sz w:val="30"/>
          <w:szCs w:val="30"/>
        </w:rPr>
      </w:pPr>
      <w:r>
        <w:rPr>
          <w:rFonts w:ascii="宋体" w:hAnsi="宋体" w:eastAsia="宋体" w:cs="宋体"/>
          <w:b/>
          <w:bCs/>
          <w:spacing w:val="-4"/>
          <w:sz w:val="30"/>
          <w:szCs w:val="30"/>
        </w:rPr>
        <w:t>五、投标报价及明细</w:t>
      </w:r>
    </w:p>
    <w:p w14:paraId="4AF07FA9">
      <w:pPr>
        <w:pStyle w:val="2"/>
        <w:spacing w:line="343" w:lineRule="auto"/>
      </w:pPr>
    </w:p>
    <w:p w14:paraId="77D7A850">
      <w:pPr>
        <w:spacing w:before="78" w:line="219" w:lineRule="auto"/>
        <w:ind w:left="3706"/>
        <w:rPr>
          <w:rFonts w:ascii="宋体" w:hAnsi="宋体" w:eastAsia="宋体" w:cs="宋体"/>
          <w:sz w:val="28"/>
          <w:szCs w:val="28"/>
        </w:rPr>
      </w:pPr>
      <w:r>
        <w:rPr>
          <w:rFonts w:ascii="宋体" w:hAnsi="宋体" w:eastAsia="宋体" w:cs="宋体"/>
          <w:spacing w:val="-3"/>
          <w:sz w:val="28"/>
          <w:szCs w:val="28"/>
        </w:rPr>
        <w:t>格式自拟</w:t>
      </w:r>
    </w:p>
    <w:p w14:paraId="17C43067">
      <w:pPr>
        <w:spacing w:line="219" w:lineRule="auto"/>
        <w:rPr>
          <w:rFonts w:ascii="宋体" w:hAnsi="宋体" w:eastAsia="宋体" w:cs="宋体"/>
          <w:sz w:val="24"/>
          <w:szCs w:val="24"/>
        </w:rPr>
        <w:sectPr>
          <w:footerReference r:id="rId8" w:type="default"/>
          <w:pgSz w:w="11910" w:h="16850"/>
          <w:pgMar w:top="1432" w:right="1786" w:bottom="868" w:left="1786" w:header="1134" w:footer="1134" w:gutter="0"/>
          <w:cols w:space="720" w:num="1"/>
        </w:sectPr>
      </w:pPr>
    </w:p>
    <w:p w14:paraId="7C7D42CE">
      <w:pPr>
        <w:spacing w:before="113" w:line="221" w:lineRule="auto"/>
        <w:rPr>
          <w:rFonts w:ascii="宋体" w:hAnsi="宋体" w:eastAsia="宋体" w:cs="宋体"/>
          <w:b/>
          <w:bCs/>
          <w:spacing w:val="-5"/>
          <w:sz w:val="30"/>
          <w:szCs w:val="30"/>
        </w:rPr>
      </w:pPr>
    </w:p>
    <w:p w14:paraId="1F480666">
      <w:pPr>
        <w:spacing w:before="113" w:line="221" w:lineRule="auto"/>
        <w:ind w:left="2948" w:firstLine="582" w:firstLineChars="200"/>
        <w:rPr>
          <w:rFonts w:ascii="宋体" w:hAnsi="宋体" w:eastAsia="宋体" w:cs="宋体"/>
          <w:sz w:val="30"/>
          <w:szCs w:val="30"/>
        </w:rPr>
      </w:pPr>
      <w:r>
        <w:rPr>
          <w:rFonts w:ascii="宋体" w:hAnsi="宋体" w:eastAsia="宋体" w:cs="宋体"/>
          <w:b/>
          <w:bCs/>
          <w:spacing w:val="-5"/>
          <w:sz w:val="30"/>
          <w:szCs w:val="30"/>
        </w:rPr>
        <w:t>六、项目实施方案</w:t>
      </w:r>
    </w:p>
    <w:p w14:paraId="71912BF6">
      <w:pPr>
        <w:pStyle w:val="2"/>
        <w:spacing w:line="365" w:lineRule="auto"/>
      </w:pPr>
    </w:p>
    <w:p w14:paraId="640D5DC0">
      <w:pPr>
        <w:spacing w:before="78" w:line="227" w:lineRule="auto"/>
        <w:ind w:left="3700" w:firstLine="550" w:firstLineChars="200"/>
        <w:outlineLvl w:val="2"/>
        <w:rPr>
          <w:rFonts w:hint="eastAsia" w:ascii="宋体" w:hAnsi="宋体" w:eastAsia="宋体" w:cs="宋体"/>
          <w:sz w:val="28"/>
          <w:szCs w:val="28"/>
        </w:rPr>
      </w:pPr>
      <w:r>
        <w:rPr>
          <w:rFonts w:hint="eastAsia" w:ascii="宋体" w:hAnsi="宋体" w:eastAsia="宋体" w:cs="宋体"/>
          <w:b/>
          <w:bCs/>
          <w:spacing w:val="-3"/>
          <w:sz w:val="28"/>
          <w:szCs w:val="28"/>
        </w:rPr>
        <w:t>格式自拟</w:t>
      </w:r>
    </w:p>
    <w:p w14:paraId="2A2C5C87">
      <w:pPr>
        <w:spacing w:before="18" w:line="229" w:lineRule="auto"/>
        <w:rPr>
          <w:rFonts w:ascii="宋体" w:hAnsi="宋体" w:eastAsia="宋体" w:cs="宋体"/>
          <w:spacing w:val="-3"/>
          <w:sz w:val="19"/>
          <w:szCs w:val="19"/>
        </w:rPr>
      </w:pPr>
    </w:p>
    <w:p w14:paraId="5718D571">
      <w:pPr>
        <w:spacing w:before="18" w:line="229" w:lineRule="auto"/>
        <w:rPr>
          <w:rFonts w:ascii="宋体" w:hAnsi="宋体" w:eastAsia="宋体" w:cs="宋体"/>
          <w:spacing w:val="-3"/>
          <w:sz w:val="19"/>
          <w:szCs w:val="19"/>
        </w:rPr>
      </w:pPr>
    </w:p>
    <w:p w14:paraId="2E2E9D23">
      <w:pPr>
        <w:spacing w:before="18" w:line="229" w:lineRule="auto"/>
        <w:rPr>
          <w:rFonts w:ascii="宋体" w:hAnsi="宋体" w:eastAsia="宋体" w:cs="宋体"/>
          <w:spacing w:val="-3"/>
          <w:sz w:val="19"/>
          <w:szCs w:val="19"/>
        </w:rPr>
      </w:pPr>
    </w:p>
    <w:p w14:paraId="3760EC2F">
      <w:pPr>
        <w:spacing w:before="18" w:line="229" w:lineRule="auto"/>
        <w:rPr>
          <w:rFonts w:ascii="宋体" w:hAnsi="宋体" w:eastAsia="宋体" w:cs="宋体"/>
          <w:spacing w:val="-3"/>
          <w:sz w:val="19"/>
          <w:szCs w:val="19"/>
        </w:rPr>
      </w:pPr>
    </w:p>
    <w:p w14:paraId="3007FA18">
      <w:pPr>
        <w:spacing w:before="18" w:line="229" w:lineRule="auto"/>
        <w:rPr>
          <w:rFonts w:ascii="宋体" w:hAnsi="宋体" w:eastAsia="宋体" w:cs="宋体"/>
          <w:spacing w:val="-3"/>
          <w:sz w:val="19"/>
          <w:szCs w:val="19"/>
        </w:rPr>
      </w:pPr>
    </w:p>
    <w:p w14:paraId="17B1824F">
      <w:pPr>
        <w:spacing w:before="18" w:line="229" w:lineRule="auto"/>
        <w:rPr>
          <w:rFonts w:ascii="宋体" w:hAnsi="宋体" w:eastAsia="宋体" w:cs="宋体"/>
          <w:spacing w:val="-3"/>
          <w:sz w:val="19"/>
          <w:szCs w:val="19"/>
        </w:rPr>
      </w:pPr>
    </w:p>
    <w:p w14:paraId="7A67B513">
      <w:pPr>
        <w:spacing w:before="18" w:line="229" w:lineRule="auto"/>
        <w:rPr>
          <w:rFonts w:ascii="宋体" w:hAnsi="宋体" w:eastAsia="宋体" w:cs="宋体"/>
          <w:spacing w:val="-3"/>
          <w:sz w:val="19"/>
          <w:szCs w:val="19"/>
        </w:rPr>
      </w:pPr>
    </w:p>
    <w:p w14:paraId="6F41382A">
      <w:pPr>
        <w:spacing w:before="18" w:line="229" w:lineRule="auto"/>
        <w:rPr>
          <w:rFonts w:ascii="宋体" w:hAnsi="宋体" w:eastAsia="宋体" w:cs="宋体"/>
          <w:spacing w:val="-3"/>
          <w:sz w:val="19"/>
          <w:szCs w:val="19"/>
        </w:rPr>
      </w:pPr>
    </w:p>
    <w:p w14:paraId="46E72341">
      <w:pPr>
        <w:spacing w:before="18" w:line="229" w:lineRule="auto"/>
        <w:rPr>
          <w:rFonts w:ascii="宋体" w:hAnsi="宋体" w:eastAsia="宋体" w:cs="宋体"/>
          <w:spacing w:val="-3"/>
          <w:sz w:val="19"/>
          <w:szCs w:val="19"/>
        </w:rPr>
      </w:pPr>
    </w:p>
    <w:p w14:paraId="2DDF0FC1">
      <w:pPr>
        <w:spacing w:before="18" w:line="229" w:lineRule="auto"/>
        <w:rPr>
          <w:rFonts w:ascii="宋体" w:hAnsi="宋体" w:eastAsia="宋体" w:cs="宋体"/>
          <w:spacing w:val="-3"/>
          <w:sz w:val="19"/>
          <w:szCs w:val="19"/>
        </w:rPr>
      </w:pPr>
    </w:p>
    <w:p w14:paraId="1ACCAFBF">
      <w:pPr>
        <w:spacing w:before="18" w:line="229" w:lineRule="auto"/>
        <w:rPr>
          <w:rFonts w:ascii="宋体" w:hAnsi="宋体" w:eastAsia="宋体" w:cs="宋体"/>
          <w:spacing w:val="-3"/>
          <w:sz w:val="19"/>
          <w:szCs w:val="19"/>
        </w:rPr>
      </w:pPr>
    </w:p>
    <w:p w14:paraId="65896D0A">
      <w:pPr>
        <w:spacing w:before="18" w:line="229" w:lineRule="auto"/>
        <w:rPr>
          <w:rFonts w:ascii="宋体" w:hAnsi="宋体" w:eastAsia="宋体" w:cs="宋体"/>
          <w:spacing w:val="-3"/>
          <w:sz w:val="19"/>
          <w:szCs w:val="19"/>
        </w:rPr>
      </w:pPr>
    </w:p>
    <w:p w14:paraId="0514ADFD">
      <w:pPr>
        <w:spacing w:before="18" w:line="229" w:lineRule="auto"/>
        <w:rPr>
          <w:rFonts w:ascii="宋体" w:hAnsi="宋体" w:eastAsia="宋体" w:cs="宋体"/>
          <w:spacing w:val="-3"/>
          <w:sz w:val="19"/>
          <w:szCs w:val="19"/>
        </w:rPr>
      </w:pPr>
    </w:p>
    <w:p w14:paraId="422D6369">
      <w:pPr>
        <w:spacing w:before="18" w:line="229" w:lineRule="auto"/>
        <w:rPr>
          <w:rFonts w:ascii="宋体" w:hAnsi="宋体" w:eastAsia="宋体" w:cs="宋体"/>
          <w:spacing w:val="-3"/>
          <w:sz w:val="19"/>
          <w:szCs w:val="19"/>
        </w:rPr>
      </w:pPr>
    </w:p>
    <w:p w14:paraId="2AD97F36">
      <w:pPr>
        <w:spacing w:before="18" w:line="229" w:lineRule="auto"/>
        <w:rPr>
          <w:rFonts w:ascii="宋体" w:hAnsi="宋体" w:eastAsia="宋体" w:cs="宋体"/>
          <w:spacing w:val="-3"/>
          <w:sz w:val="19"/>
          <w:szCs w:val="19"/>
        </w:rPr>
      </w:pPr>
    </w:p>
    <w:p w14:paraId="2B8E6B0C">
      <w:pPr>
        <w:spacing w:before="18" w:line="229" w:lineRule="auto"/>
        <w:rPr>
          <w:rFonts w:ascii="宋体" w:hAnsi="宋体" w:eastAsia="宋体" w:cs="宋体"/>
          <w:spacing w:val="-3"/>
          <w:sz w:val="19"/>
          <w:szCs w:val="19"/>
        </w:rPr>
      </w:pPr>
    </w:p>
    <w:p w14:paraId="68AB82AC">
      <w:pPr>
        <w:spacing w:before="18" w:line="229" w:lineRule="auto"/>
        <w:rPr>
          <w:rFonts w:ascii="宋体" w:hAnsi="宋体" w:eastAsia="宋体" w:cs="宋体"/>
          <w:spacing w:val="-3"/>
          <w:sz w:val="19"/>
          <w:szCs w:val="19"/>
        </w:rPr>
      </w:pPr>
    </w:p>
    <w:p w14:paraId="7D3CC8EA">
      <w:pPr>
        <w:spacing w:before="18" w:line="229" w:lineRule="auto"/>
        <w:rPr>
          <w:rFonts w:ascii="宋体" w:hAnsi="宋体" w:eastAsia="宋体" w:cs="宋体"/>
          <w:spacing w:val="-3"/>
          <w:sz w:val="19"/>
          <w:szCs w:val="19"/>
        </w:rPr>
      </w:pPr>
    </w:p>
    <w:p w14:paraId="63608C7D">
      <w:pPr>
        <w:spacing w:before="18" w:line="229" w:lineRule="auto"/>
        <w:rPr>
          <w:rFonts w:ascii="宋体" w:hAnsi="宋体" w:eastAsia="宋体" w:cs="宋体"/>
          <w:spacing w:val="-3"/>
          <w:sz w:val="19"/>
          <w:szCs w:val="19"/>
        </w:rPr>
      </w:pPr>
    </w:p>
    <w:p w14:paraId="39A2C053">
      <w:pPr>
        <w:spacing w:before="18" w:line="229" w:lineRule="auto"/>
        <w:rPr>
          <w:rFonts w:ascii="宋体" w:hAnsi="宋体" w:eastAsia="宋体" w:cs="宋体"/>
          <w:spacing w:val="-3"/>
          <w:sz w:val="19"/>
          <w:szCs w:val="19"/>
        </w:rPr>
      </w:pPr>
    </w:p>
    <w:p w14:paraId="7D36A03B">
      <w:pPr>
        <w:spacing w:before="18" w:line="229" w:lineRule="auto"/>
        <w:rPr>
          <w:rFonts w:ascii="宋体" w:hAnsi="宋体" w:eastAsia="宋体" w:cs="宋体"/>
          <w:spacing w:val="-3"/>
          <w:sz w:val="19"/>
          <w:szCs w:val="19"/>
        </w:rPr>
      </w:pPr>
    </w:p>
    <w:p w14:paraId="3E32B1A7">
      <w:pPr>
        <w:spacing w:before="18" w:line="229" w:lineRule="auto"/>
        <w:rPr>
          <w:rFonts w:ascii="宋体" w:hAnsi="宋体" w:eastAsia="宋体" w:cs="宋体"/>
          <w:spacing w:val="-3"/>
          <w:sz w:val="19"/>
          <w:szCs w:val="19"/>
        </w:rPr>
      </w:pPr>
    </w:p>
    <w:p w14:paraId="19B2CEF9">
      <w:pPr>
        <w:spacing w:before="18" w:line="229" w:lineRule="auto"/>
        <w:rPr>
          <w:rFonts w:ascii="宋体" w:hAnsi="宋体" w:eastAsia="宋体" w:cs="宋体"/>
          <w:spacing w:val="-3"/>
          <w:sz w:val="19"/>
          <w:szCs w:val="19"/>
        </w:rPr>
      </w:pPr>
    </w:p>
    <w:p w14:paraId="556AF3CF">
      <w:pPr>
        <w:spacing w:before="18" w:line="229" w:lineRule="auto"/>
        <w:rPr>
          <w:rFonts w:ascii="宋体" w:hAnsi="宋体" w:eastAsia="宋体" w:cs="宋体"/>
          <w:spacing w:val="-3"/>
          <w:sz w:val="19"/>
          <w:szCs w:val="19"/>
        </w:rPr>
      </w:pPr>
    </w:p>
    <w:p w14:paraId="55D6D055">
      <w:pPr>
        <w:spacing w:before="18" w:line="229" w:lineRule="auto"/>
        <w:rPr>
          <w:rFonts w:ascii="宋体" w:hAnsi="宋体" w:eastAsia="宋体" w:cs="宋体"/>
          <w:spacing w:val="-3"/>
          <w:sz w:val="19"/>
          <w:szCs w:val="19"/>
        </w:rPr>
      </w:pPr>
    </w:p>
    <w:p w14:paraId="19E773A9">
      <w:pPr>
        <w:spacing w:before="18" w:line="229" w:lineRule="auto"/>
        <w:rPr>
          <w:rFonts w:ascii="宋体" w:hAnsi="宋体" w:eastAsia="宋体" w:cs="宋体"/>
          <w:spacing w:val="-3"/>
          <w:sz w:val="19"/>
          <w:szCs w:val="19"/>
        </w:rPr>
      </w:pPr>
    </w:p>
    <w:p w14:paraId="4A46CF2F">
      <w:pPr>
        <w:spacing w:before="18" w:line="229" w:lineRule="auto"/>
        <w:rPr>
          <w:rFonts w:ascii="宋体" w:hAnsi="宋体" w:eastAsia="宋体" w:cs="宋体"/>
          <w:spacing w:val="-3"/>
          <w:sz w:val="19"/>
          <w:szCs w:val="19"/>
        </w:rPr>
      </w:pPr>
    </w:p>
    <w:p w14:paraId="795C1502">
      <w:pPr>
        <w:spacing w:before="18" w:line="229" w:lineRule="auto"/>
        <w:rPr>
          <w:rFonts w:ascii="宋体" w:hAnsi="宋体" w:eastAsia="宋体" w:cs="宋体"/>
          <w:spacing w:val="-3"/>
          <w:sz w:val="19"/>
          <w:szCs w:val="19"/>
        </w:rPr>
      </w:pPr>
    </w:p>
    <w:p w14:paraId="4830817D">
      <w:pPr>
        <w:spacing w:before="18" w:line="229" w:lineRule="auto"/>
        <w:rPr>
          <w:rFonts w:ascii="宋体" w:hAnsi="宋体" w:eastAsia="宋体" w:cs="宋体"/>
          <w:spacing w:val="-3"/>
          <w:sz w:val="19"/>
          <w:szCs w:val="19"/>
        </w:rPr>
      </w:pPr>
    </w:p>
    <w:p w14:paraId="3073486D">
      <w:pPr>
        <w:spacing w:before="18" w:line="229" w:lineRule="auto"/>
        <w:rPr>
          <w:rFonts w:ascii="宋体" w:hAnsi="宋体" w:eastAsia="宋体" w:cs="宋体"/>
          <w:spacing w:val="-3"/>
          <w:sz w:val="19"/>
          <w:szCs w:val="19"/>
        </w:rPr>
      </w:pPr>
    </w:p>
    <w:p w14:paraId="1ED951D1">
      <w:pPr>
        <w:spacing w:before="18" w:line="229" w:lineRule="auto"/>
        <w:rPr>
          <w:rFonts w:ascii="宋体" w:hAnsi="宋体" w:eastAsia="宋体" w:cs="宋体"/>
          <w:spacing w:val="-3"/>
          <w:sz w:val="19"/>
          <w:szCs w:val="19"/>
        </w:rPr>
      </w:pPr>
    </w:p>
    <w:p w14:paraId="6757A45E">
      <w:pPr>
        <w:spacing w:before="18" w:line="229" w:lineRule="auto"/>
        <w:rPr>
          <w:rFonts w:ascii="宋体" w:hAnsi="宋体" w:eastAsia="宋体" w:cs="宋体"/>
          <w:spacing w:val="-3"/>
          <w:sz w:val="19"/>
          <w:szCs w:val="19"/>
        </w:rPr>
      </w:pPr>
    </w:p>
    <w:p w14:paraId="6203492E">
      <w:pPr>
        <w:spacing w:before="18" w:line="229" w:lineRule="auto"/>
        <w:rPr>
          <w:rFonts w:ascii="宋体" w:hAnsi="宋体" w:eastAsia="宋体" w:cs="宋体"/>
          <w:spacing w:val="-3"/>
          <w:sz w:val="19"/>
          <w:szCs w:val="19"/>
        </w:rPr>
      </w:pPr>
    </w:p>
    <w:p w14:paraId="1CF4BABC">
      <w:pPr>
        <w:spacing w:before="18" w:line="229" w:lineRule="auto"/>
        <w:rPr>
          <w:rFonts w:ascii="宋体" w:hAnsi="宋体" w:eastAsia="宋体" w:cs="宋体"/>
          <w:spacing w:val="-3"/>
          <w:sz w:val="19"/>
          <w:szCs w:val="19"/>
        </w:rPr>
      </w:pPr>
    </w:p>
    <w:p w14:paraId="0F828E9F">
      <w:pPr>
        <w:spacing w:before="18" w:line="229" w:lineRule="auto"/>
        <w:rPr>
          <w:rFonts w:ascii="宋体" w:hAnsi="宋体" w:eastAsia="宋体" w:cs="宋体"/>
          <w:spacing w:val="-3"/>
          <w:sz w:val="19"/>
          <w:szCs w:val="19"/>
        </w:rPr>
      </w:pPr>
    </w:p>
    <w:p w14:paraId="6F6991AC">
      <w:pPr>
        <w:spacing w:before="18" w:line="229" w:lineRule="auto"/>
        <w:rPr>
          <w:rFonts w:ascii="宋体" w:hAnsi="宋体" w:eastAsia="宋体" w:cs="宋体"/>
          <w:spacing w:val="-3"/>
          <w:sz w:val="19"/>
          <w:szCs w:val="19"/>
        </w:rPr>
      </w:pPr>
    </w:p>
    <w:p w14:paraId="5194242D">
      <w:pPr>
        <w:spacing w:before="18" w:line="229" w:lineRule="auto"/>
        <w:rPr>
          <w:rFonts w:ascii="宋体" w:hAnsi="宋体" w:eastAsia="宋体" w:cs="宋体"/>
          <w:spacing w:val="-3"/>
          <w:sz w:val="19"/>
          <w:szCs w:val="19"/>
        </w:rPr>
      </w:pPr>
    </w:p>
    <w:p w14:paraId="05698B4D">
      <w:pPr>
        <w:spacing w:before="18" w:line="229" w:lineRule="auto"/>
        <w:rPr>
          <w:rFonts w:ascii="宋体" w:hAnsi="宋体" w:eastAsia="宋体" w:cs="宋体"/>
          <w:spacing w:val="-3"/>
          <w:sz w:val="19"/>
          <w:szCs w:val="19"/>
        </w:rPr>
      </w:pPr>
    </w:p>
    <w:p w14:paraId="61F3F5EE">
      <w:pPr>
        <w:spacing w:before="18" w:line="229" w:lineRule="auto"/>
        <w:rPr>
          <w:rFonts w:ascii="宋体" w:hAnsi="宋体" w:eastAsia="宋体" w:cs="宋体"/>
          <w:spacing w:val="-3"/>
          <w:sz w:val="19"/>
          <w:szCs w:val="19"/>
        </w:rPr>
      </w:pPr>
    </w:p>
    <w:p w14:paraId="2AD4EB5C">
      <w:pPr>
        <w:spacing w:before="18" w:line="229" w:lineRule="auto"/>
        <w:rPr>
          <w:rFonts w:ascii="宋体" w:hAnsi="宋体" w:eastAsia="宋体" w:cs="宋体"/>
          <w:spacing w:val="-3"/>
          <w:sz w:val="19"/>
          <w:szCs w:val="19"/>
        </w:rPr>
      </w:pPr>
    </w:p>
    <w:p w14:paraId="07FD2849">
      <w:pPr>
        <w:spacing w:before="18" w:line="229" w:lineRule="auto"/>
        <w:rPr>
          <w:rFonts w:ascii="宋体" w:hAnsi="宋体" w:eastAsia="宋体" w:cs="宋体"/>
          <w:spacing w:val="-3"/>
          <w:sz w:val="19"/>
          <w:szCs w:val="19"/>
        </w:rPr>
      </w:pPr>
    </w:p>
    <w:p w14:paraId="36E8B74E">
      <w:pPr>
        <w:spacing w:before="18" w:line="229" w:lineRule="auto"/>
        <w:rPr>
          <w:rFonts w:ascii="宋体" w:hAnsi="宋体" w:eastAsia="宋体" w:cs="宋体"/>
          <w:spacing w:val="-3"/>
          <w:sz w:val="19"/>
          <w:szCs w:val="19"/>
        </w:rPr>
      </w:pPr>
    </w:p>
    <w:p w14:paraId="4CC786D5">
      <w:pPr>
        <w:spacing w:before="18" w:line="229" w:lineRule="auto"/>
        <w:rPr>
          <w:rFonts w:ascii="宋体" w:hAnsi="宋体" w:eastAsia="宋体" w:cs="宋体"/>
          <w:spacing w:val="-3"/>
          <w:sz w:val="19"/>
          <w:szCs w:val="19"/>
        </w:rPr>
      </w:pPr>
    </w:p>
    <w:p w14:paraId="50BF0090">
      <w:pPr>
        <w:spacing w:before="18" w:line="229" w:lineRule="auto"/>
        <w:rPr>
          <w:rFonts w:ascii="宋体" w:hAnsi="宋体" w:eastAsia="宋体" w:cs="宋体"/>
          <w:spacing w:val="-3"/>
          <w:sz w:val="19"/>
          <w:szCs w:val="19"/>
        </w:rPr>
      </w:pPr>
    </w:p>
    <w:p w14:paraId="0B6D975D">
      <w:pPr>
        <w:spacing w:before="18" w:line="229" w:lineRule="auto"/>
        <w:rPr>
          <w:rFonts w:ascii="宋体" w:hAnsi="宋体" w:eastAsia="宋体" w:cs="宋体"/>
          <w:spacing w:val="-3"/>
          <w:sz w:val="19"/>
          <w:szCs w:val="19"/>
        </w:rPr>
      </w:pPr>
    </w:p>
    <w:p w14:paraId="2F178167">
      <w:pPr>
        <w:spacing w:before="18" w:line="229" w:lineRule="auto"/>
        <w:rPr>
          <w:rFonts w:ascii="宋体" w:hAnsi="宋体" w:eastAsia="宋体" w:cs="宋体"/>
          <w:spacing w:val="-3"/>
          <w:sz w:val="19"/>
          <w:szCs w:val="19"/>
        </w:rPr>
      </w:pPr>
    </w:p>
    <w:p w14:paraId="312847E8">
      <w:pPr>
        <w:spacing w:before="18" w:line="229" w:lineRule="auto"/>
        <w:rPr>
          <w:rFonts w:ascii="宋体" w:hAnsi="宋体" w:eastAsia="宋体" w:cs="宋体"/>
          <w:spacing w:val="-3"/>
          <w:sz w:val="19"/>
          <w:szCs w:val="19"/>
        </w:rPr>
      </w:pPr>
    </w:p>
    <w:p w14:paraId="64FD654D">
      <w:pPr>
        <w:spacing w:before="18" w:line="229" w:lineRule="auto"/>
        <w:rPr>
          <w:rFonts w:ascii="宋体" w:hAnsi="宋体" w:eastAsia="宋体" w:cs="宋体"/>
          <w:spacing w:val="-3"/>
          <w:sz w:val="19"/>
          <w:szCs w:val="19"/>
        </w:rPr>
      </w:pPr>
    </w:p>
    <w:p w14:paraId="6E38A406">
      <w:pPr>
        <w:spacing w:before="18" w:line="229" w:lineRule="auto"/>
        <w:rPr>
          <w:rFonts w:ascii="宋体" w:hAnsi="宋体" w:eastAsia="宋体" w:cs="宋体"/>
          <w:spacing w:val="-3"/>
          <w:sz w:val="19"/>
          <w:szCs w:val="19"/>
        </w:rPr>
        <w:sectPr>
          <w:footerReference r:id="rId9" w:type="default"/>
          <w:pgSz w:w="11910" w:h="16850"/>
          <w:pgMar w:top="1432" w:right="1071" w:bottom="868" w:left="1098" w:header="1134" w:footer="1134" w:gutter="0"/>
          <w:cols w:space="720" w:num="1"/>
        </w:sectPr>
      </w:pPr>
    </w:p>
    <w:p w14:paraId="10A41A59">
      <w:pPr>
        <w:spacing w:before="101" w:line="226" w:lineRule="auto"/>
        <w:jc w:val="center"/>
        <w:outlineLvl w:val="2"/>
        <w:rPr>
          <w:rFonts w:ascii="宋体" w:hAnsi="宋体" w:eastAsia="宋体" w:cs="宋体"/>
          <w:sz w:val="31"/>
          <w:szCs w:val="31"/>
        </w:rPr>
      </w:pPr>
      <w:r>
        <w:rPr>
          <w:rFonts w:ascii="宋体" w:hAnsi="宋体" w:eastAsia="宋体" w:cs="宋体"/>
          <w:b/>
          <w:bCs/>
          <w:spacing w:val="6"/>
          <w:sz w:val="31"/>
          <w:szCs w:val="31"/>
        </w:rPr>
        <w:t>七、投标保证金</w:t>
      </w:r>
    </w:p>
    <w:p w14:paraId="0CD5A41D">
      <w:pPr>
        <w:pStyle w:val="2"/>
        <w:spacing w:line="261" w:lineRule="auto"/>
      </w:pPr>
    </w:p>
    <w:p w14:paraId="36B77527">
      <w:pPr>
        <w:pStyle w:val="2"/>
        <w:spacing w:line="262" w:lineRule="auto"/>
      </w:pPr>
    </w:p>
    <w:p w14:paraId="0B9591F5">
      <w:pPr>
        <w:pStyle w:val="2"/>
        <w:spacing w:line="262" w:lineRule="auto"/>
      </w:pPr>
    </w:p>
    <w:p w14:paraId="395DA89E">
      <w:pPr>
        <w:spacing w:before="62" w:line="228" w:lineRule="auto"/>
        <w:rPr>
          <w:rFonts w:hint="eastAsia" w:ascii="宋体" w:hAnsi="宋体" w:eastAsia="宋体" w:cs="宋体"/>
          <w:sz w:val="24"/>
          <w:szCs w:val="24"/>
        </w:rPr>
      </w:pPr>
      <w:r>
        <w:rPr>
          <w:rFonts w:hint="eastAsia" w:ascii="宋体" w:hAnsi="宋体" w:eastAsia="宋体" w:cs="宋体"/>
          <w:spacing w:val="3"/>
          <w:sz w:val="24"/>
          <w:szCs w:val="24"/>
        </w:rPr>
        <w:t>致：</w:t>
      </w:r>
      <w:r>
        <w:rPr>
          <w:rFonts w:hint="eastAsia" w:ascii="宋体" w:hAnsi="宋体" w:eastAsia="宋体" w:cs="宋体"/>
          <w:spacing w:val="8"/>
          <w:sz w:val="24"/>
          <w:szCs w:val="24"/>
          <w:u w:val="single" w:color="auto"/>
        </w:rPr>
        <w:t xml:space="preserve">            </w:t>
      </w:r>
      <w:r>
        <w:rPr>
          <w:rFonts w:hint="eastAsia" w:ascii="宋体" w:hAnsi="宋体" w:eastAsia="宋体" w:cs="宋体"/>
          <w:spacing w:val="3"/>
          <w:sz w:val="24"/>
          <w:szCs w:val="24"/>
          <w:u w:val="single" w:color="auto"/>
        </w:rPr>
        <w:t>{采购人名称}</w:t>
      </w:r>
      <w:r>
        <w:rPr>
          <w:rFonts w:hint="eastAsia" w:ascii="宋体" w:hAnsi="宋体" w:eastAsia="宋体" w:cs="宋体"/>
          <w:sz w:val="24"/>
          <w:szCs w:val="24"/>
          <w:u w:val="single" w:color="auto"/>
        </w:rPr>
        <w:t xml:space="preserve">       </w:t>
      </w:r>
    </w:p>
    <w:p w14:paraId="000657DF">
      <w:pPr>
        <w:pStyle w:val="2"/>
        <w:spacing w:line="278" w:lineRule="auto"/>
        <w:rPr>
          <w:rFonts w:hint="eastAsia" w:ascii="宋体" w:hAnsi="宋体" w:eastAsia="宋体" w:cs="宋体"/>
          <w:sz w:val="24"/>
          <w:szCs w:val="24"/>
        </w:rPr>
      </w:pPr>
    </w:p>
    <w:p w14:paraId="433D2E8E">
      <w:pPr>
        <w:pStyle w:val="2"/>
        <w:spacing w:line="278" w:lineRule="auto"/>
        <w:rPr>
          <w:rFonts w:hint="eastAsia" w:ascii="宋体" w:hAnsi="宋体" w:eastAsia="宋体" w:cs="宋体"/>
          <w:sz w:val="24"/>
          <w:szCs w:val="24"/>
        </w:rPr>
      </w:pPr>
    </w:p>
    <w:p w14:paraId="6AFD087A">
      <w:pPr>
        <w:keepNext w:val="0"/>
        <w:keepLines w:val="0"/>
        <w:pageBreakBefore w:val="0"/>
        <w:widowControl w:val="0"/>
        <w:tabs>
          <w:tab w:val="left" w:pos="2346"/>
        </w:tabs>
        <w:kinsoku/>
        <w:wordWrap/>
        <w:overflowPunct/>
        <w:topLinePunct w:val="0"/>
        <w:autoSpaceDE/>
        <w:autoSpaceDN/>
        <w:bidi w:val="0"/>
        <w:adjustRightInd/>
        <w:snapToGrid/>
        <w:spacing w:before="62" w:line="560" w:lineRule="exact"/>
        <w:ind w:firstLine="484" w:firstLineChars="200"/>
        <w:textAlignment w:val="auto"/>
        <w:rPr>
          <w:rFonts w:hint="eastAsia" w:ascii="宋体" w:hAnsi="宋体" w:eastAsia="宋体" w:cs="宋体"/>
          <w:sz w:val="24"/>
          <w:szCs w:val="24"/>
        </w:rPr>
      </w:pPr>
      <w:r>
        <w:rPr>
          <w:rFonts w:hint="eastAsia" w:ascii="宋体" w:hAnsi="宋体" w:eastAsia="宋体" w:cs="宋体"/>
          <w:spacing w:val="1"/>
          <w:sz w:val="24"/>
          <w:szCs w:val="24"/>
          <w:u w:val="single" w:color="auto"/>
        </w:rPr>
        <w:t>（</w:t>
      </w:r>
      <w:r>
        <w:rPr>
          <w:rFonts w:hint="eastAsia" w:ascii="宋体" w:hAnsi="宋体" w:eastAsia="宋体" w:cs="宋体"/>
          <w:spacing w:val="1"/>
          <w:sz w:val="24"/>
          <w:szCs w:val="24"/>
          <w:u w:val="single" w:color="auto"/>
          <w:lang w:eastAsia="zh-CN"/>
        </w:rPr>
        <w:t>供应商</w:t>
      </w:r>
      <w:r>
        <w:rPr>
          <w:rFonts w:hint="eastAsia" w:ascii="宋体" w:hAnsi="宋体" w:eastAsia="宋体" w:cs="宋体"/>
          <w:spacing w:val="1"/>
          <w:sz w:val="24"/>
          <w:szCs w:val="24"/>
          <w:u w:val="single" w:color="auto"/>
        </w:rPr>
        <w:t>名称</w:t>
      </w:r>
      <w:r>
        <w:rPr>
          <w:rFonts w:hint="eastAsia" w:ascii="宋体" w:hAnsi="宋体" w:eastAsia="宋体" w:cs="宋体"/>
          <w:spacing w:val="-8"/>
          <w:sz w:val="24"/>
          <w:szCs w:val="24"/>
          <w:u w:val="single" w:color="auto"/>
        </w:rPr>
        <w:t>）</w:t>
      </w:r>
      <w:r>
        <w:rPr>
          <w:rFonts w:hint="eastAsia" w:ascii="宋体" w:hAnsi="宋体" w:eastAsia="宋体" w:cs="宋体"/>
          <w:spacing w:val="23"/>
          <w:sz w:val="24"/>
          <w:szCs w:val="24"/>
          <w:u w:val="single" w:color="auto"/>
        </w:rPr>
        <w:t xml:space="preserve">   </w:t>
      </w:r>
      <w:r>
        <w:rPr>
          <w:rFonts w:hint="eastAsia" w:ascii="宋体" w:hAnsi="宋体" w:eastAsia="宋体" w:cs="宋体"/>
          <w:spacing w:val="23"/>
          <w:sz w:val="24"/>
          <w:szCs w:val="24"/>
          <w:u w:val="single" w:color="auto"/>
          <w:lang w:val="en-US" w:eastAsia="zh-CN"/>
        </w:rPr>
        <w:t xml:space="preserve">   </w:t>
      </w:r>
      <w:r>
        <w:rPr>
          <w:rFonts w:hint="eastAsia" w:ascii="宋体" w:hAnsi="宋体" w:eastAsia="宋体" w:cs="宋体"/>
          <w:spacing w:val="-8"/>
          <w:sz w:val="24"/>
          <w:szCs w:val="24"/>
        </w:rPr>
        <w:t>（</w:t>
      </w:r>
      <w:r>
        <w:rPr>
          <w:rFonts w:hint="eastAsia" w:ascii="宋体" w:hAnsi="宋体" w:eastAsia="宋体" w:cs="宋体"/>
          <w:spacing w:val="1"/>
          <w:sz w:val="24"/>
          <w:szCs w:val="24"/>
        </w:rPr>
        <w:t>以下称“</w:t>
      </w:r>
      <w:r>
        <w:rPr>
          <w:rFonts w:hint="eastAsia" w:ascii="宋体" w:hAnsi="宋体" w:eastAsia="宋体" w:cs="宋体"/>
          <w:spacing w:val="1"/>
          <w:sz w:val="24"/>
          <w:szCs w:val="24"/>
          <w:lang w:eastAsia="zh-CN"/>
        </w:rPr>
        <w:t>供应商</w:t>
      </w:r>
      <w:r>
        <w:rPr>
          <w:rFonts w:hint="eastAsia" w:ascii="宋体" w:hAnsi="宋体" w:eastAsia="宋体" w:cs="宋体"/>
          <w:spacing w:val="-67"/>
          <w:sz w:val="24"/>
          <w:szCs w:val="24"/>
        </w:rPr>
        <w:t xml:space="preserve"> </w:t>
      </w:r>
      <w:r>
        <w:rPr>
          <w:rFonts w:hint="eastAsia" w:ascii="宋体" w:hAnsi="宋体" w:eastAsia="宋体" w:cs="宋体"/>
          <w:spacing w:val="1"/>
          <w:sz w:val="24"/>
          <w:szCs w:val="24"/>
        </w:rPr>
        <w:t>”）于</w:t>
      </w:r>
      <w:r>
        <w:rPr>
          <w:rFonts w:hint="eastAsia" w:ascii="宋体" w:hAnsi="宋体" w:eastAsia="宋体" w:cs="宋体"/>
          <w:spacing w:val="27"/>
          <w:sz w:val="24"/>
          <w:szCs w:val="24"/>
          <w:u w:val="single" w:color="auto"/>
        </w:rPr>
        <w:t xml:space="preserve">   </w:t>
      </w:r>
      <w:r>
        <w:rPr>
          <w:rFonts w:hint="eastAsia" w:ascii="宋体" w:hAnsi="宋体" w:eastAsia="宋体" w:cs="宋体"/>
          <w:spacing w:val="1"/>
          <w:sz w:val="24"/>
          <w:szCs w:val="24"/>
          <w:u w:val="single" w:color="auto"/>
        </w:rPr>
        <w:t>年</w:t>
      </w:r>
      <w:r>
        <w:rPr>
          <w:rFonts w:hint="eastAsia" w:ascii="宋体" w:hAnsi="宋体" w:eastAsia="宋体" w:cs="宋体"/>
          <w:spacing w:val="18"/>
          <w:sz w:val="24"/>
          <w:szCs w:val="24"/>
          <w:u w:val="single" w:color="auto"/>
        </w:rPr>
        <w:t xml:space="preserve">   </w:t>
      </w:r>
      <w:r>
        <w:rPr>
          <w:rFonts w:hint="eastAsia" w:ascii="宋体" w:hAnsi="宋体" w:eastAsia="宋体" w:cs="宋体"/>
          <w:spacing w:val="1"/>
          <w:sz w:val="24"/>
          <w:szCs w:val="24"/>
          <w:u w:val="single" w:color="auto"/>
        </w:rPr>
        <w:t>月</w:t>
      </w:r>
      <w:r>
        <w:rPr>
          <w:rFonts w:hint="eastAsia" w:ascii="宋体" w:hAnsi="宋体" w:eastAsia="宋体" w:cs="宋体"/>
          <w:spacing w:val="28"/>
          <w:sz w:val="24"/>
          <w:szCs w:val="24"/>
          <w:u w:val="single" w:color="auto"/>
        </w:rPr>
        <w:t xml:space="preserve">   </w:t>
      </w:r>
      <w:r>
        <w:rPr>
          <w:rFonts w:hint="eastAsia" w:ascii="宋体" w:hAnsi="宋体" w:eastAsia="宋体" w:cs="宋体"/>
          <w:spacing w:val="1"/>
          <w:sz w:val="24"/>
          <w:szCs w:val="24"/>
          <w:u w:val="single" w:color="auto"/>
        </w:rPr>
        <w:t>日</w:t>
      </w:r>
      <w:r>
        <w:rPr>
          <w:rFonts w:hint="eastAsia" w:ascii="宋体" w:hAnsi="宋体" w:eastAsia="宋体" w:cs="宋体"/>
          <w:spacing w:val="1"/>
          <w:sz w:val="24"/>
          <w:szCs w:val="24"/>
        </w:rPr>
        <w:t>递交了</w:t>
      </w:r>
      <w:r>
        <w:rPr>
          <w:rFonts w:hint="eastAsia" w:ascii="宋体" w:hAnsi="宋体" w:eastAsia="宋体" w:cs="宋体"/>
          <w:spacing w:val="1"/>
          <w:sz w:val="24"/>
          <w:szCs w:val="24"/>
          <w:u w:val="single" w:color="auto"/>
        </w:rPr>
        <w:t xml:space="preserve">    {招标项目名</w:t>
      </w:r>
      <w:r>
        <w:rPr>
          <w:rFonts w:hint="eastAsia" w:ascii="宋体" w:hAnsi="宋体" w:eastAsia="宋体" w:cs="宋体"/>
          <w:spacing w:val="9"/>
          <w:sz w:val="24"/>
          <w:szCs w:val="24"/>
          <w:u w:val="single" w:color="auto"/>
        </w:rPr>
        <w:t xml:space="preserve">称、项目编号}     </w:t>
      </w:r>
      <w:r>
        <w:rPr>
          <w:rFonts w:hint="eastAsia" w:ascii="宋体" w:hAnsi="宋体" w:eastAsia="宋体" w:cs="宋体"/>
          <w:spacing w:val="-71"/>
          <w:sz w:val="24"/>
          <w:szCs w:val="24"/>
        </w:rPr>
        <w:t xml:space="preserve"> </w:t>
      </w:r>
      <w:r>
        <w:rPr>
          <w:rFonts w:hint="eastAsia" w:ascii="宋体" w:hAnsi="宋体" w:eastAsia="宋体" w:cs="宋体"/>
          <w:spacing w:val="9"/>
          <w:sz w:val="24"/>
          <w:szCs w:val="24"/>
        </w:rPr>
        <w:t>的投标保证金人民币</w:t>
      </w:r>
      <w:r>
        <w:rPr>
          <w:rFonts w:hint="eastAsia" w:ascii="宋体" w:hAnsi="宋体" w:eastAsia="宋体" w:cs="宋体"/>
          <w:spacing w:val="-95"/>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80"/>
          <w:sz w:val="24"/>
          <w:szCs w:val="24"/>
        </w:rPr>
        <w:t xml:space="preserve"> </w:t>
      </w:r>
      <w:r>
        <w:rPr>
          <w:rFonts w:hint="eastAsia" w:ascii="宋体" w:hAnsi="宋体" w:eastAsia="宋体" w:cs="宋体"/>
          <w:spacing w:val="9"/>
          <w:sz w:val="24"/>
          <w:szCs w:val="24"/>
        </w:rPr>
        <w:t>元；如果我方在投标有效期内收到你方的</w:t>
      </w:r>
      <w:r>
        <w:rPr>
          <w:rFonts w:hint="eastAsia" w:ascii="宋体" w:hAnsi="宋体" w:eastAsia="宋体" w:cs="宋体"/>
          <w:spacing w:val="8"/>
          <w:sz w:val="24"/>
          <w:szCs w:val="24"/>
        </w:rPr>
        <w:t>中标通知书后</w:t>
      </w:r>
    </w:p>
    <w:p w14:paraId="66BDEF4C">
      <w:pPr>
        <w:keepNext w:val="0"/>
        <w:keepLines w:val="0"/>
        <w:pageBreakBefore w:val="0"/>
        <w:widowControl w:val="0"/>
        <w:kinsoku/>
        <w:wordWrap/>
        <w:overflowPunct/>
        <w:topLinePunct w:val="0"/>
        <w:autoSpaceDE/>
        <w:autoSpaceDN/>
        <w:bidi w:val="0"/>
        <w:adjustRightInd/>
        <w:snapToGrid/>
        <w:spacing w:before="62" w:line="560" w:lineRule="exact"/>
        <w:ind w:left="15" w:firstLine="512" w:firstLineChars="200"/>
        <w:textAlignment w:val="auto"/>
        <w:rPr>
          <w:rFonts w:hint="eastAsia" w:ascii="宋体" w:hAnsi="宋体" w:eastAsia="宋体" w:cs="宋体"/>
          <w:sz w:val="24"/>
          <w:szCs w:val="24"/>
        </w:rPr>
      </w:pPr>
      <w:r>
        <w:rPr>
          <w:rFonts w:hint="eastAsia" w:ascii="宋体" w:hAnsi="宋体" w:eastAsia="宋体" w:cs="宋体"/>
          <w:spacing w:val="8"/>
          <w:sz w:val="24"/>
          <w:szCs w:val="24"/>
        </w:rPr>
        <w:t>1、不能或拒绝按投标须知的要求签署合同协议书；</w:t>
      </w:r>
    </w:p>
    <w:p w14:paraId="0743D3AB">
      <w:pPr>
        <w:keepNext w:val="0"/>
        <w:keepLines w:val="0"/>
        <w:pageBreakBefore w:val="0"/>
        <w:widowControl w:val="0"/>
        <w:kinsoku/>
        <w:wordWrap/>
        <w:overflowPunct/>
        <w:topLinePunct w:val="0"/>
        <w:autoSpaceDE/>
        <w:autoSpaceDN/>
        <w:bidi w:val="0"/>
        <w:adjustRightInd/>
        <w:snapToGrid/>
        <w:spacing w:before="62" w:line="560" w:lineRule="exact"/>
        <w:ind w:left="3" w:firstLine="516" w:firstLineChars="200"/>
        <w:textAlignment w:val="auto"/>
        <w:rPr>
          <w:rFonts w:hint="eastAsia" w:ascii="宋体" w:hAnsi="宋体" w:eastAsia="宋体" w:cs="宋体"/>
          <w:sz w:val="24"/>
          <w:szCs w:val="24"/>
        </w:rPr>
      </w:pPr>
      <w:r>
        <w:rPr>
          <w:rFonts w:hint="eastAsia" w:ascii="宋体" w:hAnsi="宋体" w:eastAsia="宋体" w:cs="宋体"/>
          <w:spacing w:val="9"/>
          <w:sz w:val="24"/>
          <w:szCs w:val="24"/>
        </w:rPr>
        <w:t>2、不能在投标有效期内撤回投标文件。否则你方有权没收我方的投标保证金。</w:t>
      </w:r>
    </w:p>
    <w:p w14:paraId="386A9DC3">
      <w:pPr>
        <w:keepNext w:val="0"/>
        <w:keepLines w:val="0"/>
        <w:pageBreakBefore w:val="0"/>
        <w:widowControl w:val="0"/>
        <w:kinsoku/>
        <w:wordWrap/>
        <w:overflowPunct/>
        <w:topLinePunct w:val="0"/>
        <w:autoSpaceDE/>
        <w:autoSpaceDN/>
        <w:bidi w:val="0"/>
        <w:adjustRightInd/>
        <w:snapToGrid/>
        <w:spacing w:before="63" w:line="560" w:lineRule="exact"/>
        <w:ind w:left="2" w:firstLine="516" w:firstLineChars="200"/>
        <w:textAlignment w:val="auto"/>
        <w:rPr>
          <w:rFonts w:hint="eastAsia" w:ascii="宋体" w:hAnsi="宋体" w:eastAsia="宋体" w:cs="宋体"/>
          <w:sz w:val="24"/>
          <w:szCs w:val="24"/>
        </w:rPr>
      </w:pPr>
      <w:r>
        <w:rPr>
          <w:rFonts w:hint="eastAsia" w:ascii="宋体" w:hAnsi="宋体" w:eastAsia="宋体" w:cs="宋体"/>
          <w:spacing w:val="9"/>
          <w:sz w:val="24"/>
          <w:szCs w:val="24"/>
        </w:rPr>
        <w:t>我方同意招标文件有关投标保证金规定，并对我方有约束力。</w:t>
      </w:r>
    </w:p>
    <w:p w14:paraId="4F0D00BE">
      <w:pPr>
        <w:spacing w:line="218" w:lineRule="exact"/>
        <w:rPr>
          <w:rFonts w:hint="eastAsia" w:ascii="宋体" w:hAnsi="宋体" w:eastAsia="宋体" w:cs="宋体"/>
          <w:sz w:val="21"/>
          <w:szCs w:val="21"/>
        </w:rPr>
      </w:pPr>
    </w:p>
    <w:tbl>
      <w:tblPr>
        <w:tblStyle w:val="51"/>
        <w:tblW w:w="7884" w:type="dxa"/>
        <w:tblInd w:w="59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7884"/>
      </w:tblGrid>
      <w:tr w14:paraId="42A3FF8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982" w:hRule="atLeast"/>
        </w:trPr>
        <w:tc>
          <w:tcPr>
            <w:tcW w:w="7884" w:type="dxa"/>
            <w:vAlign w:val="top"/>
          </w:tcPr>
          <w:p w14:paraId="46DCCBB3">
            <w:pPr>
              <w:spacing w:line="400" w:lineRule="auto"/>
              <w:rPr>
                <w:rFonts w:hint="eastAsia" w:ascii="宋体" w:hAnsi="宋体" w:eastAsia="宋体" w:cs="宋体"/>
                <w:sz w:val="21"/>
                <w:szCs w:val="21"/>
              </w:rPr>
            </w:pPr>
          </w:p>
          <w:p w14:paraId="04E4F137">
            <w:pPr>
              <w:pStyle w:val="50"/>
              <w:spacing w:before="65" w:line="228" w:lineRule="auto"/>
              <w:ind w:left="449"/>
              <w:rPr>
                <w:rFonts w:hint="eastAsia" w:ascii="宋体" w:hAnsi="宋体" w:eastAsia="宋体" w:cs="宋体"/>
                <w:sz w:val="21"/>
                <w:szCs w:val="21"/>
              </w:rPr>
            </w:pPr>
            <w:r>
              <w:rPr>
                <w:rFonts w:hint="eastAsia" w:ascii="宋体" w:hAnsi="宋体" w:eastAsia="宋体" w:cs="宋体"/>
                <w:b/>
                <w:bCs/>
                <w:spacing w:val="4"/>
                <w:sz w:val="21"/>
                <w:szCs w:val="21"/>
              </w:rPr>
              <w:t>附:银行进账回单</w:t>
            </w:r>
          </w:p>
          <w:p w14:paraId="613E2EBD">
            <w:pPr>
              <w:spacing w:line="242" w:lineRule="auto"/>
              <w:rPr>
                <w:rFonts w:hint="eastAsia" w:ascii="宋体" w:hAnsi="宋体" w:eastAsia="宋体" w:cs="宋体"/>
                <w:sz w:val="21"/>
                <w:szCs w:val="21"/>
              </w:rPr>
            </w:pPr>
          </w:p>
          <w:p w14:paraId="092E6B1E">
            <w:pPr>
              <w:spacing w:line="242" w:lineRule="auto"/>
              <w:rPr>
                <w:rFonts w:hint="eastAsia" w:ascii="宋体" w:hAnsi="宋体" w:eastAsia="宋体" w:cs="宋体"/>
                <w:sz w:val="21"/>
                <w:szCs w:val="21"/>
              </w:rPr>
            </w:pPr>
          </w:p>
          <w:p w14:paraId="6DAA191D">
            <w:pPr>
              <w:spacing w:line="242" w:lineRule="auto"/>
              <w:rPr>
                <w:rFonts w:hint="eastAsia" w:ascii="宋体" w:hAnsi="宋体" w:eastAsia="宋体" w:cs="宋体"/>
                <w:sz w:val="21"/>
                <w:szCs w:val="21"/>
              </w:rPr>
            </w:pPr>
          </w:p>
          <w:p w14:paraId="32CDAD50">
            <w:pPr>
              <w:spacing w:line="242" w:lineRule="auto"/>
              <w:rPr>
                <w:rFonts w:hint="eastAsia" w:ascii="宋体" w:hAnsi="宋体" w:eastAsia="宋体" w:cs="宋体"/>
                <w:sz w:val="21"/>
                <w:szCs w:val="21"/>
              </w:rPr>
            </w:pPr>
          </w:p>
          <w:p w14:paraId="26AC630E">
            <w:pPr>
              <w:spacing w:line="243" w:lineRule="auto"/>
              <w:rPr>
                <w:rFonts w:hint="eastAsia" w:ascii="宋体" w:hAnsi="宋体" w:eastAsia="宋体" w:cs="宋体"/>
                <w:sz w:val="21"/>
                <w:szCs w:val="21"/>
              </w:rPr>
            </w:pPr>
          </w:p>
          <w:p w14:paraId="6DBF17C7">
            <w:pPr>
              <w:pStyle w:val="50"/>
              <w:spacing w:before="65" w:line="228" w:lineRule="auto"/>
              <w:ind w:left="433"/>
              <w:rPr>
                <w:rFonts w:hint="eastAsia" w:ascii="宋体" w:hAnsi="宋体" w:eastAsia="宋体" w:cs="宋体"/>
                <w:sz w:val="21"/>
                <w:szCs w:val="21"/>
              </w:rPr>
            </w:pPr>
            <w:r>
              <w:rPr>
                <w:rFonts w:hint="eastAsia" w:ascii="宋体" w:hAnsi="宋体" w:eastAsia="宋体" w:cs="宋体"/>
                <w:b/>
                <w:bCs/>
                <w:spacing w:val="7"/>
                <w:sz w:val="21"/>
                <w:szCs w:val="21"/>
              </w:rPr>
              <w:t>基本账户开户许可证</w:t>
            </w:r>
          </w:p>
        </w:tc>
      </w:tr>
    </w:tbl>
    <w:p w14:paraId="58B07826">
      <w:pPr>
        <w:pStyle w:val="2"/>
        <w:spacing w:line="267" w:lineRule="auto"/>
      </w:pPr>
    </w:p>
    <w:p w14:paraId="1CA47F79">
      <w:pPr>
        <w:pStyle w:val="2"/>
        <w:spacing w:line="267" w:lineRule="auto"/>
      </w:pPr>
    </w:p>
    <w:p w14:paraId="6DD08374">
      <w:pPr>
        <w:pStyle w:val="2"/>
        <w:spacing w:line="267" w:lineRule="auto"/>
      </w:pPr>
    </w:p>
    <w:p w14:paraId="3C317328">
      <w:pPr>
        <w:spacing w:before="78" w:line="219" w:lineRule="auto"/>
        <w:ind w:left="1010"/>
        <w:rPr>
          <w:rFonts w:ascii="宋体" w:hAnsi="宋体" w:eastAsia="宋体" w:cs="宋体"/>
          <w:sz w:val="24"/>
          <w:szCs w:val="24"/>
        </w:rPr>
      </w:pPr>
      <w:r>
        <w:rPr>
          <w:rFonts w:hint="eastAsia" w:ascii="宋体" w:hAnsi="宋体"/>
          <w:sz w:val="24"/>
          <w:szCs w:val="24"/>
        </w:rPr>
        <w:t>供</w:t>
      </w:r>
      <w:r>
        <w:rPr>
          <w:rFonts w:hint="eastAsia" w:ascii="宋体" w:hAnsi="宋体"/>
          <w:sz w:val="24"/>
          <w:szCs w:val="24"/>
          <w:lang w:val="en-US" w:eastAsia="zh-CN"/>
        </w:rPr>
        <w:t xml:space="preserve">  </w:t>
      </w:r>
      <w:r>
        <w:rPr>
          <w:rFonts w:hint="eastAsia" w:ascii="宋体" w:hAnsi="宋体"/>
          <w:sz w:val="24"/>
          <w:szCs w:val="24"/>
        </w:rPr>
        <w:t>应</w:t>
      </w:r>
      <w:r>
        <w:rPr>
          <w:rFonts w:hint="eastAsia" w:ascii="宋体" w:hAnsi="宋体"/>
          <w:sz w:val="24"/>
          <w:szCs w:val="24"/>
          <w:lang w:val="en-US" w:eastAsia="zh-CN"/>
        </w:rPr>
        <w:t xml:space="preserve">  </w:t>
      </w:r>
      <w:r>
        <w:rPr>
          <w:rFonts w:hint="eastAsia" w:ascii="宋体" w:hAnsi="宋体"/>
          <w:sz w:val="24"/>
          <w:szCs w:val="24"/>
        </w:rPr>
        <w:t>商</w:t>
      </w:r>
      <w:r>
        <w:rPr>
          <w:rFonts w:ascii="宋体" w:hAnsi="宋体" w:eastAsia="宋体" w:cs="宋体"/>
          <w:spacing w:val="-32"/>
          <w:sz w:val="24"/>
          <w:szCs w:val="24"/>
        </w:rPr>
        <w:t>：</w:t>
      </w:r>
      <w:r>
        <w:rPr>
          <w:rFonts w:ascii="宋体" w:hAnsi="宋体" w:eastAsia="宋体" w:cs="宋体"/>
          <w:sz w:val="24"/>
          <w:szCs w:val="24"/>
          <w:u w:val="single" w:color="auto"/>
        </w:rPr>
        <w:t xml:space="preserve">                           </w:t>
      </w:r>
      <w:r>
        <w:rPr>
          <w:rFonts w:ascii="宋体" w:hAnsi="宋体" w:eastAsia="宋体" w:cs="宋体"/>
          <w:spacing w:val="-32"/>
          <w:sz w:val="24"/>
          <w:szCs w:val="24"/>
        </w:rPr>
        <w:t>（</w:t>
      </w:r>
      <w:r>
        <w:rPr>
          <w:rFonts w:ascii="宋体" w:hAnsi="宋体" w:eastAsia="宋体" w:cs="宋体"/>
          <w:spacing w:val="15"/>
          <w:sz w:val="24"/>
          <w:szCs w:val="24"/>
        </w:rPr>
        <w:t>盖单位公章）</w:t>
      </w:r>
    </w:p>
    <w:p w14:paraId="42DFFE28">
      <w:pPr>
        <w:spacing w:before="186" w:line="219" w:lineRule="auto"/>
        <w:ind w:left="1010"/>
        <w:rPr>
          <w:rFonts w:ascii="宋体" w:hAnsi="宋体" w:eastAsia="宋体" w:cs="宋体"/>
          <w:sz w:val="24"/>
          <w:szCs w:val="24"/>
        </w:rPr>
      </w:pPr>
      <w:r>
        <w:rPr>
          <w:rFonts w:hint="eastAsia" w:ascii="宋体" w:hAnsi="宋体"/>
          <w:sz w:val="24"/>
          <w:szCs w:val="24"/>
        </w:rPr>
        <w:t>供应商</w:t>
      </w:r>
      <w:r>
        <w:rPr>
          <w:rFonts w:ascii="宋体" w:hAnsi="宋体" w:eastAsia="宋体" w:cs="宋体"/>
          <w:spacing w:val="4"/>
          <w:sz w:val="24"/>
          <w:szCs w:val="24"/>
        </w:rPr>
        <w:t>代表</w:t>
      </w:r>
      <w:r>
        <w:rPr>
          <w:rFonts w:ascii="宋体" w:hAnsi="宋体" w:eastAsia="宋体" w:cs="宋体"/>
          <w:spacing w:val="-16"/>
          <w:sz w:val="24"/>
          <w:szCs w:val="24"/>
        </w:rPr>
        <w:t>：</w:t>
      </w:r>
      <w:r>
        <w:rPr>
          <w:rFonts w:ascii="宋体" w:hAnsi="宋体" w:eastAsia="宋体" w:cs="宋体"/>
          <w:sz w:val="24"/>
          <w:szCs w:val="24"/>
          <w:u w:val="single" w:color="auto"/>
        </w:rPr>
        <w:t xml:space="preserve">                            </w:t>
      </w:r>
      <w:r>
        <w:rPr>
          <w:rFonts w:ascii="宋体" w:hAnsi="宋体" w:eastAsia="宋体" w:cs="宋体"/>
          <w:spacing w:val="-16"/>
          <w:sz w:val="24"/>
          <w:szCs w:val="24"/>
        </w:rPr>
        <w:t>（</w:t>
      </w:r>
      <w:r>
        <w:rPr>
          <w:rFonts w:ascii="宋体" w:hAnsi="宋体" w:eastAsia="宋体" w:cs="宋体"/>
          <w:spacing w:val="4"/>
          <w:sz w:val="24"/>
          <w:szCs w:val="24"/>
        </w:rPr>
        <w:t>签字或盖章）</w:t>
      </w:r>
    </w:p>
    <w:p w14:paraId="03FD6EF3">
      <w:pPr>
        <w:spacing w:before="182" w:line="220" w:lineRule="auto"/>
        <w:ind w:left="1049"/>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2"/>
          <w:sz w:val="24"/>
          <w:szCs w:val="24"/>
        </w:rPr>
        <w:t xml:space="preserve">      </w:t>
      </w:r>
      <w:r>
        <w:rPr>
          <w:rFonts w:ascii="宋体" w:hAnsi="宋体" w:eastAsia="宋体" w:cs="宋体"/>
          <w:spacing w:val="-15"/>
          <w:sz w:val="24"/>
          <w:szCs w:val="24"/>
        </w:rPr>
        <w:t>期：</w:t>
      </w:r>
      <w:r>
        <w:rPr>
          <w:rFonts w:ascii="宋体" w:hAnsi="宋体" w:eastAsia="宋体" w:cs="宋体"/>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15"/>
          <w:sz w:val="24"/>
          <w:szCs w:val="24"/>
        </w:rPr>
        <w:t>年</w:t>
      </w:r>
      <w:r>
        <w:rPr>
          <w:rFonts w:ascii="宋体" w:hAnsi="宋体" w:eastAsia="宋体" w:cs="宋体"/>
          <w:spacing w:val="24"/>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5"/>
          <w:sz w:val="24"/>
          <w:szCs w:val="24"/>
        </w:rPr>
        <w:t>月</w:t>
      </w:r>
      <w:r>
        <w:rPr>
          <w:rFonts w:ascii="宋体" w:hAnsi="宋体" w:eastAsia="宋体" w:cs="宋体"/>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15"/>
          <w:sz w:val="24"/>
          <w:szCs w:val="24"/>
        </w:rPr>
        <w:t>日</w:t>
      </w:r>
    </w:p>
    <w:p w14:paraId="0A9C9091">
      <w:pPr>
        <w:spacing w:line="220" w:lineRule="auto"/>
        <w:rPr>
          <w:rFonts w:ascii="宋体" w:hAnsi="宋体" w:eastAsia="宋体" w:cs="宋体"/>
          <w:sz w:val="24"/>
          <w:szCs w:val="24"/>
        </w:rPr>
        <w:sectPr>
          <w:footerReference r:id="rId10" w:type="default"/>
          <w:pgSz w:w="11910" w:h="16850"/>
          <w:pgMar w:top="1432" w:right="1701" w:bottom="1434" w:left="1701" w:header="1134" w:footer="1134" w:gutter="0"/>
          <w:cols w:space="720" w:num="1"/>
        </w:sectPr>
      </w:pPr>
    </w:p>
    <w:p w14:paraId="05FB33A1">
      <w:pPr>
        <w:spacing w:before="171" w:line="220" w:lineRule="auto"/>
        <w:jc w:val="center"/>
        <w:rPr>
          <w:rFonts w:ascii="宋体" w:hAnsi="宋体" w:eastAsia="宋体" w:cs="宋体"/>
          <w:sz w:val="32"/>
          <w:szCs w:val="32"/>
        </w:rPr>
      </w:pPr>
      <w:bookmarkStart w:id="280" w:name="bookmark10"/>
      <w:bookmarkEnd w:id="280"/>
      <w:r>
        <w:rPr>
          <w:rFonts w:ascii="宋体" w:hAnsi="宋体" w:eastAsia="宋体" w:cs="宋体"/>
          <w:b/>
          <w:bCs/>
          <w:spacing w:val="-5"/>
          <w:sz w:val="32"/>
          <w:szCs w:val="32"/>
        </w:rPr>
        <w:t>八、资格审查资料</w:t>
      </w:r>
    </w:p>
    <w:p w14:paraId="4B4EB53B">
      <w:pPr>
        <w:spacing w:before="181" w:line="212" w:lineRule="auto"/>
        <w:jc w:val="center"/>
        <w:rPr>
          <w:rFonts w:ascii="宋体" w:hAnsi="宋体" w:eastAsia="宋体" w:cs="宋体"/>
          <w:sz w:val="28"/>
          <w:szCs w:val="28"/>
        </w:rPr>
      </w:pPr>
      <w:r>
        <w:rPr>
          <w:rFonts w:ascii="宋体" w:hAnsi="宋体" w:eastAsia="宋体" w:cs="宋体"/>
          <w:spacing w:val="-5"/>
          <w:sz w:val="28"/>
          <w:szCs w:val="28"/>
        </w:rPr>
        <w:t>(一)</w:t>
      </w:r>
      <w:r>
        <w:rPr>
          <w:rFonts w:hint="eastAsia" w:ascii="宋体" w:hAnsi="宋体" w:eastAsia="宋体" w:cs="宋体"/>
          <w:spacing w:val="-5"/>
          <w:sz w:val="28"/>
          <w:szCs w:val="28"/>
          <w:lang w:eastAsia="zh-CN"/>
        </w:rPr>
        <w:t>供应商</w:t>
      </w:r>
      <w:r>
        <w:rPr>
          <w:rFonts w:ascii="宋体" w:hAnsi="宋体" w:eastAsia="宋体" w:cs="宋体"/>
          <w:spacing w:val="-5"/>
          <w:sz w:val="28"/>
          <w:szCs w:val="28"/>
        </w:rPr>
        <w:t>基本情况表</w:t>
      </w:r>
    </w:p>
    <w:tbl>
      <w:tblPr>
        <w:tblStyle w:val="51"/>
        <w:tblW w:w="8811" w:type="dxa"/>
        <w:tblInd w:w="24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32"/>
        <w:gridCol w:w="1060"/>
        <w:gridCol w:w="1237"/>
        <w:gridCol w:w="1253"/>
        <w:gridCol w:w="170"/>
        <w:gridCol w:w="1222"/>
        <w:gridCol w:w="1173"/>
        <w:gridCol w:w="1064"/>
      </w:tblGrid>
      <w:tr w14:paraId="2C37E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1632" w:type="dxa"/>
            <w:tcBorders>
              <w:top w:val="single" w:color="000000" w:sz="10" w:space="0"/>
              <w:left w:val="single" w:color="000000" w:sz="10" w:space="0"/>
            </w:tcBorders>
            <w:vAlign w:val="top"/>
          </w:tcPr>
          <w:p w14:paraId="2A6A2FBA">
            <w:pPr>
              <w:pStyle w:val="50"/>
              <w:spacing w:before="301" w:line="229" w:lineRule="auto"/>
              <w:ind w:left="285"/>
              <w:rPr>
                <w:sz w:val="21"/>
                <w:szCs w:val="21"/>
              </w:rPr>
            </w:pPr>
            <w:r>
              <w:rPr>
                <w:rFonts w:hint="eastAsia" w:ascii="宋体" w:hAnsi="宋体"/>
                <w:sz w:val="21"/>
                <w:szCs w:val="21"/>
              </w:rPr>
              <w:t>供应商</w:t>
            </w:r>
            <w:r>
              <w:rPr>
                <w:spacing w:val="7"/>
                <w:sz w:val="21"/>
                <w:szCs w:val="21"/>
              </w:rPr>
              <w:t>名称</w:t>
            </w:r>
          </w:p>
        </w:tc>
        <w:tc>
          <w:tcPr>
            <w:tcW w:w="7179" w:type="dxa"/>
            <w:gridSpan w:val="7"/>
            <w:tcBorders>
              <w:top w:val="single" w:color="000000" w:sz="10" w:space="0"/>
              <w:right w:val="single" w:color="000000" w:sz="10" w:space="0"/>
            </w:tcBorders>
            <w:vAlign w:val="top"/>
          </w:tcPr>
          <w:p w14:paraId="4F217047">
            <w:pPr>
              <w:rPr>
                <w:rFonts w:ascii="Arial"/>
                <w:sz w:val="21"/>
                <w:szCs w:val="21"/>
              </w:rPr>
            </w:pPr>
          </w:p>
        </w:tc>
      </w:tr>
      <w:tr w14:paraId="758A4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632" w:type="dxa"/>
            <w:tcBorders>
              <w:left w:val="single" w:color="000000" w:sz="10" w:space="0"/>
            </w:tcBorders>
            <w:vAlign w:val="top"/>
          </w:tcPr>
          <w:p w14:paraId="1A410C60">
            <w:pPr>
              <w:pStyle w:val="50"/>
              <w:spacing w:before="207" w:line="230" w:lineRule="auto"/>
              <w:ind w:left="388"/>
              <w:rPr>
                <w:sz w:val="21"/>
                <w:szCs w:val="21"/>
              </w:rPr>
            </w:pPr>
            <w:r>
              <w:rPr>
                <w:spacing w:val="7"/>
                <w:sz w:val="21"/>
                <w:szCs w:val="21"/>
              </w:rPr>
              <w:t>注册地址</w:t>
            </w:r>
          </w:p>
        </w:tc>
        <w:tc>
          <w:tcPr>
            <w:tcW w:w="3720" w:type="dxa"/>
            <w:gridSpan w:val="4"/>
            <w:vAlign w:val="top"/>
          </w:tcPr>
          <w:p w14:paraId="4D0A55FC">
            <w:pPr>
              <w:rPr>
                <w:rFonts w:ascii="Arial"/>
                <w:sz w:val="21"/>
                <w:szCs w:val="21"/>
              </w:rPr>
            </w:pPr>
          </w:p>
        </w:tc>
        <w:tc>
          <w:tcPr>
            <w:tcW w:w="1222" w:type="dxa"/>
            <w:vAlign w:val="top"/>
          </w:tcPr>
          <w:p w14:paraId="1BB5C5E7">
            <w:pPr>
              <w:pStyle w:val="50"/>
              <w:spacing w:before="207" w:line="228" w:lineRule="auto"/>
              <w:ind w:left="268"/>
              <w:rPr>
                <w:sz w:val="21"/>
                <w:szCs w:val="21"/>
              </w:rPr>
            </w:pPr>
            <w:r>
              <w:rPr>
                <w:spacing w:val="3"/>
                <w:sz w:val="21"/>
                <w:szCs w:val="21"/>
              </w:rPr>
              <w:t>邮政编码</w:t>
            </w:r>
          </w:p>
        </w:tc>
        <w:tc>
          <w:tcPr>
            <w:tcW w:w="2237" w:type="dxa"/>
            <w:gridSpan w:val="2"/>
            <w:tcBorders>
              <w:right w:val="single" w:color="000000" w:sz="10" w:space="0"/>
            </w:tcBorders>
            <w:vAlign w:val="top"/>
          </w:tcPr>
          <w:p w14:paraId="26BFD824">
            <w:pPr>
              <w:rPr>
                <w:rFonts w:ascii="Arial"/>
                <w:sz w:val="21"/>
                <w:szCs w:val="21"/>
              </w:rPr>
            </w:pPr>
          </w:p>
        </w:tc>
      </w:tr>
      <w:tr w14:paraId="1054F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1632" w:type="dxa"/>
            <w:vMerge w:val="restart"/>
            <w:tcBorders>
              <w:left w:val="single" w:color="000000" w:sz="10" w:space="0"/>
              <w:bottom w:val="nil"/>
            </w:tcBorders>
            <w:vAlign w:val="top"/>
          </w:tcPr>
          <w:p w14:paraId="737525C5">
            <w:pPr>
              <w:spacing w:line="417" w:lineRule="auto"/>
              <w:rPr>
                <w:rFonts w:ascii="Arial"/>
                <w:sz w:val="21"/>
                <w:szCs w:val="21"/>
              </w:rPr>
            </w:pPr>
          </w:p>
          <w:p w14:paraId="2B14B188">
            <w:pPr>
              <w:pStyle w:val="50"/>
              <w:spacing w:before="65" w:line="230" w:lineRule="auto"/>
              <w:ind w:left="388"/>
              <w:rPr>
                <w:sz w:val="21"/>
                <w:szCs w:val="21"/>
              </w:rPr>
            </w:pPr>
            <w:r>
              <w:rPr>
                <w:spacing w:val="7"/>
                <w:sz w:val="21"/>
                <w:szCs w:val="21"/>
              </w:rPr>
              <w:t>联系方式</w:t>
            </w:r>
          </w:p>
        </w:tc>
        <w:tc>
          <w:tcPr>
            <w:tcW w:w="1060" w:type="dxa"/>
            <w:vAlign w:val="top"/>
          </w:tcPr>
          <w:p w14:paraId="22CEBB7C">
            <w:pPr>
              <w:pStyle w:val="50"/>
              <w:spacing w:before="211" w:line="231" w:lineRule="auto"/>
              <w:ind w:left="211"/>
              <w:rPr>
                <w:sz w:val="21"/>
                <w:szCs w:val="21"/>
              </w:rPr>
            </w:pPr>
            <w:r>
              <w:rPr>
                <w:spacing w:val="6"/>
                <w:sz w:val="21"/>
                <w:szCs w:val="21"/>
              </w:rPr>
              <w:t>联系人</w:t>
            </w:r>
          </w:p>
        </w:tc>
        <w:tc>
          <w:tcPr>
            <w:tcW w:w="2660" w:type="dxa"/>
            <w:gridSpan w:val="3"/>
            <w:vAlign w:val="top"/>
          </w:tcPr>
          <w:p w14:paraId="32EDDD9F">
            <w:pPr>
              <w:rPr>
                <w:rFonts w:ascii="Arial"/>
                <w:sz w:val="21"/>
                <w:szCs w:val="21"/>
              </w:rPr>
            </w:pPr>
          </w:p>
        </w:tc>
        <w:tc>
          <w:tcPr>
            <w:tcW w:w="1222" w:type="dxa"/>
            <w:vAlign w:val="top"/>
          </w:tcPr>
          <w:p w14:paraId="3626BE42">
            <w:pPr>
              <w:pStyle w:val="50"/>
              <w:spacing w:before="211" w:line="231" w:lineRule="auto"/>
              <w:ind w:left="383"/>
              <w:rPr>
                <w:sz w:val="21"/>
                <w:szCs w:val="21"/>
              </w:rPr>
            </w:pPr>
            <w:r>
              <w:rPr>
                <w:spacing w:val="-12"/>
                <w:sz w:val="21"/>
                <w:szCs w:val="21"/>
              </w:rPr>
              <w:t>电</w:t>
            </w:r>
            <w:r>
              <w:rPr>
                <w:spacing w:val="9"/>
                <w:sz w:val="21"/>
                <w:szCs w:val="21"/>
              </w:rPr>
              <w:t xml:space="preserve">  </w:t>
            </w:r>
            <w:r>
              <w:rPr>
                <w:spacing w:val="-12"/>
                <w:sz w:val="21"/>
                <w:szCs w:val="21"/>
              </w:rPr>
              <w:t>话</w:t>
            </w:r>
          </w:p>
        </w:tc>
        <w:tc>
          <w:tcPr>
            <w:tcW w:w="2237" w:type="dxa"/>
            <w:gridSpan w:val="2"/>
            <w:tcBorders>
              <w:right w:val="single" w:color="000000" w:sz="10" w:space="0"/>
            </w:tcBorders>
            <w:vAlign w:val="top"/>
          </w:tcPr>
          <w:p w14:paraId="0307A2C2">
            <w:pPr>
              <w:rPr>
                <w:rFonts w:ascii="Arial"/>
                <w:sz w:val="21"/>
                <w:szCs w:val="21"/>
              </w:rPr>
            </w:pPr>
          </w:p>
        </w:tc>
      </w:tr>
      <w:tr w14:paraId="41BE70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1632" w:type="dxa"/>
            <w:vMerge w:val="continue"/>
            <w:tcBorders>
              <w:top w:val="nil"/>
              <w:left w:val="single" w:color="000000" w:sz="10" w:space="0"/>
            </w:tcBorders>
            <w:vAlign w:val="top"/>
          </w:tcPr>
          <w:p w14:paraId="51B10F61">
            <w:pPr>
              <w:rPr>
                <w:rFonts w:ascii="Arial"/>
                <w:sz w:val="21"/>
                <w:szCs w:val="21"/>
              </w:rPr>
            </w:pPr>
          </w:p>
        </w:tc>
        <w:tc>
          <w:tcPr>
            <w:tcW w:w="1060" w:type="dxa"/>
            <w:vAlign w:val="top"/>
          </w:tcPr>
          <w:p w14:paraId="750DF89F">
            <w:pPr>
              <w:pStyle w:val="50"/>
              <w:spacing w:before="208" w:line="228" w:lineRule="auto"/>
              <w:ind w:left="209"/>
              <w:rPr>
                <w:sz w:val="21"/>
                <w:szCs w:val="21"/>
              </w:rPr>
            </w:pPr>
            <w:r>
              <w:rPr>
                <w:spacing w:val="1"/>
                <w:sz w:val="21"/>
                <w:szCs w:val="21"/>
              </w:rPr>
              <w:t>传</w:t>
            </w:r>
            <w:r>
              <w:rPr>
                <w:spacing w:val="10"/>
                <w:sz w:val="21"/>
                <w:szCs w:val="21"/>
              </w:rPr>
              <w:t xml:space="preserve">  </w:t>
            </w:r>
            <w:r>
              <w:rPr>
                <w:spacing w:val="1"/>
                <w:sz w:val="21"/>
                <w:szCs w:val="21"/>
              </w:rPr>
              <w:t>真</w:t>
            </w:r>
          </w:p>
        </w:tc>
        <w:tc>
          <w:tcPr>
            <w:tcW w:w="2660" w:type="dxa"/>
            <w:gridSpan w:val="3"/>
            <w:vAlign w:val="top"/>
          </w:tcPr>
          <w:p w14:paraId="46078A3D">
            <w:pPr>
              <w:rPr>
                <w:rFonts w:ascii="Arial"/>
                <w:sz w:val="21"/>
                <w:szCs w:val="21"/>
              </w:rPr>
            </w:pPr>
          </w:p>
        </w:tc>
        <w:tc>
          <w:tcPr>
            <w:tcW w:w="1222" w:type="dxa"/>
            <w:vAlign w:val="top"/>
          </w:tcPr>
          <w:p w14:paraId="3A0B96BA">
            <w:pPr>
              <w:pStyle w:val="50"/>
              <w:spacing w:before="209" w:line="233" w:lineRule="auto"/>
              <w:ind w:left="375"/>
              <w:rPr>
                <w:sz w:val="21"/>
                <w:szCs w:val="21"/>
              </w:rPr>
            </w:pPr>
            <w:r>
              <w:rPr>
                <w:spacing w:val="-8"/>
                <w:sz w:val="21"/>
                <w:szCs w:val="21"/>
              </w:rPr>
              <w:t>网</w:t>
            </w:r>
            <w:r>
              <w:rPr>
                <w:spacing w:val="9"/>
                <w:sz w:val="21"/>
                <w:szCs w:val="21"/>
              </w:rPr>
              <w:t xml:space="preserve">  </w:t>
            </w:r>
            <w:r>
              <w:rPr>
                <w:spacing w:val="-8"/>
                <w:sz w:val="21"/>
                <w:szCs w:val="21"/>
              </w:rPr>
              <w:t>址</w:t>
            </w:r>
          </w:p>
        </w:tc>
        <w:tc>
          <w:tcPr>
            <w:tcW w:w="2237" w:type="dxa"/>
            <w:gridSpan w:val="2"/>
            <w:tcBorders>
              <w:right w:val="single" w:color="000000" w:sz="10" w:space="0"/>
            </w:tcBorders>
            <w:vAlign w:val="top"/>
          </w:tcPr>
          <w:p w14:paraId="46E7C72C">
            <w:pPr>
              <w:rPr>
                <w:rFonts w:ascii="Arial"/>
                <w:sz w:val="21"/>
                <w:szCs w:val="21"/>
              </w:rPr>
            </w:pPr>
          </w:p>
        </w:tc>
      </w:tr>
      <w:tr w14:paraId="1FA91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3358BE4C">
            <w:pPr>
              <w:pStyle w:val="50"/>
              <w:spacing w:before="180" w:line="229" w:lineRule="auto"/>
              <w:ind w:left="390"/>
              <w:rPr>
                <w:sz w:val="21"/>
                <w:szCs w:val="21"/>
              </w:rPr>
            </w:pPr>
            <w:r>
              <w:rPr>
                <w:spacing w:val="6"/>
                <w:sz w:val="21"/>
                <w:szCs w:val="21"/>
              </w:rPr>
              <w:t>组织结构</w:t>
            </w:r>
          </w:p>
        </w:tc>
        <w:tc>
          <w:tcPr>
            <w:tcW w:w="7179" w:type="dxa"/>
            <w:gridSpan w:val="7"/>
            <w:tcBorders>
              <w:right w:val="single" w:color="000000" w:sz="10" w:space="0"/>
            </w:tcBorders>
            <w:vAlign w:val="top"/>
          </w:tcPr>
          <w:p w14:paraId="5E3D2043">
            <w:pPr>
              <w:rPr>
                <w:rFonts w:ascii="Arial"/>
                <w:sz w:val="21"/>
                <w:szCs w:val="21"/>
              </w:rPr>
            </w:pPr>
          </w:p>
        </w:tc>
      </w:tr>
      <w:tr w14:paraId="286BA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1687E5C2">
            <w:pPr>
              <w:pStyle w:val="50"/>
              <w:spacing w:before="182" w:line="228" w:lineRule="auto"/>
              <w:ind w:left="283"/>
              <w:rPr>
                <w:sz w:val="21"/>
                <w:szCs w:val="21"/>
              </w:rPr>
            </w:pPr>
            <w:r>
              <w:rPr>
                <w:spacing w:val="7"/>
                <w:sz w:val="21"/>
                <w:szCs w:val="21"/>
              </w:rPr>
              <w:t>法定代表人</w:t>
            </w:r>
          </w:p>
        </w:tc>
        <w:tc>
          <w:tcPr>
            <w:tcW w:w="1060" w:type="dxa"/>
            <w:vAlign w:val="top"/>
          </w:tcPr>
          <w:p w14:paraId="39B865AA">
            <w:pPr>
              <w:pStyle w:val="50"/>
              <w:spacing w:before="182" w:line="228" w:lineRule="auto"/>
              <w:ind w:left="210"/>
              <w:rPr>
                <w:sz w:val="21"/>
                <w:szCs w:val="21"/>
              </w:rPr>
            </w:pPr>
            <w:r>
              <w:rPr>
                <w:sz w:val="21"/>
                <w:szCs w:val="21"/>
              </w:rPr>
              <w:t>姓</w:t>
            </w:r>
            <w:r>
              <w:rPr>
                <w:spacing w:val="10"/>
                <w:sz w:val="21"/>
                <w:szCs w:val="21"/>
              </w:rPr>
              <w:t xml:space="preserve">  </w:t>
            </w:r>
            <w:r>
              <w:rPr>
                <w:sz w:val="21"/>
                <w:szCs w:val="21"/>
              </w:rPr>
              <w:t>名</w:t>
            </w:r>
          </w:p>
        </w:tc>
        <w:tc>
          <w:tcPr>
            <w:tcW w:w="1237" w:type="dxa"/>
            <w:vAlign w:val="top"/>
          </w:tcPr>
          <w:p w14:paraId="23EB3B66">
            <w:pPr>
              <w:rPr>
                <w:rFonts w:ascii="Arial"/>
                <w:sz w:val="21"/>
                <w:szCs w:val="21"/>
              </w:rPr>
            </w:pPr>
          </w:p>
        </w:tc>
        <w:tc>
          <w:tcPr>
            <w:tcW w:w="1423" w:type="dxa"/>
            <w:gridSpan w:val="2"/>
            <w:vAlign w:val="top"/>
          </w:tcPr>
          <w:p w14:paraId="67217899">
            <w:pPr>
              <w:pStyle w:val="50"/>
              <w:spacing w:before="182" w:line="228" w:lineRule="auto"/>
              <w:ind w:left="266"/>
              <w:rPr>
                <w:sz w:val="21"/>
                <w:szCs w:val="21"/>
              </w:rPr>
            </w:pPr>
            <w:r>
              <w:rPr>
                <w:spacing w:val="7"/>
                <w:sz w:val="21"/>
                <w:szCs w:val="21"/>
              </w:rPr>
              <w:t>技术职称</w:t>
            </w:r>
          </w:p>
        </w:tc>
        <w:tc>
          <w:tcPr>
            <w:tcW w:w="1222" w:type="dxa"/>
            <w:vAlign w:val="top"/>
          </w:tcPr>
          <w:p w14:paraId="4C6A3F95">
            <w:pPr>
              <w:rPr>
                <w:rFonts w:ascii="Arial"/>
                <w:sz w:val="21"/>
                <w:szCs w:val="21"/>
              </w:rPr>
            </w:pPr>
          </w:p>
        </w:tc>
        <w:tc>
          <w:tcPr>
            <w:tcW w:w="1173" w:type="dxa"/>
            <w:vAlign w:val="top"/>
          </w:tcPr>
          <w:p w14:paraId="196718BD">
            <w:pPr>
              <w:pStyle w:val="50"/>
              <w:spacing w:before="181" w:line="231" w:lineRule="auto"/>
              <w:ind w:left="292"/>
              <w:rPr>
                <w:sz w:val="21"/>
                <w:szCs w:val="21"/>
              </w:rPr>
            </w:pPr>
            <w:r>
              <w:rPr>
                <w:spacing w:val="-12"/>
                <w:sz w:val="21"/>
                <w:szCs w:val="21"/>
              </w:rPr>
              <w:t>电</w:t>
            </w:r>
            <w:r>
              <w:rPr>
                <w:spacing w:val="9"/>
                <w:sz w:val="21"/>
                <w:szCs w:val="21"/>
              </w:rPr>
              <w:t xml:space="preserve">  </w:t>
            </w:r>
            <w:r>
              <w:rPr>
                <w:spacing w:val="-12"/>
                <w:sz w:val="21"/>
                <w:szCs w:val="21"/>
              </w:rPr>
              <w:t>话</w:t>
            </w:r>
          </w:p>
        </w:tc>
        <w:tc>
          <w:tcPr>
            <w:tcW w:w="1064" w:type="dxa"/>
            <w:tcBorders>
              <w:right w:val="single" w:color="000000" w:sz="10" w:space="0"/>
            </w:tcBorders>
            <w:vAlign w:val="top"/>
          </w:tcPr>
          <w:p w14:paraId="7A12132F">
            <w:pPr>
              <w:rPr>
                <w:rFonts w:ascii="Arial"/>
                <w:sz w:val="21"/>
                <w:szCs w:val="21"/>
              </w:rPr>
            </w:pPr>
          </w:p>
        </w:tc>
      </w:tr>
      <w:tr w14:paraId="4A684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76A4AE98">
            <w:pPr>
              <w:pStyle w:val="50"/>
              <w:spacing w:before="183" w:line="228" w:lineRule="auto"/>
              <w:ind w:left="283"/>
              <w:rPr>
                <w:sz w:val="21"/>
                <w:szCs w:val="21"/>
              </w:rPr>
            </w:pPr>
            <w:r>
              <w:rPr>
                <w:spacing w:val="7"/>
                <w:sz w:val="21"/>
                <w:szCs w:val="21"/>
              </w:rPr>
              <w:t>技术负责人</w:t>
            </w:r>
          </w:p>
        </w:tc>
        <w:tc>
          <w:tcPr>
            <w:tcW w:w="1060" w:type="dxa"/>
            <w:vAlign w:val="top"/>
          </w:tcPr>
          <w:p w14:paraId="30264FC7">
            <w:pPr>
              <w:pStyle w:val="50"/>
              <w:spacing w:before="183" w:line="228" w:lineRule="auto"/>
              <w:ind w:left="210"/>
              <w:rPr>
                <w:sz w:val="21"/>
                <w:szCs w:val="21"/>
              </w:rPr>
            </w:pPr>
            <w:r>
              <w:rPr>
                <w:sz w:val="21"/>
                <w:szCs w:val="21"/>
              </w:rPr>
              <w:t>姓</w:t>
            </w:r>
            <w:r>
              <w:rPr>
                <w:spacing w:val="10"/>
                <w:sz w:val="21"/>
                <w:szCs w:val="21"/>
              </w:rPr>
              <w:t xml:space="preserve">  </w:t>
            </w:r>
            <w:r>
              <w:rPr>
                <w:sz w:val="21"/>
                <w:szCs w:val="21"/>
              </w:rPr>
              <w:t>名</w:t>
            </w:r>
          </w:p>
        </w:tc>
        <w:tc>
          <w:tcPr>
            <w:tcW w:w="1237" w:type="dxa"/>
            <w:vAlign w:val="top"/>
          </w:tcPr>
          <w:p w14:paraId="706D5AEE">
            <w:pPr>
              <w:rPr>
                <w:rFonts w:ascii="Arial"/>
                <w:sz w:val="21"/>
                <w:szCs w:val="21"/>
              </w:rPr>
            </w:pPr>
          </w:p>
        </w:tc>
        <w:tc>
          <w:tcPr>
            <w:tcW w:w="1423" w:type="dxa"/>
            <w:gridSpan w:val="2"/>
            <w:vAlign w:val="top"/>
          </w:tcPr>
          <w:p w14:paraId="0497FD17">
            <w:pPr>
              <w:pStyle w:val="50"/>
              <w:spacing w:before="183" w:line="228" w:lineRule="auto"/>
              <w:ind w:left="266"/>
              <w:rPr>
                <w:sz w:val="21"/>
                <w:szCs w:val="21"/>
              </w:rPr>
            </w:pPr>
            <w:r>
              <w:rPr>
                <w:spacing w:val="7"/>
                <w:sz w:val="21"/>
                <w:szCs w:val="21"/>
              </w:rPr>
              <w:t>技术职称</w:t>
            </w:r>
          </w:p>
        </w:tc>
        <w:tc>
          <w:tcPr>
            <w:tcW w:w="1222" w:type="dxa"/>
            <w:vAlign w:val="top"/>
          </w:tcPr>
          <w:p w14:paraId="3A43618F">
            <w:pPr>
              <w:rPr>
                <w:rFonts w:ascii="Arial"/>
                <w:sz w:val="21"/>
                <w:szCs w:val="21"/>
              </w:rPr>
            </w:pPr>
          </w:p>
        </w:tc>
        <w:tc>
          <w:tcPr>
            <w:tcW w:w="1173" w:type="dxa"/>
            <w:vAlign w:val="top"/>
          </w:tcPr>
          <w:p w14:paraId="32C8406A">
            <w:pPr>
              <w:pStyle w:val="50"/>
              <w:spacing w:before="182" w:line="231" w:lineRule="auto"/>
              <w:ind w:left="292"/>
              <w:rPr>
                <w:sz w:val="21"/>
                <w:szCs w:val="21"/>
              </w:rPr>
            </w:pPr>
            <w:r>
              <w:rPr>
                <w:spacing w:val="-12"/>
                <w:sz w:val="21"/>
                <w:szCs w:val="21"/>
              </w:rPr>
              <w:t>电</w:t>
            </w:r>
            <w:r>
              <w:rPr>
                <w:spacing w:val="9"/>
                <w:sz w:val="21"/>
                <w:szCs w:val="21"/>
              </w:rPr>
              <w:t xml:space="preserve">  </w:t>
            </w:r>
            <w:r>
              <w:rPr>
                <w:spacing w:val="-12"/>
                <w:sz w:val="21"/>
                <w:szCs w:val="21"/>
              </w:rPr>
              <w:t>话</w:t>
            </w:r>
          </w:p>
        </w:tc>
        <w:tc>
          <w:tcPr>
            <w:tcW w:w="1064" w:type="dxa"/>
            <w:tcBorders>
              <w:right w:val="single" w:color="000000" w:sz="10" w:space="0"/>
            </w:tcBorders>
            <w:vAlign w:val="top"/>
          </w:tcPr>
          <w:p w14:paraId="28B0FB22">
            <w:pPr>
              <w:rPr>
                <w:rFonts w:ascii="Arial"/>
                <w:sz w:val="21"/>
                <w:szCs w:val="21"/>
              </w:rPr>
            </w:pPr>
          </w:p>
        </w:tc>
      </w:tr>
      <w:tr w14:paraId="3D8220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070C60E8">
            <w:pPr>
              <w:pStyle w:val="50"/>
              <w:spacing w:before="183" w:line="230" w:lineRule="auto"/>
              <w:ind w:left="389"/>
              <w:rPr>
                <w:sz w:val="21"/>
                <w:szCs w:val="21"/>
              </w:rPr>
            </w:pPr>
            <w:r>
              <w:rPr>
                <w:spacing w:val="6"/>
                <w:sz w:val="21"/>
                <w:szCs w:val="21"/>
              </w:rPr>
              <w:t>成立时间</w:t>
            </w:r>
          </w:p>
        </w:tc>
        <w:tc>
          <w:tcPr>
            <w:tcW w:w="2297" w:type="dxa"/>
            <w:gridSpan w:val="2"/>
            <w:vAlign w:val="top"/>
          </w:tcPr>
          <w:p w14:paraId="39046F82">
            <w:pPr>
              <w:rPr>
                <w:rFonts w:ascii="Arial"/>
                <w:sz w:val="21"/>
                <w:szCs w:val="21"/>
              </w:rPr>
            </w:pPr>
          </w:p>
        </w:tc>
        <w:tc>
          <w:tcPr>
            <w:tcW w:w="4882" w:type="dxa"/>
            <w:gridSpan w:val="5"/>
            <w:tcBorders>
              <w:right w:val="single" w:color="000000" w:sz="10" w:space="0"/>
            </w:tcBorders>
            <w:vAlign w:val="top"/>
          </w:tcPr>
          <w:p w14:paraId="0DB1D18B">
            <w:pPr>
              <w:pStyle w:val="50"/>
              <w:spacing w:before="184" w:line="228" w:lineRule="auto"/>
              <w:ind w:left="2319"/>
              <w:rPr>
                <w:sz w:val="21"/>
                <w:szCs w:val="21"/>
              </w:rPr>
            </w:pPr>
            <w:r>
              <w:rPr>
                <w:spacing w:val="5"/>
                <w:sz w:val="21"/>
                <w:szCs w:val="21"/>
              </w:rPr>
              <w:t>员工总人数：</w:t>
            </w:r>
          </w:p>
        </w:tc>
      </w:tr>
      <w:tr w14:paraId="28309C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692B2472">
            <w:pPr>
              <w:pStyle w:val="50"/>
              <w:spacing w:before="185" w:line="228" w:lineRule="auto"/>
              <w:ind w:left="182"/>
              <w:rPr>
                <w:sz w:val="21"/>
                <w:szCs w:val="21"/>
              </w:rPr>
            </w:pPr>
            <w:r>
              <w:rPr>
                <w:spacing w:val="7"/>
                <w:sz w:val="21"/>
                <w:szCs w:val="21"/>
              </w:rPr>
              <w:t>企业资质等级</w:t>
            </w:r>
          </w:p>
        </w:tc>
        <w:tc>
          <w:tcPr>
            <w:tcW w:w="2297" w:type="dxa"/>
            <w:gridSpan w:val="2"/>
            <w:vAlign w:val="top"/>
          </w:tcPr>
          <w:p w14:paraId="18D932A6">
            <w:pPr>
              <w:rPr>
                <w:rFonts w:ascii="Arial"/>
                <w:sz w:val="21"/>
                <w:szCs w:val="21"/>
              </w:rPr>
            </w:pPr>
          </w:p>
        </w:tc>
        <w:tc>
          <w:tcPr>
            <w:tcW w:w="1253" w:type="dxa"/>
            <w:vMerge w:val="restart"/>
            <w:tcBorders>
              <w:bottom w:val="nil"/>
            </w:tcBorders>
            <w:vAlign w:val="top"/>
          </w:tcPr>
          <w:p w14:paraId="47846A5E">
            <w:pPr>
              <w:spacing w:line="274" w:lineRule="auto"/>
              <w:rPr>
                <w:rFonts w:ascii="Arial"/>
                <w:sz w:val="21"/>
                <w:szCs w:val="21"/>
              </w:rPr>
            </w:pPr>
          </w:p>
          <w:p w14:paraId="2CCA7396">
            <w:pPr>
              <w:spacing w:line="274" w:lineRule="auto"/>
              <w:rPr>
                <w:rFonts w:ascii="Arial"/>
                <w:sz w:val="21"/>
                <w:szCs w:val="21"/>
              </w:rPr>
            </w:pPr>
          </w:p>
          <w:p w14:paraId="1B9E50FC">
            <w:pPr>
              <w:spacing w:line="274" w:lineRule="auto"/>
              <w:rPr>
                <w:rFonts w:ascii="Arial"/>
                <w:sz w:val="21"/>
                <w:szCs w:val="21"/>
              </w:rPr>
            </w:pPr>
          </w:p>
          <w:p w14:paraId="7CD43920">
            <w:pPr>
              <w:spacing w:line="275" w:lineRule="auto"/>
              <w:rPr>
                <w:rFonts w:ascii="Arial"/>
                <w:sz w:val="21"/>
                <w:szCs w:val="21"/>
              </w:rPr>
            </w:pPr>
          </w:p>
          <w:p w14:paraId="337ED396">
            <w:pPr>
              <w:pStyle w:val="50"/>
              <w:spacing w:before="65" w:line="229" w:lineRule="auto"/>
              <w:ind w:left="338"/>
              <w:rPr>
                <w:sz w:val="21"/>
                <w:szCs w:val="21"/>
              </w:rPr>
            </w:pPr>
            <w:r>
              <w:rPr>
                <w:sz w:val="21"/>
                <w:szCs w:val="21"/>
              </w:rPr>
              <w:t>其</w:t>
            </w:r>
            <w:r>
              <w:rPr>
                <w:spacing w:val="35"/>
                <w:sz w:val="21"/>
                <w:szCs w:val="21"/>
              </w:rPr>
              <w:t xml:space="preserve"> </w:t>
            </w:r>
            <w:r>
              <w:rPr>
                <w:sz w:val="21"/>
                <w:szCs w:val="21"/>
              </w:rPr>
              <w:t>中</w:t>
            </w:r>
          </w:p>
        </w:tc>
        <w:tc>
          <w:tcPr>
            <w:tcW w:w="1392" w:type="dxa"/>
            <w:gridSpan w:val="2"/>
            <w:vAlign w:val="top"/>
          </w:tcPr>
          <w:p w14:paraId="6DBB89A5">
            <w:pPr>
              <w:pStyle w:val="50"/>
              <w:spacing w:before="185" w:line="228" w:lineRule="auto"/>
              <w:rPr>
                <w:sz w:val="21"/>
                <w:szCs w:val="21"/>
              </w:rPr>
            </w:pPr>
            <w:r>
              <w:rPr>
                <w:spacing w:val="7"/>
                <w:sz w:val="21"/>
                <w:szCs w:val="21"/>
              </w:rPr>
              <w:t>项目负责人</w:t>
            </w:r>
          </w:p>
        </w:tc>
        <w:tc>
          <w:tcPr>
            <w:tcW w:w="2237" w:type="dxa"/>
            <w:gridSpan w:val="2"/>
            <w:tcBorders>
              <w:right w:val="single" w:color="000000" w:sz="10" w:space="0"/>
            </w:tcBorders>
            <w:vAlign w:val="top"/>
          </w:tcPr>
          <w:p w14:paraId="7AF473C8">
            <w:pPr>
              <w:rPr>
                <w:rFonts w:ascii="Arial"/>
                <w:sz w:val="21"/>
                <w:szCs w:val="21"/>
              </w:rPr>
            </w:pPr>
          </w:p>
        </w:tc>
      </w:tr>
      <w:tr w14:paraId="1F5DC4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0E76BFE6">
            <w:pPr>
              <w:pStyle w:val="50"/>
              <w:spacing w:before="186" w:line="228" w:lineRule="auto"/>
              <w:ind w:left="289"/>
              <w:rPr>
                <w:sz w:val="21"/>
                <w:szCs w:val="21"/>
              </w:rPr>
            </w:pPr>
            <w:r>
              <w:rPr>
                <w:spacing w:val="6"/>
                <w:sz w:val="21"/>
                <w:szCs w:val="21"/>
              </w:rPr>
              <w:t>营业执照号</w:t>
            </w:r>
          </w:p>
        </w:tc>
        <w:tc>
          <w:tcPr>
            <w:tcW w:w="2297" w:type="dxa"/>
            <w:gridSpan w:val="2"/>
            <w:vAlign w:val="top"/>
          </w:tcPr>
          <w:p w14:paraId="3B4E15F9">
            <w:pPr>
              <w:rPr>
                <w:rFonts w:ascii="Arial"/>
                <w:sz w:val="21"/>
                <w:szCs w:val="21"/>
              </w:rPr>
            </w:pPr>
          </w:p>
        </w:tc>
        <w:tc>
          <w:tcPr>
            <w:tcW w:w="1253" w:type="dxa"/>
            <w:vMerge w:val="continue"/>
            <w:tcBorders>
              <w:top w:val="nil"/>
              <w:bottom w:val="nil"/>
            </w:tcBorders>
            <w:vAlign w:val="top"/>
          </w:tcPr>
          <w:p w14:paraId="7BC2AC87">
            <w:pPr>
              <w:rPr>
                <w:rFonts w:ascii="Arial"/>
                <w:sz w:val="21"/>
                <w:szCs w:val="21"/>
              </w:rPr>
            </w:pPr>
          </w:p>
        </w:tc>
        <w:tc>
          <w:tcPr>
            <w:tcW w:w="1392" w:type="dxa"/>
            <w:gridSpan w:val="2"/>
            <w:vAlign w:val="top"/>
          </w:tcPr>
          <w:p w14:paraId="011F3E25">
            <w:pPr>
              <w:pStyle w:val="50"/>
              <w:spacing w:before="186" w:line="228" w:lineRule="auto"/>
              <w:rPr>
                <w:sz w:val="21"/>
                <w:szCs w:val="21"/>
              </w:rPr>
            </w:pPr>
            <w:r>
              <w:rPr>
                <w:spacing w:val="7"/>
                <w:sz w:val="21"/>
                <w:szCs w:val="21"/>
              </w:rPr>
              <w:t>高级职称人员</w:t>
            </w:r>
          </w:p>
        </w:tc>
        <w:tc>
          <w:tcPr>
            <w:tcW w:w="2237" w:type="dxa"/>
            <w:gridSpan w:val="2"/>
            <w:tcBorders>
              <w:right w:val="single" w:color="000000" w:sz="10" w:space="0"/>
            </w:tcBorders>
            <w:vAlign w:val="top"/>
          </w:tcPr>
          <w:p w14:paraId="75E669AE">
            <w:pPr>
              <w:rPr>
                <w:rFonts w:ascii="Arial"/>
                <w:sz w:val="21"/>
                <w:szCs w:val="21"/>
              </w:rPr>
            </w:pPr>
          </w:p>
        </w:tc>
      </w:tr>
      <w:tr w14:paraId="2B163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52C6FE5B">
            <w:pPr>
              <w:pStyle w:val="50"/>
              <w:spacing w:before="186" w:line="230" w:lineRule="auto"/>
              <w:ind w:left="388"/>
              <w:rPr>
                <w:sz w:val="21"/>
                <w:szCs w:val="21"/>
              </w:rPr>
            </w:pPr>
            <w:r>
              <w:rPr>
                <w:spacing w:val="7"/>
                <w:sz w:val="21"/>
                <w:szCs w:val="21"/>
              </w:rPr>
              <w:t>注册资金</w:t>
            </w:r>
          </w:p>
        </w:tc>
        <w:tc>
          <w:tcPr>
            <w:tcW w:w="2297" w:type="dxa"/>
            <w:gridSpan w:val="2"/>
            <w:vAlign w:val="top"/>
          </w:tcPr>
          <w:p w14:paraId="23D60692">
            <w:pPr>
              <w:rPr>
                <w:rFonts w:ascii="Arial"/>
                <w:sz w:val="21"/>
                <w:szCs w:val="21"/>
              </w:rPr>
            </w:pPr>
          </w:p>
        </w:tc>
        <w:tc>
          <w:tcPr>
            <w:tcW w:w="1253" w:type="dxa"/>
            <w:vMerge w:val="continue"/>
            <w:tcBorders>
              <w:top w:val="nil"/>
              <w:bottom w:val="nil"/>
            </w:tcBorders>
            <w:vAlign w:val="top"/>
          </w:tcPr>
          <w:p w14:paraId="7C23AC5C">
            <w:pPr>
              <w:rPr>
                <w:rFonts w:ascii="Arial"/>
                <w:sz w:val="21"/>
                <w:szCs w:val="21"/>
              </w:rPr>
            </w:pPr>
          </w:p>
        </w:tc>
        <w:tc>
          <w:tcPr>
            <w:tcW w:w="1392" w:type="dxa"/>
            <w:gridSpan w:val="2"/>
            <w:vAlign w:val="top"/>
          </w:tcPr>
          <w:p w14:paraId="1E2E7DDA">
            <w:pPr>
              <w:pStyle w:val="50"/>
              <w:spacing w:before="186" w:line="229" w:lineRule="auto"/>
              <w:rPr>
                <w:sz w:val="21"/>
                <w:szCs w:val="21"/>
              </w:rPr>
            </w:pPr>
            <w:r>
              <w:rPr>
                <w:spacing w:val="4"/>
                <w:sz w:val="21"/>
                <w:szCs w:val="21"/>
              </w:rPr>
              <w:t>中级职称人员</w:t>
            </w:r>
          </w:p>
        </w:tc>
        <w:tc>
          <w:tcPr>
            <w:tcW w:w="2237" w:type="dxa"/>
            <w:gridSpan w:val="2"/>
            <w:tcBorders>
              <w:right w:val="single" w:color="000000" w:sz="10" w:space="0"/>
            </w:tcBorders>
            <w:vAlign w:val="top"/>
          </w:tcPr>
          <w:p w14:paraId="4A6C31BB">
            <w:pPr>
              <w:rPr>
                <w:rFonts w:ascii="Arial"/>
                <w:sz w:val="21"/>
                <w:szCs w:val="21"/>
              </w:rPr>
            </w:pPr>
          </w:p>
        </w:tc>
      </w:tr>
      <w:tr w14:paraId="019D2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1258FA93">
            <w:pPr>
              <w:pStyle w:val="50"/>
              <w:spacing w:before="187" w:line="229" w:lineRule="auto"/>
              <w:ind w:left="388"/>
              <w:rPr>
                <w:sz w:val="21"/>
                <w:szCs w:val="21"/>
              </w:rPr>
            </w:pPr>
            <w:r>
              <w:rPr>
                <w:spacing w:val="7"/>
                <w:sz w:val="21"/>
                <w:szCs w:val="21"/>
              </w:rPr>
              <w:t>开户银行</w:t>
            </w:r>
          </w:p>
        </w:tc>
        <w:tc>
          <w:tcPr>
            <w:tcW w:w="2297" w:type="dxa"/>
            <w:gridSpan w:val="2"/>
            <w:vAlign w:val="top"/>
          </w:tcPr>
          <w:p w14:paraId="3A976C9F">
            <w:pPr>
              <w:rPr>
                <w:rFonts w:ascii="Arial"/>
                <w:sz w:val="21"/>
                <w:szCs w:val="21"/>
              </w:rPr>
            </w:pPr>
          </w:p>
        </w:tc>
        <w:tc>
          <w:tcPr>
            <w:tcW w:w="1253" w:type="dxa"/>
            <w:vMerge w:val="continue"/>
            <w:tcBorders>
              <w:top w:val="nil"/>
              <w:bottom w:val="nil"/>
            </w:tcBorders>
            <w:vAlign w:val="top"/>
          </w:tcPr>
          <w:p w14:paraId="6686345E">
            <w:pPr>
              <w:rPr>
                <w:rFonts w:ascii="Arial"/>
                <w:sz w:val="21"/>
                <w:szCs w:val="21"/>
              </w:rPr>
            </w:pPr>
          </w:p>
        </w:tc>
        <w:tc>
          <w:tcPr>
            <w:tcW w:w="1392" w:type="dxa"/>
            <w:gridSpan w:val="2"/>
            <w:vAlign w:val="top"/>
          </w:tcPr>
          <w:p w14:paraId="0245A9C2">
            <w:pPr>
              <w:pStyle w:val="50"/>
              <w:spacing w:before="187" w:line="230" w:lineRule="auto"/>
              <w:rPr>
                <w:sz w:val="21"/>
                <w:szCs w:val="21"/>
              </w:rPr>
            </w:pPr>
            <w:r>
              <w:rPr>
                <w:spacing w:val="8"/>
                <w:sz w:val="21"/>
                <w:szCs w:val="21"/>
              </w:rPr>
              <w:t>初级职称人员</w:t>
            </w:r>
          </w:p>
        </w:tc>
        <w:tc>
          <w:tcPr>
            <w:tcW w:w="2237" w:type="dxa"/>
            <w:gridSpan w:val="2"/>
            <w:tcBorders>
              <w:right w:val="single" w:color="000000" w:sz="10" w:space="0"/>
            </w:tcBorders>
            <w:vAlign w:val="top"/>
          </w:tcPr>
          <w:p w14:paraId="01F67AEE">
            <w:pPr>
              <w:rPr>
                <w:rFonts w:ascii="Arial"/>
                <w:sz w:val="21"/>
                <w:szCs w:val="21"/>
              </w:rPr>
            </w:pPr>
          </w:p>
        </w:tc>
      </w:tr>
      <w:tr w14:paraId="2F519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632" w:type="dxa"/>
            <w:tcBorders>
              <w:left w:val="single" w:color="000000" w:sz="10" w:space="0"/>
            </w:tcBorders>
            <w:vAlign w:val="top"/>
          </w:tcPr>
          <w:p w14:paraId="7FC5491E">
            <w:pPr>
              <w:pStyle w:val="50"/>
              <w:spacing w:before="188" w:line="230" w:lineRule="auto"/>
              <w:ind w:left="497"/>
              <w:rPr>
                <w:sz w:val="21"/>
                <w:szCs w:val="21"/>
              </w:rPr>
            </w:pPr>
            <w:r>
              <w:rPr>
                <w:spacing w:val="-2"/>
                <w:sz w:val="21"/>
                <w:szCs w:val="21"/>
              </w:rPr>
              <w:t>账</w:t>
            </w:r>
            <w:r>
              <w:rPr>
                <w:spacing w:val="12"/>
                <w:sz w:val="21"/>
                <w:szCs w:val="21"/>
              </w:rPr>
              <w:t xml:space="preserve">  </w:t>
            </w:r>
            <w:r>
              <w:rPr>
                <w:spacing w:val="-2"/>
                <w:sz w:val="21"/>
                <w:szCs w:val="21"/>
              </w:rPr>
              <w:t>号</w:t>
            </w:r>
          </w:p>
        </w:tc>
        <w:tc>
          <w:tcPr>
            <w:tcW w:w="2297" w:type="dxa"/>
            <w:gridSpan w:val="2"/>
            <w:vAlign w:val="top"/>
          </w:tcPr>
          <w:p w14:paraId="7B39138B">
            <w:pPr>
              <w:rPr>
                <w:rFonts w:ascii="Arial"/>
                <w:sz w:val="21"/>
                <w:szCs w:val="21"/>
              </w:rPr>
            </w:pPr>
          </w:p>
        </w:tc>
        <w:tc>
          <w:tcPr>
            <w:tcW w:w="1253" w:type="dxa"/>
            <w:vMerge w:val="continue"/>
            <w:tcBorders>
              <w:top w:val="nil"/>
            </w:tcBorders>
            <w:vAlign w:val="top"/>
          </w:tcPr>
          <w:p w14:paraId="470A9C8E">
            <w:pPr>
              <w:rPr>
                <w:rFonts w:ascii="Arial"/>
                <w:sz w:val="21"/>
                <w:szCs w:val="21"/>
              </w:rPr>
            </w:pPr>
          </w:p>
        </w:tc>
        <w:tc>
          <w:tcPr>
            <w:tcW w:w="1392" w:type="dxa"/>
            <w:gridSpan w:val="2"/>
            <w:vAlign w:val="top"/>
          </w:tcPr>
          <w:p w14:paraId="3897D1DA">
            <w:pPr>
              <w:pStyle w:val="50"/>
              <w:spacing w:before="188" w:line="230" w:lineRule="auto"/>
              <w:rPr>
                <w:sz w:val="21"/>
                <w:szCs w:val="21"/>
              </w:rPr>
            </w:pPr>
            <w:r>
              <w:rPr>
                <w:sz w:val="21"/>
                <w:szCs w:val="21"/>
              </w:rPr>
              <w:t>技</w:t>
            </w:r>
            <w:r>
              <w:rPr>
                <w:spacing w:val="10"/>
                <w:sz w:val="21"/>
                <w:szCs w:val="21"/>
              </w:rPr>
              <w:t xml:space="preserve">  </w:t>
            </w:r>
            <w:r>
              <w:rPr>
                <w:sz w:val="21"/>
                <w:szCs w:val="21"/>
              </w:rPr>
              <w:t>工</w:t>
            </w:r>
          </w:p>
        </w:tc>
        <w:tc>
          <w:tcPr>
            <w:tcW w:w="2237" w:type="dxa"/>
            <w:gridSpan w:val="2"/>
            <w:tcBorders>
              <w:right w:val="single" w:color="000000" w:sz="10" w:space="0"/>
            </w:tcBorders>
            <w:vAlign w:val="top"/>
          </w:tcPr>
          <w:p w14:paraId="7A449AE1">
            <w:pPr>
              <w:rPr>
                <w:rFonts w:ascii="Arial"/>
                <w:sz w:val="21"/>
                <w:szCs w:val="21"/>
              </w:rPr>
            </w:pPr>
          </w:p>
        </w:tc>
      </w:tr>
      <w:tr w14:paraId="05E5A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6" w:hRule="atLeast"/>
        </w:trPr>
        <w:tc>
          <w:tcPr>
            <w:tcW w:w="1632" w:type="dxa"/>
            <w:tcBorders>
              <w:left w:val="single" w:color="000000" w:sz="10" w:space="0"/>
            </w:tcBorders>
            <w:vAlign w:val="top"/>
          </w:tcPr>
          <w:p w14:paraId="3BA3E49E">
            <w:pPr>
              <w:spacing w:line="255" w:lineRule="auto"/>
              <w:rPr>
                <w:rFonts w:ascii="Arial"/>
                <w:sz w:val="21"/>
                <w:szCs w:val="21"/>
              </w:rPr>
            </w:pPr>
          </w:p>
          <w:p w14:paraId="17E0AF24">
            <w:pPr>
              <w:spacing w:line="255" w:lineRule="auto"/>
              <w:rPr>
                <w:rFonts w:ascii="Arial"/>
                <w:sz w:val="21"/>
                <w:szCs w:val="21"/>
              </w:rPr>
            </w:pPr>
          </w:p>
          <w:p w14:paraId="4A7D1862">
            <w:pPr>
              <w:spacing w:line="255" w:lineRule="auto"/>
              <w:rPr>
                <w:rFonts w:ascii="Arial"/>
                <w:sz w:val="21"/>
                <w:szCs w:val="21"/>
              </w:rPr>
            </w:pPr>
          </w:p>
          <w:p w14:paraId="08C80AD3">
            <w:pPr>
              <w:spacing w:line="255" w:lineRule="auto"/>
              <w:rPr>
                <w:rFonts w:ascii="Arial"/>
                <w:sz w:val="21"/>
                <w:szCs w:val="21"/>
              </w:rPr>
            </w:pPr>
          </w:p>
          <w:p w14:paraId="12A99427">
            <w:pPr>
              <w:spacing w:line="255" w:lineRule="auto"/>
              <w:rPr>
                <w:rFonts w:ascii="Arial"/>
                <w:sz w:val="21"/>
                <w:szCs w:val="21"/>
              </w:rPr>
            </w:pPr>
          </w:p>
          <w:p w14:paraId="77A3D26E">
            <w:pPr>
              <w:spacing w:line="255" w:lineRule="auto"/>
              <w:rPr>
                <w:rFonts w:ascii="Arial"/>
                <w:sz w:val="21"/>
                <w:szCs w:val="21"/>
              </w:rPr>
            </w:pPr>
          </w:p>
          <w:p w14:paraId="0871C3AD">
            <w:pPr>
              <w:spacing w:line="255" w:lineRule="auto"/>
              <w:rPr>
                <w:rFonts w:ascii="Arial"/>
                <w:sz w:val="21"/>
                <w:szCs w:val="21"/>
              </w:rPr>
            </w:pPr>
          </w:p>
          <w:p w14:paraId="1A389DA3">
            <w:pPr>
              <w:spacing w:line="256" w:lineRule="auto"/>
              <w:rPr>
                <w:rFonts w:ascii="Arial"/>
                <w:sz w:val="21"/>
                <w:szCs w:val="21"/>
              </w:rPr>
            </w:pPr>
          </w:p>
          <w:p w14:paraId="317BFFAD">
            <w:pPr>
              <w:pStyle w:val="50"/>
              <w:spacing w:before="65" w:line="229" w:lineRule="auto"/>
              <w:ind w:left="389"/>
              <w:rPr>
                <w:sz w:val="21"/>
                <w:szCs w:val="21"/>
              </w:rPr>
            </w:pPr>
            <w:r>
              <w:rPr>
                <w:spacing w:val="6"/>
                <w:sz w:val="21"/>
                <w:szCs w:val="21"/>
              </w:rPr>
              <w:t>经营范围</w:t>
            </w:r>
          </w:p>
        </w:tc>
        <w:tc>
          <w:tcPr>
            <w:tcW w:w="7179" w:type="dxa"/>
            <w:gridSpan w:val="7"/>
            <w:tcBorders>
              <w:right w:val="single" w:color="000000" w:sz="10" w:space="0"/>
            </w:tcBorders>
            <w:vAlign w:val="top"/>
          </w:tcPr>
          <w:p w14:paraId="78B293F9">
            <w:pPr>
              <w:rPr>
                <w:rFonts w:ascii="Arial"/>
                <w:sz w:val="21"/>
                <w:szCs w:val="21"/>
              </w:rPr>
            </w:pPr>
          </w:p>
        </w:tc>
      </w:tr>
      <w:tr w14:paraId="26FD8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632" w:type="dxa"/>
            <w:tcBorders>
              <w:left w:val="single" w:color="000000" w:sz="10" w:space="0"/>
              <w:bottom w:val="single" w:color="000000" w:sz="10" w:space="0"/>
            </w:tcBorders>
            <w:vAlign w:val="top"/>
          </w:tcPr>
          <w:p w14:paraId="2DECB1E7">
            <w:pPr>
              <w:spacing w:line="408" w:lineRule="auto"/>
              <w:rPr>
                <w:rFonts w:ascii="Arial"/>
                <w:sz w:val="21"/>
                <w:szCs w:val="21"/>
              </w:rPr>
            </w:pPr>
          </w:p>
          <w:p w14:paraId="6B61C34D">
            <w:pPr>
              <w:pStyle w:val="50"/>
              <w:spacing w:before="65" w:line="230" w:lineRule="auto"/>
              <w:ind w:left="443"/>
              <w:rPr>
                <w:sz w:val="21"/>
                <w:szCs w:val="21"/>
              </w:rPr>
            </w:pPr>
            <w:r>
              <w:rPr>
                <w:spacing w:val="-1"/>
                <w:sz w:val="21"/>
                <w:szCs w:val="21"/>
              </w:rPr>
              <w:t>备</w:t>
            </w:r>
            <w:r>
              <w:rPr>
                <w:spacing w:val="8"/>
                <w:sz w:val="21"/>
                <w:szCs w:val="21"/>
              </w:rPr>
              <w:t xml:space="preserve">   </w:t>
            </w:r>
            <w:r>
              <w:rPr>
                <w:spacing w:val="-1"/>
                <w:sz w:val="21"/>
                <w:szCs w:val="21"/>
              </w:rPr>
              <w:t>注</w:t>
            </w:r>
          </w:p>
        </w:tc>
        <w:tc>
          <w:tcPr>
            <w:tcW w:w="7179" w:type="dxa"/>
            <w:gridSpan w:val="7"/>
            <w:tcBorders>
              <w:bottom w:val="single" w:color="000000" w:sz="10" w:space="0"/>
              <w:right w:val="single" w:color="000000" w:sz="10" w:space="0"/>
            </w:tcBorders>
            <w:vAlign w:val="top"/>
          </w:tcPr>
          <w:p w14:paraId="1F2468EB">
            <w:pPr>
              <w:rPr>
                <w:rFonts w:ascii="Arial"/>
                <w:sz w:val="21"/>
                <w:szCs w:val="21"/>
              </w:rPr>
            </w:pPr>
          </w:p>
        </w:tc>
      </w:tr>
    </w:tbl>
    <w:p w14:paraId="3DAB1987">
      <w:pPr>
        <w:pStyle w:val="2"/>
        <w:spacing w:line="253" w:lineRule="auto"/>
      </w:pPr>
    </w:p>
    <w:p w14:paraId="61CF0D36">
      <w:pPr>
        <w:spacing w:before="65" w:line="317" w:lineRule="auto"/>
        <w:ind w:firstLine="361"/>
        <w:rPr>
          <w:rFonts w:ascii="宋体" w:hAnsi="宋体" w:eastAsia="宋体" w:cs="宋体"/>
          <w:sz w:val="20"/>
          <w:szCs w:val="20"/>
        </w:rPr>
      </w:pPr>
      <w:r>
        <w:rPr>
          <w:rFonts w:ascii="宋体" w:hAnsi="宋体" w:eastAsia="宋体" w:cs="宋体"/>
          <w:spacing w:val="8"/>
          <w:sz w:val="20"/>
          <w:szCs w:val="20"/>
        </w:rPr>
        <w:t>注：在本表后应附</w:t>
      </w:r>
      <w:r>
        <w:rPr>
          <w:rFonts w:hint="eastAsia" w:ascii="宋体" w:hAnsi="宋体" w:eastAsia="宋体" w:cs="宋体"/>
          <w:spacing w:val="8"/>
          <w:sz w:val="20"/>
          <w:szCs w:val="20"/>
          <w:lang w:eastAsia="zh-CN"/>
        </w:rPr>
        <w:t>供应商</w:t>
      </w:r>
      <w:r>
        <w:rPr>
          <w:rFonts w:ascii="宋体" w:hAnsi="宋体" w:eastAsia="宋体" w:cs="宋体"/>
          <w:spacing w:val="8"/>
          <w:sz w:val="20"/>
          <w:szCs w:val="20"/>
        </w:rPr>
        <w:t>营业执照、资质证书、202</w:t>
      </w:r>
      <w:r>
        <w:rPr>
          <w:rFonts w:hint="eastAsia" w:ascii="宋体" w:hAnsi="宋体" w:eastAsia="宋体" w:cs="宋体"/>
          <w:spacing w:val="8"/>
          <w:sz w:val="20"/>
          <w:szCs w:val="20"/>
          <w:lang w:val="en-US" w:eastAsia="zh-CN"/>
        </w:rPr>
        <w:t>4</w:t>
      </w:r>
      <w:r>
        <w:rPr>
          <w:rFonts w:ascii="宋体" w:hAnsi="宋体" w:eastAsia="宋体" w:cs="宋体"/>
          <w:spacing w:val="8"/>
          <w:sz w:val="20"/>
          <w:szCs w:val="20"/>
        </w:rPr>
        <w:t>年</w:t>
      </w:r>
      <w:r>
        <w:rPr>
          <w:rFonts w:hint="eastAsia" w:ascii="宋体" w:hAnsi="宋体" w:eastAsia="宋体" w:cs="宋体"/>
          <w:spacing w:val="-24"/>
          <w:sz w:val="20"/>
          <w:szCs w:val="20"/>
          <w:lang w:val="en-US" w:eastAsia="zh-CN"/>
        </w:rPr>
        <w:t>1</w:t>
      </w:r>
      <w:r>
        <w:rPr>
          <w:rFonts w:ascii="宋体" w:hAnsi="宋体" w:eastAsia="宋体" w:cs="宋体"/>
          <w:spacing w:val="-33"/>
          <w:sz w:val="20"/>
          <w:szCs w:val="20"/>
        </w:rPr>
        <w:t xml:space="preserve"> </w:t>
      </w:r>
      <w:r>
        <w:rPr>
          <w:rFonts w:ascii="宋体" w:hAnsi="宋体" w:eastAsia="宋体" w:cs="宋体"/>
          <w:spacing w:val="8"/>
          <w:sz w:val="20"/>
          <w:szCs w:val="20"/>
        </w:rPr>
        <w:t>月至今任意一个</w:t>
      </w:r>
      <w:r>
        <w:rPr>
          <w:rFonts w:ascii="宋体" w:hAnsi="宋体" w:eastAsia="宋体" w:cs="宋体"/>
          <w:spacing w:val="7"/>
          <w:sz w:val="20"/>
          <w:szCs w:val="20"/>
        </w:rPr>
        <w:t>月依法缴纳社会保障资金的良好记</w:t>
      </w:r>
      <w:r>
        <w:rPr>
          <w:rFonts w:ascii="宋体" w:hAnsi="宋体" w:eastAsia="宋体" w:cs="宋体"/>
          <w:sz w:val="20"/>
          <w:szCs w:val="20"/>
        </w:rPr>
        <w:t xml:space="preserve"> </w:t>
      </w:r>
      <w:r>
        <w:rPr>
          <w:rFonts w:ascii="宋体" w:hAnsi="宋体" w:eastAsia="宋体" w:cs="宋体"/>
          <w:spacing w:val="6"/>
          <w:sz w:val="20"/>
          <w:szCs w:val="20"/>
        </w:rPr>
        <w:t>录证明等材料。</w:t>
      </w:r>
    </w:p>
    <w:p w14:paraId="45436C93">
      <w:pPr>
        <w:spacing w:line="317" w:lineRule="auto"/>
        <w:rPr>
          <w:rFonts w:ascii="宋体" w:hAnsi="宋体" w:eastAsia="宋体" w:cs="宋体"/>
          <w:sz w:val="20"/>
          <w:szCs w:val="20"/>
        </w:rPr>
        <w:sectPr>
          <w:footerReference r:id="rId11" w:type="default"/>
          <w:pgSz w:w="11910" w:h="16850"/>
          <w:pgMar w:top="1432" w:right="1417" w:bottom="1417" w:left="1417" w:header="1134" w:footer="1134" w:gutter="0"/>
          <w:cols w:space="720" w:num="1"/>
        </w:sectPr>
      </w:pPr>
    </w:p>
    <w:p w14:paraId="63E05FBD">
      <w:pPr>
        <w:pStyle w:val="2"/>
        <w:spacing w:line="286" w:lineRule="auto"/>
      </w:pPr>
    </w:p>
    <w:p w14:paraId="0401ED1D">
      <w:pPr>
        <w:pStyle w:val="2"/>
        <w:spacing w:line="287" w:lineRule="auto"/>
      </w:pPr>
    </w:p>
    <w:p w14:paraId="35706472">
      <w:pPr>
        <w:spacing w:before="78" w:line="220" w:lineRule="auto"/>
        <w:jc w:val="center"/>
        <w:outlineLvl w:val="0"/>
        <w:rPr>
          <w:rFonts w:ascii="宋体" w:hAnsi="宋体" w:eastAsia="宋体" w:cs="宋体"/>
          <w:b/>
          <w:bCs/>
          <w:sz w:val="28"/>
          <w:szCs w:val="28"/>
        </w:rPr>
      </w:pPr>
      <w:bookmarkStart w:id="281" w:name="bookmark5"/>
      <w:bookmarkEnd w:id="281"/>
      <w:bookmarkStart w:id="282" w:name="bookmark11"/>
      <w:bookmarkEnd w:id="282"/>
      <w:r>
        <w:rPr>
          <w:rFonts w:ascii="宋体" w:hAnsi="宋体" w:eastAsia="宋体" w:cs="宋体"/>
          <w:b/>
          <w:bCs/>
          <w:spacing w:val="-3"/>
          <w:sz w:val="28"/>
          <w:szCs w:val="28"/>
        </w:rPr>
        <w:t>（二）公司财务状况</w:t>
      </w:r>
    </w:p>
    <w:p w14:paraId="5FD8B565">
      <w:pPr>
        <w:pStyle w:val="2"/>
        <w:spacing w:line="304" w:lineRule="auto"/>
      </w:pPr>
    </w:p>
    <w:p w14:paraId="525EBFEA">
      <w:pPr>
        <w:spacing w:before="62" w:line="421" w:lineRule="auto"/>
        <w:ind w:firstLine="516" w:firstLineChars="200"/>
        <w:rPr>
          <w:rFonts w:hint="eastAsia" w:ascii="宋体" w:hAnsi="宋体" w:eastAsia="宋体" w:cs="宋体"/>
          <w:sz w:val="24"/>
          <w:szCs w:val="24"/>
          <w:lang w:eastAsia="zh-CN"/>
        </w:rPr>
      </w:pPr>
      <w:r>
        <w:rPr>
          <w:rFonts w:ascii="宋体" w:hAnsi="宋体" w:eastAsia="宋体" w:cs="宋体"/>
          <w:spacing w:val="9"/>
          <w:sz w:val="24"/>
          <w:szCs w:val="24"/>
        </w:rPr>
        <w:t>后附：</w:t>
      </w:r>
      <w:r>
        <w:rPr>
          <w:rFonts w:hint="eastAsia" w:ascii="宋体" w:hAnsi="宋体" w:cs="宋体"/>
          <w:spacing w:val="9"/>
          <w:sz w:val="24"/>
          <w:szCs w:val="24"/>
          <w:lang w:eastAsia="zh-CN"/>
        </w:rPr>
        <w:t>具有2023年度的财务审计报告（新成立不足一年的企业须提供自成立之日起至今企业财务状况良好的承诺书）。</w:t>
      </w:r>
    </w:p>
    <w:p w14:paraId="7326E51C">
      <w:pPr>
        <w:spacing w:line="421" w:lineRule="auto"/>
        <w:rPr>
          <w:rFonts w:ascii="宋体" w:hAnsi="宋体" w:eastAsia="宋体" w:cs="宋体"/>
          <w:sz w:val="19"/>
          <w:szCs w:val="19"/>
        </w:rPr>
        <w:sectPr>
          <w:footerReference r:id="rId12" w:type="default"/>
          <w:pgSz w:w="11910" w:h="16850"/>
          <w:pgMar w:top="1432" w:right="1701" w:bottom="1417" w:left="1701" w:header="1134" w:footer="1134" w:gutter="0"/>
          <w:cols w:space="720" w:num="1"/>
        </w:sectPr>
      </w:pPr>
    </w:p>
    <w:p w14:paraId="36259C88">
      <w:pPr>
        <w:spacing w:before="103" w:line="219" w:lineRule="auto"/>
        <w:jc w:val="right"/>
        <w:rPr>
          <w:rFonts w:ascii="宋体" w:hAnsi="宋体" w:eastAsia="宋体" w:cs="宋体"/>
          <w:spacing w:val="-1"/>
          <w:sz w:val="24"/>
          <w:szCs w:val="24"/>
        </w:rPr>
      </w:pPr>
    </w:p>
    <w:p w14:paraId="74EADD35">
      <w:pPr>
        <w:spacing w:before="103" w:line="219" w:lineRule="auto"/>
        <w:jc w:val="both"/>
        <w:rPr>
          <w:rFonts w:ascii="宋体" w:hAnsi="宋体" w:eastAsia="宋体" w:cs="宋体"/>
          <w:spacing w:val="-1"/>
          <w:sz w:val="24"/>
          <w:szCs w:val="24"/>
        </w:rPr>
      </w:pPr>
    </w:p>
    <w:p w14:paraId="64FFF5ED">
      <w:pPr>
        <w:spacing w:before="103" w:line="219" w:lineRule="auto"/>
        <w:jc w:val="center"/>
        <w:rPr>
          <w:rFonts w:ascii="宋体" w:hAnsi="宋体" w:eastAsia="宋体" w:cs="宋体"/>
          <w:sz w:val="24"/>
          <w:szCs w:val="24"/>
        </w:rPr>
      </w:pPr>
      <w:r>
        <w:rPr>
          <w:rFonts w:ascii="宋体" w:hAnsi="宋体" w:eastAsia="宋体" w:cs="宋体"/>
          <w:spacing w:val="-1"/>
          <w:sz w:val="24"/>
          <w:szCs w:val="24"/>
        </w:rPr>
        <w:t>（三）</w:t>
      </w:r>
      <w:r>
        <w:rPr>
          <w:rFonts w:hint="eastAsia" w:ascii="宋体" w:hAnsi="宋体" w:eastAsia="宋体" w:cs="宋体"/>
          <w:spacing w:val="-1"/>
          <w:sz w:val="24"/>
          <w:szCs w:val="24"/>
          <w:lang w:eastAsia="zh-CN"/>
        </w:rPr>
        <w:t>供应商</w:t>
      </w:r>
      <w:r>
        <w:rPr>
          <w:rFonts w:ascii="宋体" w:hAnsi="宋体" w:eastAsia="宋体" w:cs="宋体"/>
          <w:spacing w:val="-1"/>
          <w:sz w:val="24"/>
          <w:szCs w:val="24"/>
        </w:rPr>
        <w:t>符合招标文件要求的信誉截图，提供网络截图并加盖</w:t>
      </w:r>
      <w:r>
        <w:rPr>
          <w:rFonts w:hint="eastAsia" w:ascii="宋体" w:hAnsi="宋体" w:eastAsia="宋体" w:cs="宋体"/>
          <w:spacing w:val="-1"/>
          <w:sz w:val="24"/>
          <w:szCs w:val="24"/>
          <w:lang w:eastAsia="zh-CN"/>
        </w:rPr>
        <w:t>供应商</w:t>
      </w:r>
      <w:r>
        <w:rPr>
          <w:rFonts w:ascii="宋体" w:hAnsi="宋体" w:eastAsia="宋体" w:cs="宋体"/>
          <w:spacing w:val="-1"/>
          <w:sz w:val="24"/>
          <w:szCs w:val="24"/>
        </w:rPr>
        <w:t>公章</w:t>
      </w:r>
    </w:p>
    <w:p w14:paraId="4EC9E9AF">
      <w:pPr>
        <w:spacing w:line="219" w:lineRule="auto"/>
        <w:rPr>
          <w:rFonts w:ascii="宋体" w:hAnsi="宋体" w:eastAsia="宋体" w:cs="宋体"/>
          <w:sz w:val="24"/>
          <w:szCs w:val="24"/>
        </w:rPr>
        <w:sectPr>
          <w:footerReference r:id="rId13" w:type="default"/>
          <w:pgSz w:w="11910" w:h="16850"/>
          <w:pgMar w:top="1432" w:right="1626" w:bottom="868" w:left="1786" w:header="1134" w:footer="1134" w:gutter="0"/>
          <w:cols w:space="720" w:num="1"/>
        </w:sectPr>
      </w:pPr>
    </w:p>
    <w:p w14:paraId="4C343319">
      <w:pPr>
        <w:spacing w:before="217" w:line="225" w:lineRule="auto"/>
        <w:ind w:left="3231"/>
        <w:outlineLvl w:val="2"/>
        <w:rPr>
          <w:rFonts w:ascii="宋体" w:hAnsi="宋体" w:eastAsia="宋体" w:cs="宋体"/>
          <w:sz w:val="31"/>
          <w:szCs w:val="31"/>
        </w:rPr>
      </w:pPr>
      <w:r>
        <w:rPr>
          <w:rFonts w:ascii="宋体" w:hAnsi="宋体" w:eastAsia="宋体" w:cs="宋体"/>
          <w:b/>
          <w:bCs/>
          <w:spacing w:val="5"/>
          <w:sz w:val="31"/>
          <w:szCs w:val="31"/>
        </w:rPr>
        <w:t>九、类似项目业绩（如有）</w:t>
      </w:r>
    </w:p>
    <w:p w14:paraId="0BE8765E">
      <w:pPr>
        <w:spacing w:before="34"/>
      </w:pPr>
    </w:p>
    <w:p w14:paraId="08594FF5">
      <w:pPr>
        <w:spacing w:before="34"/>
      </w:pPr>
    </w:p>
    <w:p w14:paraId="7C8DD93F">
      <w:pPr>
        <w:spacing w:before="34"/>
      </w:pPr>
    </w:p>
    <w:tbl>
      <w:tblPr>
        <w:tblStyle w:val="51"/>
        <w:tblW w:w="8624" w:type="dxa"/>
        <w:tblInd w:w="37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7"/>
        <w:gridCol w:w="1380"/>
        <w:gridCol w:w="1387"/>
        <w:gridCol w:w="1200"/>
        <w:gridCol w:w="1337"/>
        <w:gridCol w:w="1295"/>
        <w:gridCol w:w="1268"/>
      </w:tblGrid>
      <w:tr w14:paraId="6C38B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9" w:hRule="atLeast"/>
        </w:trPr>
        <w:tc>
          <w:tcPr>
            <w:tcW w:w="757" w:type="dxa"/>
            <w:vAlign w:val="center"/>
          </w:tcPr>
          <w:p w14:paraId="2514BF61">
            <w:pPr>
              <w:spacing w:line="423" w:lineRule="auto"/>
              <w:jc w:val="center"/>
              <w:rPr>
                <w:rFonts w:ascii="Arial"/>
                <w:sz w:val="21"/>
              </w:rPr>
            </w:pPr>
          </w:p>
          <w:p w14:paraId="143DBE80">
            <w:pPr>
              <w:pStyle w:val="50"/>
              <w:spacing w:before="65" w:line="230" w:lineRule="auto"/>
              <w:ind w:left="169"/>
              <w:jc w:val="center"/>
              <w:rPr>
                <w:sz w:val="20"/>
                <w:szCs w:val="20"/>
              </w:rPr>
            </w:pPr>
            <w:r>
              <w:rPr>
                <w:spacing w:val="5"/>
                <w:sz w:val="20"/>
                <w:szCs w:val="20"/>
              </w:rPr>
              <w:t>序号</w:t>
            </w:r>
          </w:p>
        </w:tc>
        <w:tc>
          <w:tcPr>
            <w:tcW w:w="1380" w:type="dxa"/>
            <w:vAlign w:val="center"/>
          </w:tcPr>
          <w:p w14:paraId="2D740543">
            <w:pPr>
              <w:spacing w:line="424" w:lineRule="auto"/>
              <w:jc w:val="center"/>
              <w:rPr>
                <w:rFonts w:ascii="Arial"/>
                <w:sz w:val="21"/>
              </w:rPr>
            </w:pPr>
          </w:p>
          <w:p w14:paraId="189D7671">
            <w:pPr>
              <w:pStyle w:val="50"/>
              <w:spacing w:before="65" w:line="229" w:lineRule="auto"/>
              <w:ind w:left="376"/>
              <w:jc w:val="center"/>
              <w:rPr>
                <w:sz w:val="20"/>
                <w:szCs w:val="20"/>
              </w:rPr>
            </w:pPr>
            <w:r>
              <w:rPr>
                <w:spacing w:val="6"/>
                <w:sz w:val="20"/>
                <w:szCs w:val="20"/>
              </w:rPr>
              <w:t>招标人</w:t>
            </w:r>
          </w:p>
        </w:tc>
        <w:tc>
          <w:tcPr>
            <w:tcW w:w="1387" w:type="dxa"/>
            <w:vAlign w:val="center"/>
          </w:tcPr>
          <w:p w14:paraId="170335E5">
            <w:pPr>
              <w:spacing w:line="424" w:lineRule="auto"/>
              <w:jc w:val="center"/>
              <w:rPr>
                <w:rFonts w:ascii="Arial"/>
                <w:sz w:val="21"/>
              </w:rPr>
            </w:pPr>
          </w:p>
          <w:p w14:paraId="195B02DF">
            <w:pPr>
              <w:pStyle w:val="50"/>
              <w:spacing w:before="65" w:line="229" w:lineRule="auto"/>
              <w:jc w:val="center"/>
              <w:rPr>
                <w:sz w:val="20"/>
                <w:szCs w:val="20"/>
              </w:rPr>
            </w:pPr>
            <w:r>
              <w:rPr>
                <w:spacing w:val="6"/>
                <w:sz w:val="20"/>
                <w:szCs w:val="20"/>
              </w:rPr>
              <w:t>项目名称</w:t>
            </w:r>
          </w:p>
        </w:tc>
        <w:tc>
          <w:tcPr>
            <w:tcW w:w="1200" w:type="dxa"/>
            <w:vAlign w:val="center"/>
          </w:tcPr>
          <w:p w14:paraId="73EDC411">
            <w:pPr>
              <w:spacing w:line="424" w:lineRule="auto"/>
              <w:jc w:val="center"/>
              <w:rPr>
                <w:rFonts w:ascii="Arial"/>
                <w:sz w:val="21"/>
              </w:rPr>
            </w:pPr>
          </w:p>
          <w:p w14:paraId="73463FA8">
            <w:pPr>
              <w:pStyle w:val="50"/>
              <w:spacing w:before="65" w:line="228" w:lineRule="auto"/>
              <w:jc w:val="center"/>
              <w:rPr>
                <w:sz w:val="20"/>
                <w:szCs w:val="20"/>
              </w:rPr>
            </w:pPr>
            <w:r>
              <w:rPr>
                <w:spacing w:val="7"/>
                <w:sz w:val="20"/>
                <w:szCs w:val="20"/>
              </w:rPr>
              <w:t>服务内容</w:t>
            </w:r>
          </w:p>
        </w:tc>
        <w:tc>
          <w:tcPr>
            <w:tcW w:w="1337" w:type="dxa"/>
            <w:tcBorders>
              <w:right w:val="single" w:color="000000" w:sz="6" w:space="0"/>
            </w:tcBorders>
            <w:vAlign w:val="center"/>
          </w:tcPr>
          <w:p w14:paraId="52F6CCF7">
            <w:pPr>
              <w:spacing w:line="424" w:lineRule="auto"/>
              <w:jc w:val="center"/>
              <w:rPr>
                <w:rFonts w:ascii="Arial"/>
                <w:sz w:val="21"/>
              </w:rPr>
            </w:pPr>
          </w:p>
          <w:p w14:paraId="0D4E7EF8">
            <w:pPr>
              <w:pStyle w:val="50"/>
              <w:spacing w:before="65" w:line="228" w:lineRule="auto"/>
              <w:ind w:left="341"/>
              <w:jc w:val="center"/>
              <w:rPr>
                <w:sz w:val="20"/>
                <w:szCs w:val="20"/>
              </w:rPr>
            </w:pPr>
            <w:r>
              <w:rPr>
                <w:spacing w:val="2"/>
                <w:sz w:val="20"/>
                <w:szCs w:val="20"/>
              </w:rPr>
              <w:t>中标金额</w:t>
            </w:r>
          </w:p>
        </w:tc>
        <w:tc>
          <w:tcPr>
            <w:tcW w:w="1295" w:type="dxa"/>
            <w:tcBorders>
              <w:left w:val="single" w:color="000000" w:sz="6" w:space="0"/>
            </w:tcBorders>
            <w:vAlign w:val="center"/>
          </w:tcPr>
          <w:p w14:paraId="09B5E580">
            <w:pPr>
              <w:spacing w:line="424" w:lineRule="auto"/>
              <w:jc w:val="center"/>
              <w:rPr>
                <w:rFonts w:ascii="Arial"/>
                <w:sz w:val="21"/>
              </w:rPr>
            </w:pPr>
          </w:p>
          <w:p w14:paraId="73915167">
            <w:pPr>
              <w:pStyle w:val="50"/>
              <w:spacing w:before="65" w:line="228" w:lineRule="auto"/>
              <w:ind w:left="276"/>
              <w:jc w:val="center"/>
              <w:rPr>
                <w:sz w:val="20"/>
                <w:szCs w:val="20"/>
              </w:rPr>
            </w:pPr>
            <w:r>
              <w:rPr>
                <w:spacing w:val="7"/>
                <w:sz w:val="20"/>
                <w:szCs w:val="20"/>
              </w:rPr>
              <w:t>服务期限</w:t>
            </w:r>
          </w:p>
        </w:tc>
        <w:tc>
          <w:tcPr>
            <w:tcW w:w="1268" w:type="dxa"/>
            <w:vAlign w:val="center"/>
          </w:tcPr>
          <w:p w14:paraId="7AEA0C02">
            <w:pPr>
              <w:spacing w:line="287" w:lineRule="auto"/>
              <w:jc w:val="center"/>
              <w:rPr>
                <w:rFonts w:ascii="Arial"/>
                <w:sz w:val="21"/>
              </w:rPr>
            </w:pPr>
          </w:p>
          <w:p w14:paraId="6FF4D4AD">
            <w:pPr>
              <w:pStyle w:val="50"/>
              <w:spacing w:before="65" w:line="279" w:lineRule="auto"/>
              <w:ind w:right="206"/>
              <w:jc w:val="center"/>
              <w:rPr>
                <w:sz w:val="20"/>
                <w:szCs w:val="20"/>
              </w:rPr>
            </w:pPr>
            <w:r>
              <w:rPr>
                <w:spacing w:val="6"/>
                <w:sz w:val="20"/>
                <w:szCs w:val="20"/>
              </w:rPr>
              <w:t>招标人</w:t>
            </w:r>
            <w:r>
              <w:rPr>
                <w:spacing w:val="7"/>
                <w:sz w:val="20"/>
                <w:szCs w:val="20"/>
              </w:rPr>
              <w:t>联系电话</w:t>
            </w:r>
          </w:p>
        </w:tc>
      </w:tr>
      <w:tr w14:paraId="5C3A8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57" w:type="dxa"/>
            <w:vAlign w:val="top"/>
          </w:tcPr>
          <w:p w14:paraId="70B58F62">
            <w:pPr>
              <w:rPr>
                <w:rFonts w:ascii="Arial"/>
                <w:sz w:val="21"/>
              </w:rPr>
            </w:pPr>
          </w:p>
        </w:tc>
        <w:tc>
          <w:tcPr>
            <w:tcW w:w="1380" w:type="dxa"/>
            <w:vAlign w:val="top"/>
          </w:tcPr>
          <w:p w14:paraId="0492B377">
            <w:pPr>
              <w:rPr>
                <w:rFonts w:ascii="Arial"/>
                <w:sz w:val="21"/>
              </w:rPr>
            </w:pPr>
          </w:p>
        </w:tc>
        <w:tc>
          <w:tcPr>
            <w:tcW w:w="1387" w:type="dxa"/>
            <w:vAlign w:val="top"/>
          </w:tcPr>
          <w:p w14:paraId="0FF2910F">
            <w:pPr>
              <w:rPr>
                <w:rFonts w:ascii="Arial"/>
                <w:sz w:val="21"/>
              </w:rPr>
            </w:pPr>
          </w:p>
        </w:tc>
        <w:tc>
          <w:tcPr>
            <w:tcW w:w="1200" w:type="dxa"/>
            <w:vAlign w:val="top"/>
          </w:tcPr>
          <w:p w14:paraId="4AD5DC8E">
            <w:pPr>
              <w:rPr>
                <w:rFonts w:ascii="Arial"/>
                <w:sz w:val="21"/>
              </w:rPr>
            </w:pPr>
          </w:p>
        </w:tc>
        <w:tc>
          <w:tcPr>
            <w:tcW w:w="1337" w:type="dxa"/>
            <w:tcBorders>
              <w:right w:val="single" w:color="000000" w:sz="6" w:space="0"/>
            </w:tcBorders>
            <w:vAlign w:val="top"/>
          </w:tcPr>
          <w:p w14:paraId="0789F4EA">
            <w:pPr>
              <w:rPr>
                <w:rFonts w:ascii="Arial"/>
                <w:sz w:val="21"/>
              </w:rPr>
            </w:pPr>
          </w:p>
        </w:tc>
        <w:tc>
          <w:tcPr>
            <w:tcW w:w="1295" w:type="dxa"/>
            <w:tcBorders>
              <w:left w:val="single" w:color="000000" w:sz="6" w:space="0"/>
            </w:tcBorders>
            <w:vAlign w:val="top"/>
          </w:tcPr>
          <w:p w14:paraId="7FC10402">
            <w:pPr>
              <w:rPr>
                <w:rFonts w:ascii="Arial"/>
                <w:sz w:val="21"/>
              </w:rPr>
            </w:pPr>
          </w:p>
        </w:tc>
        <w:tc>
          <w:tcPr>
            <w:tcW w:w="1268" w:type="dxa"/>
            <w:vAlign w:val="top"/>
          </w:tcPr>
          <w:p w14:paraId="5691B96D">
            <w:pPr>
              <w:rPr>
                <w:rFonts w:ascii="Arial"/>
                <w:sz w:val="21"/>
              </w:rPr>
            </w:pPr>
          </w:p>
        </w:tc>
      </w:tr>
      <w:tr w14:paraId="5CE04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757" w:type="dxa"/>
            <w:vAlign w:val="top"/>
          </w:tcPr>
          <w:p w14:paraId="13F584C7">
            <w:pPr>
              <w:rPr>
                <w:rFonts w:ascii="Arial"/>
                <w:sz w:val="21"/>
              </w:rPr>
            </w:pPr>
          </w:p>
        </w:tc>
        <w:tc>
          <w:tcPr>
            <w:tcW w:w="1380" w:type="dxa"/>
            <w:vAlign w:val="top"/>
          </w:tcPr>
          <w:p w14:paraId="2254E049">
            <w:pPr>
              <w:rPr>
                <w:rFonts w:ascii="Arial"/>
                <w:sz w:val="21"/>
              </w:rPr>
            </w:pPr>
          </w:p>
        </w:tc>
        <w:tc>
          <w:tcPr>
            <w:tcW w:w="1387" w:type="dxa"/>
            <w:vAlign w:val="top"/>
          </w:tcPr>
          <w:p w14:paraId="3553580D">
            <w:pPr>
              <w:rPr>
                <w:rFonts w:ascii="Arial"/>
                <w:sz w:val="21"/>
              </w:rPr>
            </w:pPr>
          </w:p>
        </w:tc>
        <w:tc>
          <w:tcPr>
            <w:tcW w:w="1200" w:type="dxa"/>
            <w:vAlign w:val="top"/>
          </w:tcPr>
          <w:p w14:paraId="3BA3022B">
            <w:pPr>
              <w:rPr>
                <w:rFonts w:ascii="Arial"/>
                <w:sz w:val="21"/>
              </w:rPr>
            </w:pPr>
          </w:p>
        </w:tc>
        <w:tc>
          <w:tcPr>
            <w:tcW w:w="1337" w:type="dxa"/>
            <w:tcBorders>
              <w:right w:val="single" w:color="000000" w:sz="6" w:space="0"/>
            </w:tcBorders>
            <w:vAlign w:val="top"/>
          </w:tcPr>
          <w:p w14:paraId="11405732">
            <w:pPr>
              <w:rPr>
                <w:rFonts w:ascii="Arial"/>
                <w:sz w:val="21"/>
              </w:rPr>
            </w:pPr>
          </w:p>
        </w:tc>
        <w:tc>
          <w:tcPr>
            <w:tcW w:w="1295" w:type="dxa"/>
            <w:tcBorders>
              <w:left w:val="single" w:color="000000" w:sz="6" w:space="0"/>
            </w:tcBorders>
            <w:vAlign w:val="top"/>
          </w:tcPr>
          <w:p w14:paraId="68775886">
            <w:pPr>
              <w:rPr>
                <w:rFonts w:ascii="Arial"/>
                <w:sz w:val="21"/>
              </w:rPr>
            </w:pPr>
          </w:p>
        </w:tc>
        <w:tc>
          <w:tcPr>
            <w:tcW w:w="1268" w:type="dxa"/>
            <w:vAlign w:val="top"/>
          </w:tcPr>
          <w:p w14:paraId="4E9D6F0A">
            <w:pPr>
              <w:rPr>
                <w:rFonts w:ascii="Arial"/>
                <w:sz w:val="21"/>
              </w:rPr>
            </w:pPr>
          </w:p>
        </w:tc>
      </w:tr>
      <w:tr w14:paraId="059E65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57" w:type="dxa"/>
            <w:vAlign w:val="top"/>
          </w:tcPr>
          <w:p w14:paraId="6946EF9A">
            <w:pPr>
              <w:rPr>
                <w:rFonts w:ascii="Arial"/>
                <w:sz w:val="21"/>
              </w:rPr>
            </w:pPr>
          </w:p>
        </w:tc>
        <w:tc>
          <w:tcPr>
            <w:tcW w:w="1380" w:type="dxa"/>
            <w:vAlign w:val="top"/>
          </w:tcPr>
          <w:p w14:paraId="49A2B0D8">
            <w:pPr>
              <w:rPr>
                <w:rFonts w:ascii="Arial"/>
                <w:sz w:val="21"/>
              </w:rPr>
            </w:pPr>
          </w:p>
        </w:tc>
        <w:tc>
          <w:tcPr>
            <w:tcW w:w="1387" w:type="dxa"/>
            <w:vAlign w:val="top"/>
          </w:tcPr>
          <w:p w14:paraId="08612F14">
            <w:pPr>
              <w:rPr>
                <w:rFonts w:ascii="Arial"/>
                <w:sz w:val="21"/>
              </w:rPr>
            </w:pPr>
          </w:p>
        </w:tc>
        <w:tc>
          <w:tcPr>
            <w:tcW w:w="1200" w:type="dxa"/>
            <w:vAlign w:val="top"/>
          </w:tcPr>
          <w:p w14:paraId="0AA3A95F">
            <w:pPr>
              <w:rPr>
                <w:rFonts w:ascii="Arial"/>
                <w:sz w:val="21"/>
              </w:rPr>
            </w:pPr>
          </w:p>
        </w:tc>
        <w:tc>
          <w:tcPr>
            <w:tcW w:w="1337" w:type="dxa"/>
            <w:tcBorders>
              <w:right w:val="single" w:color="000000" w:sz="6" w:space="0"/>
            </w:tcBorders>
            <w:vAlign w:val="top"/>
          </w:tcPr>
          <w:p w14:paraId="3A6E6D95">
            <w:pPr>
              <w:rPr>
                <w:rFonts w:ascii="Arial"/>
                <w:sz w:val="21"/>
              </w:rPr>
            </w:pPr>
          </w:p>
        </w:tc>
        <w:tc>
          <w:tcPr>
            <w:tcW w:w="1295" w:type="dxa"/>
            <w:tcBorders>
              <w:left w:val="single" w:color="000000" w:sz="6" w:space="0"/>
            </w:tcBorders>
            <w:vAlign w:val="top"/>
          </w:tcPr>
          <w:p w14:paraId="4CD70534">
            <w:pPr>
              <w:rPr>
                <w:rFonts w:ascii="Arial"/>
                <w:sz w:val="21"/>
              </w:rPr>
            </w:pPr>
          </w:p>
        </w:tc>
        <w:tc>
          <w:tcPr>
            <w:tcW w:w="1268" w:type="dxa"/>
            <w:vAlign w:val="top"/>
          </w:tcPr>
          <w:p w14:paraId="57E5AC97">
            <w:pPr>
              <w:rPr>
                <w:rFonts w:ascii="Arial"/>
                <w:sz w:val="21"/>
              </w:rPr>
            </w:pPr>
          </w:p>
        </w:tc>
      </w:tr>
      <w:tr w14:paraId="5D7BA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57" w:type="dxa"/>
            <w:vAlign w:val="top"/>
          </w:tcPr>
          <w:p w14:paraId="4C88B60C">
            <w:pPr>
              <w:rPr>
                <w:rFonts w:ascii="Arial"/>
                <w:sz w:val="21"/>
              </w:rPr>
            </w:pPr>
          </w:p>
        </w:tc>
        <w:tc>
          <w:tcPr>
            <w:tcW w:w="1380" w:type="dxa"/>
            <w:vAlign w:val="top"/>
          </w:tcPr>
          <w:p w14:paraId="5189B1E0">
            <w:pPr>
              <w:rPr>
                <w:rFonts w:ascii="Arial"/>
                <w:sz w:val="21"/>
              </w:rPr>
            </w:pPr>
          </w:p>
        </w:tc>
        <w:tc>
          <w:tcPr>
            <w:tcW w:w="1387" w:type="dxa"/>
            <w:vAlign w:val="top"/>
          </w:tcPr>
          <w:p w14:paraId="79654E50">
            <w:pPr>
              <w:rPr>
                <w:rFonts w:ascii="Arial"/>
                <w:sz w:val="21"/>
              </w:rPr>
            </w:pPr>
          </w:p>
        </w:tc>
        <w:tc>
          <w:tcPr>
            <w:tcW w:w="1200" w:type="dxa"/>
            <w:vAlign w:val="top"/>
          </w:tcPr>
          <w:p w14:paraId="6AD95891">
            <w:pPr>
              <w:rPr>
                <w:rFonts w:ascii="Arial"/>
                <w:sz w:val="21"/>
              </w:rPr>
            </w:pPr>
          </w:p>
        </w:tc>
        <w:tc>
          <w:tcPr>
            <w:tcW w:w="1337" w:type="dxa"/>
            <w:tcBorders>
              <w:right w:val="single" w:color="000000" w:sz="6" w:space="0"/>
            </w:tcBorders>
            <w:vAlign w:val="top"/>
          </w:tcPr>
          <w:p w14:paraId="2B5E8E49">
            <w:pPr>
              <w:rPr>
                <w:rFonts w:ascii="Arial"/>
                <w:sz w:val="21"/>
              </w:rPr>
            </w:pPr>
          </w:p>
        </w:tc>
        <w:tc>
          <w:tcPr>
            <w:tcW w:w="1295" w:type="dxa"/>
            <w:tcBorders>
              <w:left w:val="single" w:color="000000" w:sz="6" w:space="0"/>
            </w:tcBorders>
            <w:vAlign w:val="top"/>
          </w:tcPr>
          <w:p w14:paraId="5A5B9B58">
            <w:pPr>
              <w:rPr>
                <w:rFonts w:ascii="Arial"/>
                <w:sz w:val="21"/>
              </w:rPr>
            </w:pPr>
          </w:p>
        </w:tc>
        <w:tc>
          <w:tcPr>
            <w:tcW w:w="1268" w:type="dxa"/>
            <w:vAlign w:val="top"/>
          </w:tcPr>
          <w:p w14:paraId="01B5A394">
            <w:pPr>
              <w:rPr>
                <w:rFonts w:ascii="Arial"/>
                <w:sz w:val="21"/>
              </w:rPr>
            </w:pPr>
          </w:p>
        </w:tc>
      </w:tr>
      <w:tr w14:paraId="11A57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757" w:type="dxa"/>
            <w:vAlign w:val="top"/>
          </w:tcPr>
          <w:p w14:paraId="719907C8">
            <w:pPr>
              <w:rPr>
                <w:rFonts w:ascii="Arial"/>
                <w:sz w:val="21"/>
              </w:rPr>
            </w:pPr>
          </w:p>
        </w:tc>
        <w:tc>
          <w:tcPr>
            <w:tcW w:w="1380" w:type="dxa"/>
            <w:vAlign w:val="top"/>
          </w:tcPr>
          <w:p w14:paraId="1D82B5DF">
            <w:pPr>
              <w:rPr>
                <w:rFonts w:ascii="Arial"/>
                <w:sz w:val="21"/>
              </w:rPr>
            </w:pPr>
          </w:p>
        </w:tc>
        <w:tc>
          <w:tcPr>
            <w:tcW w:w="1387" w:type="dxa"/>
            <w:vAlign w:val="top"/>
          </w:tcPr>
          <w:p w14:paraId="00A10EF0">
            <w:pPr>
              <w:rPr>
                <w:rFonts w:ascii="Arial"/>
                <w:sz w:val="21"/>
              </w:rPr>
            </w:pPr>
          </w:p>
        </w:tc>
        <w:tc>
          <w:tcPr>
            <w:tcW w:w="1200" w:type="dxa"/>
            <w:vAlign w:val="top"/>
          </w:tcPr>
          <w:p w14:paraId="4EAEC6C3">
            <w:pPr>
              <w:rPr>
                <w:rFonts w:ascii="Arial"/>
                <w:sz w:val="21"/>
              </w:rPr>
            </w:pPr>
          </w:p>
        </w:tc>
        <w:tc>
          <w:tcPr>
            <w:tcW w:w="1337" w:type="dxa"/>
            <w:tcBorders>
              <w:right w:val="single" w:color="000000" w:sz="6" w:space="0"/>
            </w:tcBorders>
            <w:vAlign w:val="top"/>
          </w:tcPr>
          <w:p w14:paraId="709C3008">
            <w:pPr>
              <w:rPr>
                <w:rFonts w:ascii="Arial"/>
                <w:sz w:val="21"/>
              </w:rPr>
            </w:pPr>
          </w:p>
        </w:tc>
        <w:tc>
          <w:tcPr>
            <w:tcW w:w="1295" w:type="dxa"/>
            <w:tcBorders>
              <w:left w:val="single" w:color="000000" w:sz="6" w:space="0"/>
            </w:tcBorders>
            <w:vAlign w:val="top"/>
          </w:tcPr>
          <w:p w14:paraId="62BEBCE4">
            <w:pPr>
              <w:rPr>
                <w:rFonts w:ascii="Arial"/>
                <w:sz w:val="21"/>
              </w:rPr>
            </w:pPr>
          </w:p>
        </w:tc>
        <w:tc>
          <w:tcPr>
            <w:tcW w:w="1268" w:type="dxa"/>
            <w:vAlign w:val="top"/>
          </w:tcPr>
          <w:p w14:paraId="222268F8">
            <w:pPr>
              <w:rPr>
                <w:rFonts w:ascii="Arial"/>
                <w:sz w:val="21"/>
              </w:rPr>
            </w:pPr>
          </w:p>
        </w:tc>
      </w:tr>
      <w:tr w14:paraId="4C9B8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57" w:type="dxa"/>
            <w:vAlign w:val="top"/>
          </w:tcPr>
          <w:p w14:paraId="32AB1FB8">
            <w:pPr>
              <w:rPr>
                <w:rFonts w:ascii="Arial"/>
                <w:sz w:val="21"/>
              </w:rPr>
            </w:pPr>
          </w:p>
        </w:tc>
        <w:tc>
          <w:tcPr>
            <w:tcW w:w="1380" w:type="dxa"/>
            <w:vAlign w:val="top"/>
          </w:tcPr>
          <w:p w14:paraId="4573DBA8">
            <w:pPr>
              <w:rPr>
                <w:rFonts w:ascii="Arial"/>
                <w:sz w:val="21"/>
              </w:rPr>
            </w:pPr>
          </w:p>
        </w:tc>
        <w:tc>
          <w:tcPr>
            <w:tcW w:w="1387" w:type="dxa"/>
            <w:vAlign w:val="top"/>
          </w:tcPr>
          <w:p w14:paraId="1D85B12C">
            <w:pPr>
              <w:rPr>
                <w:rFonts w:ascii="Arial"/>
                <w:sz w:val="21"/>
              </w:rPr>
            </w:pPr>
          </w:p>
        </w:tc>
        <w:tc>
          <w:tcPr>
            <w:tcW w:w="1200" w:type="dxa"/>
            <w:vAlign w:val="top"/>
          </w:tcPr>
          <w:p w14:paraId="0F87F454">
            <w:pPr>
              <w:rPr>
                <w:rFonts w:ascii="Arial"/>
                <w:sz w:val="21"/>
              </w:rPr>
            </w:pPr>
          </w:p>
        </w:tc>
        <w:tc>
          <w:tcPr>
            <w:tcW w:w="1337" w:type="dxa"/>
            <w:tcBorders>
              <w:right w:val="single" w:color="000000" w:sz="6" w:space="0"/>
            </w:tcBorders>
            <w:vAlign w:val="top"/>
          </w:tcPr>
          <w:p w14:paraId="16E958B4">
            <w:pPr>
              <w:rPr>
                <w:rFonts w:ascii="Arial"/>
                <w:sz w:val="21"/>
              </w:rPr>
            </w:pPr>
          </w:p>
        </w:tc>
        <w:tc>
          <w:tcPr>
            <w:tcW w:w="1295" w:type="dxa"/>
            <w:tcBorders>
              <w:left w:val="single" w:color="000000" w:sz="6" w:space="0"/>
            </w:tcBorders>
            <w:vAlign w:val="top"/>
          </w:tcPr>
          <w:p w14:paraId="1E9C5BF0">
            <w:pPr>
              <w:rPr>
                <w:rFonts w:ascii="Arial"/>
                <w:sz w:val="21"/>
              </w:rPr>
            </w:pPr>
          </w:p>
        </w:tc>
        <w:tc>
          <w:tcPr>
            <w:tcW w:w="1268" w:type="dxa"/>
            <w:vAlign w:val="top"/>
          </w:tcPr>
          <w:p w14:paraId="00B9F5E0">
            <w:pPr>
              <w:rPr>
                <w:rFonts w:ascii="Arial"/>
                <w:sz w:val="21"/>
              </w:rPr>
            </w:pPr>
          </w:p>
        </w:tc>
      </w:tr>
      <w:tr w14:paraId="055FE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trPr>
        <w:tc>
          <w:tcPr>
            <w:tcW w:w="757" w:type="dxa"/>
            <w:vAlign w:val="top"/>
          </w:tcPr>
          <w:p w14:paraId="401EFC21">
            <w:pPr>
              <w:rPr>
                <w:rFonts w:ascii="Arial"/>
                <w:sz w:val="21"/>
              </w:rPr>
            </w:pPr>
          </w:p>
        </w:tc>
        <w:tc>
          <w:tcPr>
            <w:tcW w:w="1380" w:type="dxa"/>
            <w:vAlign w:val="top"/>
          </w:tcPr>
          <w:p w14:paraId="624CFAFA">
            <w:pPr>
              <w:rPr>
                <w:rFonts w:ascii="Arial"/>
                <w:sz w:val="21"/>
              </w:rPr>
            </w:pPr>
          </w:p>
        </w:tc>
        <w:tc>
          <w:tcPr>
            <w:tcW w:w="1387" w:type="dxa"/>
            <w:vAlign w:val="top"/>
          </w:tcPr>
          <w:p w14:paraId="3CE30B35">
            <w:pPr>
              <w:rPr>
                <w:rFonts w:ascii="Arial"/>
                <w:sz w:val="21"/>
              </w:rPr>
            </w:pPr>
          </w:p>
        </w:tc>
        <w:tc>
          <w:tcPr>
            <w:tcW w:w="1200" w:type="dxa"/>
            <w:vAlign w:val="top"/>
          </w:tcPr>
          <w:p w14:paraId="04915B9E">
            <w:pPr>
              <w:rPr>
                <w:rFonts w:ascii="Arial"/>
                <w:sz w:val="21"/>
              </w:rPr>
            </w:pPr>
          </w:p>
        </w:tc>
        <w:tc>
          <w:tcPr>
            <w:tcW w:w="1337" w:type="dxa"/>
            <w:tcBorders>
              <w:right w:val="single" w:color="000000" w:sz="6" w:space="0"/>
            </w:tcBorders>
            <w:vAlign w:val="top"/>
          </w:tcPr>
          <w:p w14:paraId="6B6A3F94">
            <w:pPr>
              <w:rPr>
                <w:rFonts w:ascii="Arial"/>
                <w:sz w:val="21"/>
              </w:rPr>
            </w:pPr>
          </w:p>
        </w:tc>
        <w:tc>
          <w:tcPr>
            <w:tcW w:w="1295" w:type="dxa"/>
            <w:tcBorders>
              <w:left w:val="single" w:color="000000" w:sz="6" w:space="0"/>
            </w:tcBorders>
            <w:vAlign w:val="top"/>
          </w:tcPr>
          <w:p w14:paraId="07266ADC">
            <w:pPr>
              <w:rPr>
                <w:rFonts w:ascii="Arial"/>
                <w:sz w:val="21"/>
              </w:rPr>
            </w:pPr>
          </w:p>
        </w:tc>
        <w:tc>
          <w:tcPr>
            <w:tcW w:w="1268" w:type="dxa"/>
            <w:vAlign w:val="top"/>
          </w:tcPr>
          <w:p w14:paraId="5CE7ED13">
            <w:pPr>
              <w:rPr>
                <w:rFonts w:ascii="Arial"/>
                <w:sz w:val="21"/>
              </w:rPr>
            </w:pPr>
          </w:p>
        </w:tc>
      </w:tr>
    </w:tbl>
    <w:p w14:paraId="24DA92B1">
      <w:pPr>
        <w:spacing w:before="137" w:line="228" w:lineRule="auto"/>
        <w:jc w:val="right"/>
        <w:rPr>
          <w:rFonts w:ascii="宋体" w:hAnsi="宋体" w:eastAsia="宋体" w:cs="宋体"/>
          <w:spacing w:val="8"/>
          <w:sz w:val="19"/>
          <w:szCs w:val="19"/>
        </w:rPr>
      </w:pPr>
      <w:r>
        <w:rPr>
          <w:rFonts w:hint="eastAsia" w:ascii="宋体" w:hAnsi="宋体" w:eastAsia="宋体" w:cs="宋体"/>
          <w:spacing w:val="9"/>
          <w:sz w:val="19"/>
          <w:szCs w:val="19"/>
          <w:lang w:val="en-US" w:eastAsia="zh-CN"/>
        </w:rPr>
        <w:t xml:space="preserve">  </w:t>
      </w:r>
      <w:r>
        <w:rPr>
          <w:rFonts w:ascii="宋体" w:hAnsi="宋体" w:eastAsia="宋体" w:cs="宋体"/>
          <w:spacing w:val="9"/>
          <w:sz w:val="19"/>
          <w:szCs w:val="19"/>
        </w:rPr>
        <w:t>后附：上述项目的中标通知书或合同（包括：项目名称、签约时间、中标金额和双方签字</w:t>
      </w:r>
      <w:r>
        <w:rPr>
          <w:rFonts w:ascii="宋体" w:hAnsi="宋体" w:eastAsia="宋体" w:cs="宋体"/>
          <w:spacing w:val="8"/>
          <w:sz w:val="19"/>
          <w:szCs w:val="19"/>
        </w:rPr>
        <w:t xml:space="preserve">并盖章） </w:t>
      </w:r>
    </w:p>
    <w:p w14:paraId="32C40906">
      <w:pPr>
        <w:spacing w:before="137" w:line="228" w:lineRule="auto"/>
        <w:jc w:val="both"/>
        <w:rPr>
          <w:rFonts w:ascii="宋体" w:hAnsi="宋体" w:eastAsia="宋体" w:cs="宋体"/>
          <w:sz w:val="19"/>
          <w:szCs w:val="19"/>
        </w:rPr>
      </w:pPr>
      <w:r>
        <w:rPr>
          <w:rFonts w:ascii="宋体" w:hAnsi="宋体" w:eastAsia="宋体" w:cs="宋体"/>
          <w:spacing w:val="8"/>
          <w:sz w:val="19"/>
          <w:szCs w:val="19"/>
        </w:rPr>
        <w:t>复印件加盖公章，</w:t>
      </w:r>
      <w:r>
        <w:rPr>
          <w:rFonts w:ascii="宋体" w:hAnsi="宋体" w:eastAsia="宋体" w:cs="宋体"/>
          <w:spacing w:val="7"/>
          <w:sz w:val="19"/>
          <w:szCs w:val="19"/>
        </w:rPr>
        <w:t>否则该项业绩视为无效。</w:t>
      </w:r>
    </w:p>
    <w:p w14:paraId="35A133D0">
      <w:pPr>
        <w:pStyle w:val="2"/>
        <w:spacing w:line="254" w:lineRule="auto"/>
      </w:pPr>
    </w:p>
    <w:p w14:paraId="6DAE6E5B">
      <w:pPr>
        <w:pStyle w:val="2"/>
        <w:spacing w:line="254" w:lineRule="auto"/>
      </w:pPr>
    </w:p>
    <w:p w14:paraId="1CD6C3AF">
      <w:pPr>
        <w:pStyle w:val="2"/>
        <w:spacing w:line="254" w:lineRule="auto"/>
      </w:pPr>
    </w:p>
    <w:p w14:paraId="390132F8">
      <w:pPr>
        <w:pStyle w:val="2"/>
        <w:spacing w:line="254" w:lineRule="auto"/>
      </w:pPr>
    </w:p>
    <w:p w14:paraId="602F1E25">
      <w:pPr>
        <w:pStyle w:val="2"/>
        <w:spacing w:line="254" w:lineRule="auto"/>
      </w:pPr>
    </w:p>
    <w:p w14:paraId="2E412345">
      <w:pPr>
        <w:pStyle w:val="2"/>
        <w:spacing w:line="254" w:lineRule="auto"/>
      </w:pPr>
    </w:p>
    <w:p w14:paraId="537B813E">
      <w:pPr>
        <w:pStyle w:val="2"/>
        <w:spacing w:line="254" w:lineRule="auto"/>
      </w:pPr>
    </w:p>
    <w:p w14:paraId="4EC4A812">
      <w:pPr>
        <w:pStyle w:val="2"/>
        <w:spacing w:line="255" w:lineRule="auto"/>
      </w:pPr>
    </w:p>
    <w:p w14:paraId="1763B358">
      <w:pPr>
        <w:pStyle w:val="2"/>
        <w:spacing w:line="255" w:lineRule="auto"/>
      </w:pPr>
    </w:p>
    <w:p w14:paraId="4C6C82AF">
      <w:pPr>
        <w:spacing w:before="79" w:line="348" w:lineRule="auto"/>
        <w:ind w:left="612" w:right="2421"/>
        <w:rPr>
          <w:rFonts w:ascii="宋体" w:hAnsi="宋体" w:eastAsia="宋体" w:cs="宋体"/>
          <w:sz w:val="24"/>
          <w:szCs w:val="24"/>
        </w:rPr>
      </w:pPr>
      <w:r>
        <w:rPr>
          <w:rFonts w:hint="eastAsia" w:ascii="宋体" w:hAnsi="宋体"/>
          <w:sz w:val="24"/>
          <w:szCs w:val="24"/>
        </w:rPr>
        <w:t>供</w:t>
      </w:r>
      <w:r>
        <w:rPr>
          <w:rFonts w:hint="eastAsia" w:ascii="宋体" w:hAnsi="宋体"/>
          <w:sz w:val="24"/>
          <w:szCs w:val="24"/>
          <w:lang w:val="en-US" w:eastAsia="zh-CN"/>
        </w:rPr>
        <w:t xml:space="preserve">  </w:t>
      </w:r>
      <w:r>
        <w:rPr>
          <w:rFonts w:hint="eastAsia" w:ascii="宋体" w:hAnsi="宋体"/>
          <w:sz w:val="24"/>
          <w:szCs w:val="24"/>
        </w:rPr>
        <w:t>应</w:t>
      </w:r>
      <w:r>
        <w:rPr>
          <w:rFonts w:hint="eastAsia" w:ascii="宋体" w:hAnsi="宋体"/>
          <w:sz w:val="24"/>
          <w:szCs w:val="24"/>
          <w:lang w:val="en-US" w:eastAsia="zh-CN"/>
        </w:rPr>
        <w:t xml:space="preserve">  </w:t>
      </w:r>
      <w:r>
        <w:rPr>
          <w:rFonts w:hint="eastAsia" w:ascii="宋体" w:hAnsi="宋体"/>
          <w:sz w:val="24"/>
          <w:szCs w:val="24"/>
        </w:rPr>
        <w:t>商</w:t>
      </w:r>
      <w:r>
        <w:rPr>
          <w:rFonts w:ascii="宋体" w:hAnsi="宋体" w:eastAsia="宋体" w:cs="宋体"/>
          <w:spacing w:val="-29"/>
          <w:sz w:val="24"/>
          <w:szCs w:val="24"/>
        </w:rPr>
        <w:t>：</w:t>
      </w:r>
      <w:r>
        <w:rPr>
          <w:rFonts w:ascii="宋体" w:hAnsi="宋体" w:eastAsia="宋体" w:cs="宋体"/>
          <w:sz w:val="24"/>
          <w:szCs w:val="24"/>
          <w:u w:val="single" w:color="auto"/>
        </w:rPr>
        <w:t xml:space="preserve">                          </w:t>
      </w:r>
      <w:r>
        <w:rPr>
          <w:rFonts w:ascii="宋体" w:hAnsi="宋体" w:eastAsia="宋体" w:cs="宋体"/>
          <w:spacing w:val="-29"/>
          <w:sz w:val="24"/>
          <w:szCs w:val="24"/>
        </w:rPr>
        <w:t>（</w:t>
      </w:r>
      <w:r>
        <w:rPr>
          <w:rFonts w:ascii="宋体" w:hAnsi="宋体" w:eastAsia="宋体" w:cs="宋体"/>
          <w:spacing w:val="15"/>
          <w:sz w:val="24"/>
          <w:szCs w:val="24"/>
        </w:rPr>
        <w:t>盖单位公章）</w:t>
      </w:r>
      <w:r>
        <w:rPr>
          <w:rFonts w:ascii="宋体" w:hAnsi="宋体" w:eastAsia="宋体" w:cs="宋体"/>
          <w:spacing w:val="4"/>
          <w:sz w:val="24"/>
          <w:szCs w:val="24"/>
        </w:rPr>
        <w:t xml:space="preserve"> </w:t>
      </w:r>
      <w:r>
        <w:rPr>
          <w:rFonts w:hint="eastAsia" w:ascii="宋体" w:hAnsi="宋体"/>
          <w:sz w:val="24"/>
          <w:szCs w:val="24"/>
        </w:rPr>
        <w:t>供应商</w:t>
      </w:r>
      <w:r>
        <w:rPr>
          <w:rFonts w:ascii="宋体" w:hAnsi="宋体" w:eastAsia="宋体" w:cs="宋体"/>
          <w:spacing w:val="3"/>
          <w:sz w:val="24"/>
          <w:szCs w:val="24"/>
        </w:rPr>
        <w:t>代表</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rPr>
        <w:t>（</w:t>
      </w:r>
      <w:r>
        <w:rPr>
          <w:rFonts w:ascii="宋体" w:hAnsi="宋体" w:eastAsia="宋体" w:cs="宋体"/>
          <w:spacing w:val="3"/>
          <w:sz w:val="24"/>
          <w:szCs w:val="24"/>
        </w:rPr>
        <w:t>签字或盖章）</w:t>
      </w:r>
    </w:p>
    <w:p w14:paraId="52FC6D2C">
      <w:pPr>
        <w:spacing w:before="33" w:line="220" w:lineRule="auto"/>
        <w:ind w:left="650"/>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2"/>
          <w:sz w:val="24"/>
          <w:szCs w:val="24"/>
        </w:rPr>
        <w:t xml:space="preserve">      </w:t>
      </w:r>
      <w:r>
        <w:rPr>
          <w:rFonts w:ascii="宋体" w:hAnsi="宋体" w:eastAsia="宋体" w:cs="宋体"/>
          <w:spacing w:val="-15"/>
          <w:sz w:val="24"/>
          <w:szCs w:val="24"/>
        </w:rPr>
        <w:t>期：</w:t>
      </w:r>
      <w:r>
        <w:rPr>
          <w:rFonts w:ascii="宋体" w:hAnsi="宋体" w:eastAsia="宋体" w:cs="宋体"/>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15"/>
          <w:sz w:val="24"/>
          <w:szCs w:val="24"/>
        </w:rPr>
        <w:t>年</w:t>
      </w:r>
      <w:r>
        <w:rPr>
          <w:rFonts w:ascii="宋体" w:hAnsi="宋体" w:eastAsia="宋体" w:cs="宋体"/>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15"/>
          <w:sz w:val="24"/>
          <w:szCs w:val="24"/>
        </w:rPr>
        <w:t>月</w:t>
      </w:r>
      <w:r>
        <w:rPr>
          <w:rFonts w:ascii="宋体" w:hAnsi="宋体" w:eastAsia="宋体" w:cs="宋体"/>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15"/>
          <w:sz w:val="24"/>
          <w:szCs w:val="24"/>
        </w:rPr>
        <w:t>日</w:t>
      </w:r>
    </w:p>
    <w:p w14:paraId="4F4D4A56">
      <w:pPr>
        <w:spacing w:line="220" w:lineRule="auto"/>
        <w:rPr>
          <w:rFonts w:ascii="宋体" w:hAnsi="宋体" w:eastAsia="宋体" w:cs="宋体"/>
          <w:sz w:val="24"/>
          <w:szCs w:val="24"/>
        </w:rPr>
        <w:sectPr>
          <w:headerReference r:id="rId14" w:type="default"/>
          <w:footerReference r:id="rId15" w:type="default"/>
          <w:pgSz w:w="11910" w:h="16850"/>
          <w:pgMar w:top="1432" w:right="1417" w:bottom="1417" w:left="1417" w:header="1134" w:footer="1134" w:gutter="0"/>
          <w:cols w:space="720" w:num="1"/>
        </w:sectPr>
      </w:pPr>
    </w:p>
    <w:p w14:paraId="79BDDA73">
      <w:pPr>
        <w:spacing w:before="64" w:line="226" w:lineRule="auto"/>
        <w:jc w:val="center"/>
        <w:rPr>
          <w:rFonts w:ascii="宋体" w:hAnsi="宋体" w:eastAsia="宋体" w:cs="宋体"/>
          <w:sz w:val="31"/>
          <w:szCs w:val="31"/>
        </w:rPr>
      </w:pPr>
      <w:bookmarkStart w:id="283" w:name="bookmark12"/>
      <w:bookmarkEnd w:id="283"/>
      <w:r>
        <w:rPr>
          <w:rFonts w:ascii="宋体" w:hAnsi="宋体" w:eastAsia="宋体" w:cs="宋体"/>
          <w:b/>
          <w:bCs/>
          <w:spacing w:val="5"/>
          <w:sz w:val="31"/>
          <w:szCs w:val="31"/>
        </w:rPr>
        <w:t>专业人员配置</w:t>
      </w:r>
    </w:p>
    <w:p w14:paraId="33A3F872">
      <w:pPr>
        <w:spacing w:before="40"/>
      </w:pPr>
    </w:p>
    <w:p w14:paraId="36DAD9E8">
      <w:pPr>
        <w:spacing w:before="39"/>
      </w:pPr>
    </w:p>
    <w:tbl>
      <w:tblPr>
        <w:tblStyle w:val="51"/>
        <w:tblW w:w="9034" w:type="dxa"/>
        <w:tblInd w:w="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4"/>
        <w:gridCol w:w="1199"/>
        <w:gridCol w:w="1176"/>
        <w:gridCol w:w="1070"/>
        <w:gridCol w:w="1069"/>
        <w:gridCol w:w="1070"/>
        <w:gridCol w:w="996"/>
        <w:gridCol w:w="1650"/>
      </w:tblGrid>
      <w:tr w14:paraId="365676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804" w:type="dxa"/>
            <w:vAlign w:val="center"/>
          </w:tcPr>
          <w:p w14:paraId="45FD3787">
            <w:pPr>
              <w:pStyle w:val="50"/>
              <w:spacing w:before="65" w:line="230" w:lineRule="auto"/>
              <w:jc w:val="center"/>
              <w:rPr>
                <w:sz w:val="20"/>
                <w:szCs w:val="20"/>
              </w:rPr>
            </w:pPr>
            <w:r>
              <w:rPr>
                <w:spacing w:val="5"/>
                <w:sz w:val="20"/>
                <w:szCs w:val="20"/>
              </w:rPr>
              <w:t>序号</w:t>
            </w:r>
          </w:p>
        </w:tc>
        <w:tc>
          <w:tcPr>
            <w:tcW w:w="1199" w:type="dxa"/>
            <w:vAlign w:val="center"/>
          </w:tcPr>
          <w:p w14:paraId="03BCC38F">
            <w:pPr>
              <w:pStyle w:val="50"/>
              <w:spacing w:before="266" w:line="228" w:lineRule="auto"/>
              <w:jc w:val="center"/>
              <w:rPr>
                <w:sz w:val="20"/>
                <w:szCs w:val="20"/>
              </w:rPr>
            </w:pPr>
            <w:r>
              <w:rPr>
                <w:spacing w:val="4"/>
                <w:sz w:val="20"/>
                <w:szCs w:val="20"/>
              </w:rPr>
              <w:t>职务</w:t>
            </w:r>
          </w:p>
        </w:tc>
        <w:tc>
          <w:tcPr>
            <w:tcW w:w="1176" w:type="dxa"/>
            <w:vAlign w:val="center"/>
          </w:tcPr>
          <w:p w14:paraId="3040CB90">
            <w:pPr>
              <w:pStyle w:val="50"/>
              <w:spacing w:before="266" w:line="228" w:lineRule="auto"/>
              <w:jc w:val="center"/>
              <w:rPr>
                <w:sz w:val="20"/>
                <w:szCs w:val="20"/>
              </w:rPr>
            </w:pPr>
            <w:r>
              <w:rPr>
                <w:spacing w:val="4"/>
                <w:sz w:val="20"/>
                <w:szCs w:val="20"/>
              </w:rPr>
              <w:t>姓名</w:t>
            </w:r>
          </w:p>
        </w:tc>
        <w:tc>
          <w:tcPr>
            <w:tcW w:w="1070" w:type="dxa"/>
            <w:vAlign w:val="center"/>
          </w:tcPr>
          <w:p w14:paraId="55E52EF3">
            <w:pPr>
              <w:pStyle w:val="50"/>
              <w:spacing w:before="266" w:line="229" w:lineRule="auto"/>
              <w:jc w:val="center"/>
              <w:rPr>
                <w:sz w:val="20"/>
                <w:szCs w:val="20"/>
              </w:rPr>
            </w:pPr>
            <w:r>
              <w:rPr>
                <w:spacing w:val="4"/>
                <w:sz w:val="20"/>
                <w:szCs w:val="20"/>
              </w:rPr>
              <w:t>性别</w:t>
            </w:r>
          </w:p>
        </w:tc>
        <w:tc>
          <w:tcPr>
            <w:tcW w:w="1069" w:type="dxa"/>
            <w:vAlign w:val="center"/>
          </w:tcPr>
          <w:p w14:paraId="4310041B">
            <w:pPr>
              <w:pStyle w:val="50"/>
              <w:spacing w:before="266" w:line="228" w:lineRule="auto"/>
              <w:jc w:val="center"/>
              <w:rPr>
                <w:sz w:val="20"/>
                <w:szCs w:val="20"/>
              </w:rPr>
            </w:pPr>
            <w:r>
              <w:rPr>
                <w:spacing w:val="4"/>
                <w:sz w:val="20"/>
                <w:szCs w:val="20"/>
              </w:rPr>
              <w:t>年龄</w:t>
            </w:r>
          </w:p>
        </w:tc>
        <w:tc>
          <w:tcPr>
            <w:tcW w:w="1070" w:type="dxa"/>
            <w:vAlign w:val="center"/>
          </w:tcPr>
          <w:p w14:paraId="384EAA5E">
            <w:pPr>
              <w:pStyle w:val="50"/>
              <w:spacing w:before="265" w:line="230" w:lineRule="auto"/>
              <w:jc w:val="center"/>
              <w:rPr>
                <w:sz w:val="20"/>
                <w:szCs w:val="20"/>
              </w:rPr>
            </w:pPr>
            <w:r>
              <w:rPr>
                <w:spacing w:val="2"/>
                <w:sz w:val="20"/>
                <w:szCs w:val="20"/>
              </w:rPr>
              <w:t>学历</w:t>
            </w:r>
          </w:p>
        </w:tc>
        <w:tc>
          <w:tcPr>
            <w:tcW w:w="996" w:type="dxa"/>
            <w:vAlign w:val="center"/>
          </w:tcPr>
          <w:p w14:paraId="326BC12C">
            <w:pPr>
              <w:pStyle w:val="50"/>
              <w:spacing w:before="266" w:line="228" w:lineRule="auto"/>
              <w:jc w:val="center"/>
              <w:rPr>
                <w:sz w:val="20"/>
                <w:szCs w:val="20"/>
              </w:rPr>
            </w:pPr>
            <w:r>
              <w:rPr>
                <w:spacing w:val="7"/>
                <w:sz w:val="20"/>
                <w:szCs w:val="20"/>
              </w:rPr>
              <w:t>执业资格</w:t>
            </w:r>
          </w:p>
        </w:tc>
        <w:tc>
          <w:tcPr>
            <w:tcW w:w="1650" w:type="dxa"/>
            <w:vAlign w:val="center"/>
          </w:tcPr>
          <w:p w14:paraId="4AED8BC1">
            <w:pPr>
              <w:pStyle w:val="50"/>
              <w:spacing w:before="267" w:line="234" w:lineRule="auto"/>
              <w:ind w:right="126"/>
              <w:jc w:val="center"/>
              <w:rPr>
                <w:sz w:val="20"/>
                <w:szCs w:val="20"/>
              </w:rPr>
            </w:pPr>
            <w:r>
              <w:rPr>
                <w:spacing w:val="8"/>
                <w:sz w:val="20"/>
                <w:szCs w:val="20"/>
              </w:rPr>
              <w:t>从事专业工作年</w:t>
            </w:r>
            <w:r>
              <w:rPr>
                <w:spacing w:val="1"/>
                <w:sz w:val="20"/>
                <w:szCs w:val="20"/>
              </w:rPr>
              <w:t xml:space="preserve"> </w:t>
            </w:r>
            <w:r>
              <w:rPr>
                <w:sz w:val="20"/>
                <w:szCs w:val="20"/>
              </w:rPr>
              <w:t>限</w:t>
            </w:r>
          </w:p>
        </w:tc>
      </w:tr>
      <w:tr w14:paraId="3CF87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6" w:hRule="atLeast"/>
        </w:trPr>
        <w:tc>
          <w:tcPr>
            <w:tcW w:w="804" w:type="dxa"/>
            <w:vAlign w:val="top"/>
          </w:tcPr>
          <w:p w14:paraId="1CFD5ED5">
            <w:pPr>
              <w:rPr>
                <w:rFonts w:ascii="Arial"/>
                <w:sz w:val="21"/>
              </w:rPr>
            </w:pPr>
          </w:p>
        </w:tc>
        <w:tc>
          <w:tcPr>
            <w:tcW w:w="1199" w:type="dxa"/>
            <w:vAlign w:val="top"/>
          </w:tcPr>
          <w:p w14:paraId="05FD2D54">
            <w:pPr>
              <w:rPr>
                <w:rFonts w:ascii="Arial"/>
                <w:sz w:val="21"/>
              </w:rPr>
            </w:pPr>
          </w:p>
        </w:tc>
        <w:tc>
          <w:tcPr>
            <w:tcW w:w="1176" w:type="dxa"/>
            <w:vAlign w:val="top"/>
          </w:tcPr>
          <w:p w14:paraId="4BF09952">
            <w:pPr>
              <w:rPr>
                <w:rFonts w:ascii="Arial"/>
                <w:sz w:val="21"/>
              </w:rPr>
            </w:pPr>
          </w:p>
        </w:tc>
        <w:tc>
          <w:tcPr>
            <w:tcW w:w="1070" w:type="dxa"/>
            <w:vAlign w:val="top"/>
          </w:tcPr>
          <w:p w14:paraId="01DFC9F8">
            <w:pPr>
              <w:rPr>
                <w:rFonts w:ascii="Arial"/>
                <w:sz w:val="21"/>
              </w:rPr>
            </w:pPr>
          </w:p>
        </w:tc>
        <w:tc>
          <w:tcPr>
            <w:tcW w:w="1069" w:type="dxa"/>
            <w:vAlign w:val="top"/>
          </w:tcPr>
          <w:p w14:paraId="4A26D2D9">
            <w:pPr>
              <w:rPr>
                <w:rFonts w:ascii="Arial"/>
                <w:sz w:val="21"/>
              </w:rPr>
            </w:pPr>
          </w:p>
        </w:tc>
        <w:tc>
          <w:tcPr>
            <w:tcW w:w="1070" w:type="dxa"/>
            <w:vAlign w:val="top"/>
          </w:tcPr>
          <w:p w14:paraId="1F088276">
            <w:pPr>
              <w:rPr>
                <w:rFonts w:ascii="Arial"/>
                <w:sz w:val="21"/>
              </w:rPr>
            </w:pPr>
          </w:p>
        </w:tc>
        <w:tc>
          <w:tcPr>
            <w:tcW w:w="996" w:type="dxa"/>
            <w:vAlign w:val="top"/>
          </w:tcPr>
          <w:p w14:paraId="2DB3F647">
            <w:pPr>
              <w:rPr>
                <w:rFonts w:ascii="Arial"/>
                <w:sz w:val="21"/>
              </w:rPr>
            </w:pPr>
          </w:p>
        </w:tc>
        <w:tc>
          <w:tcPr>
            <w:tcW w:w="1650" w:type="dxa"/>
            <w:vAlign w:val="top"/>
          </w:tcPr>
          <w:p w14:paraId="4928A47E">
            <w:pPr>
              <w:rPr>
                <w:rFonts w:ascii="Arial"/>
                <w:sz w:val="21"/>
              </w:rPr>
            </w:pPr>
          </w:p>
        </w:tc>
      </w:tr>
      <w:tr w14:paraId="1F26EF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804" w:type="dxa"/>
            <w:vAlign w:val="top"/>
          </w:tcPr>
          <w:p w14:paraId="6B780B37">
            <w:pPr>
              <w:rPr>
                <w:rFonts w:ascii="Arial"/>
                <w:sz w:val="21"/>
              </w:rPr>
            </w:pPr>
          </w:p>
        </w:tc>
        <w:tc>
          <w:tcPr>
            <w:tcW w:w="1199" w:type="dxa"/>
            <w:vAlign w:val="top"/>
          </w:tcPr>
          <w:p w14:paraId="6D0B1BC0">
            <w:pPr>
              <w:rPr>
                <w:rFonts w:ascii="Arial"/>
                <w:sz w:val="21"/>
              </w:rPr>
            </w:pPr>
          </w:p>
        </w:tc>
        <w:tc>
          <w:tcPr>
            <w:tcW w:w="1176" w:type="dxa"/>
            <w:vAlign w:val="top"/>
          </w:tcPr>
          <w:p w14:paraId="2AF3BCB9">
            <w:pPr>
              <w:rPr>
                <w:rFonts w:ascii="Arial"/>
                <w:sz w:val="21"/>
              </w:rPr>
            </w:pPr>
          </w:p>
        </w:tc>
        <w:tc>
          <w:tcPr>
            <w:tcW w:w="1070" w:type="dxa"/>
            <w:vAlign w:val="top"/>
          </w:tcPr>
          <w:p w14:paraId="59F98141">
            <w:pPr>
              <w:rPr>
                <w:rFonts w:ascii="Arial"/>
                <w:sz w:val="21"/>
              </w:rPr>
            </w:pPr>
          </w:p>
        </w:tc>
        <w:tc>
          <w:tcPr>
            <w:tcW w:w="1069" w:type="dxa"/>
            <w:vAlign w:val="top"/>
          </w:tcPr>
          <w:p w14:paraId="053B4393">
            <w:pPr>
              <w:rPr>
                <w:rFonts w:ascii="Arial"/>
                <w:sz w:val="21"/>
              </w:rPr>
            </w:pPr>
          </w:p>
        </w:tc>
        <w:tc>
          <w:tcPr>
            <w:tcW w:w="1070" w:type="dxa"/>
            <w:vAlign w:val="top"/>
          </w:tcPr>
          <w:p w14:paraId="4CF62658">
            <w:pPr>
              <w:rPr>
                <w:rFonts w:ascii="Arial"/>
                <w:sz w:val="21"/>
              </w:rPr>
            </w:pPr>
          </w:p>
        </w:tc>
        <w:tc>
          <w:tcPr>
            <w:tcW w:w="996" w:type="dxa"/>
            <w:vAlign w:val="top"/>
          </w:tcPr>
          <w:p w14:paraId="1AF01BDB">
            <w:pPr>
              <w:rPr>
                <w:rFonts w:ascii="Arial"/>
                <w:sz w:val="21"/>
              </w:rPr>
            </w:pPr>
          </w:p>
        </w:tc>
        <w:tc>
          <w:tcPr>
            <w:tcW w:w="1650" w:type="dxa"/>
            <w:vAlign w:val="top"/>
          </w:tcPr>
          <w:p w14:paraId="350081E6">
            <w:pPr>
              <w:rPr>
                <w:rFonts w:ascii="Arial"/>
                <w:sz w:val="21"/>
              </w:rPr>
            </w:pPr>
          </w:p>
        </w:tc>
      </w:tr>
      <w:tr w14:paraId="608CC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804" w:type="dxa"/>
            <w:vAlign w:val="top"/>
          </w:tcPr>
          <w:p w14:paraId="773E2EA0">
            <w:pPr>
              <w:rPr>
                <w:rFonts w:ascii="Arial"/>
                <w:sz w:val="21"/>
              </w:rPr>
            </w:pPr>
          </w:p>
        </w:tc>
        <w:tc>
          <w:tcPr>
            <w:tcW w:w="1199" w:type="dxa"/>
            <w:vAlign w:val="top"/>
          </w:tcPr>
          <w:p w14:paraId="433FE264">
            <w:pPr>
              <w:rPr>
                <w:rFonts w:ascii="Arial"/>
                <w:sz w:val="21"/>
              </w:rPr>
            </w:pPr>
          </w:p>
        </w:tc>
        <w:tc>
          <w:tcPr>
            <w:tcW w:w="1176" w:type="dxa"/>
            <w:vAlign w:val="top"/>
          </w:tcPr>
          <w:p w14:paraId="050E3A4E">
            <w:pPr>
              <w:rPr>
                <w:rFonts w:ascii="Arial"/>
                <w:sz w:val="21"/>
              </w:rPr>
            </w:pPr>
          </w:p>
        </w:tc>
        <w:tc>
          <w:tcPr>
            <w:tcW w:w="1070" w:type="dxa"/>
            <w:vAlign w:val="top"/>
          </w:tcPr>
          <w:p w14:paraId="471A91D4">
            <w:pPr>
              <w:rPr>
                <w:rFonts w:ascii="Arial"/>
                <w:sz w:val="21"/>
              </w:rPr>
            </w:pPr>
          </w:p>
        </w:tc>
        <w:tc>
          <w:tcPr>
            <w:tcW w:w="1069" w:type="dxa"/>
            <w:vAlign w:val="top"/>
          </w:tcPr>
          <w:p w14:paraId="3F634027">
            <w:pPr>
              <w:rPr>
                <w:rFonts w:ascii="Arial"/>
                <w:sz w:val="21"/>
              </w:rPr>
            </w:pPr>
          </w:p>
        </w:tc>
        <w:tc>
          <w:tcPr>
            <w:tcW w:w="1070" w:type="dxa"/>
            <w:vAlign w:val="top"/>
          </w:tcPr>
          <w:p w14:paraId="3011848B">
            <w:pPr>
              <w:rPr>
                <w:rFonts w:ascii="Arial"/>
                <w:sz w:val="21"/>
              </w:rPr>
            </w:pPr>
          </w:p>
        </w:tc>
        <w:tc>
          <w:tcPr>
            <w:tcW w:w="996" w:type="dxa"/>
            <w:vAlign w:val="top"/>
          </w:tcPr>
          <w:p w14:paraId="38BC3EF7">
            <w:pPr>
              <w:rPr>
                <w:rFonts w:ascii="Arial"/>
                <w:sz w:val="21"/>
              </w:rPr>
            </w:pPr>
          </w:p>
        </w:tc>
        <w:tc>
          <w:tcPr>
            <w:tcW w:w="1650" w:type="dxa"/>
            <w:vAlign w:val="top"/>
          </w:tcPr>
          <w:p w14:paraId="5CA34915">
            <w:pPr>
              <w:rPr>
                <w:rFonts w:ascii="Arial"/>
                <w:sz w:val="21"/>
              </w:rPr>
            </w:pPr>
          </w:p>
        </w:tc>
      </w:tr>
      <w:tr w14:paraId="79C80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804" w:type="dxa"/>
            <w:vAlign w:val="top"/>
          </w:tcPr>
          <w:p w14:paraId="19391A03">
            <w:pPr>
              <w:rPr>
                <w:rFonts w:ascii="Arial"/>
                <w:sz w:val="21"/>
              </w:rPr>
            </w:pPr>
          </w:p>
        </w:tc>
        <w:tc>
          <w:tcPr>
            <w:tcW w:w="1199" w:type="dxa"/>
            <w:vAlign w:val="top"/>
          </w:tcPr>
          <w:p w14:paraId="0308AA06">
            <w:pPr>
              <w:rPr>
                <w:rFonts w:ascii="Arial"/>
                <w:sz w:val="21"/>
              </w:rPr>
            </w:pPr>
          </w:p>
        </w:tc>
        <w:tc>
          <w:tcPr>
            <w:tcW w:w="1176" w:type="dxa"/>
            <w:vAlign w:val="top"/>
          </w:tcPr>
          <w:p w14:paraId="525356F2">
            <w:pPr>
              <w:rPr>
                <w:rFonts w:ascii="Arial"/>
                <w:sz w:val="21"/>
              </w:rPr>
            </w:pPr>
          </w:p>
        </w:tc>
        <w:tc>
          <w:tcPr>
            <w:tcW w:w="1070" w:type="dxa"/>
            <w:vAlign w:val="top"/>
          </w:tcPr>
          <w:p w14:paraId="5AE64C1C">
            <w:pPr>
              <w:rPr>
                <w:rFonts w:ascii="Arial"/>
                <w:sz w:val="21"/>
              </w:rPr>
            </w:pPr>
          </w:p>
        </w:tc>
        <w:tc>
          <w:tcPr>
            <w:tcW w:w="1069" w:type="dxa"/>
            <w:vAlign w:val="top"/>
          </w:tcPr>
          <w:p w14:paraId="4F9E67D5">
            <w:pPr>
              <w:rPr>
                <w:rFonts w:ascii="Arial"/>
                <w:sz w:val="21"/>
              </w:rPr>
            </w:pPr>
          </w:p>
        </w:tc>
        <w:tc>
          <w:tcPr>
            <w:tcW w:w="1070" w:type="dxa"/>
            <w:vAlign w:val="top"/>
          </w:tcPr>
          <w:p w14:paraId="7DB17AE3">
            <w:pPr>
              <w:rPr>
                <w:rFonts w:ascii="Arial"/>
                <w:sz w:val="21"/>
              </w:rPr>
            </w:pPr>
          </w:p>
        </w:tc>
        <w:tc>
          <w:tcPr>
            <w:tcW w:w="996" w:type="dxa"/>
            <w:vAlign w:val="top"/>
          </w:tcPr>
          <w:p w14:paraId="36519E2F">
            <w:pPr>
              <w:rPr>
                <w:rFonts w:ascii="Arial"/>
                <w:sz w:val="21"/>
              </w:rPr>
            </w:pPr>
          </w:p>
        </w:tc>
        <w:tc>
          <w:tcPr>
            <w:tcW w:w="1650" w:type="dxa"/>
            <w:vAlign w:val="top"/>
          </w:tcPr>
          <w:p w14:paraId="1EB04179">
            <w:pPr>
              <w:rPr>
                <w:rFonts w:ascii="Arial"/>
                <w:sz w:val="21"/>
              </w:rPr>
            </w:pPr>
          </w:p>
        </w:tc>
      </w:tr>
      <w:tr w14:paraId="3FEDDF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568E340A">
            <w:pPr>
              <w:rPr>
                <w:rFonts w:ascii="Arial"/>
                <w:sz w:val="21"/>
              </w:rPr>
            </w:pPr>
          </w:p>
        </w:tc>
        <w:tc>
          <w:tcPr>
            <w:tcW w:w="1199" w:type="dxa"/>
            <w:vAlign w:val="top"/>
          </w:tcPr>
          <w:p w14:paraId="4B42EB24">
            <w:pPr>
              <w:rPr>
                <w:rFonts w:ascii="Arial"/>
                <w:sz w:val="21"/>
              </w:rPr>
            </w:pPr>
          </w:p>
        </w:tc>
        <w:tc>
          <w:tcPr>
            <w:tcW w:w="1176" w:type="dxa"/>
            <w:vAlign w:val="top"/>
          </w:tcPr>
          <w:p w14:paraId="5BE4C678">
            <w:pPr>
              <w:rPr>
                <w:rFonts w:ascii="Arial"/>
                <w:sz w:val="21"/>
              </w:rPr>
            </w:pPr>
          </w:p>
        </w:tc>
        <w:tc>
          <w:tcPr>
            <w:tcW w:w="1070" w:type="dxa"/>
            <w:vAlign w:val="top"/>
          </w:tcPr>
          <w:p w14:paraId="5A7A229B">
            <w:pPr>
              <w:rPr>
                <w:rFonts w:ascii="Arial"/>
                <w:sz w:val="21"/>
              </w:rPr>
            </w:pPr>
          </w:p>
        </w:tc>
        <w:tc>
          <w:tcPr>
            <w:tcW w:w="1069" w:type="dxa"/>
            <w:vAlign w:val="top"/>
          </w:tcPr>
          <w:p w14:paraId="5DA3F9A4">
            <w:pPr>
              <w:rPr>
                <w:rFonts w:ascii="Arial"/>
                <w:sz w:val="21"/>
              </w:rPr>
            </w:pPr>
          </w:p>
        </w:tc>
        <w:tc>
          <w:tcPr>
            <w:tcW w:w="1070" w:type="dxa"/>
            <w:vAlign w:val="top"/>
          </w:tcPr>
          <w:p w14:paraId="367360C5">
            <w:pPr>
              <w:rPr>
                <w:rFonts w:ascii="Arial"/>
                <w:sz w:val="21"/>
              </w:rPr>
            </w:pPr>
          </w:p>
        </w:tc>
        <w:tc>
          <w:tcPr>
            <w:tcW w:w="996" w:type="dxa"/>
            <w:vAlign w:val="top"/>
          </w:tcPr>
          <w:p w14:paraId="23ED31A9">
            <w:pPr>
              <w:rPr>
                <w:rFonts w:ascii="Arial"/>
                <w:sz w:val="21"/>
              </w:rPr>
            </w:pPr>
          </w:p>
        </w:tc>
        <w:tc>
          <w:tcPr>
            <w:tcW w:w="1650" w:type="dxa"/>
            <w:vAlign w:val="top"/>
          </w:tcPr>
          <w:p w14:paraId="7D8543A6">
            <w:pPr>
              <w:rPr>
                <w:rFonts w:ascii="Arial"/>
                <w:sz w:val="21"/>
              </w:rPr>
            </w:pPr>
          </w:p>
        </w:tc>
      </w:tr>
      <w:tr w14:paraId="2D40EA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23F4A5A4">
            <w:pPr>
              <w:rPr>
                <w:rFonts w:ascii="Arial"/>
                <w:sz w:val="21"/>
              </w:rPr>
            </w:pPr>
          </w:p>
        </w:tc>
        <w:tc>
          <w:tcPr>
            <w:tcW w:w="1199" w:type="dxa"/>
            <w:vAlign w:val="top"/>
          </w:tcPr>
          <w:p w14:paraId="3F2DBC97">
            <w:pPr>
              <w:rPr>
                <w:rFonts w:ascii="Arial"/>
                <w:sz w:val="21"/>
              </w:rPr>
            </w:pPr>
          </w:p>
        </w:tc>
        <w:tc>
          <w:tcPr>
            <w:tcW w:w="1176" w:type="dxa"/>
            <w:vAlign w:val="top"/>
          </w:tcPr>
          <w:p w14:paraId="2B6D7C79">
            <w:pPr>
              <w:rPr>
                <w:rFonts w:ascii="Arial"/>
                <w:sz w:val="21"/>
              </w:rPr>
            </w:pPr>
          </w:p>
        </w:tc>
        <w:tc>
          <w:tcPr>
            <w:tcW w:w="1070" w:type="dxa"/>
            <w:vAlign w:val="top"/>
          </w:tcPr>
          <w:p w14:paraId="5E20CE8B">
            <w:pPr>
              <w:rPr>
                <w:rFonts w:ascii="Arial"/>
                <w:sz w:val="21"/>
              </w:rPr>
            </w:pPr>
          </w:p>
        </w:tc>
        <w:tc>
          <w:tcPr>
            <w:tcW w:w="1069" w:type="dxa"/>
            <w:vAlign w:val="top"/>
          </w:tcPr>
          <w:p w14:paraId="4F390A76">
            <w:pPr>
              <w:rPr>
                <w:rFonts w:ascii="Arial"/>
                <w:sz w:val="21"/>
              </w:rPr>
            </w:pPr>
          </w:p>
        </w:tc>
        <w:tc>
          <w:tcPr>
            <w:tcW w:w="1070" w:type="dxa"/>
            <w:vAlign w:val="top"/>
          </w:tcPr>
          <w:p w14:paraId="6FC85118">
            <w:pPr>
              <w:rPr>
                <w:rFonts w:ascii="Arial"/>
                <w:sz w:val="21"/>
              </w:rPr>
            </w:pPr>
          </w:p>
        </w:tc>
        <w:tc>
          <w:tcPr>
            <w:tcW w:w="996" w:type="dxa"/>
            <w:vAlign w:val="top"/>
          </w:tcPr>
          <w:p w14:paraId="478C901A">
            <w:pPr>
              <w:rPr>
                <w:rFonts w:ascii="Arial"/>
                <w:sz w:val="21"/>
              </w:rPr>
            </w:pPr>
          </w:p>
        </w:tc>
        <w:tc>
          <w:tcPr>
            <w:tcW w:w="1650" w:type="dxa"/>
            <w:vAlign w:val="top"/>
          </w:tcPr>
          <w:p w14:paraId="743D52FB">
            <w:pPr>
              <w:rPr>
                <w:rFonts w:ascii="Arial"/>
                <w:sz w:val="21"/>
              </w:rPr>
            </w:pPr>
          </w:p>
        </w:tc>
      </w:tr>
      <w:tr w14:paraId="1CF89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681A906D">
            <w:pPr>
              <w:rPr>
                <w:rFonts w:ascii="Arial"/>
                <w:sz w:val="21"/>
              </w:rPr>
            </w:pPr>
          </w:p>
        </w:tc>
        <w:tc>
          <w:tcPr>
            <w:tcW w:w="1199" w:type="dxa"/>
            <w:vAlign w:val="top"/>
          </w:tcPr>
          <w:p w14:paraId="00B53274">
            <w:pPr>
              <w:rPr>
                <w:rFonts w:ascii="Arial"/>
                <w:sz w:val="21"/>
              </w:rPr>
            </w:pPr>
          </w:p>
        </w:tc>
        <w:tc>
          <w:tcPr>
            <w:tcW w:w="1176" w:type="dxa"/>
            <w:vAlign w:val="top"/>
          </w:tcPr>
          <w:p w14:paraId="7077D449">
            <w:pPr>
              <w:rPr>
                <w:rFonts w:ascii="Arial"/>
                <w:sz w:val="21"/>
              </w:rPr>
            </w:pPr>
          </w:p>
        </w:tc>
        <w:tc>
          <w:tcPr>
            <w:tcW w:w="1070" w:type="dxa"/>
            <w:vAlign w:val="top"/>
          </w:tcPr>
          <w:p w14:paraId="52D6F083">
            <w:pPr>
              <w:rPr>
                <w:rFonts w:ascii="Arial"/>
                <w:sz w:val="21"/>
              </w:rPr>
            </w:pPr>
          </w:p>
        </w:tc>
        <w:tc>
          <w:tcPr>
            <w:tcW w:w="1069" w:type="dxa"/>
            <w:vAlign w:val="top"/>
          </w:tcPr>
          <w:p w14:paraId="5DC2B79F">
            <w:pPr>
              <w:rPr>
                <w:rFonts w:ascii="Arial"/>
                <w:sz w:val="21"/>
              </w:rPr>
            </w:pPr>
          </w:p>
        </w:tc>
        <w:tc>
          <w:tcPr>
            <w:tcW w:w="1070" w:type="dxa"/>
            <w:vAlign w:val="top"/>
          </w:tcPr>
          <w:p w14:paraId="38CC2B14">
            <w:pPr>
              <w:rPr>
                <w:rFonts w:ascii="Arial"/>
                <w:sz w:val="21"/>
              </w:rPr>
            </w:pPr>
          </w:p>
        </w:tc>
        <w:tc>
          <w:tcPr>
            <w:tcW w:w="996" w:type="dxa"/>
            <w:vAlign w:val="top"/>
          </w:tcPr>
          <w:p w14:paraId="0DB616C3">
            <w:pPr>
              <w:rPr>
                <w:rFonts w:ascii="Arial"/>
                <w:sz w:val="21"/>
              </w:rPr>
            </w:pPr>
          </w:p>
        </w:tc>
        <w:tc>
          <w:tcPr>
            <w:tcW w:w="1650" w:type="dxa"/>
            <w:vAlign w:val="top"/>
          </w:tcPr>
          <w:p w14:paraId="04DA15BE">
            <w:pPr>
              <w:rPr>
                <w:rFonts w:ascii="Arial"/>
                <w:sz w:val="21"/>
              </w:rPr>
            </w:pPr>
          </w:p>
        </w:tc>
      </w:tr>
      <w:tr w14:paraId="1C0BBE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19A41517">
            <w:pPr>
              <w:rPr>
                <w:rFonts w:ascii="Arial"/>
                <w:sz w:val="21"/>
              </w:rPr>
            </w:pPr>
          </w:p>
        </w:tc>
        <w:tc>
          <w:tcPr>
            <w:tcW w:w="1199" w:type="dxa"/>
            <w:vAlign w:val="top"/>
          </w:tcPr>
          <w:p w14:paraId="48364C8A">
            <w:pPr>
              <w:rPr>
                <w:rFonts w:ascii="Arial"/>
                <w:sz w:val="21"/>
              </w:rPr>
            </w:pPr>
          </w:p>
        </w:tc>
        <w:tc>
          <w:tcPr>
            <w:tcW w:w="1176" w:type="dxa"/>
            <w:vAlign w:val="top"/>
          </w:tcPr>
          <w:p w14:paraId="14DEC72F">
            <w:pPr>
              <w:rPr>
                <w:rFonts w:ascii="Arial"/>
                <w:sz w:val="21"/>
              </w:rPr>
            </w:pPr>
          </w:p>
        </w:tc>
        <w:tc>
          <w:tcPr>
            <w:tcW w:w="1070" w:type="dxa"/>
            <w:vAlign w:val="top"/>
          </w:tcPr>
          <w:p w14:paraId="62CAD770">
            <w:pPr>
              <w:rPr>
                <w:rFonts w:ascii="Arial"/>
                <w:sz w:val="21"/>
              </w:rPr>
            </w:pPr>
          </w:p>
        </w:tc>
        <w:tc>
          <w:tcPr>
            <w:tcW w:w="1069" w:type="dxa"/>
            <w:vAlign w:val="top"/>
          </w:tcPr>
          <w:p w14:paraId="4F159EFC">
            <w:pPr>
              <w:rPr>
                <w:rFonts w:ascii="Arial"/>
                <w:sz w:val="21"/>
              </w:rPr>
            </w:pPr>
          </w:p>
        </w:tc>
        <w:tc>
          <w:tcPr>
            <w:tcW w:w="1070" w:type="dxa"/>
            <w:vAlign w:val="top"/>
          </w:tcPr>
          <w:p w14:paraId="331960D3">
            <w:pPr>
              <w:rPr>
                <w:rFonts w:ascii="Arial"/>
                <w:sz w:val="21"/>
              </w:rPr>
            </w:pPr>
          </w:p>
        </w:tc>
        <w:tc>
          <w:tcPr>
            <w:tcW w:w="996" w:type="dxa"/>
            <w:vAlign w:val="top"/>
          </w:tcPr>
          <w:p w14:paraId="5C8F8ADB">
            <w:pPr>
              <w:rPr>
                <w:rFonts w:ascii="Arial"/>
                <w:sz w:val="21"/>
              </w:rPr>
            </w:pPr>
          </w:p>
        </w:tc>
        <w:tc>
          <w:tcPr>
            <w:tcW w:w="1650" w:type="dxa"/>
            <w:vAlign w:val="top"/>
          </w:tcPr>
          <w:p w14:paraId="572F428E">
            <w:pPr>
              <w:rPr>
                <w:rFonts w:ascii="Arial"/>
                <w:sz w:val="21"/>
              </w:rPr>
            </w:pPr>
          </w:p>
        </w:tc>
      </w:tr>
      <w:tr w14:paraId="39D4B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4DACCFC9">
            <w:pPr>
              <w:rPr>
                <w:rFonts w:ascii="Arial"/>
                <w:sz w:val="21"/>
              </w:rPr>
            </w:pPr>
          </w:p>
        </w:tc>
        <w:tc>
          <w:tcPr>
            <w:tcW w:w="1199" w:type="dxa"/>
            <w:vAlign w:val="top"/>
          </w:tcPr>
          <w:p w14:paraId="4A5641CB">
            <w:pPr>
              <w:rPr>
                <w:rFonts w:ascii="Arial"/>
                <w:sz w:val="21"/>
              </w:rPr>
            </w:pPr>
          </w:p>
        </w:tc>
        <w:tc>
          <w:tcPr>
            <w:tcW w:w="1176" w:type="dxa"/>
            <w:vAlign w:val="top"/>
          </w:tcPr>
          <w:p w14:paraId="7AA80189">
            <w:pPr>
              <w:rPr>
                <w:rFonts w:ascii="Arial"/>
                <w:sz w:val="21"/>
              </w:rPr>
            </w:pPr>
          </w:p>
        </w:tc>
        <w:tc>
          <w:tcPr>
            <w:tcW w:w="1070" w:type="dxa"/>
            <w:vAlign w:val="top"/>
          </w:tcPr>
          <w:p w14:paraId="04F8378A">
            <w:pPr>
              <w:rPr>
                <w:rFonts w:ascii="Arial"/>
                <w:sz w:val="21"/>
              </w:rPr>
            </w:pPr>
          </w:p>
        </w:tc>
        <w:tc>
          <w:tcPr>
            <w:tcW w:w="1069" w:type="dxa"/>
            <w:vAlign w:val="top"/>
          </w:tcPr>
          <w:p w14:paraId="68D57314">
            <w:pPr>
              <w:rPr>
                <w:rFonts w:ascii="Arial"/>
                <w:sz w:val="21"/>
              </w:rPr>
            </w:pPr>
          </w:p>
        </w:tc>
        <w:tc>
          <w:tcPr>
            <w:tcW w:w="1070" w:type="dxa"/>
            <w:vAlign w:val="top"/>
          </w:tcPr>
          <w:p w14:paraId="33ABD502">
            <w:pPr>
              <w:rPr>
                <w:rFonts w:ascii="Arial"/>
                <w:sz w:val="21"/>
              </w:rPr>
            </w:pPr>
          </w:p>
        </w:tc>
        <w:tc>
          <w:tcPr>
            <w:tcW w:w="996" w:type="dxa"/>
            <w:vAlign w:val="top"/>
          </w:tcPr>
          <w:p w14:paraId="1507244E">
            <w:pPr>
              <w:rPr>
                <w:rFonts w:ascii="Arial"/>
                <w:sz w:val="21"/>
              </w:rPr>
            </w:pPr>
          </w:p>
        </w:tc>
        <w:tc>
          <w:tcPr>
            <w:tcW w:w="1650" w:type="dxa"/>
            <w:vAlign w:val="top"/>
          </w:tcPr>
          <w:p w14:paraId="5F245309">
            <w:pPr>
              <w:rPr>
                <w:rFonts w:ascii="Arial"/>
                <w:sz w:val="21"/>
              </w:rPr>
            </w:pPr>
          </w:p>
        </w:tc>
      </w:tr>
      <w:tr w14:paraId="63EA0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15B50376">
            <w:pPr>
              <w:rPr>
                <w:rFonts w:ascii="Arial"/>
                <w:sz w:val="21"/>
              </w:rPr>
            </w:pPr>
          </w:p>
        </w:tc>
        <w:tc>
          <w:tcPr>
            <w:tcW w:w="1199" w:type="dxa"/>
            <w:vAlign w:val="top"/>
          </w:tcPr>
          <w:p w14:paraId="15E690F4">
            <w:pPr>
              <w:rPr>
                <w:rFonts w:ascii="Arial"/>
                <w:sz w:val="21"/>
              </w:rPr>
            </w:pPr>
          </w:p>
        </w:tc>
        <w:tc>
          <w:tcPr>
            <w:tcW w:w="1176" w:type="dxa"/>
            <w:vAlign w:val="top"/>
          </w:tcPr>
          <w:p w14:paraId="4D588A55">
            <w:pPr>
              <w:rPr>
                <w:rFonts w:ascii="Arial"/>
                <w:sz w:val="21"/>
              </w:rPr>
            </w:pPr>
          </w:p>
        </w:tc>
        <w:tc>
          <w:tcPr>
            <w:tcW w:w="1070" w:type="dxa"/>
            <w:vAlign w:val="top"/>
          </w:tcPr>
          <w:p w14:paraId="536EA181">
            <w:pPr>
              <w:rPr>
                <w:rFonts w:ascii="Arial"/>
                <w:sz w:val="21"/>
              </w:rPr>
            </w:pPr>
          </w:p>
        </w:tc>
        <w:tc>
          <w:tcPr>
            <w:tcW w:w="1069" w:type="dxa"/>
            <w:vAlign w:val="top"/>
          </w:tcPr>
          <w:p w14:paraId="3D0C07B9">
            <w:pPr>
              <w:rPr>
                <w:rFonts w:ascii="Arial"/>
                <w:sz w:val="21"/>
              </w:rPr>
            </w:pPr>
          </w:p>
        </w:tc>
        <w:tc>
          <w:tcPr>
            <w:tcW w:w="1070" w:type="dxa"/>
            <w:vAlign w:val="top"/>
          </w:tcPr>
          <w:p w14:paraId="308555C3">
            <w:pPr>
              <w:rPr>
                <w:rFonts w:ascii="Arial"/>
                <w:sz w:val="21"/>
              </w:rPr>
            </w:pPr>
          </w:p>
        </w:tc>
        <w:tc>
          <w:tcPr>
            <w:tcW w:w="996" w:type="dxa"/>
            <w:vAlign w:val="top"/>
          </w:tcPr>
          <w:p w14:paraId="69E42EC7">
            <w:pPr>
              <w:rPr>
                <w:rFonts w:ascii="Arial"/>
                <w:sz w:val="21"/>
              </w:rPr>
            </w:pPr>
          </w:p>
        </w:tc>
        <w:tc>
          <w:tcPr>
            <w:tcW w:w="1650" w:type="dxa"/>
            <w:vAlign w:val="top"/>
          </w:tcPr>
          <w:p w14:paraId="589A84FB">
            <w:pPr>
              <w:rPr>
                <w:rFonts w:ascii="Arial"/>
                <w:sz w:val="21"/>
              </w:rPr>
            </w:pPr>
          </w:p>
        </w:tc>
      </w:tr>
      <w:tr w14:paraId="567EC1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804" w:type="dxa"/>
            <w:vAlign w:val="top"/>
          </w:tcPr>
          <w:p w14:paraId="472F2866">
            <w:pPr>
              <w:rPr>
                <w:rFonts w:ascii="Arial"/>
                <w:sz w:val="21"/>
              </w:rPr>
            </w:pPr>
          </w:p>
        </w:tc>
        <w:tc>
          <w:tcPr>
            <w:tcW w:w="1199" w:type="dxa"/>
            <w:vAlign w:val="top"/>
          </w:tcPr>
          <w:p w14:paraId="2C26AB86">
            <w:pPr>
              <w:rPr>
                <w:rFonts w:ascii="Arial"/>
                <w:sz w:val="21"/>
              </w:rPr>
            </w:pPr>
          </w:p>
        </w:tc>
        <w:tc>
          <w:tcPr>
            <w:tcW w:w="1176" w:type="dxa"/>
            <w:vAlign w:val="top"/>
          </w:tcPr>
          <w:p w14:paraId="5D246B7B">
            <w:pPr>
              <w:rPr>
                <w:rFonts w:ascii="Arial"/>
                <w:sz w:val="21"/>
              </w:rPr>
            </w:pPr>
          </w:p>
        </w:tc>
        <w:tc>
          <w:tcPr>
            <w:tcW w:w="1070" w:type="dxa"/>
            <w:vAlign w:val="top"/>
          </w:tcPr>
          <w:p w14:paraId="15BEB8F8">
            <w:pPr>
              <w:rPr>
                <w:rFonts w:ascii="Arial"/>
                <w:sz w:val="21"/>
              </w:rPr>
            </w:pPr>
          </w:p>
        </w:tc>
        <w:tc>
          <w:tcPr>
            <w:tcW w:w="1069" w:type="dxa"/>
            <w:vAlign w:val="top"/>
          </w:tcPr>
          <w:p w14:paraId="34C842B7">
            <w:pPr>
              <w:rPr>
                <w:rFonts w:ascii="Arial"/>
                <w:sz w:val="21"/>
              </w:rPr>
            </w:pPr>
          </w:p>
        </w:tc>
        <w:tc>
          <w:tcPr>
            <w:tcW w:w="1070" w:type="dxa"/>
            <w:vAlign w:val="top"/>
          </w:tcPr>
          <w:p w14:paraId="66D42971">
            <w:pPr>
              <w:rPr>
                <w:rFonts w:ascii="Arial"/>
                <w:sz w:val="21"/>
              </w:rPr>
            </w:pPr>
          </w:p>
        </w:tc>
        <w:tc>
          <w:tcPr>
            <w:tcW w:w="996" w:type="dxa"/>
            <w:vAlign w:val="top"/>
          </w:tcPr>
          <w:p w14:paraId="0B719CD8">
            <w:pPr>
              <w:rPr>
                <w:rFonts w:ascii="Arial"/>
                <w:sz w:val="21"/>
              </w:rPr>
            </w:pPr>
          </w:p>
        </w:tc>
        <w:tc>
          <w:tcPr>
            <w:tcW w:w="1650" w:type="dxa"/>
            <w:vAlign w:val="top"/>
          </w:tcPr>
          <w:p w14:paraId="4AC9835E">
            <w:pPr>
              <w:rPr>
                <w:rFonts w:ascii="Arial"/>
                <w:sz w:val="21"/>
              </w:rPr>
            </w:pPr>
          </w:p>
        </w:tc>
      </w:tr>
      <w:tr w14:paraId="4EC72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04" w:type="dxa"/>
            <w:vAlign w:val="top"/>
          </w:tcPr>
          <w:p w14:paraId="6E5B856A">
            <w:pPr>
              <w:rPr>
                <w:rFonts w:ascii="Arial"/>
                <w:sz w:val="21"/>
              </w:rPr>
            </w:pPr>
          </w:p>
        </w:tc>
        <w:tc>
          <w:tcPr>
            <w:tcW w:w="1199" w:type="dxa"/>
            <w:vAlign w:val="top"/>
          </w:tcPr>
          <w:p w14:paraId="173030FB">
            <w:pPr>
              <w:rPr>
                <w:rFonts w:ascii="Arial"/>
                <w:sz w:val="21"/>
              </w:rPr>
            </w:pPr>
          </w:p>
        </w:tc>
        <w:tc>
          <w:tcPr>
            <w:tcW w:w="1176" w:type="dxa"/>
            <w:vAlign w:val="top"/>
          </w:tcPr>
          <w:p w14:paraId="4917C3EE">
            <w:pPr>
              <w:rPr>
                <w:rFonts w:ascii="Arial"/>
                <w:sz w:val="21"/>
              </w:rPr>
            </w:pPr>
          </w:p>
        </w:tc>
        <w:tc>
          <w:tcPr>
            <w:tcW w:w="1070" w:type="dxa"/>
            <w:vAlign w:val="top"/>
          </w:tcPr>
          <w:p w14:paraId="796A040A">
            <w:pPr>
              <w:rPr>
                <w:rFonts w:ascii="Arial"/>
                <w:sz w:val="21"/>
              </w:rPr>
            </w:pPr>
          </w:p>
        </w:tc>
        <w:tc>
          <w:tcPr>
            <w:tcW w:w="1069" w:type="dxa"/>
            <w:vAlign w:val="top"/>
          </w:tcPr>
          <w:p w14:paraId="0A2FAA99">
            <w:pPr>
              <w:rPr>
                <w:rFonts w:ascii="Arial"/>
                <w:sz w:val="21"/>
              </w:rPr>
            </w:pPr>
          </w:p>
        </w:tc>
        <w:tc>
          <w:tcPr>
            <w:tcW w:w="1070" w:type="dxa"/>
            <w:vAlign w:val="top"/>
          </w:tcPr>
          <w:p w14:paraId="7A989EB4">
            <w:pPr>
              <w:rPr>
                <w:rFonts w:ascii="Arial"/>
                <w:sz w:val="21"/>
              </w:rPr>
            </w:pPr>
          </w:p>
        </w:tc>
        <w:tc>
          <w:tcPr>
            <w:tcW w:w="996" w:type="dxa"/>
            <w:vAlign w:val="top"/>
          </w:tcPr>
          <w:p w14:paraId="5A9E4BF5">
            <w:pPr>
              <w:rPr>
                <w:rFonts w:ascii="Arial"/>
                <w:sz w:val="21"/>
              </w:rPr>
            </w:pPr>
          </w:p>
        </w:tc>
        <w:tc>
          <w:tcPr>
            <w:tcW w:w="1650" w:type="dxa"/>
            <w:vAlign w:val="top"/>
          </w:tcPr>
          <w:p w14:paraId="5076ECFF">
            <w:pPr>
              <w:rPr>
                <w:rFonts w:ascii="Arial"/>
                <w:sz w:val="21"/>
              </w:rPr>
            </w:pPr>
          </w:p>
        </w:tc>
      </w:tr>
      <w:tr w14:paraId="443053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2" w:hRule="atLeast"/>
        </w:trPr>
        <w:tc>
          <w:tcPr>
            <w:tcW w:w="804" w:type="dxa"/>
            <w:vAlign w:val="top"/>
          </w:tcPr>
          <w:p w14:paraId="22A35B23">
            <w:pPr>
              <w:rPr>
                <w:rFonts w:ascii="Arial"/>
                <w:sz w:val="21"/>
              </w:rPr>
            </w:pPr>
          </w:p>
        </w:tc>
        <w:tc>
          <w:tcPr>
            <w:tcW w:w="1199" w:type="dxa"/>
            <w:vAlign w:val="top"/>
          </w:tcPr>
          <w:p w14:paraId="372C36E7">
            <w:pPr>
              <w:rPr>
                <w:rFonts w:ascii="Arial"/>
                <w:sz w:val="21"/>
              </w:rPr>
            </w:pPr>
          </w:p>
        </w:tc>
        <w:tc>
          <w:tcPr>
            <w:tcW w:w="1176" w:type="dxa"/>
            <w:vAlign w:val="top"/>
          </w:tcPr>
          <w:p w14:paraId="34B01F84">
            <w:pPr>
              <w:rPr>
                <w:rFonts w:ascii="Arial"/>
                <w:sz w:val="21"/>
              </w:rPr>
            </w:pPr>
          </w:p>
        </w:tc>
        <w:tc>
          <w:tcPr>
            <w:tcW w:w="1070" w:type="dxa"/>
            <w:vAlign w:val="top"/>
          </w:tcPr>
          <w:p w14:paraId="1F997661">
            <w:pPr>
              <w:rPr>
                <w:rFonts w:ascii="Arial"/>
                <w:sz w:val="21"/>
              </w:rPr>
            </w:pPr>
          </w:p>
        </w:tc>
        <w:tc>
          <w:tcPr>
            <w:tcW w:w="1069" w:type="dxa"/>
            <w:vAlign w:val="top"/>
          </w:tcPr>
          <w:p w14:paraId="30EF81D3">
            <w:pPr>
              <w:rPr>
                <w:rFonts w:ascii="Arial"/>
                <w:sz w:val="21"/>
              </w:rPr>
            </w:pPr>
          </w:p>
        </w:tc>
        <w:tc>
          <w:tcPr>
            <w:tcW w:w="1070" w:type="dxa"/>
            <w:vAlign w:val="top"/>
          </w:tcPr>
          <w:p w14:paraId="0E16FFE7">
            <w:pPr>
              <w:rPr>
                <w:rFonts w:ascii="Arial"/>
                <w:sz w:val="21"/>
              </w:rPr>
            </w:pPr>
          </w:p>
        </w:tc>
        <w:tc>
          <w:tcPr>
            <w:tcW w:w="996" w:type="dxa"/>
            <w:vAlign w:val="top"/>
          </w:tcPr>
          <w:p w14:paraId="01FA2508">
            <w:pPr>
              <w:rPr>
                <w:rFonts w:ascii="Arial"/>
                <w:sz w:val="21"/>
              </w:rPr>
            </w:pPr>
          </w:p>
        </w:tc>
        <w:tc>
          <w:tcPr>
            <w:tcW w:w="1650" w:type="dxa"/>
            <w:vAlign w:val="top"/>
          </w:tcPr>
          <w:p w14:paraId="3ECE86A5">
            <w:pPr>
              <w:rPr>
                <w:rFonts w:ascii="Arial"/>
                <w:sz w:val="21"/>
              </w:rPr>
            </w:pPr>
          </w:p>
        </w:tc>
      </w:tr>
    </w:tbl>
    <w:p w14:paraId="7AAAF362">
      <w:pPr>
        <w:spacing w:before="297" w:line="228" w:lineRule="auto"/>
        <w:rPr>
          <w:rFonts w:ascii="宋体" w:hAnsi="宋体" w:eastAsia="宋体" w:cs="宋体"/>
          <w:sz w:val="20"/>
          <w:szCs w:val="20"/>
        </w:rPr>
      </w:pPr>
      <w:r>
        <w:rPr>
          <w:rFonts w:ascii="宋体" w:hAnsi="宋体" w:eastAsia="宋体" w:cs="宋体"/>
          <w:spacing w:val="9"/>
          <w:sz w:val="20"/>
          <w:szCs w:val="20"/>
        </w:rPr>
        <w:t>注：1、</w:t>
      </w:r>
      <w:r>
        <w:rPr>
          <w:rFonts w:hint="eastAsia" w:ascii="宋体" w:hAnsi="宋体" w:eastAsia="宋体" w:cs="宋体"/>
          <w:spacing w:val="9"/>
          <w:sz w:val="20"/>
          <w:szCs w:val="20"/>
          <w:lang w:eastAsia="zh-CN"/>
        </w:rPr>
        <w:t>供应商</w:t>
      </w:r>
      <w:r>
        <w:rPr>
          <w:rFonts w:ascii="宋体" w:hAnsi="宋体" w:eastAsia="宋体" w:cs="宋体"/>
          <w:spacing w:val="9"/>
          <w:sz w:val="20"/>
          <w:szCs w:val="20"/>
        </w:rPr>
        <w:t>应根据</w:t>
      </w:r>
      <w:r>
        <w:rPr>
          <w:rFonts w:ascii="宋体" w:hAnsi="宋体" w:eastAsia="宋体" w:cs="宋体"/>
          <w:b/>
          <w:bCs/>
          <w:spacing w:val="9"/>
          <w:sz w:val="20"/>
          <w:szCs w:val="20"/>
        </w:rPr>
        <w:t>招标文件</w:t>
      </w:r>
      <w:r>
        <w:rPr>
          <w:rFonts w:ascii="宋体" w:hAnsi="宋体" w:eastAsia="宋体" w:cs="宋体"/>
          <w:spacing w:val="9"/>
          <w:sz w:val="20"/>
          <w:szCs w:val="20"/>
        </w:rPr>
        <w:t>要求和采购项目的实际需要，列出为本项目所配备人员。</w:t>
      </w:r>
    </w:p>
    <w:p w14:paraId="622B1962">
      <w:pPr>
        <w:spacing w:before="101" w:line="228" w:lineRule="auto"/>
        <w:ind w:left="357"/>
        <w:rPr>
          <w:rFonts w:ascii="宋体" w:hAnsi="宋体" w:eastAsia="宋体" w:cs="宋体"/>
          <w:sz w:val="20"/>
          <w:szCs w:val="20"/>
        </w:rPr>
      </w:pPr>
      <w:r>
        <w:rPr>
          <w:rFonts w:ascii="宋体" w:hAnsi="宋体" w:eastAsia="宋体" w:cs="宋体"/>
          <w:spacing w:val="8"/>
          <w:sz w:val="20"/>
          <w:szCs w:val="20"/>
        </w:rPr>
        <w:t>2、附人员职称证书或资格证书、社保证明等材料。</w:t>
      </w:r>
    </w:p>
    <w:p w14:paraId="7259A767">
      <w:pPr>
        <w:spacing w:line="228" w:lineRule="auto"/>
        <w:rPr>
          <w:rFonts w:ascii="宋体" w:hAnsi="宋体" w:eastAsia="宋体" w:cs="宋体"/>
          <w:sz w:val="20"/>
          <w:szCs w:val="20"/>
        </w:rPr>
        <w:sectPr>
          <w:footerReference r:id="rId16" w:type="default"/>
          <w:pgSz w:w="11910" w:h="16840"/>
          <w:pgMar w:top="1446" w:right="1451" w:bottom="1451" w:left="1417" w:header="1134" w:footer="1134" w:gutter="0"/>
          <w:cols w:space="720" w:num="1"/>
        </w:sectPr>
      </w:pPr>
    </w:p>
    <w:p w14:paraId="0846626B">
      <w:pPr>
        <w:spacing w:before="175" w:line="225" w:lineRule="auto"/>
        <w:ind w:left="2895"/>
        <w:outlineLvl w:val="2"/>
        <w:rPr>
          <w:rFonts w:ascii="宋体" w:hAnsi="宋体" w:eastAsia="宋体" w:cs="宋体"/>
          <w:b/>
          <w:bCs/>
          <w:spacing w:val="5"/>
          <w:sz w:val="31"/>
          <w:szCs w:val="31"/>
        </w:rPr>
      </w:pPr>
    </w:p>
    <w:p w14:paraId="08559840">
      <w:pPr>
        <w:spacing w:before="175" w:line="225" w:lineRule="auto"/>
        <w:ind w:left="2895"/>
        <w:outlineLvl w:val="2"/>
        <w:rPr>
          <w:rFonts w:ascii="宋体" w:hAnsi="宋体" w:eastAsia="宋体" w:cs="宋体"/>
          <w:sz w:val="32"/>
          <w:szCs w:val="32"/>
        </w:rPr>
      </w:pPr>
      <w:r>
        <w:rPr>
          <w:rFonts w:ascii="宋体" w:hAnsi="宋体" w:eastAsia="宋体" w:cs="宋体"/>
          <w:b/>
          <w:bCs/>
          <w:spacing w:val="5"/>
          <w:sz w:val="32"/>
          <w:szCs w:val="32"/>
        </w:rPr>
        <w:t>十、企业综合能力</w:t>
      </w:r>
    </w:p>
    <w:p w14:paraId="6737862A">
      <w:pPr>
        <w:spacing w:line="225" w:lineRule="auto"/>
        <w:rPr>
          <w:rFonts w:ascii="宋体" w:hAnsi="宋体" w:eastAsia="宋体" w:cs="宋体"/>
          <w:sz w:val="31"/>
          <w:szCs w:val="31"/>
        </w:rPr>
        <w:sectPr>
          <w:footerReference r:id="rId17" w:type="default"/>
          <w:pgSz w:w="11906" w:h="16839"/>
          <w:pgMar w:top="1431" w:right="1785" w:bottom="1156" w:left="1785" w:header="1134" w:footer="1134" w:gutter="0"/>
          <w:cols w:space="720" w:num="1"/>
        </w:sectPr>
      </w:pPr>
    </w:p>
    <w:p w14:paraId="64ED123C">
      <w:pPr>
        <w:spacing w:before="162" w:line="225" w:lineRule="auto"/>
        <w:ind w:left="1450"/>
        <w:outlineLvl w:val="2"/>
        <w:rPr>
          <w:rFonts w:ascii="宋体" w:hAnsi="宋体" w:eastAsia="宋体" w:cs="宋体"/>
          <w:b/>
          <w:bCs/>
          <w:spacing w:val="6"/>
          <w:sz w:val="32"/>
          <w:szCs w:val="32"/>
        </w:rPr>
      </w:pPr>
    </w:p>
    <w:p w14:paraId="3B0A496A">
      <w:pPr>
        <w:spacing w:before="162" w:line="225" w:lineRule="auto"/>
        <w:ind w:left="1450"/>
        <w:outlineLvl w:val="2"/>
        <w:rPr>
          <w:rFonts w:ascii="宋体" w:hAnsi="宋体" w:eastAsia="宋体" w:cs="宋体"/>
          <w:sz w:val="32"/>
          <w:szCs w:val="32"/>
        </w:rPr>
      </w:pPr>
      <w:r>
        <w:rPr>
          <w:rFonts w:ascii="宋体" w:hAnsi="宋体" w:eastAsia="宋体" w:cs="宋体"/>
          <w:b/>
          <w:bCs/>
          <w:spacing w:val="6"/>
          <w:sz w:val="32"/>
          <w:szCs w:val="32"/>
        </w:rPr>
        <w:t>十一、</w:t>
      </w:r>
      <w:r>
        <w:rPr>
          <w:rFonts w:hint="eastAsia" w:ascii="宋体" w:hAnsi="宋体" w:eastAsia="宋体" w:cs="宋体"/>
          <w:b/>
          <w:bCs/>
          <w:spacing w:val="6"/>
          <w:sz w:val="32"/>
          <w:szCs w:val="32"/>
          <w:lang w:eastAsia="zh-CN"/>
        </w:rPr>
        <w:t>供应商</w:t>
      </w:r>
      <w:r>
        <w:rPr>
          <w:rFonts w:ascii="宋体" w:hAnsi="宋体" w:eastAsia="宋体" w:cs="宋体"/>
          <w:b/>
          <w:bCs/>
          <w:spacing w:val="6"/>
          <w:sz w:val="32"/>
          <w:szCs w:val="32"/>
        </w:rPr>
        <w:t>认为需要提供的其他材料</w:t>
      </w:r>
    </w:p>
    <w:p w14:paraId="08A67EE1">
      <w:pPr>
        <w:spacing w:line="225" w:lineRule="auto"/>
        <w:rPr>
          <w:rFonts w:ascii="宋体" w:hAnsi="宋体" w:eastAsia="宋体" w:cs="宋体"/>
          <w:sz w:val="31"/>
          <w:szCs w:val="31"/>
        </w:rPr>
        <w:sectPr>
          <w:footerReference r:id="rId18" w:type="default"/>
          <w:pgSz w:w="11906" w:h="16839"/>
          <w:pgMar w:top="1431" w:right="1785" w:bottom="1156" w:left="1785" w:header="1134" w:footer="1134" w:gutter="0"/>
          <w:cols w:space="720" w:num="1"/>
        </w:sectPr>
      </w:pPr>
    </w:p>
    <w:p w14:paraId="089664EE">
      <w:pPr>
        <w:spacing w:before="172" w:line="220" w:lineRule="auto"/>
        <w:ind w:left="3113"/>
        <w:rPr>
          <w:rFonts w:ascii="宋体" w:hAnsi="宋体" w:eastAsia="宋体" w:cs="宋体"/>
          <w:sz w:val="30"/>
          <w:szCs w:val="30"/>
        </w:rPr>
      </w:pPr>
      <w:r>
        <w:rPr>
          <w:rFonts w:ascii="宋体" w:hAnsi="宋体" w:eastAsia="宋体" w:cs="宋体"/>
          <w:b/>
          <w:bCs/>
          <w:spacing w:val="-8"/>
          <w:sz w:val="30"/>
          <w:szCs w:val="30"/>
        </w:rPr>
        <w:t>中小企业声明函</w:t>
      </w:r>
    </w:p>
    <w:p w14:paraId="5DEDF1E6">
      <w:pPr>
        <w:pStyle w:val="2"/>
        <w:spacing w:line="279" w:lineRule="auto"/>
      </w:pPr>
    </w:p>
    <w:p w14:paraId="29C5A2DB">
      <w:pPr>
        <w:pStyle w:val="2"/>
        <w:spacing w:line="279" w:lineRule="auto"/>
      </w:pPr>
    </w:p>
    <w:p w14:paraId="6B780850">
      <w:pPr>
        <w:spacing w:before="78" w:line="303" w:lineRule="auto"/>
        <w:ind w:left="85" w:firstLine="480"/>
        <w:jc w:val="both"/>
        <w:rPr>
          <w:rFonts w:ascii="宋体" w:hAnsi="宋体" w:eastAsia="宋体" w:cs="宋体"/>
          <w:sz w:val="24"/>
          <w:szCs w:val="24"/>
        </w:rPr>
      </w:pPr>
      <w:r>
        <w:rPr>
          <w:rFonts w:ascii="宋体" w:hAnsi="宋体" w:eastAsia="宋体" w:cs="宋体"/>
          <w:spacing w:val="-2"/>
          <w:sz w:val="24"/>
          <w:szCs w:val="24"/>
        </w:rPr>
        <w:t>本公司（联合体）郑重声明，根据《政府采购促进中小企业发展管理办法》</w:t>
      </w:r>
      <w:r>
        <w:rPr>
          <w:rFonts w:ascii="宋体" w:hAnsi="宋体" w:eastAsia="宋体" w:cs="宋体"/>
          <w:spacing w:val="1"/>
          <w:sz w:val="24"/>
          <w:szCs w:val="24"/>
        </w:rPr>
        <w:t xml:space="preserve"> </w:t>
      </w:r>
      <w:r>
        <w:rPr>
          <w:rFonts w:ascii="宋体" w:hAnsi="宋体" w:eastAsia="宋体" w:cs="宋体"/>
          <w:spacing w:val="-1"/>
          <w:sz w:val="24"/>
          <w:szCs w:val="24"/>
        </w:rPr>
        <w:t>（财库﹝2020﹞46 号）的规定，本公司（联合体）参</w:t>
      </w:r>
      <w:r>
        <w:rPr>
          <w:rFonts w:ascii="宋体" w:hAnsi="宋体" w:eastAsia="宋体" w:cs="宋体"/>
          <w:spacing w:val="-2"/>
          <w:sz w:val="24"/>
          <w:szCs w:val="24"/>
        </w:rPr>
        <w:t>加</w:t>
      </w:r>
      <w:r>
        <w:rPr>
          <w:rFonts w:ascii="宋体" w:hAnsi="宋体" w:eastAsia="宋体" w:cs="宋体"/>
          <w:spacing w:val="-2"/>
          <w:sz w:val="24"/>
          <w:szCs w:val="24"/>
          <w:u w:val="single" w:color="auto"/>
        </w:rPr>
        <w:t>（单位名称）</w:t>
      </w:r>
      <w:r>
        <w:rPr>
          <w:rFonts w:ascii="宋体" w:hAnsi="宋体" w:eastAsia="宋体" w:cs="宋体"/>
          <w:spacing w:val="-2"/>
          <w:sz w:val="24"/>
          <w:szCs w:val="24"/>
        </w:rPr>
        <w:t>的</w:t>
      </w:r>
      <w:r>
        <w:rPr>
          <w:rFonts w:ascii="宋体" w:hAnsi="宋体" w:eastAsia="宋体" w:cs="宋体"/>
          <w:spacing w:val="-2"/>
          <w:sz w:val="24"/>
          <w:szCs w:val="24"/>
          <w:u w:val="single" w:color="auto"/>
        </w:rPr>
        <w:t>（项目</w:t>
      </w:r>
      <w:r>
        <w:rPr>
          <w:rFonts w:ascii="宋体" w:hAnsi="宋体" w:eastAsia="宋体" w:cs="宋体"/>
          <w:spacing w:val="2"/>
          <w:sz w:val="24"/>
          <w:szCs w:val="24"/>
          <w:u w:val="single" w:color="auto"/>
        </w:rPr>
        <w:t>名称）</w:t>
      </w:r>
      <w:r>
        <w:rPr>
          <w:rFonts w:ascii="宋体" w:hAnsi="宋体" w:eastAsia="宋体" w:cs="宋体"/>
          <w:spacing w:val="2"/>
          <w:sz w:val="24"/>
          <w:szCs w:val="24"/>
        </w:rPr>
        <w:t>采购活动</w:t>
      </w:r>
      <w:r>
        <w:rPr>
          <w:rFonts w:hint="eastAsia" w:ascii="宋体" w:hAnsi="宋体" w:eastAsia="宋体" w:cs="宋体"/>
          <w:spacing w:val="2"/>
          <w:sz w:val="24"/>
          <w:szCs w:val="24"/>
          <w:lang w:eastAsia="zh-CN"/>
        </w:rPr>
        <w:t>，</w:t>
      </w:r>
      <w:r>
        <w:rPr>
          <w:rFonts w:ascii="宋体" w:hAnsi="宋体" w:eastAsia="宋体" w:cs="宋体"/>
          <w:spacing w:val="2"/>
          <w:sz w:val="24"/>
          <w:szCs w:val="24"/>
        </w:rPr>
        <w:t>工程的施工单位全部为符合政策要求的中小企业（或者：服</w:t>
      </w:r>
      <w:r>
        <w:rPr>
          <w:rFonts w:ascii="宋体" w:hAnsi="宋体" w:eastAsia="宋体" w:cs="宋体"/>
          <w:spacing w:val="-5"/>
          <w:sz w:val="24"/>
          <w:szCs w:val="24"/>
        </w:rPr>
        <w:t>务全部由符合政策要求的中小企业承接）。相关企业（含联合体中的中</w:t>
      </w:r>
      <w:r>
        <w:rPr>
          <w:rFonts w:ascii="宋体" w:hAnsi="宋体" w:eastAsia="宋体" w:cs="宋体"/>
          <w:spacing w:val="-6"/>
          <w:sz w:val="24"/>
          <w:szCs w:val="24"/>
        </w:rPr>
        <w:t>小企业、</w:t>
      </w:r>
      <w:r>
        <w:rPr>
          <w:rFonts w:ascii="宋体" w:hAnsi="宋体" w:eastAsia="宋体" w:cs="宋体"/>
          <w:spacing w:val="-1"/>
          <w:sz w:val="24"/>
          <w:szCs w:val="24"/>
        </w:rPr>
        <w:t>签订分包意向协议的中小企业）的具体情况如下：</w:t>
      </w:r>
    </w:p>
    <w:p w14:paraId="6DD49188">
      <w:pPr>
        <w:spacing w:before="96" w:line="298" w:lineRule="auto"/>
        <w:ind w:left="84" w:right="165" w:firstLine="498"/>
        <w:jc w:val="both"/>
        <w:rPr>
          <w:rFonts w:ascii="宋体" w:hAnsi="宋体" w:eastAsia="宋体" w:cs="宋体"/>
          <w:sz w:val="24"/>
          <w:szCs w:val="24"/>
        </w:rPr>
      </w:pPr>
      <w:r>
        <w:rPr>
          <w:rFonts w:ascii="宋体" w:hAnsi="宋体" w:eastAsia="宋体" w:cs="宋体"/>
          <w:spacing w:val="-1"/>
          <w:sz w:val="24"/>
          <w:szCs w:val="24"/>
        </w:rPr>
        <w:t>1.</w:t>
      </w:r>
      <w:r>
        <w:rPr>
          <w:rFonts w:ascii="宋体" w:hAnsi="宋体" w:eastAsia="宋体" w:cs="宋体"/>
          <w:spacing w:val="-1"/>
          <w:sz w:val="24"/>
          <w:szCs w:val="24"/>
          <w:u w:val="single" w:color="auto"/>
        </w:rPr>
        <w:t>（标的名称</w:t>
      </w:r>
      <w:r>
        <w:rPr>
          <w:rFonts w:ascii="宋体" w:hAnsi="宋体" w:eastAsia="宋体" w:cs="宋体"/>
          <w:spacing w:val="6"/>
          <w:sz w:val="24"/>
          <w:szCs w:val="24"/>
        </w:rPr>
        <w:t>），</w:t>
      </w:r>
      <w:r>
        <w:rPr>
          <w:rFonts w:ascii="宋体" w:hAnsi="宋体" w:eastAsia="宋体" w:cs="宋体"/>
          <w:spacing w:val="-1"/>
          <w:sz w:val="24"/>
          <w:szCs w:val="24"/>
        </w:rPr>
        <w:t>属于</w:t>
      </w:r>
      <w:r>
        <w:rPr>
          <w:rFonts w:ascii="宋体" w:hAnsi="宋体" w:eastAsia="宋体" w:cs="宋体"/>
          <w:spacing w:val="-1"/>
          <w:sz w:val="24"/>
          <w:szCs w:val="24"/>
          <w:u w:val="single" w:color="auto"/>
        </w:rPr>
        <w:t>（招标文件中明确的所属行业</w:t>
      </w:r>
      <w:r>
        <w:rPr>
          <w:rFonts w:ascii="宋体" w:hAnsi="宋体" w:eastAsia="宋体" w:cs="宋体"/>
          <w:spacing w:val="6"/>
          <w:sz w:val="24"/>
          <w:szCs w:val="24"/>
          <w:u w:val="single" w:color="auto"/>
        </w:rPr>
        <w:t>）</w:t>
      </w:r>
      <w:r>
        <w:rPr>
          <w:rFonts w:ascii="宋体" w:hAnsi="宋体" w:eastAsia="宋体" w:cs="宋体"/>
          <w:spacing w:val="6"/>
          <w:sz w:val="24"/>
          <w:szCs w:val="24"/>
        </w:rPr>
        <w:t>；</w:t>
      </w:r>
      <w:r>
        <w:rPr>
          <w:rFonts w:ascii="宋体" w:hAnsi="宋体" w:eastAsia="宋体" w:cs="宋体"/>
          <w:spacing w:val="-1"/>
          <w:sz w:val="24"/>
          <w:szCs w:val="24"/>
        </w:rPr>
        <w:t>承建（</w:t>
      </w:r>
      <w:r>
        <w:rPr>
          <w:rFonts w:ascii="宋体" w:hAnsi="宋体" w:eastAsia="宋体" w:cs="宋体"/>
          <w:spacing w:val="-2"/>
          <w:sz w:val="24"/>
          <w:szCs w:val="24"/>
        </w:rPr>
        <w:t>承接）企</w:t>
      </w:r>
      <w:r>
        <w:rPr>
          <w:rFonts w:ascii="宋体" w:hAnsi="宋体" w:eastAsia="宋体" w:cs="宋体"/>
          <w:spacing w:val="2"/>
          <w:sz w:val="24"/>
          <w:szCs w:val="24"/>
        </w:rPr>
        <w:t>业为</w:t>
      </w:r>
      <w:r>
        <w:rPr>
          <w:rFonts w:ascii="宋体" w:hAnsi="宋体" w:eastAsia="宋体" w:cs="宋体"/>
          <w:spacing w:val="2"/>
          <w:sz w:val="24"/>
          <w:szCs w:val="24"/>
          <w:u w:val="single" w:color="auto"/>
        </w:rPr>
        <w:t>（企业名称</w:t>
      </w:r>
      <w:r>
        <w:rPr>
          <w:rFonts w:ascii="宋体" w:hAnsi="宋体" w:eastAsia="宋体" w:cs="宋体"/>
          <w:spacing w:val="13"/>
          <w:sz w:val="24"/>
          <w:szCs w:val="24"/>
          <w:u w:val="single" w:color="auto"/>
        </w:rPr>
        <w:t>）</w:t>
      </w:r>
      <w:r>
        <w:rPr>
          <w:rFonts w:ascii="宋体" w:hAnsi="宋体" w:eastAsia="宋体" w:cs="宋体"/>
          <w:spacing w:val="13"/>
          <w:sz w:val="24"/>
          <w:szCs w:val="24"/>
        </w:rPr>
        <w:t>，</w:t>
      </w:r>
      <w:r>
        <w:rPr>
          <w:rFonts w:ascii="宋体" w:hAnsi="宋体" w:eastAsia="宋体" w:cs="宋体"/>
          <w:spacing w:val="2"/>
          <w:sz w:val="24"/>
          <w:szCs w:val="24"/>
        </w:rPr>
        <w:t>从业人员</w:t>
      </w:r>
      <w:r>
        <w:rPr>
          <w:rFonts w:ascii="宋体" w:hAnsi="宋体" w:eastAsia="宋体" w:cs="宋体"/>
          <w:spacing w:val="2"/>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2"/>
          <w:sz w:val="24"/>
          <w:szCs w:val="24"/>
        </w:rPr>
        <w:t>人，营业收入为</w:t>
      </w:r>
      <w:r>
        <w:rPr>
          <w:rFonts w:ascii="宋体" w:hAnsi="宋体" w:eastAsia="宋体" w:cs="宋体"/>
          <w:spacing w:val="2"/>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2"/>
          <w:sz w:val="24"/>
          <w:szCs w:val="24"/>
        </w:rPr>
        <w:t>万元，资产总</w:t>
      </w:r>
      <w:r>
        <w:rPr>
          <w:rFonts w:ascii="宋体" w:hAnsi="宋体" w:eastAsia="宋体" w:cs="宋体"/>
          <w:spacing w:val="-1"/>
          <w:sz w:val="24"/>
          <w:szCs w:val="24"/>
        </w:rPr>
        <w:t>额为</w:t>
      </w:r>
      <w:r>
        <w:rPr>
          <w:rFonts w:ascii="宋体" w:hAnsi="宋体" w:eastAsia="宋体" w:cs="宋体"/>
          <w:spacing w:val="11"/>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1"/>
          <w:sz w:val="24"/>
          <w:szCs w:val="24"/>
        </w:rPr>
        <w:t>万元，属于</w:t>
      </w:r>
      <w:r>
        <w:rPr>
          <w:rFonts w:ascii="宋体" w:hAnsi="宋体" w:eastAsia="宋体" w:cs="宋体"/>
          <w:spacing w:val="-1"/>
          <w:sz w:val="24"/>
          <w:szCs w:val="24"/>
          <w:u w:val="single" w:color="auto"/>
        </w:rPr>
        <w:t>（中型企业、小型企业、微</w:t>
      </w:r>
      <w:r>
        <w:rPr>
          <w:rFonts w:ascii="宋体" w:hAnsi="宋体" w:eastAsia="宋体" w:cs="宋体"/>
          <w:spacing w:val="-2"/>
          <w:sz w:val="24"/>
          <w:szCs w:val="24"/>
          <w:u w:val="single" w:color="auto"/>
        </w:rPr>
        <w:t>型企业</w:t>
      </w:r>
      <w:r>
        <w:rPr>
          <w:rFonts w:ascii="宋体" w:hAnsi="宋体" w:eastAsia="宋体" w:cs="宋体"/>
          <w:sz w:val="24"/>
          <w:szCs w:val="24"/>
          <w:u w:val="single" w:color="auto"/>
        </w:rPr>
        <w:t>）</w:t>
      </w:r>
      <w:r>
        <w:rPr>
          <w:rFonts w:ascii="宋体" w:hAnsi="宋体" w:eastAsia="宋体" w:cs="宋体"/>
          <w:sz w:val="24"/>
          <w:szCs w:val="24"/>
        </w:rPr>
        <w:t>；</w:t>
      </w:r>
    </w:p>
    <w:p w14:paraId="12E938CE">
      <w:pPr>
        <w:spacing w:before="97" w:line="298" w:lineRule="auto"/>
        <w:ind w:left="84" w:right="165" w:firstLine="483"/>
        <w:jc w:val="both"/>
        <w:rPr>
          <w:rFonts w:ascii="宋体" w:hAnsi="宋体" w:eastAsia="宋体" w:cs="宋体"/>
          <w:sz w:val="24"/>
          <w:szCs w:val="24"/>
        </w:rPr>
      </w:pPr>
      <w:r>
        <w:rPr>
          <w:rFonts w:ascii="宋体" w:hAnsi="宋体" w:eastAsia="宋体" w:cs="宋体"/>
          <w:spacing w:val="-1"/>
          <w:sz w:val="24"/>
          <w:szCs w:val="24"/>
        </w:rPr>
        <w:t>2.</w:t>
      </w:r>
      <w:r>
        <w:rPr>
          <w:rFonts w:ascii="宋体" w:hAnsi="宋体" w:eastAsia="宋体" w:cs="宋体"/>
          <w:spacing w:val="-1"/>
          <w:sz w:val="24"/>
          <w:szCs w:val="24"/>
          <w:u w:val="single" w:color="auto"/>
        </w:rPr>
        <w:t>（标的名称</w:t>
      </w:r>
      <w:r>
        <w:rPr>
          <w:rFonts w:ascii="宋体" w:hAnsi="宋体" w:eastAsia="宋体" w:cs="宋体"/>
          <w:spacing w:val="8"/>
          <w:sz w:val="24"/>
          <w:szCs w:val="24"/>
          <w:u w:val="single" w:color="auto"/>
        </w:rPr>
        <w:t>）</w:t>
      </w:r>
      <w:r>
        <w:rPr>
          <w:rFonts w:ascii="宋体" w:hAnsi="宋体" w:eastAsia="宋体" w:cs="宋体"/>
          <w:spacing w:val="8"/>
          <w:sz w:val="24"/>
          <w:szCs w:val="24"/>
        </w:rPr>
        <w:t>，</w:t>
      </w:r>
      <w:r>
        <w:rPr>
          <w:rFonts w:ascii="宋体" w:hAnsi="宋体" w:eastAsia="宋体" w:cs="宋体"/>
          <w:spacing w:val="-1"/>
          <w:sz w:val="24"/>
          <w:szCs w:val="24"/>
        </w:rPr>
        <w:t>属于</w:t>
      </w:r>
      <w:r>
        <w:rPr>
          <w:rFonts w:ascii="宋体" w:hAnsi="宋体" w:eastAsia="宋体" w:cs="宋体"/>
          <w:spacing w:val="-1"/>
          <w:sz w:val="24"/>
          <w:szCs w:val="24"/>
          <w:u w:val="single" w:color="auto"/>
        </w:rPr>
        <w:t>（招标文件中明确的所属行业</w:t>
      </w:r>
      <w:r>
        <w:rPr>
          <w:rFonts w:ascii="宋体" w:hAnsi="宋体" w:eastAsia="宋体" w:cs="宋体"/>
          <w:spacing w:val="8"/>
          <w:sz w:val="24"/>
          <w:szCs w:val="24"/>
          <w:u w:val="single" w:color="auto"/>
        </w:rPr>
        <w:t>）</w:t>
      </w:r>
      <w:r>
        <w:rPr>
          <w:rFonts w:ascii="宋体" w:hAnsi="宋体" w:eastAsia="宋体" w:cs="宋体"/>
          <w:spacing w:val="8"/>
          <w:sz w:val="24"/>
          <w:szCs w:val="24"/>
        </w:rPr>
        <w:t>；</w:t>
      </w:r>
      <w:r>
        <w:rPr>
          <w:rFonts w:ascii="宋体" w:hAnsi="宋体" w:eastAsia="宋体" w:cs="宋体"/>
          <w:spacing w:val="-1"/>
          <w:sz w:val="24"/>
          <w:szCs w:val="24"/>
        </w:rPr>
        <w:t>承建（承接）企业为</w:t>
      </w:r>
      <w:r>
        <w:rPr>
          <w:rFonts w:ascii="宋体" w:hAnsi="宋体" w:eastAsia="宋体" w:cs="宋体"/>
          <w:spacing w:val="-1"/>
          <w:sz w:val="24"/>
          <w:szCs w:val="24"/>
          <w:u w:val="single" w:color="auto"/>
        </w:rPr>
        <w:t>（企业名称</w:t>
      </w:r>
      <w:r>
        <w:rPr>
          <w:rFonts w:ascii="宋体" w:hAnsi="宋体" w:eastAsia="宋体" w:cs="宋体"/>
          <w:spacing w:val="10"/>
          <w:sz w:val="24"/>
          <w:szCs w:val="24"/>
          <w:u w:val="single" w:color="auto"/>
        </w:rPr>
        <w:t>）</w:t>
      </w:r>
      <w:r>
        <w:rPr>
          <w:rFonts w:ascii="宋体" w:hAnsi="宋体" w:eastAsia="宋体" w:cs="宋体"/>
          <w:spacing w:val="10"/>
          <w:sz w:val="24"/>
          <w:szCs w:val="24"/>
        </w:rPr>
        <w:t>，</w:t>
      </w:r>
      <w:r>
        <w:rPr>
          <w:rFonts w:ascii="宋体" w:hAnsi="宋体" w:eastAsia="宋体" w:cs="宋体"/>
          <w:spacing w:val="-1"/>
          <w:sz w:val="24"/>
          <w:szCs w:val="24"/>
        </w:rPr>
        <w:t>从业人员</w:t>
      </w:r>
      <w:r>
        <w:rPr>
          <w:rFonts w:ascii="宋体" w:hAnsi="宋体" w:eastAsia="宋体" w:cs="宋体"/>
          <w:spacing w:val="29"/>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1"/>
          <w:sz w:val="24"/>
          <w:szCs w:val="24"/>
        </w:rPr>
        <w:t>人，营业收入为</w:t>
      </w:r>
      <w:r>
        <w:rPr>
          <w:rFonts w:ascii="宋体" w:hAnsi="宋体" w:eastAsia="宋体" w:cs="宋体"/>
          <w:spacing w:val="-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
          <w:sz w:val="24"/>
          <w:szCs w:val="24"/>
        </w:rPr>
        <w:t>万元，资产总额为万元，属于</w:t>
      </w:r>
      <w:r>
        <w:rPr>
          <w:rFonts w:ascii="宋体" w:hAnsi="宋体" w:eastAsia="宋体" w:cs="宋体"/>
          <w:spacing w:val="-1"/>
          <w:sz w:val="24"/>
          <w:szCs w:val="24"/>
          <w:u w:val="single" w:color="auto"/>
        </w:rPr>
        <w:t>（中型企业、小型企业、微型企业</w:t>
      </w:r>
      <w:r>
        <w:rPr>
          <w:rFonts w:ascii="宋体" w:hAnsi="宋体" w:eastAsia="宋体" w:cs="宋体"/>
          <w:spacing w:val="20"/>
          <w:sz w:val="24"/>
          <w:szCs w:val="24"/>
          <w:u w:val="single" w:color="auto"/>
        </w:rPr>
        <w:t>）；</w:t>
      </w:r>
    </w:p>
    <w:p w14:paraId="2BADBE68">
      <w:pPr>
        <w:spacing w:before="96" w:line="378" w:lineRule="exact"/>
        <w:ind w:left="741"/>
        <w:rPr>
          <w:rFonts w:ascii="宋体" w:hAnsi="宋体" w:eastAsia="宋体" w:cs="宋体"/>
          <w:sz w:val="24"/>
          <w:szCs w:val="24"/>
        </w:rPr>
      </w:pPr>
      <w:r>
        <w:rPr>
          <w:rFonts w:ascii="宋体" w:hAnsi="宋体" w:eastAsia="宋体" w:cs="宋体"/>
          <w:spacing w:val="-13"/>
          <w:position w:val="3"/>
          <w:sz w:val="24"/>
          <w:szCs w:val="24"/>
        </w:rPr>
        <w:t>……</w:t>
      </w:r>
    </w:p>
    <w:p w14:paraId="17DF22CE">
      <w:pPr>
        <w:spacing w:before="127" w:line="295" w:lineRule="auto"/>
        <w:ind w:left="90" w:right="102" w:firstLine="667"/>
        <w:rPr>
          <w:rFonts w:ascii="宋体" w:hAnsi="宋体" w:eastAsia="宋体" w:cs="宋体"/>
          <w:sz w:val="24"/>
          <w:szCs w:val="24"/>
        </w:rPr>
      </w:pPr>
      <w:r>
        <w:rPr>
          <w:rFonts w:ascii="宋体" w:hAnsi="宋体" w:eastAsia="宋体" w:cs="宋体"/>
          <w:spacing w:val="-4"/>
          <w:sz w:val="24"/>
          <w:szCs w:val="24"/>
        </w:rPr>
        <w:t>以上企业，不属于大企业的分支机构，不存在控股股东为大企业的情形，</w:t>
      </w:r>
      <w:r>
        <w:rPr>
          <w:rFonts w:ascii="宋体" w:hAnsi="宋体" w:eastAsia="宋体" w:cs="宋体"/>
          <w:spacing w:val="9"/>
          <w:sz w:val="24"/>
          <w:szCs w:val="24"/>
        </w:rPr>
        <w:t xml:space="preserve"> </w:t>
      </w:r>
      <w:r>
        <w:rPr>
          <w:rFonts w:ascii="宋体" w:hAnsi="宋体" w:eastAsia="宋体" w:cs="宋体"/>
          <w:spacing w:val="-1"/>
          <w:sz w:val="24"/>
          <w:szCs w:val="24"/>
        </w:rPr>
        <w:t>也不存在与大企业的负责人为同一人的情形。</w:t>
      </w:r>
    </w:p>
    <w:p w14:paraId="7949DA5A">
      <w:pPr>
        <w:spacing w:before="95" w:line="219" w:lineRule="auto"/>
        <w:ind w:left="727"/>
        <w:rPr>
          <w:rFonts w:ascii="宋体" w:hAnsi="宋体" w:eastAsia="宋体" w:cs="宋体"/>
          <w:sz w:val="24"/>
          <w:szCs w:val="24"/>
        </w:rPr>
      </w:pPr>
      <w:r>
        <w:rPr>
          <w:rFonts w:ascii="宋体" w:hAnsi="宋体" w:eastAsia="宋体" w:cs="宋体"/>
          <w:spacing w:val="-1"/>
          <w:sz w:val="24"/>
          <w:szCs w:val="24"/>
        </w:rPr>
        <w:t>本企业对上述声明内容的真实性负责。如有虚假，将依法承担相应责任。</w:t>
      </w:r>
    </w:p>
    <w:p w14:paraId="2DF67ADB">
      <w:pPr>
        <w:pStyle w:val="2"/>
        <w:spacing w:line="280" w:lineRule="auto"/>
        <w:rPr>
          <w:sz w:val="24"/>
          <w:szCs w:val="24"/>
        </w:rPr>
      </w:pPr>
    </w:p>
    <w:p w14:paraId="5F19712F">
      <w:pPr>
        <w:pStyle w:val="2"/>
        <w:spacing w:line="280" w:lineRule="auto"/>
        <w:rPr>
          <w:sz w:val="24"/>
          <w:szCs w:val="24"/>
        </w:rPr>
      </w:pPr>
    </w:p>
    <w:p w14:paraId="357D7242">
      <w:pPr>
        <w:spacing w:before="79" w:line="401" w:lineRule="auto"/>
        <w:ind w:left="767" w:right="5606" w:hanging="37"/>
        <w:rPr>
          <w:rFonts w:ascii="宋体" w:hAnsi="宋体" w:eastAsia="宋体" w:cs="宋体"/>
          <w:spacing w:val="1"/>
          <w:sz w:val="24"/>
          <w:szCs w:val="24"/>
        </w:rPr>
      </w:pPr>
      <w:r>
        <w:rPr>
          <w:rFonts w:ascii="宋体" w:hAnsi="宋体" w:eastAsia="宋体" w:cs="宋体"/>
          <w:spacing w:val="-2"/>
          <w:sz w:val="24"/>
          <w:szCs w:val="24"/>
        </w:rPr>
        <w:t>企业名称（盖章</w:t>
      </w:r>
      <w:r>
        <w:rPr>
          <w:rFonts w:ascii="宋体" w:hAnsi="宋体" w:eastAsia="宋体" w:cs="宋体"/>
          <w:spacing w:val="-31"/>
          <w:sz w:val="24"/>
          <w:szCs w:val="24"/>
        </w:rPr>
        <w:t>）：</w:t>
      </w:r>
      <w:r>
        <w:rPr>
          <w:rFonts w:ascii="宋体" w:hAnsi="宋体" w:eastAsia="宋体" w:cs="宋体"/>
          <w:spacing w:val="1"/>
          <w:sz w:val="24"/>
          <w:szCs w:val="24"/>
        </w:rPr>
        <w:t xml:space="preserve"> </w:t>
      </w:r>
    </w:p>
    <w:p w14:paraId="3EA23181">
      <w:pPr>
        <w:spacing w:before="79" w:line="401" w:lineRule="auto"/>
        <w:ind w:left="767" w:right="5606" w:hanging="37"/>
        <w:rPr>
          <w:rFonts w:ascii="宋体" w:hAnsi="宋体" w:eastAsia="宋体" w:cs="宋体"/>
          <w:sz w:val="24"/>
          <w:szCs w:val="24"/>
        </w:rPr>
      </w:pPr>
      <w:r>
        <w:rPr>
          <w:rFonts w:ascii="宋体" w:hAnsi="宋体" w:eastAsia="宋体" w:cs="宋体"/>
          <w:spacing w:val="-17"/>
          <w:sz w:val="24"/>
          <w:szCs w:val="24"/>
        </w:rPr>
        <w:t>日</w:t>
      </w:r>
      <w:r>
        <w:rPr>
          <w:rFonts w:hint="eastAsia" w:ascii="宋体" w:hAnsi="宋体" w:eastAsia="宋体" w:cs="宋体"/>
          <w:spacing w:val="-17"/>
          <w:sz w:val="24"/>
          <w:szCs w:val="24"/>
          <w:lang w:val="en-US" w:eastAsia="zh-CN"/>
        </w:rPr>
        <w:t xml:space="preserve"> </w:t>
      </w:r>
      <w:r>
        <w:rPr>
          <w:rFonts w:ascii="宋体" w:hAnsi="宋体" w:eastAsia="宋体" w:cs="宋体"/>
          <w:spacing w:val="-17"/>
          <w:sz w:val="24"/>
          <w:szCs w:val="24"/>
        </w:rPr>
        <w:t>期：</w:t>
      </w:r>
    </w:p>
    <w:p w14:paraId="5AC4FD0E">
      <w:pPr>
        <w:pStyle w:val="2"/>
        <w:spacing w:line="273" w:lineRule="auto"/>
        <w:rPr>
          <w:sz w:val="24"/>
          <w:szCs w:val="24"/>
        </w:rPr>
      </w:pPr>
    </w:p>
    <w:p w14:paraId="3A072DD7">
      <w:pPr>
        <w:pStyle w:val="2"/>
        <w:spacing w:line="273" w:lineRule="auto"/>
        <w:rPr>
          <w:sz w:val="24"/>
          <w:szCs w:val="24"/>
        </w:rPr>
      </w:pPr>
    </w:p>
    <w:p w14:paraId="29E57A64">
      <w:pPr>
        <w:pStyle w:val="2"/>
        <w:spacing w:line="274" w:lineRule="auto"/>
        <w:rPr>
          <w:sz w:val="24"/>
          <w:szCs w:val="24"/>
        </w:rPr>
      </w:pPr>
    </w:p>
    <w:p w14:paraId="44562150">
      <w:pPr>
        <w:spacing w:before="79" w:line="467" w:lineRule="auto"/>
        <w:ind w:left="47" w:right="103"/>
        <w:rPr>
          <w:rFonts w:ascii="宋体" w:hAnsi="宋体" w:eastAsia="宋体" w:cs="宋体"/>
          <w:sz w:val="24"/>
          <w:szCs w:val="24"/>
        </w:rPr>
      </w:pPr>
      <w:r>
        <w:rPr>
          <w:rFonts w:ascii="宋体" w:hAnsi="宋体" w:eastAsia="宋体" w:cs="宋体"/>
          <w:spacing w:val="-4"/>
          <w:sz w:val="24"/>
          <w:szCs w:val="24"/>
        </w:rPr>
        <w:t>注：从业人员、营业收入、资产总额填报上一年度数据，无上一年度数据的新成</w:t>
      </w:r>
      <w:r>
        <w:rPr>
          <w:rFonts w:ascii="宋体" w:hAnsi="宋体" w:eastAsia="宋体" w:cs="宋体"/>
          <w:spacing w:val="-2"/>
          <w:sz w:val="24"/>
          <w:szCs w:val="24"/>
        </w:rPr>
        <w:t>立企业可不填报。</w:t>
      </w:r>
    </w:p>
    <w:p w14:paraId="773EEF3A">
      <w:pPr>
        <w:spacing w:line="467" w:lineRule="auto"/>
        <w:rPr>
          <w:rFonts w:ascii="宋体" w:hAnsi="宋体" w:eastAsia="宋体" w:cs="宋体"/>
          <w:sz w:val="24"/>
          <w:szCs w:val="24"/>
        </w:rPr>
        <w:sectPr>
          <w:footerReference r:id="rId19" w:type="default"/>
          <w:pgSz w:w="11906" w:h="16839"/>
          <w:pgMar w:top="1431" w:right="1696" w:bottom="1156" w:left="1785" w:header="1134" w:footer="1134" w:gutter="0"/>
          <w:cols w:space="720" w:num="1"/>
        </w:sectPr>
      </w:pPr>
    </w:p>
    <w:p w14:paraId="40216EAB">
      <w:pPr>
        <w:pStyle w:val="9"/>
        <w:ind w:left="0"/>
        <w:rPr>
          <w:rFonts w:hint="eastAsia" w:ascii="宋体" w:hAnsi="宋体"/>
          <w:b/>
          <w:color w:val="000000"/>
          <w:kern w:val="0"/>
          <w:sz w:val="28"/>
          <w:szCs w:val="28"/>
        </w:rPr>
      </w:pPr>
      <w:r>
        <w:rPr>
          <w:rFonts w:hint="eastAsia" w:cs="宋体"/>
          <w:b/>
          <w:bCs/>
          <w:color w:val="000000"/>
          <w:sz w:val="32"/>
          <w:szCs w:val="32"/>
        </w:rPr>
        <w:t>附件：政府采购政策</w:t>
      </w:r>
    </w:p>
    <w:p w14:paraId="73AD0E62">
      <w:pPr>
        <w:widowControl/>
        <w:spacing w:line="360" w:lineRule="auto"/>
        <w:jc w:val="center"/>
        <w:outlineLvl w:val="1"/>
        <w:rPr>
          <w:rFonts w:ascii="宋体" w:hAnsi="宋体"/>
          <w:b/>
          <w:color w:val="000000"/>
          <w:kern w:val="0"/>
          <w:sz w:val="28"/>
          <w:szCs w:val="28"/>
        </w:rPr>
      </w:pPr>
      <w:bookmarkStart w:id="284" w:name="_Toc10546"/>
      <w:r>
        <w:rPr>
          <w:rFonts w:hint="eastAsia" w:ascii="宋体" w:hAnsi="宋体"/>
          <w:b/>
          <w:color w:val="000000"/>
          <w:kern w:val="0"/>
          <w:sz w:val="28"/>
          <w:szCs w:val="28"/>
        </w:rPr>
        <w:t>政府采购促进中小企业发展管理办法</w:t>
      </w:r>
      <w:bookmarkEnd w:id="284"/>
    </w:p>
    <w:p w14:paraId="3AA57439">
      <w:pPr>
        <w:spacing w:line="312" w:lineRule="auto"/>
        <w:jc w:val="center"/>
        <w:rPr>
          <w:rFonts w:ascii="宋体" w:hAnsi="宋体"/>
          <w:b/>
          <w:color w:val="000000"/>
        </w:rPr>
      </w:pPr>
      <w:r>
        <w:rPr>
          <w:rFonts w:hint="eastAsia" w:ascii="宋体" w:hAnsi="宋体"/>
          <w:b/>
          <w:color w:val="000000"/>
        </w:rPr>
        <w:t>财库〔2020〕46号</w:t>
      </w:r>
    </w:p>
    <w:p w14:paraId="51B6AFB6">
      <w:pPr>
        <w:spacing w:line="312" w:lineRule="auto"/>
        <w:rPr>
          <w:rFonts w:ascii="宋体" w:hAnsi="宋体"/>
          <w:color w:val="000000"/>
        </w:rPr>
      </w:pPr>
      <w:r>
        <w:rPr>
          <w:rFonts w:hint="eastAsia" w:ascii="宋体" w:hAnsi="宋体"/>
          <w:color w:val="000000"/>
        </w:rPr>
        <w:t>　　第一条 为了发挥政府采购的政策功能，促进中小企业健康发展，根据《中华人民共和国政府采购法》、《中华人民共和国中小企业促进法》等有关法律法规，制定本办法。</w:t>
      </w:r>
    </w:p>
    <w:p w14:paraId="49201FCF">
      <w:pPr>
        <w:spacing w:line="312" w:lineRule="auto"/>
        <w:rPr>
          <w:rFonts w:ascii="宋体" w:hAnsi="宋体"/>
          <w:color w:val="000000"/>
        </w:rPr>
      </w:pPr>
      <w:r>
        <w:rPr>
          <w:rFonts w:hint="eastAsia" w:ascii="宋体" w:hAnsi="宋体"/>
          <w:color w:val="000000"/>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3838BDB">
      <w:pPr>
        <w:spacing w:line="312" w:lineRule="auto"/>
        <w:ind w:firstLine="420" w:firstLineChars="200"/>
        <w:rPr>
          <w:rFonts w:ascii="宋体" w:hAnsi="宋体"/>
          <w:color w:val="000000"/>
        </w:rPr>
      </w:pPr>
      <w:r>
        <w:rPr>
          <w:rFonts w:hint="eastAsia" w:ascii="宋体" w:hAnsi="宋体"/>
          <w:color w:val="000000"/>
        </w:rPr>
        <w:t>符合中小企业划分标准的个体工商户，在政府采购活动中视同中小企业。</w:t>
      </w:r>
    </w:p>
    <w:p w14:paraId="4C92BFD3">
      <w:pPr>
        <w:spacing w:line="312" w:lineRule="auto"/>
        <w:rPr>
          <w:rFonts w:ascii="宋体" w:hAnsi="宋体"/>
          <w:color w:val="000000"/>
        </w:rPr>
      </w:pPr>
      <w:r>
        <w:rPr>
          <w:rFonts w:hint="eastAsia" w:ascii="宋体" w:hAnsi="宋体"/>
          <w:color w:val="000000"/>
        </w:rPr>
        <w:t>　  第三条 采购人在政府采购活动中应当通过加强采购需求管理，落实预留采购份额、价格评审优惠、优先采购等措施，提高中小企业在政府采购中的份额，支持中小企业发展。</w:t>
      </w:r>
    </w:p>
    <w:p w14:paraId="0A2593C1">
      <w:pPr>
        <w:spacing w:line="312" w:lineRule="auto"/>
        <w:rPr>
          <w:rFonts w:ascii="宋体" w:hAnsi="宋体"/>
          <w:color w:val="000000"/>
        </w:rPr>
      </w:pPr>
      <w:r>
        <w:rPr>
          <w:rFonts w:hint="eastAsia" w:ascii="宋体" w:hAnsi="宋体"/>
          <w:color w:val="000000"/>
        </w:rPr>
        <w:t>　　第四条 在政府采购活动中，供应商提供的货物、工程或者服务符合下列情形的，享受本办法规定的中小企业扶持政策：</w:t>
      </w:r>
    </w:p>
    <w:p w14:paraId="309D20FA">
      <w:pPr>
        <w:spacing w:line="312" w:lineRule="auto"/>
        <w:ind w:firstLine="420" w:firstLineChars="200"/>
        <w:rPr>
          <w:rFonts w:ascii="宋体" w:hAnsi="宋体"/>
          <w:color w:val="000000"/>
        </w:rPr>
      </w:pPr>
      <w:r>
        <w:rPr>
          <w:rFonts w:hint="eastAsia" w:ascii="宋体" w:hAnsi="宋体"/>
          <w:color w:val="000000"/>
        </w:rPr>
        <w:t>（一）在货物采购项目中，货物由中小企业制造，即货物由中小企业生产且使用该中小企业商号或者注册商标；</w:t>
      </w:r>
    </w:p>
    <w:p w14:paraId="619EF1BC">
      <w:pPr>
        <w:spacing w:line="312" w:lineRule="auto"/>
        <w:ind w:firstLine="420" w:firstLineChars="200"/>
        <w:rPr>
          <w:color w:val="000000"/>
        </w:rPr>
      </w:pPr>
      <w:r>
        <w:rPr>
          <w:rFonts w:hint="eastAsia"/>
          <w:color w:val="000000"/>
        </w:rPr>
        <w:t>（二）在工程采购项目中，工程由中小企业承建，即工程施工单位为中小企业；</w:t>
      </w:r>
    </w:p>
    <w:p w14:paraId="6BE353CB">
      <w:pPr>
        <w:spacing w:line="312" w:lineRule="auto"/>
        <w:ind w:firstLine="420" w:firstLineChars="200"/>
        <w:rPr>
          <w:color w:val="000000"/>
        </w:rPr>
      </w:pPr>
      <w:r>
        <w:rPr>
          <w:rFonts w:hint="eastAsia"/>
          <w:color w:val="000000"/>
        </w:rPr>
        <w:t>（三）在服务采购项目中，服务由中小企业承接，即提供服务的人员为中小企业依照《中华人民共和国劳动合同法》订立劳动合同的从业人员。</w:t>
      </w:r>
    </w:p>
    <w:p w14:paraId="5E8E0325">
      <w:pPr>
        <w:spacing w:line="312" w:lineRule="auto"/>
        <w:ind w:firstLine="420" w:firstLineChars="200"/>
        <w:rPr>
          <w:color w:val="000000"/>
        </w:rPr>
      </w:pPr>
      <w:r>
        <w:rPr>
          <w:rFonts w:hint="eastAsia"/>
          <w:color w:val="000000"/>
        </w:rPr>
        <w:t>在货物采购项目中，供应商提供的货物既有中小企业制造货物，也有大型企业制造货物的，不享受本办法规定的中小企业扶持政策。</w:t>
      </w:r>
    </w:p>
    <w:p w14:paraId="118A8919">
      <w:pPr>
        <w:spacing w:line="312" w:lineRule="auto"/>
        <w:ind w:firstLine="420" w:firstLineChars="200"/>
        <w:rPr>
          <w:color w:val="000000"/>
        </w:rPr>
      </w:pPr>
      <w:r>
        <w:rPr>
          <w:rFonts w:hint="eastAsia"/>
          <w:color w:val="000000"/>
        </w:rPr>
        <w:t>以联合体形式参加政府采购活动，联合体各方均为中小企业的，联合体视同中小企业。其中，联合体各方均为小微企业的，联合体视同小微企业。</w:t>
      </w:r>
    </w:p>
    <w:p w14:paraId="6047A54C">
      <w:pPr>
        <w:spacing w:line="312" w:lineRule="auto"/>
        <w:ind w:firstLine="420" w:firstLineChars="200"/>
        <w:rPr>
          <w:color w:val="000000"/>
        </w:rPr>
      </w:pPr>
      <w:r>
        <w:rPr>
          <w:rFonts w:hint="eastAsia"/>
          <w:color w:val="000000"/>
        </w:rPr>
        <w:t>第五条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8245920">
      <w:pPr>
        <w:spacing w:line="312" w:lineRule="auto"/>
        <w:ind w:firstLine="420" w:firstLineChars="200"/>
        <w:rPr>
          <w:color w:val="000000"/>
        </w:rPr>
      </w:pPr>
      <w:r>
        <w:rPr>
          <w:rFonts w:hint="eastAsia"/>
          <w:color w:val="000000"/>
        </w:rPr>
        <w:t>第六条主管预算单位应当组织评估本部门及所属单位政府采购项目，统筹制定面向中小企业预留采购份额的具体方案，对适宜由中小企业提供的采购项目和采购标，预留采购份额专门面向中小企业采购，并在政府采购预算中单独列示。</w:t>
      </w:r>
    </w:p>
    <w:p w14:paraId="654CEF66">
      <w:pPr>
        <w:spacing w:line="312" w:lineRule="auto"/>
        <w:ind w:firstLine="420" w:firstLineChars="200"/>
        <w:rPr>
          <w:color w:val="000000"/>
        </w:rPr>
      </w:pPr>
      <w:r>
        <w:rPr>
          <w:rFonts w:hint="eastAsia"/>
          <w:color w:val="000000"/>
        </w:rPr>
        <w:t>符合下列情形之一的，可不专门面向中小企业预留采购份额：</w:t>
      </w:r>
    </w:p>
    <w:p w14:paraId="28FD55A9">
      <w:pPr>
        <w:spacing w:line="312" w:lineRule="auto"/>
        <w:ind w:firstLine="420" w:firstLineChars="200"/>
        <w:rPr>
          <w:color w:val="000000"/>
        </w:rPr>
      </w:pPr>
      <w:r>
        <w:rPr>
          <w:rFonts w:hint="eastAsia"/>
          <w:color w:val="000000"/>
        </w:rPr>
        <w:t>（一）法律法规和国家有关政策明确规定优先或者应当面向事业单位、社会组织等非企业主体采购的；</w:t>
      </w:r>
    </w:p>
    <w:p w14:paraId="0FF832B6">
      <w:pPr>
        <w:spacing w:line="312" w:lineRule="auto"/>
        <w:ind w:firstLine="420" w:firstLineChars="200"/>
        <w:rPr>
          <w:color w:val="000000"/>
        </w:rPr>
      </w:pPr>
      <w:r>
        <w:rPr>
          <w:rFonts w:hint="eastAsia"/>
          <w:color w:val="000000"/>
        </w:rPr>
        <w:t>（二）因确需使用不可替代的专利、专有技术，基础设施限制，或者提供特定公共服务等原因，只能从中小企业之外的供应商处采购的；</w:t>
      </w:r>
    </w:p>
    <w:p w14:paraId="5B2EAB16">
      <w:pPr>
        <w:spacing w:line="312" w:lineRule="auto"/>
        <w:rPr>
          <w:rFonts w:ascii="宋体" w:hAnsi="宋体"/>
          <w:color w:val="000000"/>
        </w:rPr>
      </w:pPr>
      <w:r>
        <w:rPr>
          <w:rFonts w:hint="eastAsia" w:ascii="宋体" w:hAnsi="宋体"/>
          <w:color w:val="000000"/>
        </w:rPr>
        <w:t>　  （三）按照本办法规定预留采购份额无法确保充分供应、充分竞争，或者存在可能影响政府采购目标实现的情形；</w:t>
      </w:r>
    </w:p>
    <w:p w14:paraId="45F3D6FA">
      <w:pPr>
        <w:spacing w:line="312" w:lineRule="auto"/>
        <w:ind w:firstLine="420" w:firstLineChars="200"/>
        <w:rPr>
          <w:rFonts w:ascii="宋体" w:hAnsi="宋体"/>
          <w:color w:val="000000"/>
        </w:rPr>
      </w:pPr>
      <w:r>
        <w:rPr>
          <w:rFonts w:hint="eastAsia" w:ascii="宋体" w:hAnsi="宋体"/>
          <w:color w:val="000000"/>
        </w:rPr>
        <w:t>（四）框架协议采购项目；</w:t>
      </w:r>
    </w:p>
    <w:p w14:paraId="653BF0E9">
      <w:pPr>
        <w:spacing w:line="312" w:lineRule="auto"/>
        <w:ind w:firstLine="420" w:firstLineChars="200"/>
        <w:rPr>
          <w:rFonts w:ascii="宋体" w:hAnsi="宋体"/>
          <w:color w:val="000000"/>
        </w:rPr>
      </w:pPr>
      <w:r>
        <w:rPr>
          <w:rFonts w:hint="eastAsia" w:ascii="宋体" w:hAnsi="宋体"/>
          <w:color w:val="000000"/>
        </w:rPr>
        <w:t>（五）省级以上人民政府财政部门规定的其他情形。</w:t>
      </w:r>
    </w:p>
    <w:p w14:paraId="443C8185">
      <w:pPr>
        <w:spacing w:line="312" w:lineRule="auto"/>
        <w:ind w:firstLine="420" w:firstLineChars="200"/>
        <w:rPr>
          <w:rFonts w:ascii="宋体" w:hAnsi="宋体"/>
          <w:color w:val="000000"/>
        </w:rPr>
      </w:pPr>
      <w:r>
        <w:rPr>
          <w:rFonts w:hint="eastAsia" w:ascii="宋体" w:hAnsi="宋体"/>
          <w:color w:val="000000"/>
        </w:rPr>
        <w:t>除上述情形外，其他均为适宜由中小企业提供的情形。</w:t>
      </w:r>
    </w:p>
    <w:p w14:paraId="31D24FDF">
      <w:pPr>
        <w:spacing w:line="312" w:lineRule="auto"/>
        <w:ind w:firstLine="420" w:firstLineChars="200"/>
        <w:rPr>
          <w:rFonts w:ascii="宋体" w:hAnsi="宋体"/>
          <w:color w:val="000000"/>
        </w:rPr>
      </w:pPr>
      <w:r>
        <w:rPr>
          <w:rFonts w:hint="eastAsia" w:ascii="宋体" w:hAnsi="宋体"/>
          <w:color w:val="000000"/>
        </w:rPr>
        <w:t>第七条 采购限额标准以上，200万元以下的货物和服务采购项目、400万元以下的工程采购项目，适宜由中小企业提供的，采购人应当专门面向中小企业采购。</w:t>
      </w:r>
    </w:p>
    <w:p w14:paraId="1CE7F303">
      <w:pPr>
        <w:spacing w:line="312" w:lineRule="auto"/>
        <w:ind w:firstLine="420" w:firstLineChars="200"/>
        <w:rPr>
          <w:rFonts w:ascii="宋体" w:hAnsi="宋体"/>
          <w:color w:val="000000"/>
        </w:rPr>
      </w:pPr>
      <w:r>
        <w:rPr>
          <w:rFonts w:hint="eastAsia" w:ascii="宋体" w:hAnsi="宋体"/>
          <w:color w:val="000000"/>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7774514F">
      <w:pPr>
        <w:spacing w:line="312" w:lineRule="auto"/>
        <w:ind w:firstLine="420" w:firstLineChars="200"/>
        <w:rPr>
          <w:rFonts w:ascii="宋体" w:hAnsi="宋体"/>
          <w:color w:val="000000"/>
        </w:rPr>
      </w:pPr>
      <w:r>
        <w:rPr>
          <w:rFonts w:hint="eastAsia" w:ascii="宋体" w:hAnsi="宋体"/>
          <w:color w:val="000000"/>
        </w:rPr>
        <w:t>（一）将采购项目整体或者设置采购标专门面向中小企业采购；</w:t>
      </w:r>
    </w:p>
    <w:p w14:paraId="78FD544A">
      <w:pPr>
        <w:spacing w:line="312" w:lineRule="auto"/>
        <w:ind w:firstLine="420" w:firstLineChars="200"/>
        <w:rPr>
          <w:rFonts w:ascii="宋体" w:hAnsi="宋体"/>
          <w:color w:val="000000"/>
        </w:rPr>
      </w:pPr>
      <w:r>
        <w:rPr>
          <w:rFonts w:hint="eastAsia" w:ascii="宋体" w:hAnsi="宋体"/>
          <w:color w:val="000000"/>
        </w:rPr>
        <w:t>（二）要求供应商以联合体形式参加采购活动，且联合体中中小企业承担的部分达到一定比例；</w:t>
      </w:r>
    </w:p>
    <w:p w14:paraId="6283C26F">
      <w:pPr>
        <w:spacing w:line="312" w:lineRule="auto"/>
        <w:ind w:firstLine="420" w:firstLineChars="200"/>
        <w:rPr>
          <w:rFonts w:ascii="宋体" w:hAnsi="宋体"/>
          <w:color w:val="000000"/>
        </w:rPr>
      </w:pPr>
      <w:r>
        <w:rPr>
          <w:rFonts w:hint="eastAsia" w:ascii="宋体" w:hAnsi="宋体"/>
          <w:color w:val="000000"/>
        </w:rPr>
        <w:t>（三）要求获得采购合同的供应商将采购项目中的一定比例分标给一家或者多家中小企业。</w:t>
      </w:r>
    </w:p>
    <w:p w14:paraId="4A33393F">
      <w:pPr>
        <w:spacing w:line="312" w:lineRule="auto"/>
        <w:ind w:firstLine="420" w:firstLineChars="200"/>
        <w:rPr>
          <w:rFonts w:ascii="宋体" w:hAnsi="宋体"/>
          <w:color w:val="000000"/>
        </w:rPr>
      </w:pPr>
      <w:r>
        <w:rPr>
          <w:rFonts w:hint="eastAsia" w:ascii="宋体" w:hAnsi="宋体"/>
          <w:color w:val="000000"/>
        </w:rPr>
        <w:t>组成联合体或者接受分标合同的中小企业与联合体内其他企业、分标企业之间不得存在直接控股、管理关系。</w:t>
      </w:r>
    </w:p>
    <w:p w14:paraId="14E65083">
      <w:pPr>
        <w:spacing w:line="312" w:lineRule="auto"/>
        <w:ind w:firstLine="420" w:firstLineChars="200"/>
        <w:rPr>
          <w:rFonts w:ascii="宋体" w:hAnsi="宋体"/>
          <w:color w:val="000000"/>
        </w:rPr>
      </w:pPr>
      <w:r>
        <w:rPr>
          <w:rFonts w:hint="eastAsia" w:ascii="宋体" w:hAnsi="宋体"/>
          <w:color w:val="000000"/>
        </w:rPr>
        <w:t>第九条 对于经主管预算单位统筹后未预留份额专门面向中小企业采购的采购项目，以及预留份额项目中的非预留部分采购标，采购人、采购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CD6642C">
      <w:pPr>
        <w:spacing w:line="312" w:lineRule="auto"/>
        <w:ind w:firstLine="420" w:firstLineChars="200"/>
        <w:rPr>
          <w:rFonts w:ascii="宋体" w:hAnsi="宋体"/>
          <w:color w:val="000000"/>
        </w:rPr>
      </w:pPr>
      <w:r>
        <w:rPr>
          <w:rFonts w:hint="eastAsia" w:ascii="宋体" w:hAnsi="宋体"/>
          <w:color w:val="000000"/>
        </w:rPr>
        <w:t>接受大中型企业与小微企业组成联合体或者允许大中型企业向一家或者多家小微企业分标的采购项目，对于联合协议或者分标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标的小微企业与联合体内其他企业、分标企业之间存在直接控股、管理关系的，不享受价格扣除优惠政策。</w:t>
      </w:r>
    </w:p>
    <w:p w14:paraId="5B42723C">
      <w:pPr>
        <w:spacing w:line="312" w:lineRule="auto"/>
        <w:ind w:firstLine="420" w:firstLineChars="200"/>
        <w:rPr>
          <w:rFonts w:ascii="宋体" w:hAnsi="宋体"/>
          <w:color w:val="000000"/>
        </w:rPr>
      </w:pPr>
      <w:r>
        <w:rPr>
          <w:rFonts w:hint="eastAsia" w:ascii="宋体" w:hAnsi="宋体"/>
          <w:color w:val="000000"/>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BE77826">
      <w:pPr>
        <w:spacing w:line="312" w:lineRule="auto"/>
        <w:ind w:firstLine="420" w:firstLineChars="200"/>
        <w:rPr>
          <w:rFonts w:ascii="宋体" w:hAnsi="宋体"/>
          <w:color w:val="000000"/>
        </w:rPr>
      </w:pPr>
      <w:r>
        <w:rPr>
          <w:rFonts w:hint="eastAsia" w:ascii="宋体" w:hAnsi="宋体"/>
          <w:color w:val="000000"/>
        </w:rPr>
        <w:t>第十条 采购人应当严格按照本办法规定和主管预算单位制定的预留采购份额具体方案开展采购活动。预留份额的采购项目或者采购标，通过发布公告方式邀请供应商后，符合资格条件的中小企业数量不足3家的，应当中止采购活动，视同未预留份额的采购项目或者采购标，按照本办法第九条有关规定重新组织采购活动。</w:t>
      </w:r>
    </w:p>
    <w:p w14:paraId="140B9E01">
      <w:pPr>
        <w:spacing w:line="312" w:lineRule="auto"/>
        <w:ind w:firstLine="420" w:firstLineChars="200"/>
        <w:rPr>
          <w:rFonts w:ascii="宋体" w:hAnsi="宋体"/>
          <w:color w:val="000000"/>
        </w:rPr>
      </w:pPr>
      <w:r>
        <w:rPr>
          <w:rFonts w:hint="eastAsia" w:ascii="宋体" w:hAnsi="宋体"/>
          <w:color w:val="000000"/>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454CE48C">
      <w:pPr>
        <w:spacing w:line="312" w:lineRule="auto"/>
        <w:ind w:firstLine="420" w:firstLineChars="200"/>
        <w:rPr>
          <w:rFonts w:ascii="宋体" w:hAnsi="宋体"/>
          <w:color w:val="000000"/>
        </w:rPr>
      </w:pPr>
      <w:r>
        <w:rPr>
          <w:rFonts w:hint="eastAsia" w:ascii="宋体" w:hAnsi="宋体"/>
          <w:color w:val="000000"/>
        </w:rPr>
        <w:t>第十二条 采购项目涉及中小企业采购的，采购文件应当明确以下内容：</w:t>
      </w:r>
    </w:p>
    <w:p w14:paraId="3CF4D253">
      <w:pPr>
        <w:spacing w:line="312" w:lineRule="auto"/>
        <w:ind w:firstLine="420" w:firstLineChars="200"/>
        <w:rPr>
          <w:rFonts w:ascii="宋体" w:hAnsi="宋体"/>
          <w:color w:val="000000"/>
        </w:rPr>
      </w:pPr>
      <w:r>
        <w:rPr>
          <w:rFonts w:hint="eastAsia" w:ascii="宋体" w:hAnsi="宋体"/>
          <w:color w:val="000000"/>
        </w:rPr>
        <w:t>（一）预留份额的采购项目或者采购标，明确该项目或相关采购标专门面向中小企业采购，以及相关标的及预算金额；</w:t>
      </w:r>
    </w:p>
    <w:p w14:paraId="1C88F55D">
      <w:pPr>
        <w:spacing w:line="312" w:lineRule="auto"/>
        <w:ind w:firstLine="420" w:firstLineChars="200"/>
        <w:rPr>
          <w:rFonts w:ascii="宋体" w:hAnsi="宋体"/>
          <w:color w:val="000000"/>
        </w:rPr>
      </w:pPr>
      <w:r>
        <w:rPr>
          <w:rFonts w:hint="eastAsia" w:ascii="宋体" w:hAnsi="宋体"/>
          <w:color w:val="000000"/>
        </w:rPr>
        <w:t>（二）要求以联合体形式参加或者合同分标的，明确联合协议或者分标意向协议中中小企业合同金额应当达到的比例，并作为供应商资格条件；</w:t>
      </w:r>
    </w:p>
    <w:p w14:paraId="677C5C1E">
      <w:pPr>
        <w:spacing w:line="312" w:lineRule="auto"/>
        <w:ind w:firstLine="420" w:firstLineChars="200"/>
        <w:rPr>
          <w:rFonts w:ascii="宋体" w:hAnsi="宋体"/>
          <w:color w:val="000000"/>
        </w:rPr>
      </w:pPr>
      <w:r>
        <w:rPr>
          <w:rFonts w:hint="eastAsia" w:ascii="宋体" w:hAnsi="宋体"/>
          <w:color w:val="000000"/>
        </w:rPr>
        <w:t>（三）非预留份额的采购项目或者采购标，明确有关价格扣除比例或者价格分加分比例；</w:t>
      </w:r>
    </w:p>
    <w:p w14:paraId="0B42A9F0">
      <w:pPr>
        <w:spacing w:line="312" w:lineRule="auto"/>
        <w:ind w:firstLine="420" w:firstLineChars="200"/>
        <w:rPr>
          <w:rFonts w:ascii="宋体" w:hAnsi="宋体"/>
          <w:color w:val="000000"/>
        </w:rPr>
      </w:pPr>
      <w:r>
        <w:rPr>
          <w:rFonts w:hint="eastAsia" w:ascii="宋体" w:hAnsi="宋体"/>
          <w:color w:val="000000"/>
        </w:rPr>
        <w:t>（四）规定依据本办法规定享受扶持政策获得政府采购合同的，小微企业不得将合同分标给大中型企业，中型企业不得将合同分标给大型企业；</w:t>
      </w:r>
    </w:p>
    <w:p w14:paraId="15F77721">
      <w:pPr>
        <w:spacing w:line="312" w:lineRule="auto"/>
        <w:ind w:firstLine="420" w:firstLineChars="200"/>
        <w:rPr>
          <w:rFonts w:ascii="宋体" w:hAnsi="宋体"/>
          <w:color w:val="000000"/>
        </w:rPr>
      </w:pPr>
      <w:r>
        <w:rPr>
          <w:rFonts w:hint="eastAsia" w:ascii="宋体" w:hAnsi="宋体"/>
          <w:color w:val="000000"/>
        </w:rPr>
        <w:t>（五）采购人认为具备相关条件的，明确对中小企业在资金支付期限、预付款比例等方面的优惠措施；</w:t>
      </w:r>
    </w:p>
    <w:p w14:paraId="77F6E143">
      <w:pPr>
        <w:spacing w:line="312" w:lineRule="auto"/>
        <w:ind w:firstLine="420" w:firstLineChars="200"/>
        <w:rPr>
          <w:rFonts w:ascii="宋体" w:hAnsi="宋体"/>
          <w:color w:val="000000"/>
        </w:rPr>
      </w:pPr>
      <w:r>
        <w:rPr>
          <w:rFonts w:hint="eastAsia" w:ascii="宋体" w:hAnsi="宋体"/>
          <w:color w:val="000000"/>
        </w:rPr>
        <w:t>（六）明确采购标的对应的中小企业划分标准所属行业；</w:t>
      </w:r>
    </w:p>
    <w:p w14:paraId="57F096B3">
      <w:pPr>
        <w:spacing w:line="312" w:lineRule="auto"/>
        <w:ind w:firstLine="420" w:firstLineChars="200"/>
        <w:rPr>
          <w:rFonts w:ascii="宋体" w:hAnsi="宋体"/>
          <w:color w:val="000000"/>
        </w:rPr>
      </w:pPr>
      <w:r>
        <w:rPr>
          <w:rFonts w:hint="eastAsia" w:ascii="宋体" w:hAnsi="宋体"/>
          <w:color w:val="000000"/>
        </w:rPr>
        <w:t>（七）法律法规和省级以上人民政府财政部门规定的其他事项。</w:t>
      </w:r>
    </w:p>
    <w:p w14:paraId="1F8FCFD6">
      <w:pPr>
        <w:spacing w:line="312" w:lineRule="auto"/>
        <w:ind w:firstLine="420" w:firstLineChars="200"/>
        <w:rPr>
          <w:rFonts w:ascii="宋体" w:hAnsi="宋体"/>
          <w:color w:val="000000"/>
        </w:rPr>
      </w:pPr>
      <w:r>
        <w:rPr>
          <w:rFonts w:hint="eastAsia" w:ascii="宋体" w:hAnsi="宋体"/>
          <w:color w:val="000000"/>
        </w:rPr>
        <w:t>第十三条 中标、成交供应商享受本办法规定的中小企业扶持政策的，采购人、采购代理机构应当随中标、成交结果公开中标、成交供应商的《中小企业声明函》。</w:t>
      </w:r>
    </w:p>
    <w:p w14:paraId="13A44FB7">
      <w:pPr>
        <w:spacing w:line="312" w:lineRule="auto"/>
        <w:ind w:firstLine="420" w:firstLineChars="200"/>
        <w:rPr>
          <w:rFonts w:ascii="宋体" w:hAnsi="宋体"/>
          <w:color w:val="000000"/>
        </w:rPr>
      </w:pPr>
      <w:r>
        <w:rPr>
          <w:rFonts w:hint="eastAsia" w:ascii="宋体" w:hAnsi="宋体"/>
          <w:color w:val="000000"/>
        </w:rPr>
        <w:t>适用招标投标法的政府采购工程建设项目，应当在公示中标候选人时公开中标候选人的《中小企业声明函》。</w:t>
      </w:r>
    </w:p>
    <w:p w14:paraId="5AD71FEF">
      <w:pPr>
        <w:spacing w:line="312" w:lineRule="auto"/>
        <w:ind w:firstLine="420" w:firstLineChars="200"/>
        <w:rPr>
          <w:rFonts w:ascii="宋体" w:hAnsi="宋体"/>
          <w:color w:val="000000"/>
        </w:rPr>
      </w:pPr>
      <w:r>
        <w:rPr>
          <w:rFonts w:hint="eastAsia" w:ascii="宋体" w:hAnsi="宋体"/>
          <w:color w:val="000000"/>
        </w:rPr>
        <w:t>第十四条 对于通过预留采购项目、预留专门采购标、要求以联合体形式参加或者合同分标等措施签订的采购合同，应当明确标注本合同为中小企业预留合同。其中，要求以联合体形式参加采购活动或者合同分标的，应当将联合协议或者分标意向协议作为采购合同的组成部分。</w:t>
      </w:r>
    </w:p>
    <w:p w14:paraId="388D372E">
      <w:pPr>
        <w:spacing w:line="312" w:lineRule="auto"/>
        <w:ind w:firstLine="420" w:firstLineChars="200"/>
        <w:rPr>
          <w:rFonts w:ascii="宋体" w:hAnsi="宋体"/>
          <w:color w:val="000000"/>
        </w:rPr>
      </w:pPr>
      <w:r>
        <w:rPr>
          <w:rFonts w:hint="eastAsia" w:ascii="宋体" w:hAnsi="宋体"/>
          <w:color w:val="000000"/>
        </w:rPr>
        <w:t>第十五条 鼓励各地区、各部门在采购活动中允许中小企业引入信用担保手段，为中小企业在投标（响应）保证、履约保证等方面提供专业化服务。鼓励中小企业依法合规通过政府采购合同融资。</w:t>
      </w:r>
    </w:p>
    <w:p w14:paraId="11A35C9E">
      <w:pPr>
        <w:spacing w:line="312" w:lineRule="auto"/>
        <w:ind w:firstLine="420" w:firstLineChars="200"/>
        <w:rPr>
          <w:rFonts w:ascii="宋体" w:hAnsi="宋体"/>
          <w:color w:val="000000"/>
        </w:rPr>
      </w:pPr>
      <w:r>
        <w:rPr>
          <w:rFonts w:hint="eastAsia" w:ascii="宋体" w:hAnsi="宋体"/>
          <w:color w:val="000000"/>
        </w:rPr>
        <w:t>第十六条 政府采购监督检查、投诉处理及政府采购行政处罚中对中小企业的认定，由货物制造商或者工程、服务供应商注册登记所在地的县级以上人民政府中小企业主管部门负责。</w:t>
      </w:r>
    </w:p>
    <w:p w14:paraId="15534C33">
      <w:pPr>
        <w:spacing w:line="312" w:lineRule="auto"/>
        <w:ind w:firstLine="420" w:firstLineChars="200"/>
        <w:rPr>
          <w:rFonts w:ascii="宋体" w:hAnsi="宋体"/>
          <w:color w:val="000000"/>
        </w:rPr>
      </w:pPr>
      <w:r>
        <w:rPr>
          <w:rFonts w:hint="eastAsia" w:ascii="宋体" w:hAnsi="宋体"/>
          <w:color w:val="000000"/>
        </w:rPr>
        <w:t>中小企业主管部门应当在收到财政部门或者有关招标投标行政监督部门关于协助开展中小企业认定函后 10 个工作日内做出书面答复。</w:t>
      </w:r>
    </w:p>
    <w:p w14:paraId="4CBEAF81">
      <w:pPr>
        <w:widowControl/>
        <w:numPr>
          <w:ilvl w:val="0"/>
          <w:numId w:val="5"/>
        </w:numPr>
        <w:kinsoku w:val="0"/>
        <w:autoSpaceDE w:val="0"/>
        <w:autoSpaceDN w:val="0"/>
        <w:adjustRightInd w:val="0"/>
        <w:snapToGrid w:val="0"/>
        <w:spacing w:line="312" w:lineRule="auto"/>
        <w:ind w:firstLine="420" w:firstLineChars="200"/>
        <w:jc w:val="left"/>
        <w:textAlignment w:val="baseline"/>
        <w:rPr>
          <w:rFonts w:ascii="宋体" w:hAnsi="宋体"/>
          <w:color w:val="000000"/>
        </w:rPr>
      </w:pPr>
      <w:r>
        <w:rPr>
          <w:rFonts w:hint="eastAsia" w:ascii="宋体" w:hAnsi="宋体"/>
          <w:color w:val="000000"/>
        </w:rPr>
        <w:t>各地区、各部门应当对涉及中小企业采购的预算项目实施全过程绩效管理，合理设置绩效目标和指标，落实扶持中小企业有关政策要求，定期开展绩效监控和评价，强化绩效评价结果应用。</w:t>
      </w:r>
    </w:p>
    <w:p w14:paraId="3F435306">
      <w:pPr>
        <w:spacing w:line="312" w:lineRule="auto"/>
        <w:rPr>
          <w:color w:val="000000"/>
        </w:rPr>
      </w:pPr>
      <w:r>
        <w:rPr>
          <w:rFonts w:hint="eastAsia"/>
          <w:color w:val="000000"/>
        </w:rPr>
        <w:t>第十八条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A115D12">
      <w:pPr>
        <w:spacing w:line="312" w:lineRule="auto"/>
        <w:ind w:firstLine="420" w:firstLineChars="200"/>
        <w:rPr>
          <w:color w:val="000000"/>
        </w:rPr>
      </w:pPr>
      <w:r>
        <w:rPr>
          <w:rFonts w:hint="eastAsia"/>
          <w:color w:val="000000"/>
        </w:rPr>
        <w:t>第十九条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A4C1ADC">
      <w:pPr>
        <w:spacing w:line="312" w:lineRule="auto"/>
        <w:ind w:firstLine="420" w:firstLineChars="200"/>
        <w:rPr>
          <w:color w:val="000000"/>
        </w:rPr>
      </w:pPr>
      <w:r>
        <w:rPr>
          <w:rFonts w:hint="eastAsia"/>
          <w:color w:val="000000"/>
        </w:rPr>
        <w:t>第二十条供应商按照本办法规定提供声明函内容不实的，属于提供虚假材料谋取中标、成交，依照《中华人民共和国政府采购法》等国家有关规定追究相应责任。</w:t>
      </w:r>
    </w:p>
    <w:p w14:paraId="4EE44876">
      <w:pPr>
        <w:spacing w:line="312" w:lineRule="auto"/>
        <w:ind w:firstLine="420" w:firstLineChars="200"/>
        <w:rPr>
          <w:color w:val="000000"/>
        </w:rPr>
      </w:pPr>
      <w:r>
        <w:rPr>
          <w:rFonts w:hint="eastAsia"/>
          <w:color w:val="000000"/>
        </w:rPr>
        <w:t>适用招标投标法的政府采购工程建设项目，</w:t>
      </w:r>
      <w:r>
        <w:rPr>
          <w:rFonts w:hint="eastAsia"/>
          <w:color w:val="000000"/>
          <w:lang w:eastAsia="zh-CN"/>
        </w:rPr>
        <w:t>供应商</w:t>
      </w:r>
      <w:r>
        <w:rPr>
          <w:rFonts w:hint="eastAsia"/>
          <w:color w:val="000000"/>
        </w:rPr>
        <w:t>按照本办法规定提供声明函内容不实的，属于弄虚作假骗取中标，依照《中华人民共和国招标投标法》等国家有关规定追究相应责任。</w:t>
      </w:r>
    </w:p>
    <w:p w14:paraId="4AF9DEE6">
      <w:pPr>
        <w:spacing w:line="312" w:lineRule="auto"/>
        <w:ind w:firstLine="420" w:firstLineChars="200"/>
        <w:rPr>
          <w:color w:val="000000"/>
        </w:rPr>
      </w:pPr>
      <w:r>
        <w:rPr>
          <w:rFonts w:hint="eastAsia"/>
          <w:color w:val="000000"/>
        </w:rPr>
        <w:t>第二十一条财政部门、中小企业主管部门及其工作人员在履行职责中违反本办法规定及存在其他滥用职权、玩忽职守、徇私舞弊等违法违纪行为的，依照《中华人民共和国政府采购法》、《中华人民共和国公务员法》、《中华人民共和</w:t>
      </w:r>
      <w:r>
        <w:rPr>
          <w:color w:val="000000"/>
        </w:rPr>
        <w:fldChar w:fldCharType="begin"/>
      </w:r>
      <w:r>
        <w:rPr>
          <w:color w:val="000000"/>
        </w:rPr>
        <w:instrText xml:space="preserve"> HYPERLINK "http://10.162.100.18:168/golaw?dbnm=gjfg&amp;flid=1129012015130679" </w:instrText>
      </w:r>
      <w:r>
        <w:rPr>
          <w:color w:val="000000"/>
        </w:rPr>
        <w:fldChar w:fldCharType="separate"/>
      </w:r>
      <w:r>
        <w:rPr>
          <w:rFonts w:hint="eastAsia"/>
          <w:color w:val="000000"/>
        </w:rPr>
        <w:t>国监察法》、《中华人民共和国政府采购法实施条例》等国家</w:t>
      </w:r>
      <w:r>
        <w:rPr>
          <w:rFonts w:hint="eastAsia"/>
          <w:color w:val="000000"/>
        </w:rPr>
        <w:fldChar w:fldCharType="end"/>
      </w:r>
      <w:r>
        <w:rPr>
          <w:rFonts w:hint="eastAsia"/>
          <w:color w:val="000000"/>
        </w:rPr>
        <w:t>有关规定追究相应责任；涉嫌犯罪的，依法移送有关国家机关处理。</w:t>
      </w:r>
    </w:p>
    <w:p w14:paraId="405BF4AD">
      <w:pPr>
        <w:spacing w:line="312" w:lineRule="auto"/>
        <w:ind w:firstLine="420" w:firstLineChars="200"/>
        <w:rPr>
          <w:color w:val="000000"/>
        </w:rPr>
      </w:pPr>
      <w:r>
        <w:rPr>
          <w:rFonts w:hint="eastAsia"/>
          <w:color w:val="000000"/>
        </w:rPr>
        <w:t>第二十二条对外援助项目、国家相关资格或者资质管理制度另有规定的项目，不适用本办法。</w:t>
      </w:r>
    </w:p>
    <w:p w14:paraId="41FFF8F9">
      <w:pPr>
        <w:spacing w:line="312" w:lineRule="auto"/>
        <w:ind w:firstLine="420" w:firstLineChars="200"/>
        <w:rPr>
          <w:color w:val="000000"/>
        </w:rPr>
      </w:pPr>
      <w:r>
        <w:rPr>
          <w:rFonts w:hint="eastAsia"/>
          <w:color w:val="000000"/>
        </w:rPr>
        <w:t>第二十三条</w:t>
      </w:r>
      <w:r>
        <w:rPr>
          <w:rFonts w:hint="eastAsia"/>
          <w:color w:val="000000"/>
        </w:rPr>
        <w:tab/>
      </w:r>
      <w:r>
        <w:rPr>
          <w:rFonts w:hint="eastAsia"/>
          <w:color w:val="000000"/>
        </w:rPr>
        <w:t>关于视同中小企业的其他主体的政府采购扶持政策，由财政部会同有关部门另行规定。</w:t>
      </w:r>
    </w:p>
    <w:p w14:paraId="3AF1328D">
      <w:pPr>
        <w:spacing w:line="276" w:lineRule="auto"/>
        <w:ind w:firstLine="420" w:firstLineChars="200"/>
        <w:rPr>
          <w:color w:val="000000"/>
        </w:rPr>
      </w:pPr>
      <w:r>
        <w:rPr>
          <w:rFonts w:hint="eastAsia"/>
          <w:color w:val="000000"/>
        </w:rPr>
        <w:t>第二十四条</w:t>
      </w:r>
      <w:r>
        <w:rPr>
          <w:rFonts w:hint="eastAsia"/>
          <w:color w:val="000000"/>
        </w:rPr>
        <w:tab/>
      </w:r>
      <w:r>
        <w:rPr>
          <w:rFonts w:hint="eastAsia"/>
          <w:color w:val="000000"/>
        </w:rPr>
        <w:t>省级财政部门可以会同中小企业主管部门根据本办法的规定制定具体实施办法。</w:t>
      </w:r>
    </w:p>
    <w:p w14:paraId="05480306">
      <w:pPr>
        <w:spacing w:line="276" w:lineRule="auto"/>
        <w:rPr>
          <w:rFonts w:ascii="宋体" w:hAnsi="宋体"/>
          <w:color w:val="000000"/>
        </w:rPr>
      </w:pPr>
      <w:r>
        <w:rPr>
          <w:rFonts w:hint="eastAsia"/>
          <w:color w:val="000000"/>
        </w:rPr>
        <w:t>第二十五条本办法自2021年1月1日起施行。《财政部工业和信息化部关于印发〈政府采购促进中小企业发展暂行办法〉的通知》（财库﹝2011﹞181 号）同时废止。</w:t>
      </w:r>
    </w:p>
    <w:p w14:paraId="124DB2C9">
      <w:pPr>
        <w:widowControl/>
        <w:spacing w:line="360" w:lineRule="auto"/>
        <w:jc w:val="center"/>
        <w:outlineLvl w:val="1"/>
        <w:rPr>
          <w:rFonts w:hint="eastAsia" w:ascii="宋体" w:hAnsi="宋体"/>
          <w:b/>
          <w:color w:val="000000"/>
          <w:kern w:val="0"/>
          <w:sz w:val="28"/>
          <w:szCs w:val="28"/>
        </w:rPr>
      </w:pPr>
    </w:p>
    <w:p w14:paraId="1B18272F">
      <w:pPr>
        <w:widowControl/>
        <w:spacing w:line="360" w:lineRule="auto"/>
        <w:jc w:val="center"/>
        <w:outlineLvl w:val="1"/>
        <w:rPr>
          <w:rFonts w:hint="eastAsia" w:ascii="宋体" w:hAnsi="宋体"/>
          <w:b/>
          <w:color w:val="000000"/>
          <w:kern w:val="0"/>
          <w:sz w:val="28"/>
          <w:szCs w:val="28"/>
        </w:rPr>
      </w:pPr>
      <w:bookmarkStart w:id="285" w:name="_Toc18284"/>
    </w:p>
    <w:p w14:paraId="23F74ECE">
      <w:pPr>
        <w:widowControl/>
        <w:spacing w:line="360" w:lineRule="auto"/>
        <w:jc w:val="center"/>
        <w:outlineLvl w:val="1"/>
        <w:rPr>
          <w:rFonts w:hint="eastAsia" w:ascii="宋体" w:hAnsi="宋体"/>
          <w:b/>
          <w:color w:val="000000"/>
          <w:kern w:val="0"/>
          <w:sz w:val="28"/>
          <w:szCs w:val="28"/>
        </w:rPr>
      </w:pPr>
    </w:p>
    <w:p w14:paraId="2C2954FF">
      <w:pPr>
        <w:widowControl/>
        <w:spacing w:line="360" w:lineRule="auto"/>
        <w:jc w:val="center"/>
        <w:outlineLvl w:val="1"/>
        <w:rPr>
          <w:rFonts w:hint="eastAsia" w:ascii="宋体" w:hAnsi="宋体"/>
          <w:b/>
          <w:color w:val="000000"/>
          <w:kern w:val="0"/>
          <w:sz w:val="28"/>
          <w:szCs w:val="28"/>
        </w:rPr>
      </w:pPr>
    </w:p>
    <w:p w14:paraId="35D45F5D">
      <w:pPr>
        <w:widowControl/>
        <w:spacing w:line="360" w:lineRule="auto"/>
        <w:jc w:val="both"/>
        <w:outlineLvl w:val="1"/>
        <w:rPr>
          <w:rFonts w:hint="eastAsia" w:ascii="宋体" w:hAnsi="宋体"/>
          <w:b/>
          <w:color w:val="000000"/>
          <w:kern w:val="0"/>
          <w:sz w:val="28"/>
          <w:szCs w:val="28"/>
        </w:rPr>
      </w:pPr>
    </w:p>
    <w:p w14:paraId="1A2F9A08">
      <w:pPr>
        <w:widowControl/>
        <w:spacing w:line="360" w:lineRule="auto"/>
        <w:jc w:val="center"/>
        <w:outlineLvl w:val="1"/>
        <w:rPr>
          <w:rFonts w:ascii="宋体" w:hAnsi="宋体"/>
          <w:b/>
          <w:color w:val="000000"/>
          <w:kern w:val="0"/>
          <w:sz w:val="28"/>
          <w:szCs w:val="28"/>
        </w:rPr>
      </w:pPr>
      <w:r>
        <w:rPr>
          <w:rFonts w:hint="eastAsia" w:ascii="宋体" w:hAnsi="宋体"/>
          <w:b/>
          <w:color w:val="000000"/>
          <w:kern w:val="0"/>
          <w:sz w:val="28"/>
          <w:szCs w:val="28"/>
        </w:rPr>
        <w:t>财政部 司法部关于政府采购支持监狱企业发展有关问题的通知</w:t>
      </w:r>
      <w:bookmarkEnd w:id="285"/>
    </w:p>
    <w:p w14:paraId="23F63365">
      <w:pPr>
        <w:widowControl/>
        <w:spacing w:line="360" w:lineRule="auto"/>
        <w:jc w:val="center"/>
        <w:outlineLvl w:val="1"/>
        <w:rPr>
          <w:rFonts w:ascii="宋体" w:hAnsi="宋体"/>
          <w:b/>
          <w:color w:val="000000"/>
          <w:kern w:val="0"/>
          <w:sz w:val="28"/>
          <w:szCs w:val="28"/>
        </w:rPr>
      </w:pPr>
      <w:bookmarkStart w:id="286" w:name="_Toc26623"/>
      <w:r>
        <w:rPr>
          <w:rFonts w:hint="eastAsia" w:ascii="宋体" w:hAnsi="宋体"/>
          <w:b/>
          <w:color w:val="000000"/>
          <w:kern w:val="0"/>
          <w:sz w:val="28"/>
          <w:szCs w:val="28"/>
        </w:rPr>
        <w:t>(财库〔2014〕68号)</w:t>
      </w:r>
      <w:bookmarkEnd w:id="286"/>
    </w:p>
    <w:p w14:paraId="02E4CCDD">
      <w:pPr>
        <w:spacing w:line="312" w:lineRule="auto"/>
        <w:rPr>
          <w:rFonts w:hint="eastAsia" w:ascii="宋体" w:hAnsi="宋体"/>
          <w:color w:val="000000"/>
        </w:rPr>
      </w:pPr>
      <w:r>
        <w:rPr>
          <w:rFonts w:hint="eastAsia" w:ascii="宋体" w:hAnsi="宋体"/>
          <w:color w:val="000000"/>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5A9AEEF5">
      <w:pPr>
        <w:spacing w:line="312" w:lineRule="auto"/>
        <w:rPr>
          <w:rFonts w:hint="eastAsia" w:ascii="宋体" w:hAnsi="宋体"/>
          <w:color w:val="000000"/>
        </w:rPr>
      </w:pPr>
      <w:r>
        <w:rPr>
          <w:rFonts w:hint="eastAsia" w:ascii="宋体" w:hAnsi="宋体"/>
          <w:color w:val="000000"/>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395C0240">
      <w:pPr>
        <w:spacing w:line="312" w:lineRule="auto"/>
        <w:rPr>
          <w:rFonts w:hint="eastAsia" w:ascii="宋体" w:hAnsi="宋体"/>
          <w:color w:val="000000"/>
        </w:rPr>
      </w:pPr>
      <w:r>
        <w:rPr>
          <w:rFonts w:hint="eastAsia" w:ascii="宋体" w:hAnsi="宋体"/>
          <w:color w:val="000000"/>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C919694">
      <w:pPr>
        <w:spacing w:line="312" w:lineRule="auto"/>
        <w:rPr>
          <w:rFonts w:hint="eastAsia" w:ascii="宋体" w:hAnsi="宋体"/>
          <w:color w:val="000000"/>
        </w:rPr>
      </w:pPr>
      <w:r>
        <w:rPr>
          <w:rFonts w:hint="eastAsia" w:ascii="宋体" w:hAnsi="宋体"/>
          <w:color w:val="000000"/>
        </w:rPr>
        <w:t>　　二、在政府采购活动中，监狱企业视同小型、微型企业，享受预留份额、评审中价格扣除等政府采购促进中小企业发展的政府采购政策。向监狱企业采购的金额，计入面向中小企业采购的统计数据。</w:t>
      </w:r>
    </w:p>
    <w:p w14:paraId="362F34D2">
      <w:pPr>
        <w:spacing w:line="312" w:lineRule="auto"/>
        <w:rPr>
          <w:rFonts w:hint="eastAsia" w:ascii="宋体" w:hAnsi="宋体"/>
          <w:color w:val="000000"/>
        </w:rPr>
      </w:pPr>
      <w:r>
        <w:rPr>
          <w:rFonts w:hint="eastAsia" w:ascii="宋体" w:hAnsi="宋体"/>
          <w:color w:val="000000"/>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83F27EB">
      <w:pPr>
        <w:spacing w:line="312" w:lineRule="auto"/>
        <w:rPr>
          <w:rFonts w:hint="eastAsia" w:ascii="宋体" w:hAnsi="宋体"/>
          <w:color w:val="000000"/>
        </w:rPr>
      </w:pPr>
      <w:r>
        <w:rPr>
          <w:rFonts w:hint="eastAsia" w:ascii="宋体" w:hAnsi="宋体"/>
          <w:color w:val="000000"/>
        </w:rPr>
        <w:t>　　四、各地区可以结合本地区实际，对监狱企业生产的办公用品、家具用具、车辆维修和提供的保养服务、消防设备等，提出预留份额等政府采购支持措施，加大对监狱企业产品的采购力度。</w:t>
      </w:r>
    </w:p>
    <w:p w14:paraId="6ECD17B9">
      <w:pPr>
        <w:spacing w:line="312" w:lineRule="auto"/>
        <w:rPr>
          <w:rFonts w:ascii="宋体" w:hAnsi="宋体"/>
          <w:color w:val="000000"/>
        </w:rPr>
      </w:pPr>
      <w:r>
        <w:rPr>
          <w:rFonts w:hint="eastAsia" w:ascii="宋体" w:hAnsi="宋体"/>
          <w:color w:val="000000"/>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0791410">
      <w:pPr>
        <w:widowControl/>
        <w:spacing w:line="360" w:lineRule="auto"/>
        <w:jc w:val="both"/>
        <w:outlineLvl w:val="1"/>
        <w:rPr>
          <w:rFonts w:hint="eastAsia" w:ascii="宋体" w:hAnsi="宋体"/>
          <w:b/>
          <w:color w:val="000000"/>
          <w:kern w:val="0"/>
          <w:sz w:val="28"/>
          <w:szCs w:val="28"/>
        </w:rPr>
      </w:pPr>
      <w:bookmarkStart w:id="287" w:name="_Toc23988"/>
    </w:p>
    <w:p w14:paraId="1C4FEE19">
      <w:pPr>
        <w:autoSpaceDE w:val="0"/>
        <w:autoSpaceDN w:val="0"/>
        <w:adjustRightInd w:val="0"/>
        <w:spacing w:line="300" w:lineRule="exact"/>
        <w:jc w:val="center"/>
        <w:rPr>
          <w:rFonts w:hint="eastAsia" w:ascii="宋体" w:hAnsi="宋体" w:cs="宋体"/>
          <w:b/>
          <w:bCs w:val="0"/>
          <w:sz w:val="28"/>
          <w:szCs w:val="28"/>
          <w:lang w:val="zh-CN"/>
        </w:rPr>
      </w:pPr>
      <w:r>
        <w:rPr>
          <w:rFonts w:hint="eastAsia" w:ascii="宋体" w:hAnsi="宋体" w:cs="宋体"/>
          <w:b/>
          <w:bCs w:val="0"/>
          <w:sz w:val="28"/>
          <w:szCs w:val="28"/>
          <w:lang w:val="zh-CN"/>
        </w:rPr>
        <w:t>关于促进残疾人就业政府采购政策的通知（财库〔2017〕141号）</w:t>
      </w:r>
    </w:p>
    <w:p w14:paraId="34C61174">
      <w:pPr>
        <w:autoSpaceDE w:val="0"/>
        <w:autoSpaceDN w:val="0"/>
        <w:adjustRightInd w:val="0"/>
        <w:spacing w:line="300" w:lineRule="exact"/>
        <w:jc w:val="both"/>
        <w:rPr>
          <w:rFonts w:hint="eastAsia" w:ascii="宋体" w:hAnsi="宋体" w:cs="宋体"/>
          <w:b w:val="0"/>
          <w:bCs/>
          <w:sz w:val="21"/>
          <w:szCs w:val="21"/>
          <w:lang w:val="zh-CN"/>
        </w:rPr>
      </w:pPr>
    </w:p>
    <w:p w14:paraId="7323CE7D">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CA5FB71">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为了发挥政府采购促进残疾人就业的作用，进一步保障残疾人权益，依照《政府采购法》、《残疾人保障法》等法律法规及相关规定，现就促进残疾人就业政府采购政策通知如下：</w:t>
      </w:r>
    </w:p>
    <w:p w14:paraId="4F82CE33">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一、享受政府采购支持政策的残疾人福利性单位应当同时满足以下条件：</w:t>
      </w:r>
    </w:p>
    <w:p w14:paraId="776CDC99">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（一）安置的残疾人占本单位在职职工人数的比例不低于25%（含25%），并且安置的残疾人人数不少于10人（含10人）；</w:t>
      </w:r>
    </w:p>
    <w:p w14:paraId="5EDC3C29">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（二）依法与安置的每位残疾人签订了一年以上（含一年）的劳动合同或服务协议；</w:t>
      </w:r>
    </w:p>
    <w:p w14:paraId="3668F97A">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（三）为安置的每位残疾人按月足额缴纳了基本养老保险、基本医疗保险、失业保险、工伤保险和生育保险等社会保险费；</w:t>
      </w:r>
    </w:p>
    <w:p w14:paraId="3908CF8B">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（四）通过银行等金融机构向安置的每位残疾人，按月支付了不低于单位所在区县适用的经省级人民政府批准的月最低工资标准的工资；</w:t>
      </w:r>
    </w:p>
    <w:p w14:paraId="1001B980">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（五）提供本单位制造的货物、承担的工程或者服务（以下简称产品），或者提供其他残疾人福利性单位制造的货物（不包括使用非残疾人福利性单位注册商标的货物）。</w:t>
      </w:r>
    </w:p>
    <w:p w14:paraId="3C520BF8">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038B9A4">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90FEF52">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中标、成交供应商为残疾人福利性单位的，采购人或者其委托的采购代理机构应当随中标、成交结果同时公告其《残疾人福利性单位声明函》，接受社会监督。</w:t>
      </w:r>
    </w:p>
    <w:p w14:paraId="783D0AD1">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供应商提供的《残疾人福利性单位声明函》与事实不符的，依照《政府采购法》第七十七条第一款的规定追究法律责任。</w:t>
      </w:r>
    </w:p>
    <w:p w14:paraId="2B9BB76C">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D344F63">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四、采购人采购公开招标数额标准以上的货物或者服务，因落实促进残疾人就业政策的需要，依法履行有关报批程序后，可采用公开招标以外的采购方式。</w:t>
      </w:r>
    </w:p>
    <w:p w14:paraId="15CDFBF7">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7244EE4">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4333119">
      <w:pPr>
        <w:autoSpaceDE w:val="0"/>
        <w:autoSpaceDN w:val="0"/>
        <w:adjustRightInd w:val="0"/>
        <w:spacing w:line="300" w:lineRule="exact"/>
        <w:jc w:val="both"/>
        <w:rPr>
          <w:rFonts w:hint="eastAsia" w:ascii="宋体" w:hAnsi="宋体" w:cs="宋体"/>
          <w:b w:val="0"/>
          <w:bCs/>
          <w:sz w:val="21"/>
          <w:szCs w:val="21"/>
          <w:lang w:val="zh-CN"/>
        </w:rPr>
      </w:pPr>
      <w:r>
        <w:rPr>
          <w:rFonts w:hint="eastAsia" w:ascii="宋体" w:hAnsi="宋体" w:cs="宋体"/>
          <w:b w:val="0"/>
          <w:bCs/>
          <w:sz w:val="21"/>
          <w:szCs w:val="21"/>
          <w:lang w:val="zh-CN"/>
        </w:rPr>
        <w:t>　　七、本通知自2017年10月1日起执行。</w:t>
      </w:r>
    </w:p>
    <w:p w14:paraId="7D26D6B3">
      <w:pPr>
        <w:autoSpaceDE w:val="0"/>
        <w:autoSpaceDN w:val="0"/>
        <w:adjustRightInd w:val="0"/>
        <w:spacing w:line="300" w:lineRule="exact"/>
        <w:jc w:val="right"/>
        <w:rPr>
          <w:rFonts w:hint="eastAsia" w:ascii="宋体" w:hAnsi="宋体" w:cs="宋体"/>
          <w:b w:val="0"/>
          <w:bCs/>
          <w:sz w:val="21"/>
          <w:szCs w:val="21"/>
          <w:lang w:val="zh-CN"/>
        </w:rPr>
      </w:pPr>
      <w:r>
        <w:rPr>
          <w:rFonts w:hint="eastAsia" w:ascii="宋体" w:hAnsi="宋体" w:cs="宋体"/>
          <w:b w:val="0"/>
          <w:bCs/>
          <w:sz w:val="21"/>
          <w:szCs w:val="21"/>
          <w:lang w:val="zh-CN"/>
        </w:rPr>
        <w:t>　　　　财政部 民政部 中国残疾人联合会</w:t>
      </w:r>
    </w:p>
    <w:p w14:paraId="036ADD8C">
      <w:pPr>
        <w:autoSpaceDE w:val="0"/>
        <w:autoSpaceDN w:val="0"/>
        <w:adjustRightInd w:val="0"/>
        <w:spacing w:line="300" w:lineRule="exact"/>
        <w:jc w:val="right"/>
        <w:rPr>
          <w:rFonts w:ascii="宋体" w:hAnsi="宋体" w:cs="宋体"/>
          <w:b w:val="0"/>
          <w:bCs/>
          <w:sz w:val="21"/>
          <w:szCs w:val="21"/>
          <w:lang w:val="zh-CN"/>
        </w:rPr>
      </w:pPr>
      <w:r>
        <w:rPr>
          <w:rFonts w:hint="eastAsia" w:ascii="宋体" w:hAnsi="宋体" w:cs="宋体"/>
          <w:b w:val="0"/>
          <w:bCs/>
          <w:sz w:val="21"/>
          <w:szCs w:val="21"/>
          <w:lang w:val="zh-CN"/>
        </w:rPr>
        <w:t>　　2017年8月22日</w:t>
      </w:r>
    </w:p>
    <w:p w14:paraId="42D508FB">
      <w:pPr>
        <w:rPr>
          <w:rFonts w:hint="eastAsia" w:ascii="宋体" w:hAnsi="宋体"/>
          <w:sz w:val="21"/>
          <w:szCs w:val="21"/>
        </w:rPr>
      </w:pPr>
      <w:r>
        <w:rPr>
          <w:rFonts w:hint="eastAsia" w:ascii="宋体" w:hAnsi="宋体"/>
          <w:sz w:val="21"/>
          <w:szCs w:val="21"/>
        </w:rPr>
        <w:br w:type="page"/>
      </w:r>
    </w:p>
    <w:p w14:paraId="5F79D471">
      <w:pPr>
        <w:jc w:val="both"/>
        <w:rPr>
          <w:rFonts w:hint="eastAsia" w:ascii="宋体" w:hAnsi="宋体"/>
          <w:sz w:val="21"/>
          <w:szCs w:val="21"/>
        </w:rPr>
      </w:pPr>
    </w:p>
    <w:p w14:paraId="3FA2EF20">
      <w:pPr>
        <w:jc w:val="both"/>
        <w:rPr>
          <w:rFonts w:hint="eastAsia" w:ascii="宋体" w:hAnsi="宋体"/>
          <w:sz w:val="21"/>
          <w:szCs w:val="21"/>
        </w:rPr>
      </w:pPr>
      <w:r>
        <w:rPr>
          <w:rFonts w:hint="eastAsia" w:ascii="宋体" w:hAnsi="宋体"/>
          <w:sz w:val="21"/>
          <w:szCs w:val="21"/>
        </w:rPr>
        <w:t>附件</w:t>
      </w:r>
    </w:p>
    <w:p w14:paraId="3F68BB83">
      <w:pPr>
        <w:jc w:val="center"/>
        <w:rPr>
          <w:rFonts w:hint="eastAsia" w:ascii="宋体" w:hAnsi="宋体"/>
          <w:sz w:val="28"/>
          <w:szCs w:val="28"/>
        </w:rPr>
      </w:pPr>
      <w:r>
        <w:rPr>
          <w:rFonts w:hint="eastAsia" w:ascii="宋体" w:hAnsi="宋体"/>
          <w:sz w:val="28"/>
          <w:szCs w:val="28"/>
        </w:rPr>
        <w:t>残疾人福利性单位声明函</w:t>
      </w:r>
    </w:p>
    <w:p w14:paraId="1DBF8119">
      <w:pPr>
        <w:jc w:val="both"/>
        <w:rPr>
          <w:rFonts w:hint="eastAsia" w:ascii="宋体" w:hAnsi="宋体"/>
          <w:sz w:val="21"/>
          <w:szCs w:val="21"/>
        </w:rPr>
      </w:pPr>
    </w:p>
    <w:p w14:paraId="19C69E4E">
      <w:pPr>
        <w:ind w:firstLine="420" w:firstLineChars="200"/>
        <w:jc w:val="both"/>
        <w:rPr>
          <w:rFonts w:hint="eastAsia" w:ascii="宋体" w:hAnsi="宋体"/>
          <w:b w:val="0"/>
          <w:bCs/>
          <w:sz w:val="21"/>
          <w:szCs w:val="21"/>
        </w:rPr>
      </w:pPr>
      <w:r>
        <w:rPr>
          <w:rFonts w:hint="eastAsia" w:ascii="宋体" w:hAnsi="宋体"/>
          <w:b w:val="0"/>
          <w:bCs/>
          <w:sz w:val="2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C91B1C5">
      <w:pPr>
        <w:jc w:val="both"/>
        <w:rPr>
          <w:rFonts w:hint="eastAsia" w:ascii="宋体" w:hAnsi="宋体"/>
          <w:b w:val="0"/>
          <w:bCs/>
          <w:sz w:val="21"/>
          <w:szCs w:val="21"/>
        </w:rPr>
      </w:pPr>
      <w:r>
        <w:rPr>
          <w:rFonts w:hint="eastAsia" w:ascii="宋体" w:hAnsi="宋体"/>
          <w:b w:val="0"/>
          <w:bCs/>
          <w:sz w:val="21"/>
          <w:szCs w:val="21"/>
        </w:rPr>
        <w:t>本单位对上述声明的真实性负责。如有虚假，将依法承担相应责任。</w:t>
      </w:r>
    </w:p>
    <w:p w14:paraId="75DCCF70">
      <w:pPr>
        <w:jc w:val="both"/>
        <w:rPr>
          <w:rFonts w:hint="eastAsia" w:ascii="宋体" w:hAnsi="宋体"/>
          <w:b w:val="0"/>
          <w:bCs/>
          <w:sz w:val="21"/>
          <w:szCs w:val="21"/>
        </w:rPr>
      </w:pPr>
    </w:p>
    <w:p w14:paraId="2879FBEF">
      <w:pPr>
        <w:jc w:val="both"/>
        <w:rPr>
          <w:rFonts w:hint="eastAsia" w:ascii="宋体" w:hAnsi="宋体"/>
          <w:b w:val="0"/>
          <w:bCs/>
          <w:sz w:val="21"/>
          <w:szCs w:val="21"/>
        </w:rPr>
      </w:pPr>
    </w:p>
    <w:p w14:paraId="764B6F83">
      <w:pPr>
        <w:jc w:val="right"/>
        <w:rPr>
          <w:rFonts w:hint="eastAsia" w:ascii="宋体" w:hAnsi="宋体"/>
          <w:b w:val="0"/>
          <w:bCs/>
          <w:sz w:val="21"/>
          <w:szCs w:val="21"/>
        </w:rPr>
      </w:pPr>
      <w:r>
        <w:rPr>
          <w:rFonts w:hint="eastAsia" w:ascii="宋体" w:hAnsi="宋体"/>
          <w:b w:val="0"/>
          <w:bCs/>
          <w:sz w:val="21"/>
          <w:szCs w:val="21"/>
        </w:rPr>
        <w:t xml:space="preserve">               单位名称（盖章）：</w:t>
      </w:r>
    </w:p>
    <w:p w14:paraId="0B039696">
      <w:pPr>
        <w:jc w:val="right"/>
        <w:rPr>
          <w:rFonts w:hint="eastAsia" w:ascii="宋体" w:hAnsi="宋体"/>
          <w:b w:val="0"/>
          <w:bCs/>
          <w:sz w:val="21"/>
          <w:szCs w:val="21"/>
        </w:rPr>
      </w:pPr>
      <w:r>
        <w:rPr>
          <w:rFonts w:hint="eastAsia" w:ascii="宋体" w:hAnsi="宋体"/>
          <w:b w:val="0"/>
          <w:bCs/>
          <w:sz w:val="21"/>
          <w:szCs w:val="21"/>
        </w:rPr>
        <w:t xml:space="preserve">       日  期：</w:t>
      </w:r>
    </w:p>
    <w:p w14:paraId="3141D9CA">
      <w:pPr>
        <w:widowControl/>
        <w:spacing w:line="360" w:lineRule="auto"/>
        <w:jc w:val="center"/>
        <w:outlineLvl w:val="1"/>
        <w:rPr>
          <w:rFonts w:hint="eastAsia" w:ascii="宋体" w:hAnsi="宋体"/>
          <w:b/>
          <w:color w:val="000000"/>
          <w:kern w:val="0"/>
          <w:sz w:val="28"/>
          <w:szCs w:val="28"/>
        </w:rPr>
      </w:pPr>
    </w:p>
    <w:p w14:paraId="7D73851D">
      <w:pPr>
        <w:pStyle w:val="20"/>
        <w:rPr>
          <w:rFonts w:hint="eastAsia" w:ascii="宋体" w:hAnsi="宋体"/>
          <w:b/>
          <w:color w:val="000000"/>
          <w:kern w:val="0"/>
          <w:sz w:val="28"/>
          <w:szCs w:val="28"/>
        </w:rPr>
      </w:pPr>
    </w:p>
    <w:p w14:paraId="6229B746">
      <w:pPr>
        <w:rPr>
          <w:rFonts w:hint="eastAsia" w:ascii="宋体" w:hAnsi="宋体"/>
          <w:b/>
          <w:color w:val="000000"/>
          <w:kern w:val="0"/>
          <w:sz w:val="28"/>
          <w:szCs w:val="28"/>
        </w:rPr>
      </w:pPr>
    </w:p>
    <w:p w14:paraId="043AD975">
      <w:pPr>
        <w:pStyle w:val="20"/>
        <w:rPr>
          <w:rFonts w:hint="eastAsia" w:ascii="宋体" w:hAnsi="宋体"/>
          <w:b/>
          <w:color w:val="000000"/>
          <w:kern w:val="0"/>
          <w:sz w:val="28"/>
          <w:szCs w:val="28"/>
        </w:rPr>
      </w:pPr>
    </w:p>
    <w:p w14:paraId="49C4CD9F">
      <w:pPr>
        <w:rPr>
          <w:rFonts w:hint="eastAsia" w:ascii="宋体" w:hAnsi="宋体"/>
          <w:b/>
          <w:color w:val="000000"/>
          <w:kern w:val="0"/>
          <w:sz w:val="28"/>
          <w:szCs w:val="28"/>
        </w:rPr>
      </w:pPr>
    </w:p>
    <w:p w14:paraId="7A3D57CB">
      <w:pPr>
        <w:pStyle w:val="20"/>
        <w:rPr>
          <w:rFonts w:hint="eastAsia" w:ascii="宋体" w:hAnsi="宋体"/>
          <w:b/>
          <w:color w:val="000000"/>
          <w:kern w:val="0"/>
          <w:sz w:val="28"/>
          <w:szCs w:val="28"/>
        </w:rPr>
      </w:pPr>
    </w:p>
    <w:p w14:paraId="7727455E">
      <w:pPr>
        <w:rPr>
          <w:rFonts w:hint="eastAsia" w:ascii="宋体" w:hAnsi="宋体"/>
          <w:b/>
          <w:color w:val="000000"/>
          <w:kern w:val="0"/>
          <w:sz w:val="28"/>
          <w:szCs w:val="28"/>
        </w:rPr>
      </w:pPr>
    </w:p>
    <w:p w14:paraId="4AC2E37C">
      <w:pPr>
        <w:pStyle w:val="20"/>
        <w:rPr>
          <w:rFonts w:hint="eastAsia" w:ascii="宋体" w:hAnsi="宋体"/>
          <w:b/>
          <w:color w:val="000000"/>
          <w:kern w:val="0"/>
          <w:sz w:val="28"/>
          <w:szCs w:val="28"/>
        </w:rPr>
      </w:pPr>
    </w:p>
    <w:p w14:paraId="64EAE0B9">
      <w:pPr>
        <w:rPr>
          <w:rFonts w:hint="eastAsia" w:ascii="宋体" w:hAnsi="宋体"/>
          <w:b/>
          <w:color w:val="000000"/>
          <w:kern w:val="0"/>
          <w:sz w:val="28"/>
          <w:szCs w:val="28"/>
        </w:rPr>
      </w:pPr>
    </w:p>
    <w:p w14:paraId="0A2EE3EE">
      <w:pPr>
        <w:pStyle w:val="20"/>
        <w:rPr>
          <w:rFonts w:hint="eastAsia" w:ascii="宋体" w:hAnsi="宋体"/>
          <w:b/>
          <w:color w:val="000000"/>
          <w:kern w:val="0"/>
          <w:sz w:val="28"/>
          <w:szCs w:val="28"/>
        </w:rPr>
      </w:pPr>
    </w:p>
    <w:p w14:paraId="553B8698">
      <w:pPr>
        <w:rPr>
          <w:rFonts w:hint="eastAsia" w:ascii="宋体" w:hAnsi="宋体"/>
          <w:b/>
          <w:color w:val="000000"/>
          <w:kern w:val="0"/>
          <w:sz w:val="28"/>
          <w:szCs w:val="28"/>
        </w:rPr>
      </w:pPr>
    </w:p>
    <w:p w14:paraId="3D48AC62">
      <w:pPr>
        <w:pStyle w:val="20"/>
        <w:rPr>
          <w:rFonts w:hint="eastAsia"/>
        </w:rPr>
      </w:pPr>
    </w:p>
    <w:p w14:paraId="0F7B12A1">
      <w:pPr>
        <w:widowControl/>
        <w:spacing w:line="360" w:lineRule="auto"/>
        <w:jc w:val="center"/>
        <w:outlineLvl w:val="1"/>
        <w:rPr>
          <w:rFonts w:ascii="宋体" w:hAnsi="宋体"/>
          <w:b/>
          <w:color w:val="000000"/>
          <w:kern w:val="0"/>
          <w:sz w:val="28"/>
          <w:szCs w:val="28"/>
        </w:rPr>
      </w:pPr>
      <w:r>
        <w:rPr>
          <w:rFonts w:hint="eastAsia" w:ascii="宋体" w:hAnsi="宋体"/>
          <w:b/>
          <w:color w:val="000000"/>
          <w:kern w:val="0"/>
          <w:sz w:val="28"/>
          <w:szCs w:val="28"/>
        </w:rPr>
        <w:t>中小企业划型标准规定</w:t>
      </w:r>
      <w:bookmarkEnd w:id="287"/>
    </w:p>
    <w:p w14:paraId="542DECFE">
      <w:pPr>
        <w:spacing w:line="312" w:lineRule="auto"/>
        <w:rPr>
          <w:rFonts w:ascii="宋体" w:hAnsi="宋体"/>
          <w:color w:val="000000"/>
        </w:rPr>
      </w:pPr>
      <w:r>
        <w:rPr>
          <w:rFonts w:hint="eastAsia" w:ascii="宋体" w:hAnsi="宋体"/>
          <w:color w:val="000000"/>
        </w:rPr>
        <w:t>　　</w:t>
      </w:r>
    </w:p>
    <w:p w14:paraId="59908E44">
      <w:pPr>
        <w:spacing w:line="312" w:lineRule="auto"/>
        <w:rPr>
          <w:rFonts w:ascii="宋体" w:hAnsi="宋体"/>
          <w:color w:val="000000"/>
        </w:rPr>
      </w:pPr>
      <w:r>
        <w:rPr>
          <w:rFonts w:hint="eastAsia" w:ascii="宋体" w:hAnsi="宋体"/>
          <w:color w:val="000000"/>
        </w:rPr>
        <w:t>一、根据《中华人民共和国中小企业促进法》和《国务院关于进一步促进中小企业发展的若干意见》(国发〔2009〕36号)，制定本规定。</w:t>
      </w:r>
    </w:p>
    <w:p w14:paraId="3F6280D9">
      <w:pPr>
        <w:spacing w:line="312" w:lineRule="auto"/>
        <w:rPr>
          <w:rFonts w:ascii="宋体" w:hAnsi="宋体"/>
          <w:color w:val="000000"/>
        </w:rPr>
      </w:pPr>
      <w:r>
        <w:rPr>
          <w:rFonts w:hint="eastAsia" w:ascii="宋体" w:hAnsi="宋体"/>
          <w:color w:val="000000"/>
        </w:rPr>
        <w:t>　　二、中小企业划分为中型、小型、微型三种类型，具体标准根据企业从业人员、营业收入、资产总额等指标，结合行业特点制定。</w:t>
      </w:r>
    </w:p>
    <w:p w14:paraId="0185F0C3">
      <w:pPr>
        <w:spacing w:line="312" w:lineRule="auto"/>
        <w:rPr>
          <w:rFonts w:ascii="宋体" w:hAnsi="宋体"/>
          <w:color w:val="000000"/>
        </w:rPr>
      </w:pPr>
      <w:r>
        <w:rPr>
          <w:rFonts w:hint="eastAsia" w:ascii="宋体" w:hAnsi="宋体"/>
          <w:color w:val="00000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06AF0B8">
      <w:pPr>
        <w:spacing w:line="312" w:lineRule="auto"/>
        <w:rPr>
          <w:rFonts w:ascii="宋体" w:hAnsi="宋体"/>
          <w:color w:val="000000"/>
        </w:rPr>
      </w:pPr>
      <w:r>
        <w:rPr>
          <w:rFonts w:hint="eastAsia" w:ascii="宋体" w:hAnsi="宋体"/>
          <w:color w:val="000000"/>
        </w:rPr>
        <w:t>　　四、各行业划型标准为：</w:t>
      </w:r>
    </w:p>
    <w:p w14:paraId="1747DA86">
      <w:pPr>
        <w:spacing w:line="312" w:lineRule="auto"/>
        <w:rPr>
          <w:rFonts w:ascii="宋体" w:hAnsi="宋体"/>
          <w:color w:val="000000"/>
        </w:rPr>
      </w:pPr>
      <w:r>
        <w:rPr>
          <w:rFonts w:hint="eastAsia" w:ascii="宋体" w:hAnsi="宋体"/>
          <w:color w:val="000000"/>
        </w:rPr>
        <w:t>　　（一）农、林、牧、渔业。营业收入20000万元以下的为中小微型企业。其中，营业收入500万元及以上的为中型企业，营业收入50万元及以上的为小型企业，营业收入50万元以下的为微型企业。</w:t>
      </w:r>
    </w:p>
    <w:p w14:paraId="0C8039A4">
      <w:pPr>
        <w:spacing w:line="312" w:lineRule="auto"/>
        <w:rPr>
          <w:rFonts w:ascii="宋体" w:hAnsi="宋体"/>
          <w:color w:val="000000"/>
        </w:rPr>
      </w:pPr>
      <w:r>
        <w:rPr>
          <w:rFonts w:hint="eastAsia" w:ascii="宋体" w:hAnsi="宋体"/>
          <w:color w:val="00000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6E0B474">
      <w:pPr>
        <w:spacing w:line="312" w:lineRule="auto"/>
        <w:rPr>
          <w:rFonts w:ascii="宋体" w:hAnsi="宋体"/>
          <w:color w:val="000000"/>
        </w:rPr>
      </w:pPr>
      <w:r>
        <w:rPr>
          <w:rFonts w:hint="eastAsia" w:ascii="宋体" w:hAnsi="宋体"/>
          <w:color w:val="00000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956CE67">
      <w:pPr>
        <w:spacing w:line="312" w:lineRule="auto"/>
        <w:rPr>
          <w:rFonts w:ascii="宋体" w:hAnsi="宋体"/>
          <w:color w:val="000000"/>
        </w:rPr>
      </w:pPr>
      <w:r>
        <w:rPr>
          <w:rFonts w:hint="eastAsia" w:ascii="宋体" w:hAnsi="宋体"/>
          <w:color w:val="00000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509B685">
      <w:pPr>
        <w:spacing w:line="312" w:lineRule="auto"/>
        <w:rPr>
          <w:rFonts w:ascii="宋体" w:hAnsi="宋体"/>
          <w:color w:val="000000"/>
        </w:rPr>
      </w:pPr>
      <w:r>
        <w:rPr>
          <w:rFonts w:hint="eastAsia" w:ascii="宋体" w:hAnsi="宋体"/>
          <w:color w:val="00000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1EED38A">
      <w:pPr>
        <w:spacing w:line="312" w:lineRule="auto"/>
        <w:rPr>
          <w:rFonts w:ascii="宋体" w:hAnsi="宋体"/>
          <w:color w:val="000000"/>
        </w:rPr>
      </w:pPr>
      <w:r>
        <w:rPr>
          <w:rFonts w:hint="eastAsia" w:ascii="宋体" w:hAnsi="宋体"/>
          <w:color w:val="00000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9660581">
      <w:pPr>
        <w:spacing w:line="312" w:lineRule="auto"/>
        <w:rPr>
          <w:rFonts w:ascii="宋体" w:hAnsi="宋体"/>
          <w:color w:val="000000"/>
        </w:rPr>
      </w:pPr>
      <w:r>
        <w:rPr>
          <w:rFonts w:hint="eastAsia" w:ascii="宋体" w:hAnsi="宋体"/>
          <w:color w:val="00000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EDE1288">
      <w:pPr>
        <w:spacing w:line="312" w:lineRule="auto"/>
        <w:rPr>
          <w:rFonts w:ascii="宋体" w:hAnsi="宋体"/>
          <w:color w:val="000000"/>
        </w:rPr>
      </w:pPr>
      <w:r>
        <w:rPr>
          <w:rFonts w:hint="eastAsia" w:ascii="宋体" w:hAnsi="宋体"/>
          <w:color w:val="00000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C409EDD">
      <w:pPr>
        <w:spacing w:line="312" w:lineRule="auto"/>
        <w:rPr>
          <w:rFonts w:ascii="宋体" w:hAnsi="宋体"/>
          <w:color w:val="000000"/>
        </w:rPr>
      </w:pPr>
      <w:r>
        <w:rPr>
          <w:rFonts w:hint="eastAsia" w:ascii="宋体" w:hAnsi="宋体"/>
          <w:color w:val="00000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8C58144">
      <w:pPr>
        <w:spacing w:line="312" w:lineRule="auto"/>
        <w:rPr>
          <w:rFonts w:ascii="宋体" w:hAnsi="宋体"/>
          <w:color w:val="000000"/>
        </w:rPr>
      </w:pPr>
      <w:r>
        <w:rPr>
          <w:rFonts w:hint="eastAsia" w:ascii="宋体" w:hAnsi="宋体"/>
          <w:color w:val="00000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803DB77">
      <w:pPr>
        <w:spacing w:line="312" w:lineRule="auto"/>
        <w:rPr>
          <w:rFonts w:ascii="宋体" w:hAnsi="宋体"/>
          <w:color w:val="000000"/>
        </w:rPr>
      </w:pPr>
      <w:r>
        <w:rPr>
          <w:rFonts w:hint="eastAsia" w:ascii="宋体" w:hAnsi="宋体"/>
          <w:color w:val="00000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BBBAE2">
      <w:pPr>
        <w:spacing w:line="312" w:lineRule="auto"/>
        <w:rPr>
          <w:rFonts w:ascii="宋体" w:hAnsi="宋体"/>
          <w:color w:val="000000"/>
        </w:rPr>
      </w:pPr>
      <w:r>
        <w:rPr>
          <w:rFonts w:hint="eastAsia" w:ascii="宋体" w:hAnsi="宋体"/>
          <w:color w:val="00000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BAF7BFA">
      <w:pPr>
        <w:spacing w:line="312" w:lineRule="auto"/>
        <w:rPr>
          <w:rFonts w:ascii="宋体" w:hAnsi="宋体"/>
          <w:color w:val="000000"/>
        </w:rPr>
      </w:pPr>
      <w:r>
        <w:rPr>
          <w:rFonts w:hint="eastAsia" w:ascii="宋体" w:hAnsi="宋体"/>
          <w:color w:val="00000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F74CCC">
      <w:pPr>
        <w:spacing w:line="312" w:lineRule="auto"/>
        <w:rPr>
          <w:rFonts w:ascii="宋体" w:hAnsi="宋体"/>
          <w:color w:val="000000"/>
        </w:rPr>
      </w:pPr>
      <w:r>
        <w:rPr>
          <w:rFonts w:hint="eastAsia" w:ascii="宋体" w:hAnsi="宋体"/>
          <w:color w:val="00000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488E1ED">
      <w:pPr>
        <w:spacing w:line="312" w:lineRule="auto"/>
        <w:rPr>
          <w:rFonts w:ascii="宋体" w:hAnsi="宋体"/>
          <w:color w:val="000000"/>
        </w:rPr>
      </w:pPr>
      <w:r>
        <w:rPr>
          <w:rFonts w:hint="eastAsia" w:ascii="宋体" w:hAnsi="宋体"/>
          <w:color w:val="00000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56D818F">
      <w:pPr>
        <w:spacing w:line="312" w:lineRule="auto"/>
        <w:rPr>
          <w:rFonts w:ascii="宋体" w:hAnsi="宋体"/>
          <w:color w:val="000000"/>
        </w:rPr>
      </w:pPr>
      <w:r>
        <w:rPr>
          <w:rFonts w:hint="eastAsia" w:ascii="宋体" w:hAnsi="宋体"/>
          <w:color w:val="000000"/>
        </w:rPr>
        <w:t>　　（十六）其他未列明行业。从业人员300人以下的为中小微型企业。其中，从业人员100人及以上的为中型企业；从业人员10人及以上的为小型企业；从业人员10人以下的为微型企业。</w:t>
      </w:r>
    </w:p>
    <w:p w14:paraId="314FA36A">
      <w:pPr>
        <w:spacing w:line="312" w:lineRule="auto"/>
        <w:rPr>
          <w:rFonts w:ascii="宋体" w:hAnsi="宋体"/>
          <w:color w:val="000000"/>
        </w:rPr>
      </w:pPr>
      <w:r>
        <w:rPr>
          <w:rFonts w:hint="eastAsia" w:ascii="宋体" w:hAnsi="宋体"/>
          <w:color w:val="000000"/>
        </w:rPr>
        <w:t>　　五、企业类型的划分以统计部门的统计数据为依据。</w:t>
      </w:r>
    </w:p>
    <w:p w14:paraId="795B8FDF">
      <w:pPr>
        <w:spacing w:line="312" w:lineRule="auto"/>
        <w:rPr>
          <w:rFonts w:ascii="宋体" w:hAnsi="宋体"/>
          <w:color w:val="000000"/>
        </w:rPr>
      </w:pPr>
      <w:r>
        <w:rPr>
          <w:rFonts w:hint="eastAsia" w:ascii="宋体" w:hAnsi="宋体"/>
          <w:color w:val="000000"/>
        </w:rPr>
        <w:t>　　六、本规定适用于在中华人民共和国境内依法设立的各类所有制和各种组织形式的企业。个体工商户和本规定以外的行业，参照本规定进行划型。</w:t>
      </w:r>
    </w:p>
    <w:p w14:paraId="7EB326F1">
      <w:pPr>
        <w:spacing w:line="312" w:lineRule="auto"/>
        <w:rPr>
          <w:rFonts w:ascii="宋体" w:hAnsi="宋体"/>
          <w:color w:val="000000"/>
        </w:rPr>
      </w:pPr>
      <w:r>
        <w:rPr>
          <w:rFonts w:hint="eastAsia" w:ascii="宋体" w:hAnsi="宋体"/>
          <w:color w:val="000000"/>
        </w:rPr>
        <w:t>　　七、本规定的中型企业标准上限即为大型企业标准的下限，国家统计部门据此制定大中小微型企业的统计分类。国务院有关部门据此进行相关数据分析，不得制定与本规定不一致的企业划型标准。</w:t>
      </w:r>
    </w:p>
    <w:p w14:paraId="68A3A67D">
      <w:pPr>
        <w:spacing w:line="312" w:lineRule="auto"/>
        <w:rPr>
          <w:rFonts w:ascii="宋体" w:hAnsi="宋体"/>
          <w:color w:val="000000"/>
        </w:rPr>
      </w:pPr>
      <w:r>
        <w:rPr>
          <w:rFonts w:hint="eastAsia" w:ascii="宋体" w:hAnsi="宋体"/>
          <w:color w:val="000000"/>
        </w:rPr>
        <w:t>　　八、本规定由工业和信息化部、国家统计局会同有关部门根据《国民经济行业分类》修订情况和企业发展变化情况适时修订。</w:t>
      </w:r>
    </w:p>
    <w:p w14:paraId="45763D54">
      <w:pPr>
        <w:spacing w:line="312" w:lineRule="auto"/>
        <w:rPr>
          <w:rFonts w:ascii="宋体" w:hAnsi="宋体"/>
          <w:color w:val="000000"/>
        </w:rPr>
      </w:pPr>
      <w:r>
        <w:rPr>
          <w:rFonts w:hint="eastAsia" w:ascii="宋体" w:hAnsi="宋体"/>
          <w:color w:val="000000"/>
        </w:rPr>
        <w:t>　　九、本规定由工业和信息化部、国家统计局会同有关部门负责解释。</w:t>
      </w:r>
    </w:p>
    <w:p w14:paraId="72E8A4B1">
      <w:pPr>
        <w:spacing w:line="312" w:lineRule="auto"/>
        <w:rPr>
          <w:rFonts w:ascii="宋体" w:hAnsi="宋体"/>
          <w:bCs/>
          <w:color w:val="000000"/>
        </w:rPr>
      </w:pPr>
      <w:r>
        <w:rPr>
          <w:rFonts w:hint="eastAsia" w:ascii="宋体" w:hAnsi="宋体"/>
          <w:color w:val="000000"/>
        </w:rPr>
        <w:t>　　十、本规定自发布之日起执行，原国家经贸委、原国家计委、财政部和国家统计局2003年颁布的《中小企业标准暂行规定》同时废止。</w:t>
      </w:r>
    </w:p>
    <w:p w14:paraId="7961E42F">
      <w:pPr>
        <w:autoSpaceDE w:val="0"/>
        <w:autoSpaceDN w:val="0"/>
        <w:adjustRightInd w:val="0"/>
        <w:jc w:val="center"/>
        <w:rPr>
          <w:rFonts w:hint="eastAsia" w:asciiTheme="majorEastAsia" w:hAnsiTheme="majorEastAsia" w:eastAsiaTheme="majorEastAsia"/>
          <w:b/>
          <w:sz w:val="30"/>
          <w:szCs w:val="30"/>
        </w:rPr>
      </w:pPr>
    </w:p>
    <w:p w14:paraId="75DAC19F">
      <w:pPr>
        <w:pStyle w:val="20"/>
        <w:rPr>
          <w:rFonts w:hint="eastAsia" w:asciiTheme="majorEastAsia" w:hAnsiTheme="majorEastAsia" w:eastAsiaTheme="majorEastAsia"/>
          <w:b/>
          <w:sz w:val="30"/>
          <w:szCs w:val="30"/>
        </w:rPr>
      </w:pPr>
    </w:p>
    <w:p w14:paraId="00FBF1D5">
      <w:pPr>
        <w:rPr>
          <w:rFonts w:hint="eastAsia" w:asciiTheme="majorEastAsia" w:hAnsiTheme="majorEastAsia" w:eastAsiaTheme="majorEastAsia"/>
          <w:b/>
          <w:sz w:val="30"/>
          <w:szCs w:val="30"/>
        </w:rPr>
      </w:pPr>
    </w:p>
    <w:p w14:paraId="2F0BE79F">
      <w:pPr>
        <w:pStyle w:val="20"/>
        <w:rPr>
          <w:rFonts w:hint="eastAsia" w:asciiTheme="majorEastAsia" w:hAnsiTheme="majorEastAsia" w:eastAsiaTheme="majorEastAsia"/>
          <w:b/>
          <w:sz w:val="30"/>
          <w:szCs w:val="30"/>
        </w:rPr>
      </w:pPr>
    </w:p>
    <w:p w14:paraId="7DB54AE7">
      <w:pPr>
        <w:rPr>
          <w:rFonts w:hint="eastAsia" w:asciiTheme="majorEastAsia" w:hAnsiTheme="majorEastAsia" w:eastAsiaTheme="majorEastAsia"/>
          <w:b/>
          <w:sz w:val="30"/>
          <w:szCs w:val="30"/>
        </w:rPr>
      </w:pPr>
    </w:p>
    <w:p w14:paraId="36CB915C">
      <w:pPr>
        <w:pStyle w:val="20"/>
        <w:rPr>
          <w:rFonts w:hint="eastAsia" w:asciiTheme="majorEastAsia" w:hAnsiTheme="majorEastAsia" w:eastAsiaTheme="majorEastAsia"/>
          <w:b/>
          <w:sz w:val="30"/>
          <w:szCs w:val="30"/>
        </w:rPr>
      </w:pPr>
    </w:p>
    <w:p w14:paraId="7ACB080F">
      <w:pPr>
        <w:rPr>
          <w:rFonts w:hint="eastAsia" w:asciiTheme="majorEastAsia" w:hAnsiTheme="majorEastAsia" w:eastAsiaTheme="majorEastAsia"/>
          <w:b/>
          <w:sz w:val="30"/>
          <w:szCs w:val="30"/>
        </w:rPr>
      </w:pPr>
    </w:p>
    <w:p w14:paraId="305EE080">
      <w:pPr>
        <w:pStyle w:val="20"/>
        <w:rPr>
          <w:rFonts w:hint="eastAsia"/>
        </w:rPr>
      </w:pPr>
    </w:p>
    <w:p w14:paraId="617D323E">
      <w:pPr>
        <w:pStyle w:val="54"/>
        <w:numPr>
          <w:ilvl w:val="0"/>
          <w:numId w:val="0"/>
        </w:numPr>
        <w:snapToGrid w:val="0"/>
        <w:spacing w:before="240" w:line="360" w:lineRule="auto"/>
        <w:jc w:val="center"/>
        <w:rPr>
          <w:rFonts w:hint="eastAsia" w:ascii="宋体" w:hAnsi="宋体" w:eastAsia="宋体" w:cs="宋体"/>
          <w:b/>
          <w:bCs/>
          <w:color w:val="000000"/>
          <w:sz w:val="28"/>
          <w:szCs w:val="28"/>
          <w:lang w:val="zh-CN"/>
        </w:rPr>
      </w:pPr>
      <w:bookmarkStart w:id="288" w:name="_Toc403382882"/>
      <w:bookmarkStart w:id="289" w:name="_Toc403382884"/>
    </w:p>
    <w:p w14:paraId="7EC1F8BD">
      <w:pPr>
        <w:pStyle w:val="54"/>
        <w:numPr>
          <w:ilvl w:val="0"/>
          <w:numId w:val="0"/>
        </w:numPr>
        <w:snapToGrid w:val="0"/>
        <w:spacing w:before="240" w:line="360" w:lineRule="auto"/>
        <w:jc w:val="center"/>
        <w:rPr>
          <w:rFonts w:hint="eastAsia" w:ascii="宋体" w:hAnsi="宋体" w:eastAsia="宋体" w:cs="宋体"/>
          <w:b/>
          <w:bCs/>
          <w:color w:val="000000"/>
          <w:sz w:val="28"/>
          <w:szCs w:val="28"/>
          <w:lang w:val="zh-CN"/>
        </w:rPr>
      </w:pPr>
      <w:r>
        <w:rPr>
          <w:rFonts w:hint="eastAsia" w:ascii="宋体" w:hAnsi="宋体" w:eastAsia="宋体" w:cs="宋体"/>
          <w:b/>
          <w:bCs/>
          <w:color w:val="000000"/>
          <w:sz w:val="28"/>
          <w:szCs w:val="28"/>
          <w:lang w:val="zh-CN"/>
        </w:rPr>
        <w:t>未被列入政府取消投标资格记录期间的企业承诺书</w:t>
      </w:r>
    </w:p>
    <w:p w14:paraId="4CA0E7C1">
      <w:pPr>
        <w:pStyle w:val="54"/>
        <w:numPr>
          <w:ilvl w:val="0"/>
          <w:numId w:val="0"/>
        </w:numPr>
        <w:snapToGrid w:val="0"/>
        <w:spacing w:before="240" w:line="360" w:lineRule="auto"/>
        <w:jc w:val="both"/>
        <w:rPr>
          <w:rFonts w:hint="eastAsia" w:ascii="宋体" w:hAnsi="宋体" w:eastAsia="宋体" w:cs="宋体"/>
          <w:color w:val="000000"/>
          <w:sz w:val="28"/>
          <w:szCs w:val="28"/>
          <w:lang w:val="zh-CN"/>
        </w:rPr>
      </w:pPr>
    </w:p>
    <w:p w14:paraId="1A6C2CD0">
      <w:pPr>
        <w:spacing w:line="600" w:lineRule="auto"/>
        <w:ind w:firstLine="480"/>
        <w:jc w:val="left"/>
        <w:rPr>
          <w:rFonts w:hint="eastAsia" w:ascii="宋体" w:hAnsi="宋体" w:eastAsia="宋体" w:cs="宋体"/>
          <w:b w:val="0"/>
          <w:bCs/>
          <w:color w:val="000000"/>
          <w:sz w:val="24"/>
          <w:szCs w:val="24"/>
        </w:rPr>
      </w:pPr>
      <w:r>
        <w:rPr>
          <w:rFonts w:hint="eastAsia" w:ascii="宋体" w:hAnsi="宋体" w:eastAsia="宋体" w:cs="宋体"/>
          <w:b w:val="0"/>
          <w:bCs/>
          <w:sz w:val="24"/>
          <w:szCs w:val="24"/>
          <w:lang w:eastAsia="zh-CN"/>
        </w:rPr>
        <w:t>本人</w:t>
      </w:r>
      <w:r>
        <w:rPr>
          <w:rFonts w:hint="eastAsia" w:ascii="宋体" w:hAnsi="宋体" w:eastAsia="宋体" w:cs="宋体"/>
          <w:b w:val="0"/>
          <w:bCs/>
          <w:sz w:val="24"/>
          <w:szCs w:val="24"/>
          <w:u w:val="single"/>
          <w:lang w:val="en-US" w:eastAsia="zh-CN"/>
        </w:rPr>
        <w:t xml:space="preserve">       </w:t>
      </w:r>
      <w:r>
        <w:rPr>
          <w:rFonts w:hint="eastAsia" w:ascii="宋体" w:hAnsi="宋体" w:eastAsia="宋体" w:cs="宋体"/>
          <w:b w:val="0"/>
          <w:bCs/>
          <w:sz w:val="24"/>
          <w:szCs w:val="24"/>
          <w:lang w:val="en-US" w:eastAsia="zh-CN"/>
        </w:rPr>
        <w:t>系</w:t>
      </w:r>
      <w:r>
        <w:rPr>
          <w:rFonts w:hint="eastAsia" w:ascii="宋体" w:hAnsi="宋体" w:eastAsia="宋体" w:cs="宋体"/>
          <w:b w:val="0"/>
          <w:bCs/>
          <w:sz w:val="24"/>
          <w:szCs w:val="24"/>
          <w:u w:val="single"/>
          <w:lang w:val="en-US" w:eastAsia="zh-CN"/>
        </w:rPr>
        <w:t xml:space="preserve">                   </w:t>
      </w:r>
      <w:r>
        <w:rPr>
          <w:rFonts w:hint="eastAsia" w:ascii="宋体" w:hAnsi="宋体" w:eastAsia="宋体" w:cs="宋体"/>
          <w:b w:val="0"/>
          <w:bCs/>
          <w:color w:val="000000"/>
          <w:sz w:val="24"/>
          <w:szCs w:val="24"/>
          <w:u w:val="none"/>
          <w:lang w:val="en-US" w:eastAsia="zh-CN"/>
        </w:rPr>
        <w:t>的法定代表人，</w:t>
      </w:r>
      <w:r>
        <w:rPr>
          <w:rFonts w:hint="eastAsia" w:ascii="宋体" w:hAnsi="宋体" w:eastAsia="宋体" w:cs="宋体"/>
          <w:b w:val="0"/>
          <w:bCs/>
          <w:color w:val="000000"/>
          <w:sz w:val="24"/>
          <w:szCs w:val="24"/>
        </w:rPr>
        <w:t>现承诺我单位在全国范围内没有被</w:t>
      </w:r>
      <w:r>
        <w:rPr>
          <w:rFonts w:hint="eastAsia" w:ascii="宋体" w:hAnsi="宋体" w:eastAsia="宋体" w:cs="宋体"/>
          <w:b w:val="0"/>
          <w:bCs/>
          <w:color w:val="000000"/>
          <w:sz w:val="24"/>
          <w:szCs w:val="24"/>
          <w:lang w:eastAsia="zh-CN"/>
        </w:rPr>
        <w:t>列入政府取消投标资格记录期间内</w:t>
      </w:r>
      <w:r>
        <w:rPr>
          <w:rFonts w:hint="eastAsia" w:ascii="宋体" w:hAnsi="宋体" w:eastAsia="宋体" w:cs="宋体"/>
          <w:b w:val="0"/>
          <w:bCs/>
          <w:color w:val="000000"/>
          <w:sz w:val="24"/>
          <w:szCs w:val="24"/>
        </w:rPr>
        <w:t>，也没有不良行为记录。</w:t>
      </w:r>
    </w:p>
    <w:p w14:paraId="4ED4FA54">
      <w:pPr>
        <w:spacing w:line="600" w:lineRule="auto"/>
        <w:ind w:firstLine="480"/>
        <w:jc w:val="left"/>
        <w:rPr>
          <w:rFonts w:hint="eastAsia" w:ascii="宋体" w:hAnsi="宋体" w:eastAsia="宋体" w:cs="宋体"/>
          <w:b w:val="0"/>
          <w:bCs/>
          <w:sz w:val="24"/>
          <w:szCs w:val="24"/>
          <w:lang w:eastAsia="zh-CN"/>
        </w:rPr>
      </w:pPr>
      <w:r>
        <w:rPr>
          <w:rFonts w:hint="eastAsia" w:ascii="宋体" w:hAnsi="宋体" w:eastAsia="宋体" w:cs="宋体"/>
          <w:b w:val="0"/>
          <w:bCs/>
          <w:sz w:val="24"/>
          <w:szCs w:val="24"/>
          <w:lang w:eastAsia="zh-CN"/>
        </w:rPr>
        <w:t>如承诺虚假，本单位愿承担一切法律后果。</w:t>
      </w:r>
    </w:p>
    <w:p w14:paraId="16758047">
      <w:pPr>
        <w:pStyle w:val="55"/>
        <w:rPr>
          <w:rFonts w:hint="eastAsia" w:ascii="宋体" w:hAnsi="宋体" w:eastAsia="宋体" w:cs="宋体"/>
          <w:b w:val="0"/>
          <w:bCs/>
          <w:sz w:val="24"/>
          <w:szCs w:val="24"/>
          <w:lang w:eastAsia="zh-CN"/>
        </w:rPr>
      </w:pPr>
    </w:p>
    <w:p w14:paraId="2E573681">
      <w:pPr>
        <w:pStyle w:val="11"/>
        <w:rPr>
          <w:rFonts w:hint="eastAsia" w:ascii="宋体" w:hAnsi="宋体" w:eastAsia="宋体" w:cs="宋体"/>
          <w:b w:val="0"/>
          <w:bCs/>
          <w:sz w:val="24"/>
          <w:szCs w:val="24"/>
          <w:lang w:eastAsia="zh-CN"/>
        </w:rPr>
      </w:pPr>
    </w:p>
    <w:p w14:paraId="3C4D4805">
      <w:pPr>
        <w:rPr>
          <w:rFonts w:hint="eastAsia" w:ascii="宋体" w:hAnsi="宋体" w:eastAsia="宋体" w:cs="宋体"/>
          <w:sz w:val="24"/>
          <w:szCs w:val="24"/>
          <w:lang w:eastAsia="zh-CN"/>
        </w:rPr>
      </w:pPr>
    </w:p>
    <w:p w14:paraId="5625F443">
      <w:pPr>
        <w:spacing w:line="480" w:lineRule="auto"/>
        <w:ind w:right="330" w:rightChars="157" w:firstLine="729" w:firstLineChars="304"/>
        <w:jc w:val="left"/>
        <w:rPr>
          <w:rFonts w:hint="eastAsia" w:ascii="宋体" w:hAnsi="宋体" w:eastAsia="宋体" w:cs="宋体"/>
          <w:b w:val="0"/>
          <w:bCs w:val="0"/>
          <w:color w:val="000000"/>
          <w:sz w:val="24"/>
          <w:szCs w:val="24"/>
        </w:rPr>
      </w:pPr>
    </w:p>
    <w:p w14:paraId="2736208C">
      <w:pPr>
        <w:spacing w:line="600" w:lineRule="auto"/>
        <w:ind w:right="330" w:rightChars="157" w:firstLine="2080" w:firstLineChars="800"/>
        <w:jc w:val="left"/>
        <w:rPr>
          <w:rFonts w:hint="eastAsia" w:ascii="宋体" w:hAnsi="宋体" w:eastAsia="宋体" w:cs="宋体"/>
          <w:b w:val="0"/>
          <w:bCs w:val="0"/>
          <w:color w:val="000000"/>
          <w:sz w:val="24"/>
          <w:szCs w:val="24"/>
        </w:rPr>
      </w:pPr>
      <w:r>
        <w:rPr>
          <w:rFonts w:hint="eastAsia" w:ascii="宋体" w:hAnsi="宋体"/>
          <w:sz w:val="26"/>
        </w:rPr>
        <w:t>供应商：</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rPr>
        <w:t>（加盖公章）</w:t>
      </w:r>
    </w:p>
    <w:p w14:paraId="06D42BEC">
      <w:pPr>
        <w:spacing w:line="600" w:lineRule="auto"/>
        <w:ind w:right="330" w:rightChars="157" w:firstLine="2080" w:firstLineChars="800"/>
        <w:jc w:val="left"/>
        <w:rPr>
          <w:rFonts w:hint="eastAsia" w:ascii="宋体" w:hAnsi="宋体" w:eastAsia="宋体" w:cs="宋体"/>
          <w:b w:val="0"/>
          <w:bCs w:val="0"/>
          <w:color w:val="000000"/>
          <w:sz w:val="24"/>
          <w:szCs w:val="24"/>
        </w:rPr>
      </w:pPr>
      <w:r>
        <w:rPr>
          <w:rFonts w:hint="eastAsia" w:ascii="宋体" w:hAnsi="宋体"/>
          <w:sz w:val="26"/>
        </w:rPr>
        <w:t>法定代表人或其委托代理人</w:t>
      </w:r>
      <w:r>
        <w:rPr>
          <w:rFonts w:hint="eastAsia" w:ascii="宋体" w:hAnsi="宋体" w:eastAsia="宋体" w:cs="宋体"/>
          <w:b w:val="0"/>
          <w:bCs w:val="0"/>
          <w:color w:val="000000"/>
          <w:sz w:val="24"/>
          <w:szCs w:val="24"/>
        </w:rPr>
        <w:t>：</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hint="eastAsia" w:ascii="宋体" w:hAnsi="宋体" w:eastAsia="宋体" w:cs="宋体"/>
          <w:b w:val="0"/>
          <w:bCs w:val="0"/>
          <w:color w:val="000000"/>
          <w:sz w:val="24"/>
          <w:szCs w:val="24"/>
        </w:rPr>
        <w:t>）</w:t>
      </w:r>
    </w:p>
    <w:p w14:paraId="60F57D40">
      <w:pPr>
        <w:autoSpaceDE w:val="0"/>
        <w:autoSpaceDN w:val="0"/>
        <w:adjustRightInd w:val="0"/>
        <w:spacing w:line="600" w:lineRule="auto"/>
        <w:ind w:right="330" w:rightChars="157" w:firstLine="4320" w:firstLineChars="1800"/>
        <w:jc w:val="both"/>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年</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 xml:space="preserve">月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日</w:t>
      </w:r>
    </w:p>
    <w:p w14:paraId="4682CA27">
      <w:pPr>
        <w:spacing w:line="360" w:lineRule="auto"/>
        <w:jc w:val="center"/>
        <w:rPr>
          <w:rFonts w:hint="eastAsia" w:ascii="宋体" w:hAnsi="宋体"/>
          <w:sz w:val="26"/>
        </w:rPr>
      </w:pPr>
    </w:p>
    <w:p w14:paraId="24431ABC">
      <w:pPr>
        <w:spacing w:line="360" w:lineRule="auto"/>
        <w:jc w:val="center"/>
        <w:rPr>
          <w:rFonts w:hint="eastAsia" w:ascii="宋体" w:hAnsi="宋体"/>
          <w:sz w:val="26"/>
        </w:rPr>
      </w:pPr>
    </w:p>
    <w:p w14:paraId="200E7579">
      <w:pPr>
        <w:spacing w:line="360" w:lineRule="auto"/>
        <w:jc w:val="center"/>
        <w:rPr>
          <w:rFonts w:hint="eastAsia" w:ascii="宋体" w:hAnsi="宋体"/>
          <w:sz w:val="26"/>
        </w:rPr>
      </w:pPr>
    </w:p>
    <w:p w14:paraId="1D594CA7">
      <w:pPr>
        <w:spacing w:line="360" w:lineRule="auto"/>
        <w:jc w:val="center"/>
        <w:rPr>
          <w:rFonts w:hint="eastAsia" w:ascii="宋体" w:hAnsi="宋体"/>
          <w:sz w:val="26"/>
        </w:rPr>
      </w:pPr>
    </w:p>
    <w:p w14:paraId="62E635D3">
      <w:pPr>
        <w:spacing w:line="360" w:lineRule="auto"/>
        <w:jc w:val="center"/>
        <w:rPr>
          <w:rFonts w:hint="eastAsia" w:ascii="宋体" w:hAnsi="宋体"/>
          <w:sz w:val="26"/>
        </w:rPr>
      </w:pPr>
    </w:p>
    <w:p w14:paraId="31B5C1BD">
      <w:pPr>
        <w:spacing w:line="360" w:lineRule="auto"/>
        <w:jc w:val="center"/>
        <w:rPr>
          <w:rFonts w:hint="eastAsia" w:ascii="宋体" w:hAnsi="宋体"/>
          <w:sz w:val="26"/>
        </w:rPr>
      </w:pPr>
    </w:p>
    <w:p w14:paraId="4B7E0626">
      <w:pPr>
        <w:spacing w:line="360" w:lineRule="auto"/>
        <w:jc w:val="center"/>
        <w:rPr>
          <w:rFonts w:hint="eastAsia" w:ascii="宋体" w:hAnsi="宋体"/>
          <w:sz w:val="26"/>
        </w:rPr>
      </w:pPr>
    </w:p>
    <w:p w14:paraId="377A2ADA">
      <w:pPr>
        <w:spacing w:line="360" w:lineRule="auto"/>
        <w:jc w:val="center"/>
        <w:rPr>
          <w:rFonts w:hint="eastAsia" w:ascii="宋体" w:hAnsi="宋体"/>
          <w:sz w:val="26"/>
        </w:rPr>
      </w:pPr>
    </w:p>
    <w:p w14:paraId="0CFE3751">
      <w:pPr>
        <w:spacing w:line="360" w:lineRule="auto"/>
        <w:jc w:val="center"/>
        <w:rPr>
          <w:rFonts w:hint="eastAsia" w:ascii="宋体" w:hAnsi="宋体"/>
          <w:sz w:val="26"/>
        </w:rPr>
      </w:pPr>
    </w:p>
    <w:p w14:paraId="2037CEED">
      <w:pPr>
        <w:spacing w:line="360" w:lineRule="auto"/>
        <w:jc w:val="center"/>
        <w:rPr>
          <w:rFonts w:ascii="宋体" w:hAnsi="宋体"/>
          <w:b/>
          <w:bCs/>
          <w:sz w:val="28"/>
          <w:szCs w:val="28"/>
        </w:rPr>
      </w:pPr>
      <w:r>
        <w:rPr>
          <w:rFonts w:hint="eastAsia" w:ascii="宋体" w:hAnsi="宋体"/>
          <w:b/>
          <w:bCs/>
          <w:sz w:val="28"/>
          <w:szCs w:val="28"/>
        </w:rPr>
        <w:t>无重大违法记录声明</w:t>
      </w:r>
    </w:p>
    <w:p w14:paraId="363A81B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sz w:val="24"/>
          <w:szCs w:val="24"/>
        </w:rPr>
      </w:pPr>
    </w:p>
    <w:p w14:paraId="77EFB0D5">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采购人和采购代理机构：</w:t>
      </w:r>
    </w:p>
    <w:p w14:paraId="48535F79">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 xml:space="preserve">    我方在此声明，我方在参加本次政府采购活动前三年内，在经营活动中没有以下重大违法记录：</w:t>
      </w:r>
    </w:p>
    <w:p w14:paraId="37A2BA4D">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 xml:space="preserve">    我方因违法经营被追究过刑事责任；</w:t>
      </w:r>
    </w:p>
    <w:p w14:paraId="235830E5">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 xml:space="preserve">    我方因违法经营被责令停产停业、吊销许可证或者执照；</w:t>
      </w:r>
    </w:p>
    <w:p w14:paraId="543400C8">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 xml:space="preserve">    我方因违法经营被处以较大数额罚款等行政处罚。</w:t>
      </w:r>
    </w:p>
    <w:p w14:paraId="57913B94">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 xml:space="preserve">    随本声明附上我方参加本次政府采购活动前3年内发生的诉讼及仲裁情况表以及相关的法律证明文件供贵方核验。我方保证上述信息的完整、客观、真实、准确，并愿意承担我方因提供虚假材料谋骗取成交、成交所引起的一切法律后果。</w:t>
      </w:r>
    </w:p>
    <w:p w14:paraId="7C1AEC72">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sz w:val="24"/>
          <w:szCs w:val="24"/>
        </w:rPr>
      </w:pPr>
      <w:r>
        <w:rPr>
          <w:rFonts w:hint="eastAsia" w:ascii="宋体" w:hAnsi="宋体"/>
          <w:sz w:val="24"/>
          <w:szCs w:val="24"/>
        </w:rPr>
        <w:t>特此声明！</w:t>
      </w:r>
    </w:p>
    <w:p w14:paraId="0FB8177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sz w:val="24"/>
          <w:szCs w:val="24"/>
        </w:rPr>
      </w:pPr>
    </w:p>
    <w:p w14:paraId="2D6E7AE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sz w:val="24"/>
          <w:szCs w:val="24"/>
        </w:rPr>
      </w:pPr>
    </w:p>
    <w:p w14:paraId="026476F7">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sz w:val="24"/>
          <w:szCs w:val="24"/>
        </w:rPr>
      </w:pPr>
    </w:p>
    <w:p w14:paraId="2E171D3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sz w:val="24"/>
          <w:szCs w:val="24"/>
        </w:rPr>
      </w:pPr>
    </w:p>
    <w:p w14:paraId="184C5282">
      <w:pPr>
        <w:spacing w:line="600" w:lineRule="auto"/>
        <w:ind w:right="330" w:rightChars="157" w:firstLine="2080" w:firstLineChars="800"/>
        <w:jc w:val="left"/>
        <w:rPr>
          <w:rFonts w:hint="eastAsia" w:ascii="宋体" w:hAnsi="宋体" w:eastAsia="宋体" w:cs="宋体"/>
          <w:b w:val="0"/>
          <w:bCs w:val="0"/>
          <w:color w:val="000000"/>
          <w:sz w:val="24"/>
          <w:szCs w:val="24"/>
        </w:rPr>
      </w:pPr>
      <w:r>
        <w:rPr>
          <w:rFonts w:hint="eastAsia" w:ascii="宋体" w:hAnsi="宋体"/>
          <w:sz w:val="26"/>
        </w:rPr>
        <w:t>供</w:t>
      </w:r>
      <w:r>
        <w:rPr>
          <w:rFonts w:hint="eastAsia" w:ascii="宋体" w:hAnsi="宋体"/>
          <w:sz w:val="26"/>
          <w:lang w:val="en-US" w:eastAsia="zh-CN"/>
        </w:rPr>
        <w:t xml:space="preserve">  </w:t>
      </w:r>
      <w:r>
        <w:rPr>
          <w:rFonts w:hint="eastAsia" w:ascii="宋体" w:hAnsi="宋体"/>
          <w:sz w:val="26"/>
        </w:rPr>
        <w:t>应</w:t>
      </w:r>
      <w:r>
        <w:rPr>
          <w:rFonts w:hint="eastAsia" w:ascii="宋体" w:hAnsi="宋体"/>
          <w:sz w:val="26"/>
          <w:lang w:val="en-US" w:eastAsia="zh-CN"/>
        </w:rPr>
        <w:t xml:space="preserve">  </w:t>
      </w:r>
      <w:r>
        <w:rPr>
          <w:rFonts w:hint="eastAsia" w:ascii="宋体" w:hAnsi="宋体"/>
          <w:sz w:val="26"/>
        </w:rPr>
        <w:t>商：</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rPr>
        <w:t>（加盖公章）</w:t>
      </w:r>
    </w:p>
    <w:p w14:paraId="19F04CC0">
      <w:pPr>
        <w:spacing w:line="600" w:lineRule="auto"/>
        <w:ind w:right="330" w:rightChars="157" w:firstLine="2080" w:firstLineChars="800"/>
        <w:jc w:val="left"/>
        <w:rPr>
          <w:rFonts w:hint="eastAsia" w:ascii="宋体" w:hAnsi="宋体" w:eastAsia="宋体" w:cs="宋体"/>
          <w:b w:val="0"/>
          <w:bCs w:val="0"/>
          <w:color w:val="000000"/>
          <w:sz w:val="24"/>
          <w:szCs w:val="24"/>
        </w:rPr>
      </w:pPr>
      <w:r>
        <w:rPr>
          <w:rFonts w:hint="eastAsia" w:ascii="宋体" w:hAnsi="宋体"/>
          <w:sz w:val="26"/>
        </w:rPr>
        <w:t>法定代表人或其委托代理人</w:t>
      </w:r>
      <w:r>
        <w:rPr>
          <w:rFonts w:hint="eastAsia" w:ascii="宋体" w:hAnsi="宋体" w:eastAsia="宋体" w:cs="宋体"/>
          <w:b w:val="0"/>
          <w:bCs w:val="0"/>
          <w:color w:val="000000"/>
          <w:sz w:val="24"/>
          <w:szCs w:val="24"/>
        </w:rPr>
        <w:t>：</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hint="eastAsia" w:ascii="宋体" w:hAnsi="宋体" w:eastAsia="宋体" w:cs="宋体"/>
          <w:b w:val="0"/>
          <w:bCs w:val="0"/>
          <w:color w:val="000000"/>
          <w:sz w:val="24"/>
          <w:szCs w:val="24"/>
        </w:rPr>
        <w:t>）</w:t>
      </w:r>
    </w:p>
    <w:p w14:paraId="52EA3CD9">
      <w:pPr>
        <w:autoSpaceDE w:val="0"/>
        <w:autoSpaceDN w:val="0"/>
        <w:adjustRightInd w:val="0"/>
        <w:spacing w:line="600" w:lineRule="auto"/>
        <w:ind w:right="330" w:rightChars="157" w:firstLine="4320" w:firstLineChars="1800"/>
        <w:jc w:val="both"/>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年</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 xml:space="preserve">月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日</w:t>
      </w:r>
    </w:p>
    <w:p w14:paraId="43E2D713">
      <w:pPr>
        <w:spacing w:line="360" w:lineRule="auto"/>
        <w:rPr>
          <w:rFonts w:ascii="宋体" w:hAnsi="宋体"/>
          <w:sz w:val="26"/>
        </w:rPr>
      </w:pPr>
    </w:p>
    <w:p w14:paraId="08E12EDD">
      <w:pPr>
        <w:spacing w:line="360" w:lineRule="auto"/>
        <w:rPr>
          <w:rFonts w:ascii="宋体" w:hAnsi="宋体"/>
          <w:sz w:val="26"/>
        </w:rPr>
      </w:pPr>
    </w:p>
    <w:p w14:paraId="20F64DFF">
      <w:pPr>
        <w:spacing w:line="360" w:lineRule="auto"/>
        <w:rPr>
          <w:rFonts w:ascii="宋体" w:hAnsi="宋体"/>
          <w:sz w:val="26"/>
        </w:rPr>
      </w:pPr>
    </w:p>
    <w:p w14:paraId="518B63D4">
      <w:pPr>
        <w:spacing w:line="360" w:lineRule="auto"/>
        <w:rPr>
          <w:rFonts w:ascii="宋体" w:hAnsi="宋体"/>
          <w:sz w:val="26"/>
        </w:rPr>
      </w:pPr>
    </w:p>
    <w:p w14:paraId="7CEA8DD2">
      <w:pPr>
        <w:widowControl/>
        <w:jc w:val="left"/>
        <w:rPr>
          <w:rFonts w:ascii="宋体" w:hAnsi="宋体"/>
          <w:sz w:val="26"/>
        </w:rPr>
      </w:pPr>
    </w:p>
    <w:bookmarkEnd w:id="288"/>
    <w:bookmarkEnd w:id="289"/>
    <w:p w14:paraId="38B909DA">
      <w:pPr>
        <w:jc w:val="center"/>
        <w:rPr>
          <w:rFonts w:ascii="宋体" w:hAnsi="宋体" w:cs="Times New Roman"/>
          <w:b/>
          <w:sz w:val="30"/>
          <w:szCs w:val="21"/>
        </w:rPr>
      </w:pPr>
      <w:r>
        <w:rPr>
          <w:rFonts w:hint="eastAsia" w:ascii="宋体" w:hAnsi="宋体" w:cs="Times New Roman"/>
          <w:b/>
          <w:sz w:val="30"/>
          <w:szCs w:val="21"/>
        </w:rPr>
        <w:t>报价一览表（格式）</w:t>
      </w:r>
    </w:p>
    <w:p w14:paraId="61D6351D">
      <w:pPr>
        <w:spacing w:line="500" w:lineRule="exact"/>
        <w:jc w:val="center"/>
        <w:rPr>
          <w:rFonts w:ascii="宋体" w:hAnsi="宋体" w:cs="Times New Roman"/>
          <w:sz w:val="24"/>
          <w:szCs w:val="21"/>
        </w:rPr>
      </w:pPr>
      <w:r>
        <w:rPr>
          <w:rFonts w:hint="eastAsia" w:ascii="宋体" w:hAnsi="宋体" w:cs="Times New Roman"/>
          <w:sz w:val="24"/>
          <w:szCs w:val="21"/>
        </w:rPr>
        <w:t>(第二次报价)</w:t>
      </w:r>
    </w:p>
    <w:p w14:paraId="17CA41CD">
      <w:pPr>
        <w:spacing w:line="360" w:lineRule="auto"/>
        <w:rPr>
          <w:rFonts w:ascii="宋体" w:hAnsi="宋体"/>
          <w:sz w:val="26"/>
        </w:rPr>
      </w:pPr>
      <w:r>
        <w:rPr>
          <w:rFonts w:hint="eastAsia" w:ascii="宋体" w:hAnsi="宋体"/>
          <w:sz w:val="26"/>
        </w:rPr>
        <w:t xml:space="preserve">项目名称：（项目名称）          </w:t>
      </w:r>
    </w:p>
    <w:p w14:paraId="309AB957">
      <w:pPr>
        <w:spacing w:line="360" w:lineRule="auto"/>
        <w:rPr>
          <w:rFonts w:ascii="宋体" w:hAnsi="宋体"/>
          <w:sz w:val="26"/>
        </w:rPr>
      </w:pPr>
      <w:r>
        <w:rPr>
          <w:rFonts w:hint="eastAsia" w:ascii="宋体" w:hAnsi="宋体"/>
          <w:sz w:val="26"/>
        </w:rPr>
        <w:t>项目编号：</w:t>
      </w:r>
    </w:p>
    <w:tbl>
      <w:tblPr>
        <w:tblStyle w:val="22"/>
        <w:tblW w:w="85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5"/>
        <w:gridCol w:w="5386"/>
        <w:gridCol w:w="1134"/>
      </w:tblGrid>
      <w:tr w14:paraId="42701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2065" w:type="dxa"/>
            <w:vAlign w:val="center"/>
          </w:tcPr>
          <w:p w14:paraId="554EC2C9">
            <w:pPr>
              <w:widowControl/>
              <w:tabs>
                <w:tab w:val="left" w:pos="1197"/>
              </w:tabs>
              <w:autoSpaceDE w:val="0"/>
              <w:autoSpaceDN w:val="0"/>
              <w:ind w:right="215"/>
              <w:jc w:val="center"/>
              <w:textAlignment w:val="bottom"/>
              <w:rPr>
                <w:rFonts w:ascii="Arial" w:hAnsi="Arial" w:cs="Arial"/>
                <w:color w:val="000000"/>
              </w:rPr>
            </w:pPr>
            <w:r>
              <w:rPr>
                <w:rFonts w:hint="eastAsia" w:ascii="Arial" w:hAnsi="Arial" w:cs="Arial"/>
                <w:color w:val="000000"/>
              </w:rPr>
              <w:t>单位名称</w:t>
            </w:r>
          </w:p>
        </w:tc>
        <w:tc>
          <w:tcPr>
            <w:tcW w:w="5386" w:type="dxa"/>
            <w:vAlign w:val="center"/>
          </w:tcPr>
          <w:p w14:paraId="75C041EC">
            <w:pPr>
              <w:widowControl/>
              <w:tabs>
                <w:tab w:val="left" w:pos="1197"/>
              </w:tabs>
              <w:autoSpaceDE w:val="0"/>
              <w:autoSpaceDN w:val="0"/>
              <w:ind w:right="215"/>
              <w:jc w:val="center"/>
              <w:textAlignment w:val="bottom"/>
              <w:rPr>
                <w:rFonts w:ascii="Arial" w:hAnsi="Arial" w:cs="Arial"/>
                <w:color w:val="000000"/>
              </w:rPr>
            </w:pPr>
            <w:r>
              <w:rPr>
                <w:rFonts w:hint="eastAsia" w:ascii="Arial" w:hAnsi="Arial" w:cs="Arial"/>
                <w:color w:val="000000"/>
              </w:rPr>
              <w:t>投标总价(第二次报价)</w:t>
            </w:r>
          </w:p>
          <w:p w14:paraId="255A5C3C">
            <w:pPr>
              <w:widowControl/>
              <w:tabs>
                <w:tab w:val="left" w:pos="1197"/>
              </w:tabs>
              <w:autoSpaceDE w:val="0"/>
              <w:autoSpaceDN w:val="0"/>
              <w:ind w:right="215"/>
              <w:jc w:val="center"/>
              <w:textAlignment w:val="bottom"/>
              <w:rPr>
                <w:rFonts w:ascii="Arial" w:hAnsi="Arial" w:cs="Arial"/>
                <w:color w:val="000000"/>
              </w:rPr>
            </w:pPr>
            <w:r>
              <w:rPr>
                <w:rFonts w:hint="eastAsia" w:ascii="Arial" w:hAnsi="Arial" w:cs="Arial"/>
                <w:color w:val="000000"/>
              </w:rPr>
              <w:t>（元）</w:t>
            </w:r>
          </w:p>
        </w:tc>
        <w:tc>
          <w:tcPr>
            <w:tcW w:w="1134" w:type="dxa"/>
            <w:vAlign w:val="center"/>
          </w:tcPr>
          <w:p w14:paraId="56AF2963">
            <w:pPr>
              <w:widowControl/>
              <w:tabs>
                <w:tab w:val="left" w:pos="1197"/>
              </w:tabs>
              <w:autoSpaceDE w:val="0"/>
              <w:autoSpaceDN w:val="0"/>
              <w:ind w:right="215"/>
              <w:jc w:val="center"/>
              <w:textAlignment w:val="bottom"/>
              <w:rPr>
                <w:rFonts w:ascii="Arial" w:hAnsi="Arial" w:cs="Arial"/>
                <w:color w:val="000000"/>
              </w:rPr>
            </w:pPr>
            <w:r>
              <w:rPr>
                <w:rFonts w:hint="eastAsia" w:ascii="Arial" w:hAnsi="Arial" w:cs="Arial"/>
                <w:color w:val="000000"/>
              </w:rPr>
              <w:t>备注</w:t>
            </w:r>
          </w:p>
        </w:tc>
      </w:tr>
      <w:tr w14:paraId="3326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2065" w:type="dxa"/>
            <w:vAlign w:val="center"/>
          </w:tcPr>
          <w:p w14:paraId="538935EC">
            <w:pPr>
              <w:widowControl/>
              <w:tabs>
                <w:tab w:val="left" w:pos="1197"/>
              </w:tabs>
              <w:autoSpaceDE w:val="0"/>
              <w:autoSpaceDN w:val="0"/>
              <w:ind w:right="215"/>
              <w:jc w:val="center"/>
              <w:textAlignment w:val="bottom"/>
              <w:rPr>
                <w:rFonts w:ascii="Arial" w:hAnsi="Arial" w:cs="Arial"/>
                <w:color w:val="000000"/>
              </w:rPr>
            </w:pPr>
          </w:p>
        </w:tc>
        <w:tc>
          <w:tcPr>
            <w:tcW w:w="5386" w:type="dxa"/>
            <w:vAlign w:val="center"/>
          </w:tcPr>
          <w:p w14:paraId="47875D84">
            <w:pPr>
              <w:widowControl/>
              <w:tabs>
                <w:tab w:val="left" w:pos="1197"/>
              </w:tabs>
              <w:autoSpaceDE w:val="0"/>
              <w:autoSpaceDN w:val="0"/>
              <w:ind w:right="215"/>
              <w:jc w:val="center"/>
              <w:textAlignment w:val="bottom"/>
              <w:rPr>
                <w:rFonts w:ascii="Arial" w:hAnsi="Arial" w:cs="Arial"/>
                <w:color w:val="000000"/>
              </w:rPr>
            </w:pPr>
          </w:p>
        </w:tc>
        <w:tc>
          <w:tcPr>
            <w:tcW w:w="1134" w:type="dxa"/>
            <w:vAlign w:val="center"/>
          </w:tcPr>
          <w:p w14:paraId="7E4F0AAE">
            <w:pPr>
              <w:widowControl/>
              <w:tabs>
                <w:tab w:val="left" w:pos="1197"/>
              </w:tabs>
              <w:autoSpaceDE w:val="0"/>
              <w:autoSpaceDN w:val="0"/>
              <w:ind w:right="215"/>
              <w:jc w:val="center"/>
              <w:textAlignment w:val="bottom"/>
              <w:rPr>
                <w:rFonts w:ascii="Arial" w:hAnsi="Arial" w:cs="Arial"/>
                <w:color w:val="000000"/>
              </w:rPr>
            </w:pPr>
          </w:p>
        </w:tc>
      </w:tr>
    </w:tbl>
    <w:p w14:paraId="446E6AD9">
      <w:pPr>
        <w:spacing w:line="360" w:lineRule="auto"/>
        <w:rPr>
          <w:rFonts w:ascii="宋体" w:hAnsi="宋体"/>
          <w:sz w:val="26"/>
        </w:rPr>
      </w:pPr>
    </w:p>
    <w:p w14:paraId="28ABF90D">
      <w:pPr>
        <w:spacing w:line="360" w:lineRule="auto"/>
        <w:rPr>
          <w:rFonts w:ascii="宋体" w:hAnsi="宋体"/>
          <w:sz w:val="26"/>
        </w:rPr>
      </w:pPr>
    </w:p>
    <w:p w14:paraId="52296156">
      <w:pPr>
        <w:spacing w:line="360" w:lineRule="auto"/>
        <w:jc w:val="center"/>
        <w:rPr>
          <w:rFonts w:ascii="宋体" w:hAnsi="宋体"/>
          <w:sz w:val="26"/>
        </w:rPr>
      </w:pPr>
      <w:r>
        <w:rPr>
          <w:rFonts w:hint="eastAsia" w:ascii="宋体" w:hAnsi="宋体"/>
          <w:sz w:val="26"/>
          <w:lang w:val="en-US" w:eastAsia="zh-CN"/>
        </w:rPr>
        <w:t xml:space="preserve">       </w:t>
      </w:r>
      <w:r>
        <w:rPr>
          <w:rFonts w:hint="eastAsia" w:ascii="宋体" w:hAnsi="宋体"/>
          <w:sz w:val="26"/>
        </w:rPr>
        <w:t>供应商：（盖单位章）</w:t>
      </w:r>
    </w:p>
    <w:p w14:paraId="280E543B">
      <w:pPr>
        <w:spacing w:line="360" w:lineRule="auto"/>
        <w:jc w:val="right"/>
        <w:rPr>
          <w:rFonts w:ascii="宋体" w:hAnsi="宋体"/>
          <w:sz w:val="26"/>
        </w:rPr>
      </w:pPr>
      <w:r>
        <w:rPr>
          <w:rFonts w:hint="eastAsia" w:ascii="宋体" w:hAnsi="宋体"/>
          <w:sz w:val="26"/>
        </w:rPr>
        <w:t>法定代表人或其委托代理人：（</w:t>
      </w:r>
      <w:r>
        <w:rPr>
          <w:rFonts w:hint="eastAsia" w:ascii="宋体" w:hAnsi="宋体" w:eastAsia="宋体" w:cs="宋体"/>
          <w:b w:val="0"/>
          <w:bCs w:val="0"/>
          <w:color w:val="000000"/>
          <w:sz w:val="24"/>
          <w:szCs w:val="24"/>
        </w:rPr>
        <w:t>签字</w:t>
      </w:r>
      <w:r>
        <w:rPr>
          <w:rFonts w:hint="eastAsia" w:ascii="宋体" w:hAnsi="宋体" w:eastAsia="宋体" w:cs="宋体"/>
          <w:b w:val="0"/>
          <w:bCs w:val="0"/>
          <w:color w:val="000000"/>
          <w:sz w:val="24"/>
          <w:szCs w:val="24"/>
          <w:lang w:val="en-US" w:eastAsia="zh-CN"/>
        </w:rPr>
        <w:t>或盖章</w:t>
      </w:r>
      <w:r>
        <w:rPr>
          <w:rFonts w:hint="eastAsia" w:ascii="宋体" w:hAnsi="宋体"/>
          <w:sz w:val="26"/>
        </w:rPr>
        <w:t>）</w:t>
      </w:r>
    </w:p>
    <w:p w14:paraId="6162A551">
      <w:pPr>
        <w:spacing w:line="360" w:lineRule="auto"/>
        <w:jc w:val="center"/>
        <w:rPr>
          <w:rFonts w:ascii="宋体" w:hAnsi="宋体"/>
          <w:sz w:val="26"/>
        </w:rPr>
      </w:pPr>
      <w:r>
        <w:rPr>
          <w:rFonts w:hint="eastAsia" w:ascii="宋体" w:hAnsi="宋体"/>
          <w:sz w:val="26"/>
          <w:lang w:val="en-US" w:eastAsia="zh-CN"/>
        </w:rPr>
        <w:t xml:space="preserve">                                       </w:t>
      </w:r>
      <w:r>
        <w:rPr>
          <w:rFonts w:hint="eastAsia" w:ascii="宋体" w:hAnsi="宋体"/>
          <w:sz w:val="26"/>
        </w:rPr>
        <w:t>年</w:t>
      </w:r>
      <w:r>
        <w:rPr>
          <w:rFonts w:hint="eastAsia" w:ascii="宋体" w:hAnsi="宋体"/>
          <w:sz w:val="26"/>
          <w:lang w:val="en-US" w:eastAsia="zh-CN"/>
        </w:rPr>
        <w:t xml:space="preserve">   </w:t>
      </w:r>
      <w:r>
        <w:rPr>
          <w:rFonts w:hint="eastAsia" w:ascii="宋体" w:hAnsi="宋体"/>
          <w:sz w:val="26"/>
        </w:rPr>
        <w:t>月</w:t>
      </w:r>
      <w:r>
        <w:rPr>
          <w:rFonts w:hint="eastAsia" w:ascii="宋体" w:hAnsi="宋体"/>
          <w:sz w:val="26"/>
          <w:lang w:val="en-US" w:eastAsia="zh-CN"/>
        </w:rPr>
        <w:t xml:space="preserve">   </w:t>
      </w:r>
      <w:r>
        <w:rPr>
          <w:rFonts w:hint="eastAsia" w:ascii="宋体" w:hAnsi="宋体"/>
          <w:sz w:val="26"/>
        </w:rPr>
        <w:t>日</w:t>
      </w:r>
    </w:p>
    <w:p w14:paraId="40424BF7">
      <w:pPr>
        <w:spacing w:line="500" w:lineRule="exact"/>
        <w:jc w:val="center"/>
        <w:rPr>
          <w:rFonts w:ascii="宋体" w:hAnsi="宋体" w:cs="Times New Roman"/>
          <w:b/>
          <w:sz w:val="30"/>
          <w:szCs w:val="21"/>
        </w:rPr>
      </w:pPr>
    </w:p>
    <w:p w14:paraId="259B6C0A">
      <w:pPr>
        <w:spacing w:line="500" w:lineRule="exact"/>
        <w:rPr>
          <w:rFonts w:ascii="宋体" w:hAnsi="宋体" w:cs="Times New Roman"/>
          <w:b/>
          <w:sz w:val="24"/>
          <w:szCs w:val="21"/>
        </w:rPr>
      </w:pPr>
    </w:p>
    <w:p w14:paraId="0F535070">
      <w:pPr>
        <w:spacing w:line="500" w:lineRule="exact"/>
        <w:ind w:firstLine="562" w:firstLineChars="200"/>
        <w:outlineLvl w:val="0"/>
        <w:rPr>
          <w:rFonts w:ascii="宋体" w:hAnsi="宋体" w:cs="Times New Roman"/>
          <w:b/>
          <w:sz w:val="28"/>
          <w:szCs w:val="28"/>
          <w:em w:val="dot"/>
        </w:rPr>
      </w:pPr>
      <w:bookmarkStart w:id="290" w:name="_Toc376439322"/>
      <w:bookmarkStart w:id="291" w:name="_Toc72756004"/>
      <w:bookmarkStart w:id="292" w:name="_Toc15466"/>
      <w:r>
        <w:rPr>
          <w:rFonts w:hint="eastAsia" w:ascii="宋体" w:hAnsi="宋体" w:cs="Times New Roman"/>
          <w:b/>
          <w:sz w:val="28"/>
          <w:szCs w:val="28"/>
          <w:em w:val="dot"/>
        </w:rPr>
        <w:t>※注：第二次报价一览表不要装订在响应文件中，初审合格后，在政采云平台统一按平台格式上交。</w:t>
      </w:r>
      <w:bookmarkEnd w:id="290"/>
      <w:bookmarkEnd w:id="291"/>
      <w:bookmarkEnd w:id="292"/>
    </w:p>
    <w:p w14:paraId="21B8E498">
      <w:pPr>
        <w:widowControl/>
        <w:jc w:val="left"/>
        <w:rPr>
          <w:rFonts w:ascii="宋体" w:hAnsi="宋体"/>
          <w:sz w:val="26"/>
        </w:rPr>
      </w:pPr>
    </w:p>
    <w:p w14:paraId="2D2B6B15">
      <w:pPr>
        <w:widowControl/>
        <w:jc w:val="left"/>
        <w:rPr>
          <w:rFonts w:ascii="宋体" w:hAnsi="宋体"/>
          <w:sz w:val="26"/>
        </w:rPr>
      </w:pPr>
      <w:r>
        <w:rPr>
          <w:rFonts w:hint="eastAsia" w:ascii="宋体" w:hAnsi="宋体"/>
          <w:sz w:val="26"/>
        </w:rPr>
        <w:t>附：本项目共2轮报价，第一轮为在竞争性磋商响应文件中的报价，第二轮报价需要在谈判小组（评标委员会）要求时进行第二轮报价。</w:t>
      </w:r>
    </w:p>
    <w:sectPr>
      <w:footerReference r:id="rId22" w:type="first"/>
      <w:headerReference r:id="rId20" w:type="default"/>
      <w:footerReference r:id="rId21" w:type="default"/>
      <w:pgSz w:w="11906" w:h="16838"/>
      <w:pgMar w:top="1440" w:right="1800" w:bottom="1440" w:left="1800" w:header="1134" w:footer="1134" w:gutter="0"/>
      <w:pgNumType w:fmt="decimal" w:start="56"/>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BAC94">
    <w:pPr>
      <w:spacing w:line="176" w:lineRule="auto"/>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2D035">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8329E">
    <w:pPr>
      <w:spacing w:line="176" w:lineRule="auto"/>
      <w:rPr>
        <w:rFonts w:ascii="Times New Roman" w:hAnsi="Times New Roman" w:eastAsia="Times New Roman" w:cs="Times New Roman"/>
        <w:sz w:val="18"/>
        <w:szCs w:val="18"/>
      </w:rPr>
    </w:pPr>
    <w:r>
      <w:rPr>
        <w:sz w:val="18"/>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6FFB4B8F">
                <w:pPr>
                  <w:pStyle w:val="13"/>
                </w:pPr>
                <w:r>
                  <w:fldChar w:fldCharType="begin"/>
                </w:r>
                <w:r>
                  <w:instrText xml:space="preserve"> PAGE  \* MERGEFORMAT </w:instrText>
                </w:r>
                <w:r>
                  <w:fldChar w:fldCharType="separate"/>
                </w:r>
                <w:r>
                  <w:t>40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763B5">
    <w:pPr>
      <w:spacing w:line="176" w:lineRule="auto"/>
      <w:rPr>
        <w:rFonts w:ascii="Times New Roman" w:hAnsi="Times New Roman" w:eastAsia="Times New Roman" w:cs="Times New Roman"/>
        <w:sz w:val="18"/>
        <w:szCs w:val="18"/>
      </w:rPr>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17215921">
                <w:pPr>
                  <w:pStyle w:val="13"/>
                </w:pPr>
                <w:r>
                  <w:fldChar w:fldCharType="begin"/>
                </w:r>
                <w:r>
                  <w:instrText xml:space="preserve"> PAGE  \* MERGEFORMAT </w:instrText>
                </w:r>
                <w:r>
                  <w:fldChar w:fldCharType="separate"/>
                </w:r>
                <w:r>
                  <w:t>44</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29F84">
    <w:pPr>
      <w:spacing w:line="176" w:lineRule="auto"/>
      <w:rPr>
        <w:rFonts w:ascii="Times New Roman" w:hAnsi="Times New Roman" w:eastAsia="Times New Roman" w:cs="Times New Roman"/>
        <w:sz w:val="18"/>
        <w:szCs w:val="18"/>
      </w:rPr>
    </w:pPr>
    <w:r>
      <w:rPr>
        <w:sz w:val="18"/>
      </w:rPr>
      <w:pict>
        <v:shape id="_x0000_s4100" o:spid="_x0000_s4100"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513079F8">
                <w:pPr>
                  <w:pStyle w:val="13"/>
                </w:pPr>
                <w:r>
                  <w:fldChar w:fldCharType="begin"/>
                </w:r>
                <w:r>
                  <w:instrText xml:space="preserve"> PAGE  \* MERGEFORMAT </w:instrText>
                </w:r>
                <w:r>
                  <w:fldChar w:fldCharType="separate"/>
                </w:r>
                <w:r>
                  <w:t>46</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820398">
    <w:pPr>
      <w:spacing w:line="176" w:lineRule="auto"/>
      <w:ind w:left="4780"/>
      <w:rPr>
        <w:rFonts w:hint="default" w:ascii="Times New Roman" w:hAnsi="Times New Roman" w:eastAsia="宋体" w:cs="Times New Roman"/>
        <w:sz w:val="18"/>
        <w:szCs w:val="18"/>
        <w:lang w:val="en-US" w:eastAsia="zh-CN"/>
      </w:rPr>
    </w:pPr>
    <w:r>
      <w:rPr>
        <w:sz w:val="18"/>
      </w:rPr>
      <w:pict>
        <v:shape id="_x0000_s4101" o:spid="_x0000_s4101"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7582546A">
                <w:pPr>
                  <w:pStyle w:val="13"/>
                </w:pPr>
                <w:r>
                  <w:fldChar w:fldCharType="begin"/>
                </w:r>
                <w:r>
                  <w:instrText xml:space="preserve"> PAGE  \* MERGEFORMAT </w:instrText>
                </w:r>
                <w:r>
                  <w:fldChar w:fldCharType="separate"/>
                </w:r>
                <w:r>
                  <w:t>47</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8AC59">
    <w:pPr>
      <w:spacing w:line="176" w:lineRule="auto"/>
      <w:rPr>
        <w:rFonts w:ascii="Times New Roman" w:hAnsi="Times New Roman" w:eastAsia="Times New Roman" w:cs="Times New Roman"/>
        <w:sz w:val="18"/>
        <w:szCs w:val="18"/>
      </w:rPr>
    </w:pPr>
    <w:r>
      <w:rPr>
        <w:sz w:val="18"/>
      </w:rPr>
      <w:pict>
        <v:shape id="_x0000_s4102" o:spid="_x0000_s4102"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71ECD412">
                <w:pPr>
                  <w:pStyle w:val="13"/>
                </w:pPr>
                <w:r>
                  <w:fldChar w:fldCharType="begin"/>
                </w:r>
                <w:r>
                  <w:instrText xml:space="preserve"> PAGE  \* MERGEFORMAT </w:instrText>
                </w:r>
                <w:r>
                  <w:fldChar w:fldCharType="separate"/>
                </w:r>
                <w:r>
                  <w:t>48</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3FF46">
    <w:pPr>
      <w:spacing w:line="176" w:lineRule="auto"/>
      <w:rPr>
        <w:rFonts w:ascii="Times New Roman" w:hAnsi="Times New Roman" w:eastAsia="Times New Roman" w:cs="Times New Roman"/>
        <w:sz w:val="18"/>
        <w:szCs w:val="18"/>
      </w:rPr>
    </w:pPr>
    <w:r>
      <w:rPr>
        <w:sz w:val="18"/>
      </w:rPr>
      <w:pict>
        <v:shape id="_x0000_s4103" o:spid="_x0000_s4103"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666EBDBB">
                <w:pPr>
                  <w:pStyle w:val="13"/>
                </w:pPr>
                <w:r>
                  <w:fldChar w:fldCharType="begin"/>
                </w:r>
                <w:r>
                  <w:instrText xml:space="preserve"> PAGE  \* MERGEFORMAT </w:instrText>
                </w:r>
                <w:r>
                  <w:fldChar w:fldCharType="separate"/>
                </w:r>
                <w:r>
                  <w:t>49</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508429">
    <w:pPr>
      <w:spacing w:line="176" w:lineRule="auto"/>
      <w:rPr>
        <w:rFonts w:ascii="Times New Roman" w:hAnsi="Times New Roman" w:eastAsia="Times New Roman" w:cs="Times New Roman"/>
        <w:sz w:val="18"/>
        <w:szCs w:val="18"/>
      </w:rPr>
    </w:pPr>
    <w:r>
      <w:rPr>
        <w:sz w:val="18"/>
      </w:rPr>
      <w:pict>
        <v:shape id="_x0000_s4104" o:spid="_x0000_s4104"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50D83920">
                <w:pPr>
                  <w:pStyle w:val="13"/>
                </w:pPr>
                <w:r>
                  <w:fldChar w:fldCharType="begin"/>
                </w:r>
                <w:r>
                  <w:instrText xml:space="preserve"> PAGE  \* MERGEFORMAT </w:instrText>
                </w:r>
                <w:r>
                  <w:fldChar w:fldCharType="separate"/>
                </w:r>
                <w:r>
                  <w:t>50</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ECCA9">
    <w:pPr>
      <w:spacing w:line="176" w:lineRule="auto"/>
      <w:rPr>
        <w:rFonts w:ascii="Times New Roman" w:hAnsi="Times New Roman" w:eastAsia="Times New Roman" w:cs="Times New Roman"/>
        <w:sz w:val="18"/>
        <w:szCs w:val="18"/>
      </w:rPr>
    </w:pPr>
    <w:r>
      <w:rPr>
        <w:sz w:val="18"/>
      </w:rPr>
      <w:pict>
        <v:shape id="_x0000_s4105" o:spid="_x0000_s4105"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536B2A4D">
                <w:pPr>
                  <w:pStyle w:val="13"/>
                </w:pPr>
                <w:r>
                  <w:fldChar w:fldCharType="begin"/>
                </w:r>
                <w:r>
                  <w:instrText xml:space="preserve"> PAGE  \* MERGEFORMAT </w:instrText>
                </w:r>
                <w:r>
                  <w:fldChar w:fldCharType="separate"/>
                </w:r>
                <w:r>
                  <w:t>51</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CDE8D">
    <w:pPr>
      <w:spacing w:line="176" w:lineRule="auto"/>
      <w:rPr>
        <w:rFonts w:ascii="Times New Roman" w:hAnsi="Times New Roman" w:eastAsia="Times New Roman" w:cs="Times New Roman"/>
        <w:sz w:val="18"/>
        <w:szCs w:val="18"/>
      </w:rPr>
    </w:pPr>
    <w:r>
      <w:rPr>
        <w:sz w:val="18"/>
      </w:rPr>
      <w:pict>
        <v:shape id="_x0000_s4106" o:spid="_x0000_s4106"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1C217587">
                <w:pPr>
                  <w:pStyle w:val="13"/>
                </w:pPr>
                <w:r>
                  <w:fldChar w:fldCharType="begin"/>
                </w:r>
                <w:r>
                  <w:instrText xml:space="preserve"> PAGE  \* MERGEFORMAT </w:instrText>
                </w:r>
                <w:r>
                  <w:fldChar w:fldCharType="separate"/>
                </w:r>
                <w:r>
                  <w:t>52</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60D1C">
    <w:pPr>
      <w:spacing w:line="176" w:lineRule="auto"/>
      <w:rPr>
        <w:rFonts w:ascii="Times New Roman" w:hAnsi="Times New Roman" w:eastAsia="Times New Roman" w:cs="Times New Roman"/>
        <w:sz w:val="18"/>
        <w:szCs w:val="18"/>
      </w:rPr>
    </w:pPr>
    <w:r>
      <w:rPr>
        <w:sz w:val="18"/>
      </w:rPr>
      <w:pict>
        <v:shape id="_x0000_s4107" o:spid="_x0000_s4107"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3319A9A9">
                <w:pPr>
                  <w:pStyle w:val="13"/>
                </w:pPr>
                <w:r>
                  <w:fldChar w:fldCharType="begin"/>
                </w:r>
                <w:r>
                  <w:instrText xml:space="preserve"> PAGE  \* MERGEFORMAT </w:instrText>
                </w:r>
                <w:r>
                  <w:fldChar w:fldCharType="separate"/>
                </w:r>
                <w:r>
                  <w:t>53</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E7375">
    <w:pPr>
      <w:spacing w:line="176" w:lineRule="auto"/>
      <w:rPr>
        <w:rFonts w:ascii="Times New Roman" w:hAnsi="Times New Roman" w:eastAsia="Times New Roman" w:cs="Times New Roman"/>
        <w:sz w:val="18"/>
        <w:szCs w:val="18"/>
      </w:rPr>
    </w:pPr>
    <w:r>
      <w:rPr>
        <w:sz w:val="18"/>
      </w:rPr>
      <w:pict>
        <v:shape id="_x0000_s4108" o:spid="_x0000_s4108"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216A084C">
                <w:pPr>
                  <w:pStyle w:val="13"/>
                </w:pPr>
                <w:r>
                  <w:fldChar w:fldCharType="begin"/>
                </w:r>
                <w:r>
                  <w:instrText xml:space="preserve"> PAGE  \* MERGEFORMAT </w:instrText>
                </w:r>
                <w:r>
                  <w:fldChar w:fldCharType="separate"/>
                </w:r>
                <w:r>
                  <w:t>54</w:t>
                </w:r>
                <w: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9FA0C">
    <w:pPr>
      <w:spacing w:line="176" w:lineRule="auto"/>
      <w:rPr>
        <w:rFonts w:ascii="Times New Roman" w:hAnsi="Times New Roman" w:eastAsia="Times New Roman" w:cs="Times New Roman"/>
        <w:sz w:val="18"/>
        <w:szCs w:val="18"/>
      </w:rPr>
    </w:pPr>
    <w:r>
      <w:rPr>
        <w:sz w:val="18"/>
      </w:rPr>
      <w:pict>
        <v:shape id="_x0000_s4109" o:spid="_x0000_s4109"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4F40F6BE">
                <w:pPr>
                  <w:pStyle w:val="13"/>
                </w:pPr>
                <w:r>
                  <w:fldChar w:fldCharType="begin"/>
                </w:r>
                <w:r>
                  <w:instrText xml:space="preserve"> PAGE  \* MERGEFORMAT </w:instrText>
                </w:r>
                <w:r>
                  <w:fldChar w:fldCharType="separate"/>
                </w:r>
                <w:r>
                  <w:t>55</w:t>
                </w:r>
                <w: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EB15E">
    <w:pPr>
      <w:spacing w:line="176" w:lineRule="auto"/>
      <w:rPr>
        <w:rFonts w:ascii="Times New Roman" w:hAnsi="Times New Roman" w:eastAsia="Times New Roman" w:cs="Times New Roman"/>
        <w:sz w:val="18"/>
        <w:szCs w:val="18"/>
      </w:rPr>
    </w:pPr>
    <w:r>
      <w:rPr>
        <w:sz w:val="18"/>
      </w:rPr>
      <w:pict>
        <v:shape id="_x0000_s4110" o:spid="_x0000_s4110"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3935F427">
                <w:pPr>
                  <w:pStyle w:val="13"/>
                </w:pPr>
                <w:r>
                  <w:fldChar w:fldCharType="begin"/>
                </w:r>
                <w:r>
                  <w:instrText xml:space="preserve"> PAGE  \* MERGEFORMAT </w:instrText>
                </w:r>
                <w:r>
                  <w:fldChar w:fldCharType="separate"/>
                </w:r>
                <w:r>
                  <w:t>56</w:t>
                </w:r>
                <w:r>
                  <w:fldChar w:fldCharType="end"/>
                </w:r>
              </w:p>
            </w:txbxContent>
          </v:textbox>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E6F52">
    <w:pPr>
      <w:pStyle w:val="13"/>
      <w:jc w:val="center"/>
    </w:pPr>
    <w:r>
      <w:rPr>
        <w:sz w:val="18"/>
      </w:rPr>
      <w:pict>
        <v:shape id="_x0000_s4112" o:spid="_x0000_s4112" o:spt="202" type="#_x0000_t202" style="position:absolute;left:0pt;margin-top:0pt;height:144pt;width:144pt;mso-position-horizontal:center;mso-position-horizontal-relative:margin;mso-wrap-style:none;z-index:251672576;mso-width-relative:page;mso-height-relative:page;" filled="f" stroked="f" coordsize="21600,21600">
          <v:path/>
          <v:fill on="f" focussize="0,0"/>
          <v:stroke on="f"/>
          <v:imagedata o:title=""/>
          <o:lock v:ext="edit" aspectratio="f"/>
          <v:textbox inset="0mm,0mm,0mm,0mm" style="mso-fit-shape-to-text:t;">
            <w:txbxContent>
              <w:p w14:paraId="245A96EB">
                <w:pPr>
                  <w:pStyle w:val="13"/>
                </w:pPr>
                <w:r>
                  <w:fldChar w:fldCharType="begin"/>
                </w:r>
                <w:r>
                  <w:instrText xml:space="preserve"> PAGE  \* MERGEFORMAT </w:instrText>
                </w:r>
                <w:r>
                  <w:fldChar w:fldCharType="separate"/>
                </w:r>
                <w:r>
                  <w:t>1</w:t>
                </w:r>
                <w:r>
                  <w:fldChar w:fldCharType="end"/>
                </w:r>
              </w:p>
            </w:txbxContent>
          </v:textbox>
        </v:shape>
      </w:pict>
    </w:r>
  </w:p>
  <w:p w14:paraId="669F5ACB"/>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554BC">
    <w:pPr>
      <w:pStyle w:val="13"/>
    </w:pPr>
    <w:r>
      <w:rPr>
        <w:sz w:val="18"/>
      </w:rPr>
      <w:pict>
        <v:shape id="_x0000_s4111" o:spid="_x0000_s4111" o:spt="202" type="#_x0000_t202" style="position:absolute;left:0pt;margin-top:0pt;height:144pt;width:144pt;mso-position-horizontal:center;mso-position-horizontal-relative:margin;mso-wrap-style:none;z-index:251673600;mso-width-relative:page;mso-height-relative:page;" filled="f" stroked="f" coordsize="21600,21600">
          <v:path/>
          <v:fill on="f" focussize="0,0"/>
          <v:stroke on="f"/>
          <v:imagedata o:title=""/>
          <o:lock v:ext="edit" aspectratio="f"/>
          <v:textbox inset="0mm,0mm,0mm,0mm" style="mso-fit-shape-to-text:t;">
            <w:txbxContent>
              <w:p w14:paraId="01DA198F">
                <w:pPr>
                  <w:pStyle w:val="13"/>
                </w:pPr>
                <w:r>
                  <w:fldChar w:fldCharType="begin"/>
                </w:r>
                <w:r>
                  <w:instrText xml:space="preserve"> PAGE  \* MERGEFORMAT </w:instrText>
                </w:r>
                <w:r>
                  <w:fldChar w:fldCharType="separate"/>
                </w:r>
                <w:r>
                  <w:t>1</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33676">
    <w:pPr>
      <w:pStyle w:val="14"/>
      <w:rPr>
        <w:rFonts w:hint="default" w:eastAsia="宋体"/>
        <w:lang w:val="en-US" w:eastAsia="zh-CN"/>
      </w:rPr>
    </w:pPr>
    <w:r>
      <w:rPr>
        <w:rFonts w:hint="eastAsia"/>
        <w:lang w:val="en-US" w:eastAsia="zh-CN"/>
      </w:rPr>
      <w:t>吉林省隆元工程管理咨询有限公司                                                  0433-5812769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D29BF">
    <w:pPr>
      <w:pStyle w:val="14"/>
      <w:jc w:val="both"/>
      <w:rPr>
        <w:rFonts w:hint="default" w:eastAsia="宋体"/>
        <w:lang w:val="en-US" w:eastAsia="zh-CN"/>
      </w:rPr>
    </w:pPr>
    <w:r>
      <w:rPr>
        <w:rFonts w:hint="eastAsia"/>
        <w:lang w:val="en-US" w:eastAsia="zh-CN"/>
      </w:rPr>
      <w:t>吉林省隆元工程管理咨询有限公司                                                  0433-5812769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F8F5C">
    <w:pPr>
      <w:pStyle w:val="14"/>
      <w:rPr>
        <w:b w:val="0"/>
        <w:bCs/>
        <w:sz w:val="21"/>
        <w:szCs w:val="21"/>
        <w:u w:val="single"/>
      </w:rPr>
    </w:pPr>
    <w:r>
      <w:rPr>
        <w:rFonts w:hint="eastAsia"/>
        <w:lang w:val="en-US" w:eastAsia="zh-CN"/>
      </w:rPr>
      <w:t>吉林省隆元工程管理咨询有限公司                                                  0433-5812769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EFF028"/>
    <w:multiLevelType w:val="singleLevel"/>
    <w:tmpl w:val="9BEFF028"/>
    <w:lvl w:ilvl="0" w:tentative="0">
      <w:start w:val="1"/>
      <w:numFmt w:val="decimal"/>
      <w:suff w:val="nothing"/>
      <w:lvlText w:val="%1、"/>
      <w:lvlJc w:val="left"/>
    </w:lvl>
  </w:abstractNum>
  <w:abstractNum w:abstractNumId="1">
    <w:nsid w:val="B8FD791A"/>
    <w:multiLevelType w:val="singleLevel"/>
    <w:tmpl w:val="B8FD791A"/>
    <w:lvl w:ilvl="0" w:tentative="0">
      <w:start w:val="1"/>
      <w:numFmt w:val="chineseCounting"/>
      <w:suff w:val="nothing"/>
      <w:lvlText w:val="%1、"/>
      <w:lvlJc w:val="left"/>
      <w:rPr>
        <w:rFonts w:hint="eastAsia"/>
      </w:rPr>
    </w:lvl>
  </w:abstractNum>
  <w:abstractNum w:abstractNumId="2">
    <w:nsid w:val="15E5310A"/>
    <w:multiLevelType w:val="multilevel"/>
    <w:tmpl w:val="15E5310A"/>
    <w:lvl w:ilvl="0" w:tentative="0">
      <w:start w:val="1"/>
      <w:numFmt w:val="chineseCountingThousand"/>
      <w:pStyle w:val="57"/>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F190929"/>
    <w:multiLevelType w:val="singleLevel"/>
    <w:tmpl w:val="2F190929"/>
    <w:lvl w:ilvl="0" w:tentative="0">
      <w:start w:val="2"/>
      <w:numFmt w:val="decimal"/>
      <w:lvlText w:val="%1."/>
      <w:lvlJc w:val="left"/>
      <w:pPr>
        <w:tabs>
          <w:tab w:val="left" w:pos="312"/>
        </w:tabs>
      </w:pPr>
    </w:lvl>
  </w:abstractNum>
  <w:abstractNum w:abstractNumId="4">
    <w:nsid w:val="75DB61E8"/>
    <w:multiLevelType w:val="singleLevel"/>
    <w:tmpl w:val="75DB61E8"/>
    <w:lvl w:ilvl="0" w:tentative="0">
      <w:start w:val="17"/>
      <w:numFmt w:val="chineseCounting"/>
      <w:suff w:val="space"/>
      <w:lvlText w:val="第%1条"/>
      <w:lvlJc w:val="left"/>
      <w:rPr>
        <w:rFonts w:hint="eastAsia"/>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1D2081"/>
    <w:rsid w:val="000222CC"/>
    <w:rsid w:val="0002767B"/>
    <w:rsid w:val="000313FB"/>
    <w:rsid w:val="00042587"/>
    <w:rsid w:val="00042B20"/>
    <w:rsid w:val="0004334A"/>
    <w:rsid w:val="00047F0C"/>
    <w:rsid w:val="000533A3"/>
    <w:rsid w:val="00074C00"/>
    <w:rsid w:val="00077AAA"/>
    <w:rsid w:val="000836CD"/>
    <w:rsid w:val="00083F47"/>
    <w:rsid w:val="0009006A"/>
    <w:rsid w:val="0009583E"/>
    <w:rsid w:val="000A2ADD"/>
    <w:rsid w:val="000A6FD9"/>
    <w:rsid w:val="000B2186"/>
    <w:rsid w:val="000B40F0"/>
    <w:rsid w:val="000B6192"/>
    <w:rsid w:val="000C16F8"/>
    <w:rsid w:val="000E39CE"/>
    <w:rsid w:val="000E7720"/>
    <w:rsid w:val="0010174A"/>
    <w:rsid w:val="001068DD"/>
    <w:rsid w:val="00115151"/>
    <w:rsid w:val="001200CA"/>
    <w:rsid w:val="00130D32"/>
    <w:rsid w:val="00131B2A"/>
    <w:rsid w:val="00155E09"/>
    <w:rsid w:val="00166EF2"/>
    <w:rsid w:val="0017272A"/>
    <w:rsid w:val="001777FC"/>
    <w:rsid w:val="001A283E"/>
    <w:rsid w:val="001B19E7"/>
    <w:rsid w:val="001B3AE7"/>
    <w:rsid w:val="001B6FAB"/>
    <w:rsid w:val="001C61EC"/>
    <w:rsid w:val="001D2081"/>
    <w:rsid w:val="001E2018"/>
    <w:rsid w:val="001E3206"/>
    <w:rsid w:val="001F4EB7"/>
    <w:rsid w:val="00217004"/>
    <w:rsid w:val="00236162"/>
    <w:rsid w:val="00236483"/>
    <w:rsid w:val="002423E3"/>
    <w:rsid w:val="00244AF1"/>
    <w:rsid w:val="00246B7E"/>
    <w:rsid w:val="002556EA"/>
    <w:rsid w:val="0026322A"/>
    <w:rsid w:val="0026378B"/>
    <w:rsid w:val="00273ABB"/>
    <w:rsid w:val="002770D2"/>
    <w:rsid w:val="00281529"/>
    <w:rsid w:val="002822D8"/>
    <w:rsid w:val="002867C4"/>
    <w:rsid w:val="002934AD"/>
    <w:rsid w:val="002940CD"/>
    <w:rsid w:val="00294DB2"/>
    <w:rsid w:val="00297BFC"/>
    <w:rsid w:val="002A4D97"/>
    <w:rsid w:val="002B1B06"/>
    <w:rsid w:val="002B3574"/>
    <w:rsid w:val="002B3F84"/>
    <w:rsid w:val="002C7F59"/>
    <w:rsid w:val="002D1FC8"/>
    <w:rsid w:val="002E0389"/>
    <w:rsid w:val="002F1BC7"/>
    <w:rsid w:val="003005F4"/>
    <w:rsid w:val="003016E6"/>
    <w:rsid w:val="00321C71"/>
    <w:rsid w:val="003223F5"/>
    <w:rsid w:val="00332817"/>
    <w:rsid w:val="003419F8"/>
    <w:rsid w:val="00346025"/>
    <w:rsid w:val="0035220F"/>
    <w:rsid w:val="00367AE0"/>
    <w:rsid w:val="00370ECD"/>
    <w:rsid w:val="003733BA"/>
    <w:rsid w:val="00391F17"/>
    <w:rsid w:val="003B021D"/>
    <w:rsid w:val="003B0BBC"/>
    <w:rsid w:val="003B7D2A"/>
    <w:rsid w:val="003C2F6E"/>
    <w:rsid w:val="003E12EB"/>
    <w:rsid w:val="0040196A"/>
    <w:rsid w:val="00403BA6"/>
    <w:rsid w:val="00406A09"/>
    <w:rsid w:val="00410AF4"/>
    <w:rsid w:val="00415472"/>
    <w:rsid w:val="004374DA"/>
    <w:rsid w:val="00455D0F"/>
    <w:rsid w:val="00460C1B"/>
    <w:rsid w:val="00462B43"/>
    <w:rsid w:val="00495EF5"/>
    <w:rsid w:val="00497498"/>
    <w:rsid w:val="004A1277"/>
    <w:rsid w:val="004A413D"/>
    <w:rsid w:val="004D1558"/>
    <w:rsid w:val="004E0E23"/>
    <w:rsid w:val="004F2D0C"/>
    <w:rsid w:val="005024A9"/>
    <w:rsid w:val="00503191"/>
    <w:rsid w:val="00515300"/>
    <w:rsid w:val="005179D5"/>
    <w:rsid w:val="00521640"/>
    <w:rsid w:val="0053186B"/>
    <w:rsid w:val="0054124E"/>
    <w:rsid w:val="00543AB5"/>
    <w:rsid w:val="005574B3"/>
    <w:rsid w:val="005616D0"/>
    <w:rsid w:val="00582B71"/>
    <w:rsid w:val="005A1B2D"/>
    <w:rsid w:val="005A2907"/>
    <w:rsid w:val="005A46A3"/>
    <w:rsid w:val="005A4723"/>
    <w:rsid w:val="005B46EE"/>
    <w:rsid w:val="005E3095"/>
    <w:rsid w:val="005E400E"/>
    <w:rsid w:val="005F2442"/>
    <w:rsid w:val="005F545C"/>
    <w:rsid w:val="00605B64"/>
    <w:rsid w:val="00611ECF"/>
    <w:rsid w:val="00612426"/>
    <w:rsid w:val="00613045"/>
    <w:rsid w:val="006165B6"/>
    <w:rsid w:val="00623411"/>
    <w:rsid w:val="00636A3B"/>
    <w:rsid w:val="006379BA"/>
    <w:rsid w:val="00650158"/>
    <w:rsid w:val="006549AE"/>
    <w:rsid w:val="00666869"/>
    <w:rsid w:val="006710BA"/>
    <w:rsid w:val="00677E5B"/>
    <w:rsid w:val="006828C0"/>
    <w:rsid w:val="00683255"/>
    <w:rsid w:val="00683B0C"/>
    <w:rsid w:val="0069034D"/>
    <w:rsid w:val="006909F1"/>
    <w:rsid w:val="00694C37"/>
    <w:rsid w:val="006A4662"/>
    <w:rsid w:val="006B59D9"/>
    <w:rsid w:val="006B7A65"/>
    <w:rsid w:val="006C5FFE"/>
    <w:rsid w:val="006C7D82"/>
    <w:rsid w:val="006D34B8"/>
    <w:rsid w:val="006D7304"/>
    <w:rsid w:val="006E59C4"/>
    <w:rsid w:val="006E6BFF"/>
    <w:rsid w:val="00704543"/>
    <w:rsid w:val="007137D6"/>
    <w:rsid w:val="00726CB6"/>
    <w:rsid w:val="00737F91"/>
    <w:rsid w:val="007462AD"/>
    <w:rsid w:val="00750E64"/>
    <w:rsid w:val="00752B77"/>
    <w:rsid w:val="007531BE"/>
    <w:rsid w:val="00755375"/>
    <w:rsid w:val="00765747"/>
    <w:rsid w:val="0077400D"/>
    <w:rsid w:val="00775BAC"/>
    <w:rsid w:val="0077663D"/>
    <w:rsid w:val="00787EEE"/>
    <w:rsid w:val="007A0443"/>
    <w:rsid w:val="007A0E1B"/>
    <w:rsid w:val="007A7ACA"/>
    <w:rsid w:val="007B4E74"/>
    <w:rsid w:val="007D66C3"/>
    <w:rsid w:val="007E4194"/>
    <w:rsid w:val="007F120D"/>
    <w:rsid w:val="007F15E5"/>
    <w:rsid w:val="007F1E8B"/>
    <w:rsid w:val="007F3633"/>
    <w:rsid w:val="00800A0C"/>
    <w:rsid w:val="00817965"/>
    <w:rsid w:val="00833D73"/>
    <w:rsid w:val="00850233"/>
    <w:rsid w:val="00853511"/>
    <w:rsid w:val="00874C4E"/>
    <w:rsid w:val="00880D5A"/>
    <w:rsid w:val="008875A0"/>
    <w:rsid w:val="008909C4"/>
    <w:rsid w:val="008A305E"/>
    <w:rsid w:val="008C638D"/>
    <w:rsid w:val="008E4337"/>
    <w:rsid w:val="008F1B1E"/>
    <w:rsid w:val="008F4DB1"/>
    <w:rsid w:val="008F5E9F"/>
    <w:rsid w:val="0090021E"/>
    <w:rsid w:val="00904A52"/>
    <w:rsid w:val="009122EC"/>
    <w:rsid w:val="009141BF"/>
    <w:rsid w:val="009250A5"/>
    <w:rsid w:val="00943752"/>
    <w:rsid w:val="009466C2"/>
    <w:rsid w:val="009475BE"/>
    <w:rsid w:val="00956BBC"/>
    <w:rsid w:val="0097004B"/>
    <w:rsid w:val="009834B2"/>
    <w:rsid w:val="0098556E"/>
    <w:rsid w:val="00996705"/>
    <w:rsid w:val="009A762C"/>
    <w:rsid w:val="009B4472"/>
    <w:rsid w:val="009C5CC0"/>
    <w:rsid w:val="009C7E7F"/>
    <w:rsid w:val="009D480A"/>
    <w:rsid w:val="009E161C"/>
    <w:rsid w:val="009F470A"/>
    <w:rsid w:val="00A01423"/>
    <w:rsid w:val="00A06E86"/>
    <w:rsid w:val="00A10A1B"/>
    <w:rsid w:val="00A10F61"/>
    <w:rsid w:val="00A17496"/>
    <w:rsid w:val="00A25B88"/>
    <w:rsid w:val="00A32424"/>
    <w:rsid w:val="00A33DB2"/>
    <w:rsid w:val="00A43B9B"/>
    <w:rsid w:val="00A468A5"/>
    <w:rsid w:val="00A74F42"/>
    <w:rsid w:val="00AA57DF"/>
    <w:rsid w:val="00AC1106"/>
    <w:rsid w:val="00AC7AC7"/>
    <w:rsid w:val="00AD1CC7"/>
    <w:rsid w:val="00AE1CDE"/>
    <w:rsid w:val="00AE585B"/>
    <w:rsid w:val="00AF17C7"/>
    <w:rsid w:val="00AF3430"/>
    <w:rsid w:val="00AF348F"/>
    <w:rsid w:val="00B150FF"/>
    <w:rsid w:val="00B20A95"/>
    <w:rsid w:val="00B23174"/>
    <w:rsid w:val="00B301CB"/>
    <w:rsid w:val="00B314F4"/>
    <w:rsid w:val="00B37C83"/>
    <w:rsid w:val="00B74246"/>
    <w:rsid w:val="00B82844"/>
    <w:rsid w:val="00B8323A"/>
    <w:rsid w:val="00B85C64"/>
    <w:rsid w:val="00B94880"/>
    <w:rsid w:val="00BA4A3D"/>
    <w:rsid w:val="00BB2383"/>
    <w:rsid w:val="00BB2B09"/>
    <w:rsid w:val="00BC5252"/>
    <w:rsid w:val="00BD12B7"/>
    <w:rsid w:val="00BD3C7A"/>
    <w:rsid w:val="00BD6330"/>
    <w:rsid w:val="00BE3FC2"/>
    <w:rsid w:val="00BF37C1"/>
    <w:rsid w:val="00BF54AF"/>
    <w:rsid w:val="00C016AD"/>
    <w:rsid w:val="00C05C2E"/>
    <w:rsid w:val="00C14183"/>
    <w:rsid w:val="00C1504B"/>
    <w:rsid w:val="00C247B6"/>
    <w:rsid w:val="00C302EB"/>
    <w:rsid w:val="00C31819"/>
    <w:rsid w:val="00C32DAF"/>
    <w:rsid w:val="00C368E2"/>
    <w:rsid w:val="00C410DB"/>
    <w:rsid w:val="00C52F74"/>
    <w:rsid w:val="00C53E5C"/>
    <w:rsid w:val="00C649C9"/>
    <w:rsid w:val="00C67647"/>
    <w:rsid w:val="00C732D2"/>
    <w:rsid w:val="00C755EF"/>
    <w:rsid w:val="00C81868"/>
    <w:rsid w:val="00C84FBA"/>
    <w:rsid w:val="00C95512"/>
    <w:rsid w:val="00CA3932"/>
    <w:rsid w:val="00CC09C9"/>
    <w:rsid w:val="00CD2A45"/>
    <w:rsid w:val="00CD5B49"/>
    <w:rsid w:val="00CE1709"/>
    <w:rsid w:val="00CF0361"/>
    <w:rsid w:val="00CF2004"/>
    <w:rsid w:val="00CF4A2E"/>
    <w:rsid w:val="00D04572"/>
    <w:rsid w:val="00D04D11"/>
    <w:rsid w:val="00D06A8A"/>
    <w:rsid w:val="00D16AAF"/>
    <w:rsid w:val="00D21401"/>
    <w:rsid w:val="00D26B97"/>
    <w:rsid w:val="00D43761"/>
    <w:rsid w:val="00D453CB"/>
    <w:rsid w:val="00D50CC6"/>
    <w:rsid w:val="00D545C9"/>
    <w:rsid w:val="00D761B0"/>
    <w:rsid w:val="00D77F3F"/>
    <w:rsid w:val="00D92D48"/>
    <w:rsid w:val="00DA42F2"/>
    <w:rsid w:val="00DA7E71"/>
    <w:rsid w:val="00DB3494"/>
    <w:rsid w:val="00DB4A43"/>
    <w:rsid w:val="00DC23A5"/>
    <w:rsid w:val="00DC5A66"/>
    <w:rsid w:val="00DC62F8"/>
    <w:rsid w:val="00DE759F"/>
    <w:rsid w:val="00E13F91"/>
    <w:rsid w:val="00E24286"/>
    <w:rsid w:val="00E35EA9"/>
    <w:rsid w:val="00E37795"/>
    <w:rsid w:val="00E6574F"/>
    <w:rsid w:val="00E671B3"/>
    <w:rsid w:val="00E721E3"/>
    <w:rsid w:val="00E730DF"/>
    <w:rsid w:val="00E7674D"/>
    <w:rsid w:val="00EB0CCE"/>
    <w:rsid w:val="00EB6B8F"/>
    <w:rsid w:val="00EB7657"/>
    <w:rsid w:val="00EC41C8"/>
    <w:rsid w:val="00EC6C7F"/>
    <w:rsid w:val="00ED2C87"/>
    <w:rsid w:val="00EE5DAE"/>
    <w:rsid w:val="00EF0EB1"/>
    <w:rsid w:val="00F129E3"/>
    <w:rsid w:val="00F25590"/>
    <w:rsid w:val="00F37E7B"/>
    <w:rsid w:val="00F638CE"/>
    <w:rsid w:val="00F66552"/>
    <w:rsid w:val="00F73BDF"/>
    <w:rsid w:val="00F749AA"/>
    <w:rsid w:val="00F77620"/>
    <w:rsid w:val="00F839B2"/>
    <w:rsid w:val="00F84A8D"/>
    <w:rsid w:val="00FA4DEB"/>
    <w:rsid w:val="00FB0BAC"/>
    <w:rsid w:val="00FB6FF6"/>
    <w:rsid w:val="00FD3D17"/>
    <w:rsid w:val="00FD5E55"/>
    <w:rsid w:val="00FE19A1"/>
    <w:rsid w:val="00FF3177"/>
    <w:rsid w:val="00FF65A0"/>
    <w:rsid w:val="00FF7708"/>
    <w:rsid w:val="02753739"/>
    <w:rsid w:val="04E065B4"/>
    <w:rsid w:val="06220667"/>
    <w:rsid w:val="06814816"/>
    <w:rsid w:val="07875544"/>
    <w:rsid w:val="0A534807"/>
    <w:rsid w:val="166C5148"/>
    <w:rsid w:val="18A45264"/>
    <w:rsid w:val="1B4641B9"/>
    <w:rsid w:val="1D091942"/>
    <w:rsid w:val="224D673B"/>
    <w:rsid w:val="2DEB107B"/>
    <w:rsid w:val="318A0A94"/>
    <w:rsid w:val="33EF3803"/>
    <w:rsid w:val="35380917"/>
    <w:rsid w:val="36707454"/>
    <w:rsid w:val="37737DD5"/>
    <w:rsid w:val="3AAA152C"/>
    <w:rsid w:val="3AD46C94"/>
    <w:rsid w:val="3F46487E"/>
    <w:rsid w:val="41E2613A"/>
    <w:rsid w:val="46982FF8"/>
    <w:rsid w:val="48E332D4"/>
    <w:rsid w:val="4A0A26D2"/>
    <w:rsid w:val="4A146D4F"/>
    <w:rsid w:val="4A6D7A89"/>
    <w:rsid w:val="50404DCD"/>
    <w:rsid w:val="532F6D06"/>
    <w:rsid w:val="540B32CF"/>
    <w:rsid w:val="55075F26"/>
    <w:rsid w:val="56951575"/>
    <w:rsid w:val="56BA23F1"/>
    <w:rsid w:val="56E4733A"/>
    <w:rsid w:val="587E6D3D"/>
    <w:rsid w:val="58AC4F0E"/>
    <w:rsid w:val="5FFB3566"/>
    <w:rsid w:val="679B09B6"/>
    <w:rsid w:val="6878511A"/>
    <w:rsid w:val="6A141F06"/>
    <w:rsid w:val="6EA5451D"/>
    <w:rsid w:val="73D8121A"/>
    <w:rsid w:val="75B3511C"/>
    <w:rsid w:val="77224C3E"/>
    <w:rsid w:val="78EE3D36"/>
    <w:rsid w:val="79AB08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qFormat="1" w:uiPriority="0" w:name="Normal Indent"/>
    <w:lsdException w:qFormat="1" w:uiPriority="99" w:name="footnote text"/>
    <w:lsdException w:uiPriority="0" w:name="annotation text"/>
    <w:lsdException w:qFormat="1" w:uiPriority="0"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qFormat="1" w:uiPriority="99"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iPriority="0" w:name="Date"/>
    <w:lsdException w:uiPriority="0" w:name="Body Text First Indent"/>
    <w:lsdException w:qFormat="1"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paragraph" w:styleId="3">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4"/>
    <w:unhideWhenUsed/>
    <w:qFormat/>
    <w:uiPriority w:val="9"/>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99"/>
    <w:pPr>
      <w:keepNext/>
      <w:keepLines/>
      <w:widowControl w:val="0"/>
      <w:spacing w:before="260" w:after="260" w:line="412" w:lineRule="auto"/>
      <w:ind w:firstLine="49" w:firstLineChars="49"/>
      <w:outlineLvl w:val="2"/>
    </w:pPr>
    <w:rPr>
      <w:rFonts w:ascii="黑体" w:hAnsi="Calibri" w:eastAsia="黑体"/>
      <w:sz w:val="28"/>
      <w:szCs w:val="20"/>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40"/>
    <w:qFormat/>
    <w:uiPriority w:val="0"/>
    <w:pPr>
      <w:spacing w:line="0" w:lineRule="atLeast"/>
    </w:pPr>
    <w:rPr>
      <w:rFonts w:ascii="Times New Roman" w:hAnsi="Times New Roman" w:cs="Times New Roman"/>
      <w:sz w:val="30"/>
      <w:szCs w:val="20"/>
    </w:rPr>
  </w:style>
  <w:style w:type="paragraph" w:styleId="6">
    <w:name w:val="Normal Indent"/>
    <w:basedOn w:val="1"/>
    <w:semiHidden/>
    <w:unhideWhenUsed/>
    <w:qFormat/>
    <w:uiPriority w:val="0"/>
    <w:pPr>
      <w:ind w:firstLine="420" w:firstLineChars="200"/>
    </w:pPr>
  </w:style>
  <w:style w:type="paragraph" w:styleId="7">
    <w:name w:val="index 5"/>
    <w:basedOn w:val="1"/>
    <w:next w:val="1"/>
    <w:qFormat/>
    <w:uiPriority w:val="0"/>
    <w:pPr>
      <w:adjustRightInd w:val="0"/>
      <w:snapToGrid w:val="0"/>
      <w:spacing w:line="360" w:lineRule="auto"/>
      <w:jc w:val="center"/>
    </w:pPr>
    <w:rPr>
      <w:rFonts w:ascii="宋体" w:hAnsi="宋体" w:cs="宋体"/>
      <w:bCs/>
      <w:kern w:val="0"/>
    </w:rPr>
  </w:style>
  <w:style w:type="paragraph" w:styleId="8">
    <w:name w:val="Body Text Indent"/>
    <w:basedOn w:val="1"/>
    <w:next w:val="1"/>
    <w:link w:val="47"/>
    <w:unhideWhenUsed/>
    <w:qFormat/>
    <w:uiPriority w:val="0"/>
    <w:pPr>
      <w:spacing w:after="120"/>
      <w:ind w:left="420" w:leftChars="200"/>
    </w:pPr>
  </w:style>
  <w:style w:type="paragraph" w:styleId="9">
    <w:name w:val="toc 5"/>
    <w:basedOn w:val="1"/>
    <w:next w:val="1"/>
    <w:qFormat/>
    <w:uiPriority w:val="0"/>
    <w:pPr>
      <w:ind w:left="1760"/>
      <w:jc w:val="left"/>
    </w:pPr>
    <w:rPr>
      <w:szCs w:val="21"/>
    </w:rPr>
  </w:style>
  <w:style w:type="paragraph" w:styleId="10">
    <w:name w:val="Plain Text"/>
    <w:basedOn w:val="1"/>
    <w:next w:val="1"/>
    <w:link w:val="35"/>
    <w:qFormat/>
    <w:uiPriority w:val="0"/>
    <w:rPr>
      <w:rFonts w:ascii="宋体" w:hAnsi="Courier New"/>
    </w:rPr>
  </w:style>
  <w:style w:type="paragraph" w:styleId="11">
    <w:name w:val="Date"/>
    <w:basedOn w:val="1"/>
    <w:next w:val="1"/>
    <w:link w:val="45"/>
    <w:semiHidden/>
    <w:unhideWhenUsed/>
    <w:qFormat/>
    <w:uiPriority w:val="0"/>
    <w:pPr>
      <w:ind w:left="100" w:leftChars="2500"/>
    </w:pPr>
  </w:style>
  <w:style w:type="paragraph" w:styleId="12">
    <w:name w:val="Balloon Text"/>
    <w:basedOn w:val="1"/>
    <w:link w:val="41"/>
    <w:semiHidden/>
    <w:unhideWhenUsed/>
    <w:qFormat/>
    <w:uiPriority w:val="99"/>
    <w:rPr>
      <w:sz w:val="18"/>
      <w:szCs w:val="18"/>
    </w:rPr>
  </w:style>
  <w:style w:type="paragraph" w:styleId="13">
    <w:name w:val="footer"/>
    <w:basedOn w:val="1"/>
    <w:link w:val="33"/>
    <w:unhideWhenUsed/>
    <w:qFormat/>
    <w:uiPriority w:val="99"/>
    <w:pPr>
      <w:tabs>
        <w:tab w:val="center" w:pos="4153"/>
        <w:tab w:val="right" w:pos="8306"/>
      </w:tabs>
      <w:snapToGrid w:val="0"/>
      <w:jc w:val="left"/>
    </w:pPr>
    <w:rPr>
      <w:sz w:val="18"/>
      <w:szCs w:val="18"/>
    </w:rPr>
  </w:style>
  <w:style w:type="paragraph" w:styleId="14">
    <w:name w:val="header"/>
    <w:basedOn w:val="1"/>
    <w:link w:val="32"/>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tabs>
        <w:tab w:val="right" w:leader="dot" w:pos="8296"/>
      </w:tabs>
      <w:jc w:val="left"/>
    </w:pPr>
  </w:style>
  <w:style w:type="paragraph" w:styleId="16">
    <w:name w:val="Subtitle"/>
    <w:basedOn w:val="1"/>
    <w:next w:val="1"/>
    <w:link w:val="31"/>
    <w:qFormat/>
    <w:uiPriority w:val="11"/>
    <w:pPr>
      <w:spacing w:before="240" w:after="60" w:line="312" w:lineRule="auto"/>
      <w:jc w:val="center"/>
      <w:outlineLvl w:val="1"/>
    </w:pPr>
    <w:rPr>
      <w:rFonts w:ascii="Cambria" w:hAnsi="Cambria"/>
      <w:b/>
      <w:bCs/>
      <w:kern w:val="28"/>
      <w:sz w:val="32"/>
      <w:szCs w:val="32"/>
    </w:rPr>
  </w:style>
  <w:style w:type="paragraph" w:styleId="17">
    <w:name w:val="footnote text"/>
    <w:basedOn w:val="1"/>
    <w:link w:val="49"/>
    <w:semiHidden/>
    <w:unhideWhenUsed/>
    <w:qFormat/>
    <w:uiPriority w:val="99"/>
    <w:pPr>
      <w:snapToGrid w:val="0"/>
      <w:jc w:val="left"/>
    </w:pPr>
    <w:rPr>
      <w:rFonts w:asciiTheme="minorHAnsi" w:hAnsiTheme="minorHAnsi" w:eastAsiaTheme="minorEastAsia" w:cstheme="minorBidi"/>
      <w:sz w:val="18"/>
      <w:szCs w:val="18"/>
    </w:rPr>
  </w:style>
  <w:style w:type="paragraph" w:styleId="18">
    <w:name w:val="toc 2"/>
    <w:basedOn w:val="1"/>
    <w:next w:val="1"/>
    <w:unhideWhenUsed/>
    <w:qFormat/>
    <w:uiPriority w:val="39"/>
    <w:pPr>
      <w:ind w:left="420" w:leftChars="200"/>
    </w:pPr>
  </w:style>
  <w:style w:type="paragraph" w:styleId="19">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20">
    <w:name w:val="Title"/>
    <w:basedOn w:val="1"/>
    <w:next w:val="1"/>
    <w:link w:val="37"/>
    <w:qFormat/>
    <w:uiPriority w:val="0"/>
    <w:pPr>
      <w:widowControl/>
      <w:spacing w:before="240" w:after="60"/>
      <w:jc w:val="center"/>
      <w:outlineLvl w:val="0"/>
    </w:pPr>
    <w:rPr>
      <w:rFonts w:ascii="Arial" w:hAnsi="Arial" w:cs="Arial"/>
      <w:b/>
      <w:bCs/>
      <w:sz w:val="44"/>
      <w:szCs w:val="32"/>
    </w:rPr>
  </w:style>
  <w:style w:type="paragraph" w:styleId="21">
    <w:name w:val="Body Text First Indent 2"/>
    <w:basedOn w:val="8"/>
    <w:next w:val="1"/>
    <w:link w:val="48"/>
    <w:semiHidden/>
    <w:unhideWhenUsed/>
    <w:qFormat/>
    <w:uiPriority w:val="0"/>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qFormat/>
    <w:uiPriority w:val="22"/>
    <w:rPr>
      <w:b/>
      <w:bCs/>
    </w:rPr>
  </w:style>
  <w:style w:type="character" w:styleId="26">
    <w:name w:val="Hyperlink"/>
    <w:unhideWhenUsed/>
    <w:qFormat/>
    <w:uiPriority w:val="99"/>
    <w:rPr>
      <w:color w:val="0000FF"/>
      <w:u w:val="single"/>
    </w:rPr>
  </w:style>
  <w:style w:type="character" w:styleId="27">
    <w:name w:val="footnote reference"/>
    <w:basedOn w:val="24"/>
    <w:semiHidden/>
    <w:unhideWhenUsed/>
    <w:qFormat/>
    <w:uiPriority w:val="99"/>
    <w:rPr>
      <w:vertAlign w:val="superscript"/>
    </w:rPr>
  </w:style>
  <w:style w:type="paragraph" w:customStyle="1" w:styleId="28">
    <w:name w:val="TOC 标题1"/>
    <w:basedOn w:val="3"/>
    <w:next w:val="1"/>
    <w:unhideWhenUsed/>
    <w:qFormat/>
    <w:uiPriority w:val="39"/>
    <w:pPr>
      <w:widowControl/>
      <w:spacing w:before="480" w:after="0" w:line="276" w:lineRule="auto"/>
      <w:jc w:val="left"/>
      <w:outlineLvl w:val="9"/>
    </w:pPr>
    <w:rPr>
      <w:rFonts w:ascii="Cambria" w:hAnsi="Cambria"/>
      <w:color w:val="365F90"/>
      <w:kern w:val="0"/>
      <w:sz w:val="28"/>
      <w:szCs w:val="28"/>
    </w:rPr>
  </w:style>
  <w:style w:type="paragraph" w:customStyle="1" w:styleId="29">
    <w:name w:val="无间隔1"/>
    <w:link w:val="42"/>
    <w:qFormat/>
    <w:uiPriority w:val="1"/>
    <w:rPr>
      <w:rFonts w:ascii="Calibri" w:hAnsi="Calibri" w:eastAsia="宋体" w:cs="黑体"/>
      <w:sz w:val="22"/>
      <w:szCs w:val="22"/>
      <w:lang w:val="en-US" w:eastAsia="zh-CN" w:bidi="ar-SA"/>
    </w:rPr>
  </w:style>
  <w:style w:type="character" w:customStyle="1" w:styleId="30">
    <w:name w:val="标题 1 Char"/>
    <w:link w:val="3"/>
    <w:qFormat/>
    <w:uiPriority w:val="9"/>
    <w:rPr>
      <w:b/>
      <w:bCs/>
      <w:kern w:val="44"/>
      <w:sz w:val="44"/>
      <w:szCs w:val="44"/>
    </w:rPr>
  </w:style>
  <w:style w:type="character" w:customStyle="1" w:styleId="31">
    <w:name w:val="副标题 Char"/>
    <w:link w:val="16"/>
    <w:qFormat/>
    <w:uiPriority w:val="11"/>
    <w:rPr>
      <w:rFonts w:ascii="Cambria" w:hAnsi="Cambria" w:eastAsia="宋体" w:cs="黑体"/>
      <w:b/>
      <w:bCs/>
      <w:kern w:val="28"/>
      <w:sz w:val="32"/>
      <w:szCs w:val="32"/>
    </w:rPr>
  </w:style>
  <w:style w:type="character" w:customStyle="1" w:styleId="32">
    <w:name w:val="页眉 Char"/>
    <w:link w:val="14"/>
    <w:qFormat/>
    <w:uiPriority w:val="0"/>
    <w:rPr>
      <w:sz w:val="18"/>
      <w:szCs w:val="18"/>
    </w:rPr>
  </w:style>
  <w:style w:type="character" w:customStyle="1" w:styleId="33">
    <w:name w:val="页脚 Char"/>
    <w:link w:val="13"/>
    <w:qFormat/>
    <w:uiPriority w:val="99"/>
    <w:rPr>
      <w:sz w:val="18"/>
      <w:szCs w:val="18"/>
    </w:rPr>
  </w:style>
  <w:style w:type="character" w:customStyle="1" w:styleId="34">
    <w:name w:val="标题 2 Char"/>
    <w:link w:val="4"/>
    <w:qFormat/>
    <w:uiPriority w:val="9"/>
    <w:rPr>
      <w:rFonts w:ascii="Cambria" w:hAnsi="Cambria" w:eastAsia="宋体" w:cs="黑体"/>
      <w:b/>
      <w:bCs/>
      <w:sz w:val="32"/>
      <w:szCs w:val="32"/>
    </w:rPr>
  </w:style>
  <w:style w:type="character" w:customStyle="1" w:styleId="35">
    <w:name w:val="纯文本 Char"/>
    <w:link w:val="10"/>
    <w:qFormat/>
    <w:uiPriority w:val="0"/>
    <w:rPr>
      <w:rFonts w:ascii="宋体" w:hAnsi="Courier New" w:eastAsia="宋体"/>
    </w:rPr>
  </w:style>
  <w:style w:type="character" w:customStyle="1" w:styleId="36">
    <w:name w:val="纯文本 Char1"/>
    <w:qFormat/>
    <w:uiPriority w:val="99"/>
    <w:rPr>
      <w:rFonts w:ascii="宋体" w:hAnsi="Courier New" w:eastAsia="宋体" w:cs="Courier New"/>
      <w:szCs w:val="21"/>
    </w:rPr>
  </w:style>
  <w:style w:type="character" w:customStyle="1" w:styleId="37">
    <w:name w:val="标题 Char"/>
    <w:link w:val="20"/>
    <w:qFormat/>
    <w:uiPriority w:val="0"/>
    <w:rPr>
      <w:rFonts w:ascii="Arial" w:hAnsi="Arial" w:eastAsia="宋体" w:cs="Arial"/>
      <w:b/>
      <w:bCs/>
      <w:sz w:val="44"/>
      <w:szCs w:val="32"/>
    </w:rPr>
  </w:style>
  <w:style w:type="character" w:customStyle="1" w:styleId="38">
    <w:name w:val="标题 Char1"/>
    <w:qFormat/>
    <w:uiPriority w:val="10"/>
    <w:rPr>
      <w:rFonts w:ascii="Cambria" w:hAnsi="Cambria" w:eastAsia="宋体" w:cs="黑体"/>
      <w:b/>
      <w:bCs/>
      <w:sz w:val="32"/>
      <w:szCs w:val="32"/>
    </w:rPr>
  </w:style>
  <w:style w:type="character" w:customStyle="1" w:styleId="39">
    <w:name w:val="正文文本 Char Char"/>
    <w:basedOn w:val="24"/>
    <w:qFormat/>
    <w:uiPriority w:val="99"/>
  </w:style>
  <w:style w:type="character" w:customStyle="1" w:styleId="40">
    <w:name w:val="正文文本 Char"/>
    <w:link w:val="2"/>
    <w:qFormat/>
    <w:uiPriority w:val="0"/>
    <w:rPr>
      <w:rFonts w:ascii="Times New Roman" w:hAnsi="Times New Roman" w:eastAsia="宋体" w:cs="Times New Roman"/>
      <w:sz w:val="30"/>
      <w:szCs w:val="20"/>
    </w:rPr>
  </w:style>
  <w:style w:type="character" w:customStyle="1" w:styleId="41">
    <w:name w:val="批注框文本 Char"/>
    <w:link w:val="12"/>
    <w:qFormat/>
    <w:uiPriority w:val="99"/>
    <w:rPr>
      <w:sz w:val="18"/>
      <w:szCs w:val="18"/>
    </w:rPr>
  </w:style>
  <w:style w:type="character" w:customStyle="1" w:styleId="42">
    <w:name w:val="无间隔 Char"/>
    <w:link w:val="29"/>
    <w:qFormat/>
    <w:uiPriority w:val="1"/>
    <w:rPr>
      <w:kern w:val="0"/>
      <w:sz w:val="22"/>
    </w:rPr>
  </w:style>
  <w:style w:type="paragraph" w:customStyle="1" w:styleId="43">
    <w:name w:val="样式 标题 2 + Times New Roman 四号 非加粗 段前: 5 磅 段后: 0 磅 行距: 固定值 20..."/>
    <w:basedOn w:val="4"/>
    <w:next w:val="1"/>
    <w:qFormat/>
    <w:uiPriority w:val="0"/>
    <w:pPr>
      <w:spacing w:before="100" w:after="0" w:line="400" w:lineRule="exact"/>
    </w:pPr>
    <w:rPr>
      <w:rFonts w:ascii="Times New Roman" w:hAnsi="Times New Roman" w:eastAsia="黑体" w:cs="宋体"/>
      <w:b w:val="0"/>
      <w:bCs w:val="0"/>
      <w:sz w:val="28"/>
      <w:szCs w:val="20"/>
    </w:rPr>
  </w:style>
  <w:style w:type="paragraph" w:customStyle="1" w:styleId="44">
    <w:name w:val="样式 正文（首行缩进两字） + 宋体 小四"/>
    <w:basedOn w:val="6"/>
    <w:qFormat/>
    <w:uiPriority w:val="0"/>
    <w:pPr>
      <w:spacing w:line="100" w:lineRule="atLeast"/>
      <w:ind w:firstLine="614" w:firstLineChars="192"/>
      <w:jc w:val="left"/>
    </w:pPr>
    <w:rPr>
      <w:rFonts w:ascii="仿宋_GB2312" w:hAnsi="宋体" w:eastAsia="仿宋_GB2312" w:cs="Times New Roman"/>
      <w:sz w:val="32"/>
      <w:szCs w:val="20"/>
    </w:rPr>
  </w:style>
  <w:style w:type="character" w:customStyle="1" w:styleId="45">
    <w:name w:val="日期 Char"/>
    <w:basedOn w:val="24"/>
    <w:link w:val="11"/>
    <w:semiHidden/>
    <w:qFormat/>
    <w:uiPriority w:val="0"/>
    <w:rPr>
      <w:rFonts w:ascii="Calibri" w:hAnsi="Calibri" w:cs="黑体"/>
      <w:kern w:val="2"/>
      <w:sz w:val="21"/>
      <w:szCs w:val="22"/>
    </w:rPr>
  </w:style>
  <w:style w:type="paragraph" w:styleId="46">
    <w:name w:val="List Paragraph"/>
    <w:basedOn w:val="1"/>
    <w:unhideWhenUsed/>
    <w:qFormat/>
    <w:uiPriority w:val="99"/>
    <w:pPr>
      <w:ind w:firstLine="420" w:firstLineChars="200"/>
    </w:pPr>
  </w:style>
  <w:style w:type="character" w:customStyle="1" w:styleId="47">
    <w:name w:val="正文文本缩进 Char"/>
    <w:basedOn w:val="24"/>
    <w:link w:val="8"/>
    <w:qFormat/>
    <w:uiPriority w:val="0"/>
    <w:rPr>
      <w:rFonts w:ascii="Calibri" w:hAnsi="Calibri" w:cs="黑体"/>
      <w:kern w:val="2"/>
      <w:sz w:val="21"/>
      <w:szCs w:val="22"/>
    </w:rPr>
  </w:style>
  <w:style w:type="character" w:customStyle="1" w:styleId="48">
    <w:name w:val="正文首行缩进 2 Char"/>
    <w:basedOn w:val="47"/>
    <w:link w:val="21"/>
    <w:semiHidden/>
    <w:qFormat/>
    <w:uiPriority w:val="0"/>
  </w:style>
  <w:style w:type="character" w:customStyle="1" w:styleId="49">
    <w:name w:val="脚注文本 Char"/>
    <w:basedOn w:val="24"/>
    <w:link w:val="17"/>
    <w:semiHidden/>
    <w:qFormat/>
    <w:uiPriority w:val="99"/>
    <w:rPr>
      <w:rFonts w:asciiTheme="minorHAnsi" w:hAnsiTheme="minorHAnsi" w:eastAsiaTheme="minorEastAsia" w:cstheme="minorBidi"/>
      <w:kern w:val="2"/>
      <w:sz w:val="18"/>
      <w:szCs w:val="18"/>
    </w:rPr>
  </w:style>
  <w:style w:type="paragraph" w:customStyle="1" w:styleId="50">
    <w:name w:val="Table Text"/>
    <w:basedOn w:val="1"/>
    <w:semiHidden/>
    <w:qFormat/>
    <w:uiPriority w:val="0"/>
    <w:rPr>
      <w:rFonts w:ascii="宋体" w:hAnsi="宋体" w:eastAsia="宋体" w:cs="宋体"/>
      <w:sz w:val="22"/>
      <w:szCs w:val="22"/>
      <w:lang w:val="en-US" w:eastAsia="en-US" w:bidi="ar-SA"/>
    </w:rPr>
  </w:style>
  <w:style w:type="table" w:customStyle="1" w:styleId="51">
    <w:name w:val="Table Normal"/>
    <w:semiHidden/>
    <w:unhideWhenUsed/>
    <w:qFormat/>
    <w:uiPriority w:val="0"/>
    <w:tblPr>
      <w:tblCellMar>
        <w:top w:w="0" w:type="dxa"/>
        <w:left w:w="0" w:type="dxa"/>
        <w:bottom w:w="0" w:type="dxa"/>
        <w:right w:w="0" w:type="dxa"/>
      </w:tblCellMar>
    </w:tblPr>
  </w:style>
  <w:style w:type="paragraph" w:customStyle="1" w:styleId="52">
    <w:name w:val="p0"/>
    <w:basedOn w:val="1"/>
    <w:qFormat/>
    <w:uiPriority w:val="0"/>
    <w:pPr>
      <w:widowControl/>
    </w:pPr>
    <w:rPr>
      <w:kern w:val="0"/>
      <w:szCs w:val="21"/>
    </w:rPr>
  </w:style>
  <w:style w:type="paragraph" w:customStyle="1" w:styleId="53">
    <w:name w:val="样式 正文11 + 首行缩进:  2 字符"/>
    <w:basedOn w:val="1"/>
    <w:qFormat/>
    <w:uiPriority w:val="0"/>
    <w:pPr>
      <w:ind w:firstLine="560"/>
    </w:pPr>
    <w:rPr>
      <w:rFonts w:ascii="宋体" w:hAnsi="宋体" w:eastAsia="微软雅黑" w:cs="宋体"/>
      <w:color w:val="FF0000"/>
      <w:szCs w:val="20"/>
    </w:rPr>
  </w:style>
  <w:style w:type="paragraph" w:customStyle="1" w:styleId="54">
    <w:name w:val="List Paragraph1"/>
    <w:basedOn w:val="1"/>
    <w:qFormat/>
    <w:uiPriority w:val="99"/>
    <w:pPr>
      <w:ind w:firstLine="420" w:firstLineChars="200"/>
    </w:pPr>
  </w:style>
  <w:style w:type="paragraph" w:customStyle="1" w:styleId="55">
    <w:name w:val="Default"/>
    <w:next w:val="1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6">
    <w:name w:val="Table Paragraph"/>
    <w:basedOn w:val="1"/>
    <w:qFormat/>
    <w:uiPriority w:val="99"/>
    <w:pPr>
      <w:widowControl w:val="0"/>
      <w:jc w:val="left"/>
    </w:pPr>
    <w:rPr>
      <w:rFonts w:ascii="Calibri" w:hAnsi="Calibri"/>
      <w:kern w:val="0"/>
      <w:sz w:val="22"/>
      <w:szCs w:val="22"/>
    </w:rPr>
  </w:style>
  <w:style w:type="paragraph" w:customStyle="1" w:styleId="57">
    <w:name w:val="标题2"/>
    <w:basedOn w:val="3"/>
    <w:qFormat/>
    <w:uiPriority w:val="0"/>
    <w:pPr>
      <w:numPr>
        <w:ilvl w:val="0"/>
        <w:numId w:val="1"/>
      </w:numPr>
      <w:tabs>
        <w:tab w:val="left" w:pos="284"/>
      </w:tabs>
    </w:pPr>
    <w:rPr>
      <w:rFonts w:eastAsia="仿宋"/>
    </w:rPr>
  </w:style>
  <w:style w:type="paragraph" w:customStyle="1" w:styleId="58">
    <w:name w:val="标题3"/>
    <w:basedOn w:val="1"/>
    <w:qFormat/>
    <w:uiPriority w:val="0"/>
    <w:pPr>
      <w:tabs>
        <w:tab w:val="left" w:pos="1800"/>
      </w:tabs>
      <w:snapToGrid w:val="0"/>
      <w:spacing w:line="360" w:lineRule="auto"/>
      <w:ind w:left="0"/>
    </w:pPr>
    <w:rPr>
      <w:rFonts w:ascii="宋体" w:hAnsi="宋体" w:cs="仿宋_GB2312"/>
      <w:b/>
      <w:color w:val="000000"/>
      <w:sz w:val="24"/>
      <w:szCs w:val="24"/>
    </w:rPr>
  </w:style>
  <w:style w:type="paragraph" w:customStyle="1" w:styleId="59">
    <w:name w:val="正文-公1"/>
    <w:basedOn w:val="60"/>
    <w:autoRedefine/>
    <w:qFormat/>
    <w:uiPriority w:val="99"/>
    <w:pPr>
      <w:ind w:firstLine="200" w:firstLineChars="200"/>
    </w:pPr>
  </w:style>
  <w:style w:type="paragraph" w:customStyle="1" w:styleId="60">
    <w:name w:val="正文 New New New New New New New New New New New New"/>
    <w:next w:val="59"/>
    <w:autoRedefine/>
    <w:qFormat/>
    <w:uiPriority w:val="99"/>
    <w:pPr>
      <w:widowControl w:val="0"/>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header" Target="header3.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header" Target="header2.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4098"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09" textRotate="1"/>
    <customShpInfo spid="_x0000_s4110" textRotate="1"/>
    <customShpInfo spid="_x0000_s4112" textRotate="1"/>
    <customShpInfo spid="_x0000_s4111"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68</Pages>
  <Words>18945</Words>
  <Characters>20563</Characters>
  <Lines>202</Lines>
  <Paragraphs>57</Paragraphs>
  <TotalTime>19</TotalTime>
  <ScaleCrop>false</ScaleCrop>
  <LinksUpToDate>false</LinksUpToDate>
  <CharactersWithSpaces>20903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2021-03-10T01:19:00Z</dcterms:created>
  <dc:creator>NTKO</dc:creator>
  <cp:lastModifiedBy>辣条小王子</cp:lastModifiedBy>
  <cp:lastPrinted>2024-12-18T07:58:00Z</cp:lastPrinted>
  <dcterms:modified xsi:type="dcterms:W3CDTF">2025-04-07T06:14:16Z</dcterms:modified>
  <dc:title>辉发河桦甸段水质变化分析论证</dc:title>
  <cp:revision>166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896DEB5D2093415A9A5CFD90775A303C</vt:lpwstr>
  </property>
  <property fmtid="{D5CDD505-2E9C-101B-9397-08002B2CF9AE}" pid="4" name="KSOTemplateDocerSaveRecord">
    <vt:lpwstr>eyJoZGlkIjoiZDFkOWJmZDVhMjQxYmRlZTQ3MTdmMDkxNDcyOTgyMDciLCJ1c2VySWQiOiIzNzE4MTQwODYifQ==</vt:lpwstr>
  </property>
</Properties>
</file>