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52E15">
      <w:pPr>
        <w:autoSpaceDE w:val="0"/>
        <w:autoSpaceDN w:val="0"/>
        <w:adjustRightInd w:val="0"/>
        <w:jc w:val="center"/>
        <w:rPr>
          <w:rFonts w:hint="eastAsia" w:ascii="仿宋" w:hAnsi="仿宋" w:eastAsia="仿宋" w:cs="仿宋"/>
          <w:b/>
          <w:bCs/>
          <w:color w:val="auto"/>
          <w:kern w:val="0"/>
          <w:sz w:val="52"/>
          <w:szCs w:val="52"/>
          <w:highlight w:val="none"/>
          <w:lang w:val="en-US" w:eastAsia="zh-CN"/>
        </w:rPr>
      </w:pPr>
      <w:r>
        <w:rPr>
          <w:rFonts w:hint="eastAsia" w:ascii="仿宋" w:hAnsi="仿宋" w:eastAsia="仿宋" w:cs="仿宋"/>
          <w:b/>
          <w:bCs/>
          <w:color w:val="auto"/>
          <w:kern w:val="0"/>
          <w:sz w:val="52"/>
          <w:szCs w:val="52"/>
          <w:highlight w:val="none"/>
          <w:lang w:eastAsia="zh-CN"/>
        </w:rPr>
        <w:t>双阳区农田水系“一张网”和农田沟渠整治“一张图”服务机构选定项目</w:t>
      </w:r>
    </w:p>
    <w:p w14:paraId="30E8767F">
      <w:pPr>
        <w:pStyle w:val="17"/>
        <w:rPr>
          <w:rFonts w:hint="eastAsia" w:ascii="仿宋" w:hAnsi="仿宋" w:eastAsia="仿宋" w:cs="仿宋"/>
          <w:color w:val="auto"/>
          <w:highlight w:val="none"/>
        </w:rPr>
      </w:pPr>
    </w:p>
    <w:p w14:paraId="47EB8085">
      <w:pPr>
        <w:rPr>
          <w:rFonts w:hint="eastAsia" w:ascii="仿宋" w:hAnsi="仿宋" w:eastAsia="仿宋" w:cs="仿宋"/>
          <w:color w:val="auto"/>
          <w:highlight w:val="none"/>
        </w:rPr>
      </w:pPr>
    </w:p>
    <w:p w14:paraId="7F7A6FDC">
      <w:pPr>
        <w:pStyle w:val="7"/>
        <w:rPr>
          <w:rFonts w:hint="eastAsia" w:ascii="仿宋" w:hAnsi="仿宋" w:eastAsia="仿宋" w:cs="仿宋"/>
          <w:color w:val="auto"/>
          <w:highlight w:val="none"/>
        </w:rPr>
      </w:pPr>
    </w:p>
    <w:p w14:paraId="4A79A7D1">
      <w:pPr>
        <w:pStyle w:val="16"/>
        <w:rPr>
          <w:rFonts w:hint="eastAsia" w:ascii="仿宋" w:hAnsi="仿宋" w:eastAsia="仿宋" w:cs="仿宋"/>
          <w:color w:val="auto"/>
          <w:highlight w:val="none"/>
        </w:rPr>
      </w:pPr>
    </w:p>
    <w:p w14:paraId="038B99F1">
      <w:pPr>
        <w:autoSpaceDE w:val="0"/>
        <w:autoSpaceDN w:val="0"/>
        <w:adjustRightInd w:val="0"/>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rPr>
        <w:t>采购文件</w:t>
      </w:r>
      <w:r>
        <w:rPr>
          <w:rFonts w:hint="eastAsia" w:ascii="仿宋" w:hAnsi="仿宋" w:eastAsia="仿宋" w:cs="仿宋"/>
          <w:b/>
          <w:color w:val="auto"/>
          <w:kern w:val="0"/>
          <w:sz w:val="72"/>
          <w:szCs w:val="72"/>
          <w:highlight w:val="none"/>
          <w:lang w:val="en-US" w:eastAsia="zh-CN"/>
        </w:rPr>
        <w:t xml:space="preserve"> </w:t>
      </w:r>
    </w:p>
    <w:p w14:paraId="3437797B">
      <w:pPr>
        <w:autoSpaceDE w:val="0"/>
        <w:autoSpaceDN w:val="0"/>
        <w:adjustRightInd w:val="0"/>
        <w:rPr>
          <w:rFonts w:hint="eastAsia" w:ascii="仿宋" w:hAnsi="仿宋" w:eastAsia="仿宋" w:cs="仿宋"/>
          <w:b/>
          <w:color w:val="auto"/>
          <w:kern w:val="0"/>
          <w:sz w:val="72"/>
          <w:szCs w:val="72"/>
          <w:highlight w:val="none"/>
        </w:rPr>
      </w:pPr>
    </w:p>
    <w:p w14:paraId="3422A9C3">
      <w:pPr>
        <w:autoSpaceDE w:val="0"/>
        <w:autoSpaceDN w:val="0"/>
        <w:adjustRightInd w:val="0"/>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项目编号：ZLZB-JL-2025-005</w:t>
      </w:r>
    </w:p>
    <w:p w14:paraId="69B1F263">
      <w:pPr>
        <w:autoSpaceDE w:val="0"/>
        <w:autoSpaceDN w:val="0"/>
        <w:adjustRightInd w:val="0"/>
        <w:rPr>
          <w:rFonts w:hint="eastAsia" w:ascii="仿宋" w:hAnsi="仿宋" w:eastAsia="仿宋" w:cs="仿宋"/>
          <w:b/>
          <w:color w:val="auto"/>
          <w:kern w:val="0"/>
          <w:sz w:val="28"/>
          <w:szCs w:val="28"/>
          <w:highlight w:val="none"/>
        </w:rPr>
      </w:pPr>
    </w:p>
    <w:p w14:paraId="0075B819">
      <w:pPr>
        <w:autoSpaceDE w:val="0"/>
        <w:autoSpaceDN w:val="0"/>
        <w:adjustRightInd w:val="0"/>
        <w:rPr>
          <w:rFonts w:hint="eastAsia" w:ascii="仿宋" w:hAnsi="仿宋" w:eastAsia="仿宋" w:cs="仿宋"/>
          <w:b/>
          <w:color w:val="auto"/>
          <w:kern w:val="0"/>
          <w:sz w:val="28"/>
          <w:szCs w:val="28"/>
          <w:highlight w:val="none"/>
        </w:rPr>
      </w:pPr>
    </w:p>
    <w:p w14:paraId="6F1380FF">
      <w:pPr>
        <w:autoSpaceDE w:val="0"/>
        <w:autoSpaceDN w:val="0"/>
        <w:adjustRightInd w:val="0"/>
        <w:ind w:firstLine="1920" w:firstLineChars="600"/>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采购人：</w:t>
      </w:r>
      <w:r>
        <w:rPr>
          <w:rFonts w:hint="eastAsia" w:ascii="仿宋" w:hAnsi="仿宋" w:eastAsia="仿宋" w:cs="仿宋"/>
          <w:b/>
          <w:color w:val="auto"/>
          <w:kern w:val="0"/>
          <w:sz w:val="32"/>
          <w:szCs w:val="32"/>
          <w:highlight w:val="none"/>
          <w:lang w:eastAsia="zh-CN"/>
        </w:rPr>
        <w:t>长春市双阳区农田建设服务中心</w:t>
      </w:r>
      <w:r>
        <w:rPr>
          <w:rFonts w:hint="eastAsia" w:ascii="仿宋" w:hAnsi="仿宋" w:eastAsia="仿宋" w:cs="仿宋"/>
          <w:b/>
          <w:color w:val="auto"/>
          <w:kern w:val="0"/>
          <w:sz w:val="32"/>
          <w:szCs w:val="32"/>
          <w:highlight w:val="none"/>
          <w:lang w:val="en-US" w:eastAsia="zh-CN"/>
        </w:rPr>
        <w:t xml:space="preserve"> </w:t>
      </w:r>
    </w:p>
    <w:p w14:paraId="002FED40">
      <w:pPr>
        <w:autoSpaceDE w:val="0"/>
        <w:autoSpaceDN w:val="0"/>
        <w:adjustRightInd w:val="0"/>
        <w:jc w:val="center"/>
        <w:rPr>
          <w:rFonts w:hint="eastAsia" w:ascii="仿宋" w:hAnsi="仿宋" w:eastAsia="仿宋" w:cs="仿宋"/>
          <w:b/>
          <w:color w:val="auto"/>
          <w:kern w:val="0"/>
          <w:sz w:val="32"/>
          <w:szCs w:val="32"/>
          <w:highlight w:val="none"/>
        </w:rPr>
      </w:pPr>
    </w:p>
    <w:p w14:paraId="496968A6">
      <w:pPr>
        <w:autoSpaceDE w:val="0"/>
        <w:autoSpaceDN w:val="0"/>
        <w:adjustRightInd w:val="0"/>
        <w:ind w:firstLine="1920" w:firstLineChars="60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rPr>
        <w:t>采购代理机构：</w:t>
      </w:r>
      <w:r>
        <w:rPr>
          <w:rFonts w:hint="eastAsia" w:ascii="仿宋" w:hAnsi="仿宋" w:eastAsia="仿宋" w:cs="仿宋"/>
          <w:b/>
          <w:color w:val="auto"/>
          <w:kern w:val="0"/>
          <w:sz w:val="32"/>
          <w:szCs w:val="32"/>
          <w:highlight w:val="none"/>
          <w:lang w:eastAsia="zh-CN"/>
        </w:rPr>
        <w:t>中联国际工程管理有限公司</w:t>
      </w:r>
    </w:p>
    <w:p w14:paraId="45811343">
      <w:pPr>
        <w:autoSpaceDE w:val="0"/>
        <w:autoSpaceDN w:val="0"/>
        <w:adjustRightInd w:val="0"/>
        <w:jc w:val="center"/>
        <w:rPr>
          <w:rFonts w:hint="eastAsia" w:ascii="仿宋" w:hAnsi="仿宋" w:eastAsia="仿宋" w:cs="仿宋"/>
          <w:b/>
          <w:color w:val="auto"/>
          <w:kern w:val="0"/>
          <w:sz w:val="32"/>
          <w:szCs w:val="32"/>
          <w:highlight w:val="none"/>
        </w:rPr>
      </w:pPr>
    </w:p>
    <w:p w14:paraId="43FEB0BD">
      <w:pPr>
        <w:spacing w:line="440" w:lineRule="exact"/>
        <w:jc w:val="center"/>
        <w:rPr>
          <w:rFonts w:hint="eastAsia" w:ascii="仿宋" w:hAnsi="仿宋" w:eastAsia="仿宋" w:cs="仿宋"/>
          <w:color w:val="auto"/>
          <w:sz w:val="28"/>
          <w:szCs w:val="28"/>
          <w:highlight w:val="none"/>
        </w:rPr>
        <w:sectPr>
          <w:headerReference r:id="rId4" w:type="first"/>
          <w:footerReference r:id="rId6" w:type="first"/>
          <w:headerReference r:id="rId3" w:type="default"/>
          <w:footerReference r:id="rId5" w:type="even"/>
          <w:pgSz w:w="11906" w:h="16838"/>
          <w:pgMar w:top="1417" w:right="1417" w:bottom="1417" w:left="1417" w:header="851" w:footer="992" w:gutter="0"/>
          <w:pgNumType w:start="1"/>
          <w:cols w:space="720" w:num="1"/>
          <w:titlePg/>
          <w:docGrid w:type="linesAndChars" w:linePitch="312" w:charSpace="200"/>
        </w:sectPr>
      </w:pPr>
      <w:r>
        <w:rPr>
          <w:rFonts w:hint="eastAsia" w:ascii="仿宋" w:hAnsi="仿宋" w:eastAsia="仿宋" w:cs="仿宋"/>
          <w:b/>
          <w:color w:val="auto"/>
          <w:kern w:val="0"/>
          <w:sz w:val="32"/>
          <w:szCs w:val="32"/>
          <w:highlight w:val="none"/>
        </w:rPr>
        <w:t>202</w:t>
      </w:r>
      <w:r>
        <w:rPr>
          <w:rFonts w:hint="eastAsia" w:ascii="仿宋" w:hAnsi="仿宋" w:eastAsia="仿宋" w:cs="仿宋"/>
          <w:b/>
          <w:color w:val="auto"/>
          <w:kern w:val="0"/>
          <w:sz w:val="32"/>
          <w:szCs w:val="32"/>
          <w:highlight w:val="none"/>
          <w:lang w:val="en-US" w:eastAsia="zh-CN"/>
        </w:rPr>
        <w:t>5</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2"/>
          <w:szCs w:val="32"/>
          <w:highlight w:val="none"/>
          <w:lang w:val="en-US" w:eastAsia="zh-CN"/>
        </w:rPr>
        <w:t>2</w:t>
      </w:r>
      <w:r>
        <w:rPr>
          <w:rFonts w:hint="eastAsia" w:ascii="仿宋" w:hAnsi="仿宋" w:eastAsia="仿宋" w:cs="仿宋"/>
          <w:b/>
          <w:color w:val="auto"/>
          <w:kern w:val="0"/>
          <w:sz w:val="32"/>
          <w:szCs w:val="32"/>
          <w:highlight w:val="none"/>
        </w:rPr>
        <w:t>月</w:t>
      </w:r>
    </w:p>
    <w:p w14:paraId="4E223BAF">
      <w:pPr>
        <w:spacing w:before="156" w:beforeLines="50" w:after="156" w:afterLines="50"/>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14:paraId="39F340AC">
      <w:pPr>
        <w:pStyle w:val="12"/>
        <w:tabs>
          <w:tab w:val="right" w:leader="dot" w:pos="9072"/>
        </w:tabs>
        <w:spacing w:line="360" w:lineRule="auto"/>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_Toc1641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第一章 采购公告（资格后审）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7247F5CD">
      <w:pPr>
        <w:pStyle w:val="12"/>
        <w:tabs>
          <w:tab w:val="right" w:leader="dot" w:pos="9072"/>
        </w:tabs>
        <w:spacing w:line="360" w:lineRule="auto"/>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_Toc6211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第二章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7F113884">
      <w:pPr>
        <w:pStyle w:val="12"/>
        <w:tabs>
          <w:tab w:val="right" w:leader="dot" w:pos="9072"/>
        </w:tabs>
        <w:spacing w:line="360" w:lineRule="auto"/>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_Toc13074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第三章 评标办法（综合评分法）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275654D1">
      <w:pPr>
        <w:pStyle w:val="12"/>
        <w:tabs>
          <w:tab w:val="right" w:leader="dot" w:pos="9072"/>
        </w:tabs>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_Toc31534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第四章 合同条款及格式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lang w:val="en-US" w:eastAsia="zh-CN"/>
        </w:rPr>
        <w:t>5</w:t>
      </w:r>
    </w:p>
    <w:p w14:paraId="03E4A595">
      <w:pPr>
        <w:pStyle w:val="12"/>
        <w:tabs>
          <w:tab w:val="right" w:leader="dot" w:pos="9072"/>
        </w:tabs>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_Toc28415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w:t>
      </w:r>
      <w:r>
        <w:rPr>
          <w:rFonts w:hint="eastAsia" w:ascii="仿宋" w:hAnsi="仿宋" w:eastAsia="仿宋" w:cs="仿宋"/>
          <w:color w:val="auto"/>
          <w:szCs w:val="30"/>
          <w:highlight w:val="none"/>
          <w:lang w:val="en-US" w:eastAsia="zh-CN"/>
        </w:rPr>
        <w:t>五</w:t>
      </w:r>
      <w:r>
        <w:rPr>
          <w:rFonts w:hint="eastAsia" w:ascii="仿宋" w:hAnsi="仿宋" w:eastAsia="仿宋" w:cs="仿宋"/>
          <w:color w:val="auto"/>
          <w:szCs w:val="30"/>
          <w:highlight w:val="none"/>
        </w:rPr>
        <w:t>章 服务方案及要求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lang w:val="en-US" w:eastAsia="zh-CN"/>
        </w:rPr>
        <w:t>6</w:t>
      </w:r>
    </w:p>
    <w:p w14:paraId="4CD9E5E5">
      <w:pPr>
        <w:pStyle w:val="12"/>
        <w:tabs>
          <w:tab w:val="right" w:leader="dot" w:pos="9072"/>
        </w:tabs>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_Toc449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0"/>
          <w:highlight w:val="none"/>
        </w:rPr>
        <w:t>第六章 投标文件格式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5</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lang w:val="en-US" w:eastAsia="zh-CN"/>
        </w:rPr>
        <w:t>2</w:t>
      </w:r>
    </w:p>
    <w:p w14:paraId="2CC76189">
      <w:pPr>
        <w:tabs>
          <w:tab w:val="left" w:pos="6704"/>
        </w:tabs>
        <w:snapToGrid w:val="0"/>
        <w:spacing w:line="360" w:lineRule="auto"/>
        <w:ind w:firstLine="630" w:firstLineChars="300"/>
        <w:rPr>
          <w:rFonts w:hint="eastAsia" w:ascii="仿宋" w:hAnsi="仿宋" w:eastAsia="仿宋" w:cs="仿宋"/>
          <w:color w:val="auto"/>
          <w:kern w:val="0"/>
          <w:sz w:val="52"/>
          <w:highlight w:val="none"/>
        </w:rPr>
      </w:pPr>
      <w:r>
        <w:rPr>
          <w:rFonts w:hint="eastAsia" w:ascii="仿宋" w:hAnsi="仿宋" w:eastAsia="仿宋" w:cs="仿宋"/>
          <w:color w:val="auto"/>
          <w:kern w:val="0"/>
          <w:szCs w:val="21"/>
          <w:highlight w:val="none"/>
        </w:rPr>
        <w:fldChar w:fldCharType="end"/>
      </w:r>
      <w:r>
        <w:rPr>
          <w:rStyle w:val="23"/>
          <w:rFonts w:hint="eastAsia" w:ascii="仿宋" w:hAnsi="仿宋" w:eastAsia="仿宋" w:cs="仿宋"/>
          <w:color w:val="auto"/>
          <w:highlight w:val="none"/>
        </w:rPr>
        <w:tab/>
      </w:r>
    </w:p>
    <w:p w14:paraId="7F66DDBF">
      <w:pPr>
        <w:pStyle w:val="2"/>
        <w:adjustRightInd w:val="0"/>
        <w:snapToGrid w:val="0"/>
        <w:spacing w:before="156" w:beforeLines="50" w:after="156" w:afterLines="50" w:line="240" w:lineRule="auto"/>
        <w:jc w:val="center"/>
        <w:rPr>
          <w:rFonts w:hint="eastAsia" w:ascii="仿宋" w:hAnsi="仿宋" w:eastAsia="仿宋" w:cs="仿宋"/>
          <w:color w:val="auto"/>
          <w:sz w:val="30"/>
          <w:szCs w:val="30"/>
          <w:highlight w:val="none"/>
        </w:rPr>
        <w:sectPr>
          <w:headerReference r:id="rId8" w:type="first"/>
          <w:footerReference r:id="rId10" w:type="first"/>
          <w:headerReference r:id="rId7" w:type="default"/>
          <w:footerReference r:id="rId9" w:type="default"/>
          <w:pgSz w:w="11906" w:h="16838"/>
          <w:pgMar w:top="1417" w:right="1417" w:bottom="1417" w:left="1417" w:header="851" w:footer="992" w:gutter="0"/>
          <w:pgNumType w:start="2"/>
          <w:cols w:space="720" w:num="1"/>
          <w:titlePg/>
          <w:docGrid w:type="linesAndChars" w:linePitch="312" w:charSpace="200"/>
        </w:sectPr>
      </w:pPr>
      <w:bookmarkStart w:id="0" w:name="_Toc243281849"/>
    </w:p>
    <w:bookmarkEnd w:id="0"/>
    <w:p w14:paraId="49E60807">
      <w:pPr>
        <w:pStyle w:val="2"/>
        <w:adjustRightInd w:val="0"/>
        <w:snapToGrid w:val="0"/>
        <w:spacing w:before="156" w:beforeLines="50" w:after="156" w:afterLines="50" w:line="240" w:lineRule="auto"/>
        <w:jc w:val="center"/>
        <w:rPr>
          <w:rFonts w:hint="eastAsia" w:ascii="仿宋" w:hAnsi="仿宋" w:eastAsia="仿宋" w:cs="仿宋"/>
          <w:b w:val="0"/>
          <w:color w:val="auto"/>
          <w:sz w:val="30"/>
          <w:szCs w:val="30"/>
          <w:highlight w:val="none"/>
        </w:rPr>
      </w:pPr>
      <w:bookmarkStart w:id="1" w:name="_Toc1641"/>
      <w:r>
        <w:rPr>
          <w:rFonts w:hint="eastAsia" w:ascii="仿宋" w:hAnsi="仿宋" w:eastAsia="仿宋" w:cs="仿宋"/>
          <w:color w:val="auto"/>
          <w:sz w:val="30"/>
          <w:szCs w:val="30"/>
          <w:highlight w:val="none"/>
        </w:rPr>
        <w:t>第一章 采购公告（资格后审）</w:t>
      </w:r>
      <w:bookmarkEnd w:id="1"/>
    </w:p>
    <w:p w14:paraId="2431DCE9">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项目概况</w:t>
      </w:r>
    </w:p>
    <w:p w14:paraId="14FB276D">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双阳区农田水系“一张网”和农田沟渠整治“一张图”</w:t>
      </w:r>
      <w:r>
        <w:rPr>
          <w:rFonts w:hint="eastAsia" w:ascii="仿宋" w:hAnsi="仿宋" w:eastAsia="仿宋" w:cs="仿宋"/>
          <w:color w:val="auto"/>
          <w:szCs w:val="21"/>
          <w:highlight w:val="none"/>
          <w:u w:val="single"/>
          <w:lang w:val="en-US" w:eastAsia="zh-CN"/>
        </w:rPr>
        <w:t>服务机构选定</w:t>
      </w:r>
      <w:r>
        <w:rPr>
          <w:rFonts w:hint="eastAsia" w:ascii="仿宋" w:hAnsi="仿宋" w:eastAsia="仿宋" w:cs="仿宋"/>
          <w:color w:val="auto"/>
          <w:szCs w:val="21"/>
          <w:highlight w:val="none"/>
          <w:u w:val="single"/>
          <w:lang w:eastAsia="zh-CN"/>
        </w:rPr>
        <w:t>项目</w:t>
      </w:r>
      <w:r>
        <w:rPr>
          <w:rFonts w:hint="eastAsia" w:ascii="仿宋" w:hAnsi="仿宋" w:eastAsia="仿宋" w:cs="仿宋"/>
          <w:color w:val="auto"/>
          <w:szCs w:val="21"/>
          <w:highlight w:val="none"/>
        </w:rPr>
        <w:t>的潜在</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zCs w:val="21"/>
          <w:highlight w:val="none"/>
        </w:rPr>
        <w:t>应在“政采云”平台（https://www.zcygov.cn/）获取采购文件，并于</w:t>
      </w:r>
      <w:r>
        <w:rPr>
          <w:rFonts w:hint="eastAsia" w:ascii="仿宋" w:hAnsi="仿宋" w:eastAsia="仿宋" w:cs="仿宋"/>
          <w:bCs/>
          <w:color w:val="auto"/>
          <w:szCs w:val="21"/>
          <w:highlight w:val="none"/>
        </w:rPr>
        <w:t>202</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lang w:val="zh-CN"/>
        </w:rPr>
        <w:t>年</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lang w:val="zh-CN"/>
        </w:rPr>
        <w:t>月</w:t>
      </w: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val="zh-CN"/>
        </w:rPr>
        <w:t>日</w:t>
      </w:r>
      <w:r>
        <w:rPr>
          <w:rFonts w:hint="eastAsia" w:ascii="仿宋" w:hAnsi="仿宋" w:eastAsia="仿宋" w:cs="仿宋"/>
          <w:color w:val="auto"/>
          <w:szCs w:val="21"/>
          <w:highlight w:val="none"/>
          <w:lang w:val="en-US" w:eastAsia="zh-CN"/>
        </w:rPr>
        <w:t>9</w:t>
      </w:r>
      <w:r>
        <w:rPr>
          <w:rFonts w:hint="eastAsia" w:ascii="仿宋" w:hAnsi="仿宋" w:eastAsia="仿宋" w:cs="仿宋"/>
          <w:bCs/>
          <w:color w:val="auto"/>
          <w:szCs w:val="21"/>
          <w:highlight w:val="none"/>
          <w:lang w:val="zh-CN"/>
        </w:rPr>
        <w:t>时</w:t>
      </w:r>
      <w:r>
        <w:rPr>
          <w:rFonts w:hint="eastAsia" w:ascii="仿宋" w:hAnsi="仿宋" w:eastAsia="仿宋" w:cs="仿宋"/>
          <w:color w:val="auto"/>
          <w:szCs w:val="21"/>
          <w:highlight w:val="none"/>
          <w:lang w:val="en-US" w:eastAsia="zh-CN"/>
        </w:rPr>
        <w:t>00</w:t>
      </w:r>
      <w:r>
        <w:rPr>
          <w:rFonts w:hint="eastAsia" w:ascii="仿宋" w:hAnsi="仿宋" w:eastAsia="仿宋" w:cs="仿宋"/>
          <w:bCs/>
          <w:color w:val="auto"/>
          <w:szCs w:val="21"/>
          <w:highlight w:val="none"/>
          <w:lang w:val="zh-CN"/>
        </w:rPr>
        <w:t>分</w:t>
      </w:r>
      <w:r>
        <w:rPr>
          <w:rFonts w:hint="eastAsia" w:ascii="仿宋" w:hAnsi="仿宋" w:eastAsia="仿宋" w:cs="仿宋"/>
          <w:bCs/>
          <w:color w:val="auto"/>
          <w:szCs w:val="21"/>
          <w:highlight w:val="none"/>
        </w:rPr>
        <w:t>（北京时间）前递交投标文件</w:t>
      </w:r>
      <w:r>
        <w:rPr>
          <w:rFonts w:hint="eastAsia" w:ascii="仿宋" w:hAnsi="仿宋" w:eastAsia="仿宋" w:cs="仿宋"/>
          <w:color w:val="auto"/>
          <w:szCs w:val="21"/>
          <w:highlight w:val="none"/>
        </w:rPr>
        <w:t>。</w:t>
      </w:r>
    </w:p>
    <w:p w14:paraId="08D4362B">
      <w:pPr>
        <w:pStyle w:val="3"/>
        <w:pageBreakBefore w:val="0"/>
        <w:numPr>
          <w:ilvl w:val="0"/>
          <w:numId w:val="1"/>
        </w:numPr>
        <w:kinsoku/>
        <w:wordWrap/>
        <w:overflowPunct/>
        <w:topLinePunct w:val="0"/>
        <w:bidi w:val="0"/>
        <w:spacing w:before="200" w:after="200" w:line="312" w:lineRule="auto"/>
        <w:rPr>
          <w:rFonts w:hint="eastAsia" w:ascii="仿宋" w:hAnsi="仿宋" w:eastAsia="仿宋" w:cs="仿宋"/>
          <w:bCs w:val="0"/>
          <w:color w:val="auto"/>
          <w:sz w:val="21"/>
          <w:szCs w:val="21"/>
          <w:highlight w:val="none"/>
        </w:rPr>
      </w:pPr>
      <w:bookmarkStart w:id="2" w:name="_Toc14807"/>
      <w:bookmarkStart w:id="3" w:name="_Toc28359002"/>
      <w:bookmarkStart w:id="4" w:name="_Toc28359079"/>
      <w:bookmarkStart w:id="5" w:name="_Toc9332"/>
      <w:bookmarkStart w:id="6" w:name="_Toc35393621"/>
      <w:bookmarkStart w:id="7" w:name="_Toc1144"/>
      <w:bookmarkStart w:id="8" w:name="_Toc222"/>
      <w:bookmarkStart w:id="9" w:name="_Toc35393790"/>
      <w:bookmarkStart w:id="10" w:name="_Hlk24379207"/>
      <w:r>
        <w:rPr>
          <w:rFonts w:hint="eastAsia" w:ascii="仿宋" w:hAnsi="仿宋" w:eastAsia="仿宋" w:cs="仿宋"/>
          <w:bCs w:val="0"/>
          <w:color w:val="auto"/>
          <w:sz w:val="21"/>
          <w:szCs w:val="21"/>
          <w:highlight w:val="none"/>
        </w:rPr>
        <w:t>项目基本情况</w:t>
      </w:r>
      <w:bookmarkEnd w:id="2"/>
      <w:bookmarkEnd w:id="3"/>
      <w:bookmarkEnd w:id="4"/>
      <w:bookmarkEnd w:id="5"/>
      <w:bookmarkEnd w:id="6"/>
      <w:bookmarkEnd w:id="7"/>
      <w:bookmarkEnd w:id="8"/>
      <w:bookmarkEnd w:id="9"/>
    </w:p>
    <w:bookmarkEnd w:id="10"/>
    <w:p w14:paraId="799BC9E5">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bookmarkStart w:id="11" w:name="_Toc35393791"/>
      <w:bookmarkStart w:id="12" w:name="_Toc23677"/>
      <w:bookmarkStart w:id="13" w:name="_Toc28359080"/>
      <w:bookmarkStart w:id="14" w:name="_Toc8018"/>
      <w:bookmarkStart w:id="15" w:name="_Toc35393622"/>
      <w:bookmarkStart w:id="16" w:name="_Toc32201"/>
      <w:bookmarkStart w:id="17" w:name="_Toc2715"/>
      <w:bookmarkStart w:id="18" w:name="_Toc28359003"/>
      <w:r>
        <w:rPr>
          <w:rFonts w:hint="eastAsia" w:ascii="仿宋" w:hAnsi="仿宋" w:eastAsia="仿宋" w:cs="仿宋"/>
          <w:color w:val="auto"/>
          <w:highlight w:val="none"/>
          <w:lang w:val="en-US" w:eastAsia="zh-CN"/>
        </w:rPr>
        <w:t>1.项目编号：ZLZB-JL-2025-005；</w:t>
      </w:r>
    </w:p>
    <w:p w14:paraId="1C46CFDB">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2.政府采购计划编号：采购计划-[2025]-00010号；</w:t>
      </w:r>
    </w:p>
    <w:p w14:paraId="35E7AEC0">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3.项目名称：双阳区农田水系“一张网”和农田沟渠整治“一张图”服务机构选定项目；</w:t>
      </w:r>
    </w:p>
    <w:p w14:paraId="09942472">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4.采购需求：绘制全区农田水系一张网，农田沟渠整治一张图。以不同线型和图层区分排灌沟渠，灌溉与排水渠系按干、支、斗、农四级绘制，不足四级渠系的按实际绘制，具体服务要求详见第五章；</w:t>
      </w:r>
    </w:p>
    <w:p w14:paraId="009B7B57">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5.采购预算：205.564万元；</w:t>
      </w:r>
    </w:p>
    <w:p w14:paraId="5235310C">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6.项目地点：采购人指定地点；</w:t>
      </w:r>
    </w:p>
    <w:p w14:paraId="0B128E52">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7.合同履行期限：自合同签订之日起90日；</w:t>
      </w:r>
    </w:p>
    <w:p w14:paraId="6BACF6E6">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8.服务标准：符合国家及相关行业规定的合格标准；</w:t>
      </w:r>
    </w:p>
    <w:p w14:paraId="4F8FA3BB">
      <w:pPr>
        <w:pageBreakBefore w:val="0"/>
        <w:kinsoku/>
        <w:wordWrap/>
        <w:overflowPunct/>
        <w:topLinePunct w:val="0"/>
        <w:bidi w:val="0"/>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eastAsia="zh-CN"/>
        </w:rPr>
        <w:t>本项目</w:t>
      </w:r>
      <w:r>
        <w:rPr>
          <w:rFonts w:hint="eastAsia" w:ascii="仿宋" w:hAnsi="仿宋" w:eastAsia="仿宋" w:cs="仿宋"/>
          <w:color w:val="auto"/>
          <w:highlight w:val="none"/>
          <w:lang w:val="en-US" w:eastAsia="zh-CN"/>
        </w:rPr>
        <w:t>不</w:t>
      </w:r>
      <w:r>
        <w:rPr>
          <w:rFonts w:hint="eastAsia" w:ascii="仿宋" w:hAnsi="仿宋" w:eastAsia="仿宋" w:cs="仿宋"/>
          <w:color w:val="auto"/>
          <w:highlight w:val="none"/>
          <w:lang w:val="zh-CN" w:eastAsia="zh-CN"/>
        </w:rPr>
        <w:t>接受联合体投标。</w:t>
      </w:r>
    </w:p>
    <w:p w14:paraId="336F6C3C">
      <w:pPr>
        <w:pStyle w:val="3"/>
        <w:pageBreakBefore w:val="0"/>
        <w:kinsoku/>
        <w:wordWrap/>
        <w:overflowPunct/>
        <w:topLinePunct w:val="0"/>
        <w:bidi w:val="0"/>
        <w:spacing w:before="200" w:after="200" w:line="240" w:lineRule="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rPr>
        <w:t>二、申请人的资格要求</w:t>
      </w:r>
      <w:bookmarkEnd w:id="11"/>
      <w:bookmarkEnd w:id="12"/>
      <w:bookmarkEnd w:id="13"/>
      <w:bookmarkEnd w:id="14"/>
      <w:bookmarkEnd w:id="15"/>
      <w:bookmarkEnd w:id="16"/>
      <w:bookmarkEnd w:id="17"/>
      <w:bookmarkEnd w:id="18"/>
    </w:p>
    <w:p w14:paraId="773AC1E9">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1.满足《中华人民共和国政府采购法》第二十二条规定</w:t>
      </w:r>
      <w:r>
        <w:rPr>
          <w:rFonts w:hint="eastAsia" w:ascii="仿宋" w:hAnsi="仿宋" w:eastAsia="仿宋" w:cs="仿宋"/>
          <w:color w:val="auto"/>
          <w:szCs w:val="21"/>
          <w:highlight w:val="none"/>
          <w:lang w:eastAsia="zh-CN"/>
        </w:rPr>
        <w:t>。</w:t>
      </w:r>
    </w:p>
    <w:p w14:paraId="7F69AE53">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本项目属于专门面向中小企业采购的项目,</w:t>
      </w:r>
      <w:r>
        <w:rPr>
          <w:rFonts w:hint="eastAsia" w:ascii="仿宋" w:hAnsi="仿宋" w:eastAsia="仿宋" w:cs="仿宋"/>
          <w:color w:val="auto"/>
          <w:szCs w:val="21"/>
          <w:highlight w:val="none"/>
        </w:rPr>
        <w:t>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14:paraId="6618071C">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rPr>
      </w:pPr>
      <w:bookmarkStart w:id="19" w:name="_Toc28359004"/>
      <w:bookmarkStart w:id="20" w:name="_Toc28359081"/>
      <w:r>
        <w:rPr>
          <w:rFonts w:hint="eastAsia" w:ascii="仿宋" w:hAnsi="仿宋" w:eastAsia="仿宋" w:cs="仿宋"/>
          <w:color w:val="auto"/>
          <w:szCs w:val="21"/>
          <w:highlight w:val="none"/>
        </w:rPr>
        <w:t>3.本项目的特定资格要求：</w:t>
      </w:r>
    </w:p>
    <w:p w14:paraId="6BB8756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（1）本次采购要求</w:t>
      </w: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须在中华人民共和国境内合法注册，具有独立承担民事责任的能力</w:t>
      </w:r>
      <w:r>
        <w:rPr>
          <w:rFonts w:hint="eastAsia" w:ascii="仿宋" w:hAnsi="仿宋" w:eastAsia="仿宋" w:cs="仿宋"/>
          <w:color w:val="auto"/>
          <w:szCs w:val="21"/>
          <w:highlight w:val="none"/>
          <w:lang w:eastAsia="zh-CN"/>
        </w:rPr>
        <w:t>。须具有行政主管部门颁发的工程测量、界线与不动产测绘乙级及以上资质</w:t>
      </w:r>
      <w:r>
        <w:rPr>
          <w:rFonts w:hint="eastAsia" w:ascii="仿宋" w:hAnsi="仿宋" w:eastAsia="仿宋" w:cs="仿宋"/>
          <w:color w:val="auto"/>
          <w:szCs w:val="21"/>
          <w:highlight w:val="none"/>
        </w:rPr>
        <w:t>，并在人员、设备、资金等方面具有相应的</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能力；</w:t>
      </w:r>
    </w:p>
    <w:p w14:paraId="167C86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2"/>
          <w:sz w:val="21"/>
          <w:szCs w:val="21"/>
          <w:highlight w:val="none"/>
          <w:lang w:val="en-US" w:eastAsia="zh-CN" w:bidi="ar-SA"/>
        </w:rPr>
        <w:t>（2）</w:t>
      </w:r>
      <w:r>
        <w:rPr>
          <w:rFonts w:hint="eastAsia" w:ascii="仿宋" w:hAnsi="仿宋" w:eastAsia="仿宋" w:cs="仿宋"/>
          <w:color w:val="auto"/>
          <w:sz w:val="21"/>
          <w:szCs w:val="21"/>
          <w:highlight w:val="none"/>
        </w:rPr>
        <w:t>具有良好的商业信誉和健全的财务会计制度，</w:t>
      </w:r>
      <w:r>
        <w:rPr>
          <w:rFonts w:hint="eastAsia" w:ascii="仿宋" w:hAnsi="仿宋" w:eastAsia="仿宋" w:cs="仿宋"/>
          <w:color w:val="auto"/>
          <w:sz w:val="21"/>
          <w:szCs w:val="21"/>
          <w:highlight w:val="none"/>
          <w:lang w:val="en-US" w:eastAsia="zh-CN"/>
        </w:rPr>
        <w:t>并具有</w:t>
      </w:r>
      <w:r>
        <w:rPr>
          <w:rFonts w:hint="eastAsia" w:ascii="仿宋" w:hAnsi="仿宋" w:eastAsia="仿宋" w:cs="仿宋"/>
          <w:color w:val="auto"/>
          <w:sz w:val="21"/>
          <w:szCs w:val="21"/>
          <w:highlight w:val="none"/>
        </w:rPr>
        <w:t>依法缴纳税收和社会保障资金的良好记录，</w:t>
      </w:r>
      <w:r>
        <w:rPr>
          <w:rFonts w:hint="eastAsia" w:ascii="仿宋" w:hAnsi="仿宋" w:eastAsia="仿宋" w:cs="仿宋"/>
          <w:color w:val="auto"/>
          <w:sz w:val="21"/>
          <w:szCs w:val="21"/>
          <w:highlight w:val="none"/>
          <w:lang w:val="en-US" w:eastAsia="zh-CN"/>
        </w:rPr>
        <w:t>参照</w:t>
      </w:r>
      <w:r>
        <w:rPr>
          <w:rFonts w:hint="eastAsia" w:ascii="仿宋" w:hAnsi="仿宋" w:eastAsia="仿宋" w:cs="仿宋"/>
          <w:color w:val="auto"/>
          <w:sz w:val="21"/>
          <w:szCs w:val="21"/>
          <w:highlight w:val="none"/>
        </w:rPr>
        <w:t>《关于加强政府采购信用体系建设简化供应商资格条件有关事项的通知》（长财采购[2022]2066号）</w:t>
      </w:r>
      <w:r>
        <w:rPr>
          <w:rFonts w:hint="eastAsia" w:ascii="仿宋" w:hAnsi="仿宋" w:eastAsia="仿宋" w:cs="仿宋"/>
          <w:color w:val="auto"/>
          <w:sz w:val="21"/>
          <w:szCs w:val="21"/>
          <w:highlight w:val="none"/>
          <w:lang w:val="en-US" w:eastAsia="zh-CN"/>
        </w:rPr>
        <w:t>文件要求，</w:t>
      </w:r>
      <w:r>
        <w:rPr>
          <w:rFonts w:hint="eastAsia" w:ascii="仿宋" w:hAnsi="仿宋" w:eastAsia="仿宋" w:cs="仿宋"/>
          <w:color w:val="auto"/>
          <w:sz w:val="21"/>
          <w:szCs w:val="21"/>
          <w:highlight w:val="none"/>
        </w:rPr>
        <w:t>提供资格条件承诺函；</w:t>
      </w:r>
    </w:p>
    <w:p w14:paraId="2103B6DA">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）不接受被政府列入取消投标资格期限内的企业或个人参加投标。</w:t>
      </w:r>
      <w:r>
        <w:rPr>
          <w:rFonts w:hint="eastAsia" w:ascii="仿宋" w:hAnsi="仿宋" w:eastAsia="仿宋" w:cs="仿宋"/>
          <w:color w:val="auto"/>
          <w:szCs w:val="21"/>
          <w:highlight w:val="none"/>
          <w:lang w:val="zh-CN"/>
        </w:rPr>
        <w:t>参加政府采购活动前3年内在经营活动中没有重大违法记录；</w:t>
      </w:r>
    </w:p>
    <w:p w14:paraId="55ECF149">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与</w:t>
      </w:r>
      <w:r>
        <w:rPr>
          <w:rFonts w:hint="eastAsia" w:ascii="仿宋" w:hAnsi="仿宋" w:eastAsia="仿宋" w:cs="仿宋"/>
          <w:color w:val="auto"/>
          <w:szCs w:val="21"/>
          <w:highlight w:val="none"/>
          <w:lang w:val="en-US" w:eastAsia="zh-CN"/>
        </w:rPr>
        <w:t>招标人</w:t>
      </w:r>
      <w:r>
        <w:rPr>
          <w:rFonts w:hint="eastAsia" w:ascii="仿宋" w:hAnsi="仿宋" w:eastAsia="仿宋" w:cs="仿宋"/>
          <w:color w:val="auto"/>
          <w:szCs w:val="21"/>
          <w:highlight w:val="none"/>
          <w:lang w:val="zh-CN"/>
        </w:rPr>
        <w:t>存在利害关系可能影响招标公正性的法人、其他组织或者个人，不得参加投标。单位负责人为同一人或者存在控股、管理关系的不同单位，不得参加同一标段投标或者未划分标段的同一采购</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项目投标。违反这两款规定的，相关投标均无效；</w:t>
      </w:r>
    </w:p>
    <w:p w14:paraId="384BE9B3">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）本项目不接受被列入失信被执行人、重大税收违法案件当事人名单、政府采购严重违法失信行为记录名单的</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zCs w:val="21"/>
          <w:highlight w:val="none"/>
        </w:rPr>
        <w:t>参与投标（详见财库[2016]125号文件）</w:t>
      </w:r>
      <w:r>
        <w:rPr>
          <w:rFonts w:hint="eastAsia" w:ascii="仿宋" w:hAnsi="仿宋" w:eastAsia="仿宋" w:cs="仿宋"/>
          <w:color w:val="auto"/>
          <w:szCs w:val="21"/>
          <w:highlight w:val="none"/>
          <w:lang w:eastAsia="zh-CN"/>
        </w:rPr>
        <w:t>。</w:t>
      </w:r>
    </w:p>
    <w:p w14:paraId="50E3B159">
      <w:pPr>
        <w:pStyle w:val="3"/>
        <w:pageBreakBefore w:val="0"/>
        <w:kinsoku/>
        <w:wordWrap/>
        <w:overflowPunct/>
        <w:topLinePunct w:val="0"/>
        <w:bidi w:val="0"/>
        <w:spacing w:before="200" w:after="200" w:line="240" w:lineRule="auto"/>
        <w:rPr>
          <w:rFonts w:hint="eastAsia" w:ascii="仿宋" w:hAnsi="仿宋" w:eastAsia="仿宋" w:cs="仿宋"/>
          <w:bCs w:val="0"/>
          <w:color w:val="auto"/>
          <w:sz w:val="21"/>
          <w:szCs w:val="21"/>
          <w:highlight w:val="none"/>
        </w:rPr>
      </w:pPr>
      <w:bookmarkStart w:id="21" w:name="_Toc35393792"/>
      <w:bookmarkStart w:id="22" w:name="_Toc8344"/>
      <w:bookmarkStart w:id="23" w:name="_Toc12078"/>
      <w:bookmarkStart w:id="24" w:name="_Toc35393623"/>
      <w:bookmarkStart w:id="25" w:name="_Toc13527"/>
      <w:bookmarkStart w:id="26" w:name="_Toc28094"/>
      <w:r>
        <w:rPr>
          <w:rFonts w:hint="eastAsia" w:ascii="仿宋" w:hAnsi="仿宋" w:eastAsia="仿宋" w:cs="仿宋"/>
          <w:bCs w:val="0"/>
          <w:color w:val="auto"/>
          <w:sz w:val="21"/>
          <w:szCs w:val="21"/>
          <w:highlight w:val="none"/>
        </w:rPr>
        <w:t>三、获取采购文件</w:t>
      </w:r>
      <w:bookmarkEnd w:id="19"/>
      <w:bookmarkEnd w:id="20"/>
      <w:bookmarkEnd w:id="21"/>
      <w:bookmarkEnd w:id="22"/>
      <w:bookmarkEnd w:id="23"/>
      <w:bookmarkEnd w:id="24"/>
      <w:bookmarkEnd w:id="25"/>
      <w:bookmarkEnd w:id="26"/>
    </w:p>
    <w:p w14:paraId="26BA2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bookmarkStart w:id="27" w:name="_Toc28359082"/>
      <w:bookmarkStart w:id="28" w:name="_Toc28359005"/>
      <w:bookmarkStart w:id="29" w:name="_Toc26009"/>
      <w:bookmarkStart w:id="30" w:name="_Toc9902"/>
      <w:bookmarkStart w:id="31" w:name="_Toc35393624"/>
      <w:bookmarkStart w:id="32" w:name="_Toc35393793"/>
      <w:bookmarkStart w:id="33" w:name="_Toc11439"/>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17</w:t>
      </w:r>
      <w:r>
        <w:rPr>
          <w:rFonts w:hint="eastAsia" w:ascii="仿宋" w:hAnsi="仿宋" w:eastAsia="仿宋" w:cs="仿宋"/>
          <w:color w:val="auto"/>
          <w:sz w:val="21"/>
          <w:szCs w:val="21"/>
          <w:highlight w:val="none"/>
        </w:rPr>
        <w:t>日至202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日</w:t>
      </w:r>
    </w:p>
    <w:p w14:paraId="37177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2.获取方式</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网上下载，本项目不发放纸质版</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rPr>
        <w:t>可自行在“政采云”平台（http：//www.zcygov.cn）下载招标文件（操作路径：登录“政采云”平台-项目采购-获取采购文件-找到本项目-点击“申请获取采购文件”），电子投标文件制作需要基于“政采云”平台获取的招标文件编制。</w:t>
      </w:r>
    </w:p>
    <w:p w14:paraId="1AEC3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.未进行网上注册的</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rPr>
        <w:t>将无法参与本次招标活动。</w:t>
      </w:r>
    </w:p>
    <w:p w14:paraId="39E23F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rPr>
        <w:t>不足三家时，采购人另行组织采购。</w:t>
      </w:r>
    </w:p>
    <w:p w14:paraId="52B9A223">
      <w:pPr>
        <w:pStyle w:val="3"/>
        <w:pageBreakBefore w:val="0"/>
        <w:kinsoku/>
        <w:wordWrap/>
        <w:overflowPunct/>
        <w:topLinePunct w:val="0"/>
        <w:bidi w:val="0"/>
        <w:spacing w:before="200" w:after="200" w:line="240" w:lineRule="auto"/>
        <w:rPr>
          <w:rFonts w:hint="eastAsia" w:ascii="仿宋" w:hAnsi="仿宋" w:eastAsia="仿宋" w:cs="仿宋"/>
          <w:b/>
          <w:bCs/>
          <w:color w:val="auto"/>
          <w:sz w:val="21"/>
          <w:szCs w:val="21"/>
          <w:highlight w:val="none"/>
        </w:rPr>
      </w:pPr>
      <w:bookmarkStart w:id="34" w:name="_Toc26519"/>
      <w:r>
        <w:rPr>
          <w:rFonts w:hint="eastAsia" w:ascii="仿宋" w:hAnsi="仿宋" w:eastAsia="仿宋" w:cs="仿宋"/>
          <w:b/>
          <w:bCs/>
          <w:color w:val="auto"/>
          <w:sz w:val="21"/>
          <w:szCs w:val="21"/>
          <w:highlight w:val="none"/>
        </w:rPr>
        <w:t>四、提交投标文件</w:t>
      </w:r>
      <w:bookmarkEnd w:id="27"/>
      <w:bookmarkEnd w:id="28"/>
      <w:r>
        <w:rPr>
          <w:rFonts w:hint="eastAsia" w:ascii="仿宋" w:hAnsi="仿宋" w:eastAsia="仿宋" w:cs="仿宋"/>
          <w:b/>
          <w:bCs/>
          <w:color w:val="auto"/>
          <w:sz w:val="21"/>
          <w:szCs w:val="21"/>
          <w:highlight w:val="none"/>
        </w:rPr>
        <w:t>截止时间、开标时间和地点</w:t>
      </w:r>
      <w:bookmarkEnd w:id="29"/>
      <w:bookmarkEnd w:id="30"/>
      <w:bookmarkEnd w:id="31"/>
      <w:bookmarkEnd w:id="32"/>
      <w:bookmarkEnd w:id="33"/>
      <w:bookmarkEnd w:id="34"/>
    </w:p>
    <w:p w14:paraId="4CBF2915">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提交投标文件截止时间、开标时间：</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rPr>
        <w:t>（北京时间）；</w:t>
      </w:r>
    </w:p>
    <w:p w14:paraId="42CB188D">
      <w:pPr>
        <w:pageBreakBefore w:val="0"/>
        <w:kinsoku/>
        <w:wordWrap/>
        <w:overflowPunct/>
        <w:topLinePunct w:val="0"/>
        <w:bidi w:val="0"/>
        <w:spacing w:line="312" w:lineRule="auto"/>
        <w:ind w:firstLine="420" w:firstLineChars="200"/>
        <w:rPr>
          <w:rFonts w:hint="eastAsia" w:ascii="仿宋" w:hAnsi="仿宋" w:eastAsia="仿宋" w:cs="仿宋"/>
          <w:bCs/>
          <w:color w:val="auto"/>
          <w:sz w:val="21"/>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递交投标文件地点：</w:t>
      </w:r>
      <w:r>
        <w:rPr>
          <w:rFonts w:hint="eastAsia" w:ascii="仿宋" w:hAnsi="仿宋" w:eastAsia="仿宋" w:cs="仿宋"/>
          <w:bCs/>
          <w:color w:val="auto"/>
          <w:sz w:val="21"/>
          <w:szCs w:val="21"/>
          <w:highlight w:val="none"/>
        </w:rPr>
        <w:t>长春市二道区洋浦大街6999号凯利中心AB栋101室</w:t>
      </w:r>
      <w:r>
        <w:rPr>
          <w:rFonts w:hint="eastAsia" w:ascii="仿宋" w:hAnsi="仿宋" w:eastAsia="仿宋" w:cs="仿宋"/>
          <w:bCs/>
          <w:color w:val="auto"/>
          <w:sz w:val="21"/>
          <w:szCs w:val="21"/>
          <w:highlight w:val="none"/>
          <w:lang w:eastAsia="zh-CN"/>
        </w:rPr>
        <w:t>开标</w:t>
      </w:r>
      <w:r>
        <w:rPr>
          <w:rFonts w:hint="eastAsia" w:ascii="仿宋" w:hAnsi="仿宋" w:eastAsia="仿宋" w:cs="仿宋"/>
          <w:bCs/>
          <w:color w:val="auto"/>
          <w:sz w:val="21"/>
          <w:szCs w:val="21"/>
          <w:highlight w:val="none"/>
          <w:lang w:val="en-US" w:eastAsia="zh-CN"/>
        </w:rPr>
        <w:t>二</w:t>
      </w:r>
      <w:r>
        <w:rPr>
          <w:rFonts w:hint="eastAsia" w:ascii="仿宋" w:hAnsi="仿宋" w:eastAsia="仿宋" w:cs="仿宋"/>
          <w:bCs/>
          <w:color w:val="auto"/>
          <w:sz w:val="21"/>
          <w:szCs w:val="21"/>
          <w:highlight w:val="none"/>
          <w:lang w:eastAsia="zh-CN"/>
        </w:rPr>
        <w:t>室。</w:t>
      </w:r>
    </w:p>
    <w:p w14:paraId="69DCC148">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3.逾期送达的或者未送达指定地点的投标文件，采购人不予受理。 </w:t>
      </w:r>
    </w:p>
    <w:p w14:paraId="361B1A8B">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4.本项目采用全流程电子化采购，需通过政府采购云平台（http：//www.zcygov.cn）递交电子投标文件。</w:t>
      </w:r>
    </w:p>
    <w:p w14:paraId="6D222A40">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操作流程：供应商在政府采购云平台注册入库成为正式供应商后，在平台按《政府采购项目电子交易管理操作指南-供应商》进行操作。由于供应商自身原因在递交投标文件截止时间前无法完成办理的，后果自负。</w:t>
      </w:r>
    </w:p>
    <w:p w14:paraId="4E7F7B84">
      <w:pPr>
        <w:pageBreakBefore w:val="0"/>
        <w:kinsoku/>
        <w:wordWrap/>
        <w:overflowPunct/>
        <w:topLinePunct w:val="0"/>
        <w:bidi w:val="0"/>
        <w:spacing w:line="312" w:lineRule="auto"/>
        <w:ind w:firstLine="420" w:firstLineChars="200"/>
        <w:rPr>
          <w:rFonts w:hint="eastAsia" w:ascii="仿宋" w:hAnsi="仿宋" w:eastAsia="仿宋" w:cs="仿宋"/>
          <w:bCs/>
          <w:color w:val="auto"/>
          <w:sz w:val="21"/>
          <w:szCs w:val="21"/>
          <w:highlight w:val="none"/>
          <w:lang w:eastAsia="zh-CN"/>
        </w:rPr>
      </w:pPr>
    </w:p>
    <w:p w14:paraId="58CFE31D">
      <w:pPr>
        <w:pStyle w:val="3"/>
        <w:pageBreakBefore w:val="0"/>
        <w:kinsoku/>
        <w:wordWrap/>
        <w:overflowPunct/>
        <w:topLinePunct w:val="0"/>
        <w:bidi w:val="0"/>
        <w:spacing w:before="200" w:after="200" w:line="240" w:lineRule="auto"/>
        <w:rPr>
          <w:rFonts w:hint="eastAsia" w:ascii="仿宋" w:hAnsi="仿宋" w:eastAsia="仿宋" w:cs="仿宋"/>
          <w:b/>
          <w:bCs/>
          <w:color w:val="auto"/>
          <w:sz w:val="21"/>
          <w:szCs w:val="21"/>
          <w:highlight w:val="none"/>
        </w:rPr>
      </w:pPr>
      <w:bookmarkStart w:id="35" w:name="_Toc4313"/>
      <w:bookmarkStart w:id="36" w:name="_Toc28359007"/>
      <w:bookmarkStart w:id="37" w:name="_Toc28359084"/>
      <w:bookmarkStart w:id="38" w:name="_Toc35393794"/>
      <w:bookmarkStart w:id="39" w:name="_Toc12787"/>
      <w:bookmarkStart w:id="40" w:name="_Toc15581"/>
      <w:bookmarkStart w:id="41" w:name="_Toc35393625"/>
      <w:bookmarkStart w:id="42" w:name="_Toc29590"/>
      <w:r>
        <w:rPr>
          <w:rFonts w:hint="eastAsia" w:ascii="仿宋" w:hAnsi="仿宋" w:eastAsia="仿宋" w:cs="仿宋"/>
          <w:b/>
          <w:bCs/>
          <w:color w:val="auto"/>
          <w:sz w:val="21"/>
          <w:szCs w:val="21"/>
          <w:highlight w:val="none"/>
        </w:rPr>
        <w:t>五、公告期限</w:t>
      </w:r>
      <w:bookmarkEnd w:id="35"/>
      <w:bookmarkEnd w:id="36"/>
      <w:bookmarkEnd w:id="37"/>
      <w:bookmarkEnd w:id="38"/>
      <w:bookmarkEnd w:id="39"/>
      <w:bookmarkEnd w:id="40"/>
      <w:bookmarkEnd w:id="41"/>
      <w:bookmarkEnd w:id="42"/>
    </w:p>
    <w:p w14:paraId="075E3FCE">
      <w:pPr>
        <w:pageBreakBefore w:val="0"/>
        <w:kinsoku/>
        <w:wordWrap/>
        <w:overflowPunct/>
        <w:topLinePunct w:val="0"/>
        <w:bidi w:val="0"/>
        <w:spacing w:line="312"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个工作日。</w:t>
      </w:r>
    </w:p>
    <w:p w14:paraId="133A4AD7">
      <w:pPr>
        <w:pStyle w:val="3"/>
        <w:pageBreakBefore w:val="0"/>
        <w:kinsoku/>
        <w:wordWrap/>
        <w:overflowPunct/>
        <w:topLinePunct w:val="0"/>
        <w:bidi w:val="0"/>
        <w:spacing w:before="200" w:after="200" w:line="240" w:lineRule="auto"/>
        <w:rPr>
          <w:rFonts w:hint="eastAsia" w:ascii="仿宋" w:hAnsi="仿宋" w:eastAsia="仿宋" w:cs="仿宋"/>
          <w:b/>
          <w:bCs/>
          <w:color w:val="auto"/>
          <w:sz w:val="21"/>
          <w:szCs w:val="21"/>
          <w:highlight w:val="none"/>
        </w:rPr>
      </w:pPr>
      <w:bookmarkStart w:id="43" w:name="_Toc12741"/>
      <w:bookmarkStart w:id="44" w:name="_Toc5770"/>
      <w:bookmarkStart w:id="45" w:name="_Toc35393795"/>
      <w:bookmarkStart w:id="46" w:name="_Toc30976"/>
      <w:bookmarkStart w:id="47" w:name="_Toc19527"/>
      <w:bookmarkStart w:id="48" w:name="_Toc35393626"/>
      <w:r>
        <w:rPr>
          <w:rFonts w:hint="eastAsia" w:ascii="仿宋" w:hAnsi="仿宋" w:eastAsia="仿宋" w:cs="仿宋"/>
          <w:b/>
          <w:bCs/>
          <w:color w:val="auto"/>
          <w:sz w:val="21"/>
          <w:szCs w:val="21"/>
          <w:highlight w:val="none"/>
        </w:rPr>
        <w:t>六、其他补充事宜</w:t>
      </w:r>
      <w:bookmarkEnd w:id="43"/>
      <w:bookmarkEnd w:id="44"/>
      <w:bookmarkEnd w:id="45"/>
      <w:bookmarkEnd w:id="46"/>
      <w:bookmarkEnd w:id="47"/>
      <w:bookmarkEnd w:id="48"/>
    </w:p>
    <w:p w14:paraId="2FC14690">
      <w:pPr>
        <w:pStyle w:val="3"/>
        <w:pageBreakBefore w:val="0"/>
        <w:kinsoku/>
        <w:wordWrap/>
        <w:overflowPunct/>
        <w:topLinePunct w:val="0"/>
        <w:bidi w:val="0"/>
        <w:spacing w:before="200" w:after="200" w:line="240" w:lineRule="auto"/>
        <w:ind w:firstLine="420" w:firstLineChars="200"/>
        <w:rPr>
          <w:rFonts w:hint="eastAsia" w:ascii="仿宋" w:hAnsi="仿宋" w:eastAsia="仿宋" w:cs="仿宋"/>
          <w:b w:val="0"/>
          <w:bCs w:val="0"/>
          <w:color w:val="auto"/>
          <w:kern w:val="2"/>
          <w:sz w:val="21"/>
          <w:szCs w:val="21"/>
          <w:highlight w:val="none"/>
          <w:lang w:val="en-US" w:eastAsia="zh-CN" w:bidi="ar-SA"/>
        </w:rPr>
      </w:pPr>
      <w:bookmarkStart w:id="49" w:name="_Toc35393796"/>
      <w:bookmarkStart w:id="50" w:name="_Toc28359008"/>
      <w:bookmarkStart w:id="51" w:name="_Toc20454"/>
      <w:bookmarkStart w:id="52" w:name="_Toc29338"/>
      <w:bookmarkStart w:id="53" w:name="_Toc17282"/>
      <w:bookmarkStart w:id="54" w:name="_Toc28359085"/>
      <w:bookmarkStart w:id="55" w:name="_Toc35393627"/>
      <w:bookmarkStart w:id="56" w:name="_Toc641"/>
      <w:r>
        <w:rPr>
          <w:rFonts w:hint="eastAsia" w:ascii="仿宋" w:hAnsi="仿宋" w:eastAsia="仿宋" w:cs="仿宋"/>
          <w:b w:val="0"/>
          <w:bCs w:val="0"/>
          <w:color w:val="auto"/>
          <w:kern w:val="2"/>
          <w:sz w:val="21"/>
          <w:szCs w:val="21"/>
          <w:highlight w:val="none"/>
          <w:lang w:val="en-US" w:eastAsia="zh-CN" w:bidi="ar-SA"/>
        </w:rPr>
        <w:t>1.发布招标公告的媒介：中国政府采购网、“政采云”平台（http://www.zcygov.cn）同步推送至吉林省政府采购网、长春市公共资源交易网上发布。</w:t>
      </w:r>
    </w:p>
    <w:p w14:paraId="7BE86ECB">
      <w:pPr>
        <w:pStyle w:val="3"/>
        <w:pageBreakBefore w:val="0"/>
        <w:kinsoku/>
        <w:wordWrap/>
        <w:overflowPunct/>
        <w:topLinePunct w:val="0"/>
        <w:bidi w:val="0"/>
        <w:spacing w:before="200" w:after="200" w:line="240" w:lineRule="auto"/>
        <w:ind w:firstLine="420" w:firstLineChars="20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2.若对项目采购电子交易系统操作有疑问，可登录“政采云”平台（https://www.zcygov.cn/），点击右侧咨询小采，获取采小蜜智能服务管家帮助，或拨打政采云服务热线95763获取热线服务帮助。</w:t>
      </w:r>
    </w:p>
    <w:p w14:paraId="6FD664A5">
      <w:pPr>
        <w:pStyle w:val="3"/>
        <w:pageBreakBefore w:val="0"/>
        <w:kinsoku/>
        <w:wordWrap/>
        <w:overflowPunct/>
        <w:topLinePunct w:val="0"/>
        <w:bidi w:val="0"/>
        <w:spacing w:before="200" w:after="200" w:line="24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七、对本次采购提出询问，请按以下方式联系</w:t>
      </w:r>
      <w:bookmarkEnd w:id="49"/>
      <w:bookmarkEnd w:id="50"/>
      <w:bookmarkEnd w:id="51"/>
      <w:bookmarkEnd w:id="52"/>
      <w:bookmarkEnd w:id="53"/>
      <w:bookmarkEnd w:id="54"/>
      <w:bookmarkEnd w:id="55"/>
      <w:bookmarkEnd w:id="56"/>
    </w:p>
    <w:p w14:paraId="26D5E4BF">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1.采购人信息</w:t>
      </w:r>
    </w:p>
    <w:p w14:paraId="7EC87CB1">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采购人：长春市双阳区农田建设服务中心</w:t>
      </w:r>
    </w:p>
    <w:p w14:paraId="37734C93">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地  址：长春市双阳区农业农村局</w:t>
      </w:r>
    </w:p>
    <w:p w14:paraId="1326FF3A">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联 系 人：樊丽英</w:t>
      </w:r>
    </w:p>
    <w:p w14:paraId="0E6257E0">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联系电话：0431－77709295</w:t>
      </w:r>
    </w:p>
    <w:p w14:paraId="7B1EDF39">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2.采购代理机构信息</w:t>
      </w:r>
    </w:p>
    <w:p w14:paraId="2E6A2282">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招标代理机构：中联国际工程管理有限公司</w:t>
      </w:r>
    </w:p>
    <w:p w14:paraId="02956892">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地 址：吉林省长春市朝阳区人民大街4111号兆丰国际大厦12楼1209室</w:t>
      </w:r>
    </w:p>
    <w:p w14:paraId="08A9D4C0">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联系人：李玉锟</w:t>
      </w:r>
    </w:p>
    <w:p w14:paraId="2F77A7EE">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联系电话：15326308767（办公电话）</w:t>
      </w:r>
    </w:p>
    <w:p w14:paraId="7B81896B">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3.项目联系方式</w:t>
      </w:r>
    </w:p>
    <w:p w14:paraId="78F2231A">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项目联系人：李玉锟</w:t>
      </w:r>
    </w:p>
    <w:p w14:paraId="157C7051">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电      话：15326308767</w:t>
      </w:r>
    </w:p>
    <w:p w14:paraId="0C94B960">
      <w:pPr>
        <w:pageBreakBefore w:val="0"/>
        <w:widowControl w:val="0"/>
        <w:kinsoku/>
        <w:overflowPunct/>
        <w:topLinePunct w:val="0"/>
        <w:autoSpaceDE w:val="0"/>
        <w:autoSpaceDN w:val="0"/>
        <w:bidi w:val="0"/>
        <w:adjustRightInd w:val="0"/>
        <w:snapToGrid w:val="0"/>
        <w:spacing w:line="348" w:lineRule="auto"/>
        <w:ind w:firstLine="420" w:firstLineChars="200"/>
        <w:jc w:val="lef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4.行政监督管理部门：长春市双阳区政府采购管理工作办公室</w:t>
      </w:r>
    </w:p>
    <w:p w14:paraId="5B6D84F6">
      <w:pPr>
        <w:pageBreakBefore w:val="0"/>
        <w:kinsoku/>
        <w:wordWrap/>
        <w:overflowPunct/>
        <w:topLinePunct w:val="0"/>
        <w:bidi w:val="0"/>
        <w:spacing w:line="312" w:lineRule="auto"/>
        <w:ind w:firstLine="420" w:firstLineChars="200"/>
        <w:rPr>
          <w:rFonts w:hint="eastAsia" w:ascii="仿宋" w:hAnsi="仿宋" w:eastAsia="仿宋" w:cs="仿宋"/>
          <w:color w:val="auto"/>
          <w:szCs w:val="21"/>
          <w:highlight w:val="none"/>
          <w:lang w:val="zh-CN"/>
        </w:rPr>
      </w:pPr>
    </w:p>
    <w:p w14:paraId="2188403D">
      <w:pPr>
        <w:pStyle w:val="2"/>
        <w:adjustRightInd w:val="0"/>
        <w:snapToGrid w:val="0"/>
        <w:spacing w:before="156" w:beforeLines="50" w:after="156" w:afterLines="50" w:line="24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21"/>
          <w:szCs w:val="21"/>
          <w:highlight w:val="none"/>
          <w:lang w:val="zh-CN"/>
        </w:rPr>
        <w:br w:type="page"/>
      </w:r>
      <w:bookmarkStart w:id="57" w:name="_Toc6211"/>
      <w:r>
        <w:rPr>
          <w:rFonts w:hint="eastAsia" w:ascii="仿宋" w:hAnsi="仿宋" w:eastAsia="仿宋" w:cs="仿宋"/>
          <w:color w:val="auto"/>
          <w:sz w:val="30"/>
          <w:szCs w:val="30"/>
          <w:highlight w:val="none"/>
        </w:rPr>
        <w:t>第二章  投标人须知</w:t>
      </w:r>
      <w:bookmarkEnd w:id="57"/>
    </w:p>
    <w:p w14:paraId="73FF1C32">
      <w:pPr>
        <w:pStyle w:val="3"/>
        <w:adjustRightInd w:val="0"/>
        <w:snapToGrid w:val="0"/>
        <w:spacing w:before="0" w:after="0" w:line="360" w:lineRule="auto"/>
        <w:jc w:val="center"/>
        <w:rPr>
          <w:rFonts w:hint="eastAsia" w:ascii="仿宋" w:hAnsi="仿宋" w:eastAsia="仿宋" w:cs="仿宋"/>
          <w:color w:val="auto"/>
          <w:kern w:val="0"/>
          <w:szCs w:val="28"/>
          <w:highlight w:val="none"/>
        </w:rPr>
      </w:pPr>
      <w:bookmarkStart w:id="58" w:name="_Toc13823"/>
      <w:bookmarkStart w:id="59" w:name="_Toc32262"/>
      <w:bookmarkStart w:id="60" w:name="_Toc17634"/>
      <w:bookmarkStart w:id="61" w:name="_Toc420417621"/>
      <w:bookmarkStart w:id="62" w:name="_Toc457839486"/>
      <w:bookmarkStart w:id="63" w:name="_Toc373389052"/>
      <w:r>
        <w:rPr>
          <w:rFonts w:hint="eastAsia" w:ascii="仿宋" w:hAnsi="仿宋" w:eastAsia="仿宋" w:cs="仿宋"/>
          <w:color w:val="auto"/>
          <w:kern w:val="0"/>
          <w:szCs w:val="28"/>
          <w:highlight w:val="none"/>
        </w:rPr>
        <w:t>投标须知前附表</w:t>
      </w:r>
      <w:bookmarkEnd w:id="58"/>
      <w:bookmarkEnd w:id="59"/>
      <w:bookmarkEnd w:id="60"/>
      <w:bookmarkEnd w:id="61"/>
      <w:bookmarkEnd w:id="62"/>
      <w:bookmarkEnd w:id="63"/>
    </w:p>
    <w:tbl>
      <w:tblPr>
        <w:tblStyle w:val="18"/>
        <w:tblW w:w="105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105"/>
        <w:gridCol w:w="7513"/>
      </w:tblGrid>
      <w:tr w14:paraId="55BD7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895" w:type="dxa"/>
            <w:tcBorders>
              <w:top w:val="single" w:color="auto" w:sz="6" w:space="0"/>
              <w:left w:val="single" w:color="auto" w:sz="6" w:space="0"/>
              <w:bottom w:val="single" w:color="auto" w:sz="6" w:space="0"/>
            </w:tcBorders>
            <w:noWrap w:val="0"/>
            <w:tcMar>
              <w:left w:w="0" w:type="dxa"/>
              <w:right w:w="0" w:type="dxa"/>
            </w:tcMar>
            <w:vAlign w:val="top"/>
          </w:tcPr>
          <w:p w14:paraId="1EC46BE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105" w:type="dxa"/>
            <w:tcBorders>
              <w:top w:val="single" w:color="auto" w:sz="6" w:space="0"/>
              <w:bottom w:val="single" w:color="auto" w:sz="6" w:space="0"/>
            </w:tcBorders>
            <w:noWrap w:val="0"/>
            <w:tcMar>
              <w:left w:w="0" w:type="dxa"/>
              <w:right w:w="0" w:type="dxa"/>
            </w:tcMar>
            <w:vAlign w:val="top"/>
          </w:tcPr>
          <w:p w14:paraId="048CB0A2">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7513" w:type="dxa"/>
            <w:tcBorders>
              <w:top w:val="single" w:color="auto" w:sz="6" w:space="0"/>
              <w:bottom w:val="single" w:color="auto" w:sz="6" w:space="0"/>
              <w:right w:val="single" w:color="auto" w:sz="6" w:space="0"/>
            </w:tcBorders>
            <w:noWrap w:val="0"/>
            <w:tcMar>
              <w:left w:w="0" w:type="dxa"/>
              <w:right w:w="0" w:type="dxa"/>
            </w:tcMar>
            <w:vAlign w:val="top"/>
          </w:tcPr>
          <w:p w14:paraId="2DBD1A2F">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编列内容</w:t>
            </w:r>
          </w:p>
        </w:tc>
      </w:tr>
      <w:tr w14:paraId="75F1F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0F40D08">
            <w:pPr>
              <w:pStyle w:val="5"/>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2105" w:type="dxa"/>
            <w:tcBorders>
              <w:top w:val="single" w:color="auto" w:sz="6" w:space="0"/>
              <w:bottom w:val="single" w:color="auto" w:sz="6" w:space="0"/>
            </w:tcBorders>
            <w:noWrap w:val="0"/>
            <w:tcMar>
              <w:left w:w="0" w:type="dxa"/>
              <w:right w:w="0" w:type="dxa"/>
            </w:tcMar>
            <w:vAlign w:val="center"/>
          </w:tcPr>
          <w:p w14:paraId="574AE93F">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采购人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B9D07B0">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采购人：长春市双阳区农田建设服务中心</w:t>
            </w:r>
          </w:p>
          <w:p w14:paraId="0B52FD2E">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地  址：长春市双阳区农业农村局</w:t>
            </w:r>
          </w:p>
          <w:p w14:paraId="719B0725">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联 系 人：樊丽英</w:t>
            </w:r>
          </w:p>
          <w:p w14:paraId="04B541F9">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 xml:space="preserve">联系电话：0431－77709295 </w:t>
            </w:r>
          </w:p>
        </w:tc>
      </w:tr>
      <w:tr w14:paraId="4D0A5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A5B8A82">
            <w:pPr>
              <w:pStyle w:val="5"/>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2105" w:type="dxa"/>
            <w:tcBorders>
              <w:top w:val="single" w:color="auto" w:sz="6" w:space="0"/>
              <w:bottom w:val="single" w:color="auto" w:sz="6" w:space="0"/>
            </w:tcBorders>
            <w:noWrap w:val="0"/>
            <w:tcMar>
              <w:left w:w="0" w:type="dxa"/>
              <w:right w:w="0" w:type="dxa"/>
            </w:tcMar>
            <w:vAlign w:val="center"/>
          </w:tcPr>
          <w:p w14:paraId="347AC7C4">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采购代理机构</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83FD1F2">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招标代理机构：中联国际工程管理有限公司</w:t>
            </w:r>
          </w:p>
          <w:p w14:paraId="7CBA42A9">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地 址：吉林省长春市朝阳区人民大街4111号兆丰国际大厦12楼1209室</w:t>
            </w:r>
          </w:p>
          <w:p w14:paraId="41D4BC6B">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联系人：李玉锟</w:t>
            </w:r>
          </w:p>
          <w:p w14:paraId="02ED5AB0">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联系电话：15326308767（办公电话）</w:t>
            </w:r>
          </w:p>
        </w:tc>
      </w:tr>
      <w:tr w14:paraId="70BF3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44D63EC">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2105" w:type="dxa"/>
            <w:tcBorders>
              <w:top w:val="single" w:color="auto" w:sz="6" w:space="0"/>
              <w:bottom w:val="single" w:color="auto" w:sz="6" w:space="0"/>
            </w:tcBorders>
            <w:noWrap w:val="0"/>
            <w:tcMar>
              <w:left w:w="0" w:type="dxa"/>
              <w:right w:w="0" w:type="dxa"/>
            </w:tcMar>
            <w:vAlign w:val="center"/>
          </w:tcPr>
          <w:p w14:paraId="6DE6C048">
            <w:pPr>
              <w:pStyle w:val="24"/>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项目名称及项目编号</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E6FC552">
            <w:pPr>
              <w:pStyle w:val="24"/>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zh-CN"/>
              </w:rPr>
              <w:t>项目名称：</w:t>
            </w:r>
            <w:r>
              <w:rPr>
                <w:rFonts w:hint="eastAsia" w:ascii="仿宋" w:hAnsi="仿宋" w:eastAsia="仿宋" w:cs="仿宋"/>
                <w:bCs/>
                <w:color w:val="auto"/>
                <w:kern w:val="2"/>
                <w:sz w:val="21"/>
                <w:szCs w:val="21"/>
                <w:highlight w:val="none"/>
                <w:lang w:val="zh-CN" w:eastAsia="zh-CN"/>
              </w:rPr>
              <w:t>双阳区农田水系“一张网”和农田沟渠整治“一张图”服务机构选定项目</w:t>
            </w:r>
            <w:r>
              <w:rPr>
                <w:rFonts w:hint="eastAsia" w:ascii="仿宋" w:hAnsi="仿宋" w:eastAsia="仿宋" w:cs="仿宋"/>
                <w:bCs/>
                <w:color w:val="auto"/>
                <w:kern w:val="2"/>
                <w:sz w:val="21"/>
                <w:szCs w:val="21"/>
                <w:highlight w:val="none"/>
                <w:lang w:val="en-US" w:eastAsia="zh-CN"/>
              </w:rPr>
              <w:t xml:space="preserve"> </w:t>
            </w:r>
          </w:p>
          <w:p w14:paraId="59B012F8">
            <w:pPr>
              <w:pStyle w:val="24"/>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zh-CN"/>
              </w:rPr>
              <w:t>项目编号：ZLZB-JL-2025-005</w:t>
            </w:r>
          </w:p>
        </w:tc>
      </w:tr>
      <w:tr w14:paraId="7D5F1E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A6CB083">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2105" w:type="dxa"/>
            <w:tcBorders>
              <w:top w:val="single" w:color="auto" w:sz="6" w:space="0"/>
              <w:bottom w:val="single" w:color="auto" w:sz="6" w:space="0"/>
            </w:tcBorders>
            <w:noWrap w:val="0"/>
            <w:tcMar>
              <w:left w:w="0" w:type="dxa"/>
              <w:right w:w="0" w:type="dxa"/>
            </w:tcMar>
            <w:vAlign w:val="center"/>
          </w:tcPr>
          <w:p w14:paraId="5B13FECA">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项目地点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D20CE50">
            <w:pPr>
              <w:pStyle w:val="24"/>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采购人指定地点</w:t>
            </w:r>
          </w:p>
        </w:tc>
      </w:tr>
      <w:tr w14:paraId="57304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DEDE763">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2105" w:type="dxa"/>
            <w:tcBorders>
              <w:top w:val="single" w:color="auto" w:sz="6" w:space="0"/>
            </w:tcBorders>
            <w:noWrap w:val="0"/>
            <w:tcMar>
              <w:left w:w="0" w:type="dxa"/>
              <w:right w:w="0" w:type="dxa"/>
            </w:tcMar>
            <w:vAlign w:val="center"/>
          </w:tcPr>
          <w:p w14:paraId="7AE4D73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资金来源及比例</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EEC8533">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100%财政资金</w:t>
            </w:r>
          </w:p>
        </w:tc>
      </w:tr>
      <w:tr w14:paraId="21F28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AC85E5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w:t>
            </w:r>
          </w:p>
        </w:tc>
        <w:tc>
          <w:tcPr>
            <w:tcW w:w="2105" w:type="dxa"/>
            <w:tcBorders>
              <w:top w:val="single" w:color="auto" w:sz="6" w:space="0"/>
            </w:tcBorders>
            <w:noWrap w:val="0"/>
            <w:tcMar>
              <w:left w:w="0" w:type="dxa"/>
              <w:right w:w="0" w:type="dxa"/>
            </w:tcMar>
            <w:vAlign w:val="center"/>
          </w:tcPr>
          <w:p w14:paraId="32C3FA68">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资金落实情况</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418F446">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已落实</w:t>
            </w:r>
          </w:p>
        </w:tc>
      </w:tr>
      <w:tr w14:paraId="416BA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895" w:type="dxa"/>
            <w:tcBorders>
              <w:top w:val="single" w:color="auto" w:sz="6" w:space="0"/>
              <w:left w:val="single" w:color="auto" w:sz="6" w:space="0"/>
            </w:tcBorders>
            <w:noWrap w:val="0"/>
            <w:tcMar>
              <w:left w:w="0" w:type="dxa"/>
              <w:right w:w="0" w:type="dxa"/>
            </w:tcMar>
            <w:vAlign w:val="center"/>
          </w:tcPr>
          <w:p w14:paraId="4DCFCA40">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2105" w:type="dxa"/>
            <w:tcBorders>
              <w:top w:val="single" w:color="auto" w:sz="6" w:space="0"/>
              <w:bottom w:val="single" w:color="auto" w:sz="6" w:space="0"/>
            </w:tcBorders>
            <w:noWrap w:val="0"/>
            <w:tcMar>
              <w:left w:w="0" w:type="dxa"/>
              <w:right w:w="0" w:type="dxa"/>
            </w:tcMar>
            <w:vAlign w:val="center"/>
          </w:tcPr>
          <w:p w14:paraId="1C0BBABA">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采购需求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473F201">
            <w:pPr>
              <w:pageBreakBefore w:val="0"/>
              <w:kinsoku/>
              <w:wordWrap/>
              <w:overflowPunct/>
              <w:topLinePunct w:val="0"/>
              <w:bidi w:val="0"/>
              <w:adjustRightInd w:val="0"/>
              <w:snapToGrid w:val="0"/>
              <w:spacing w:line="360" w:lineRule="auto"/>
              <w:rPr>
                <w:rFonts w:hint="default" w:ascii="仿宋" w:hAnsi="仿宋" w:eastAsia="仿宋" w:cs="仿宋"/>
                <w:color w:val="auto"/>
                <w:szCs w:val="21"/>
                <w:highlight w:val="none"/>
                <w:lang w:val="en-US"/>
              </w:rPr>
            </w:pPr>
            <w:r>
              <w:rPr>
                <w:rFonts w:hint="eastAsia" w:ascii="仿宋" w:hAnsi="仿宋" w:eastAsia="仿宋" w:cs="仿宋"/>
                <w:color w:val="auto"/>
                <w:highlight w:val="none"/>
                <w:lang w:val="en-US" w:eastAsia="zh-CN"/>
              </w:rPr>
              <w:t>绘制全市农田水系一张网，农田沟渠整治一张图。以不同线型和图层区分排灌沟渠，灌溉与排水渠系按干、支、斗、农四级绘制，不足四级渠系的按实际绘制，具体服务要求详见第五章；</w:t>
            </w:r>
          </w:p>
        </w:tc>
      </w:tr>
      <w:tr w14:paraId="7AB40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B0B1588">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2105" w:type="dxa"/>
            <w:tcBorders>
              <w:top w:val="single" w:color="auto" w:sz="6" w:space="0"/>
              <w:bottom w:val="single" w:color="auto" w:sz="6" w:space="0"/>
            </w:tcBorders>
            <w:noWrap w:val="0"/>
            <w:tcMar>
              <w:left w:w="0" w:type="dxa"/>
              <w:right w:w="0" w:type="dxa"/>
            </w:tcMar>
            <w:vAlign w:val="center"/>
          </w:tcPr>
          <w:p w14:paraId="069D0144">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合同履行期限</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2C83B22">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highlight w:val="none"/>
                <w:lang w:val="en-US" w:eastAsia="zh-CN"/>
              </w:rPr>
              <w:t>自合同签订之日起90日</w:t>
            </w:r>
          </w:p>
        </w:tc>
      </w:tr>
      <w:tr w14:paraId="64608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ED95B74">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w:t>
            </w:r>
          </w:p>
        </w:tc>
        <w:tc>
          <w:tcPr>
            <w:tcW w:w="2105" w:type="dxa"/>
            <w:tcBorders>
              <w:top w:val="single" w:color="auto" w:sz="6" w:space="0"/>
              <w:bottom w:val="single" w:color="auto" w:sz="6" w:space="0"/>
            </w:tcBorders>
            <w:noWrap w:val="0"/>
            <w:tcMar>
              <w:left w:w="0" w:type="dxa"/>
              <w:right w:w="0" w:type="dxa"/>
            </w:tcMar>
            <w:vAlign w:val="center"/>
          </w:tcPr>
          <w:p w14:paraId="65A708FB">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服务标准</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D05CC0C">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lang w:val="zh-CN"/>
              </w:rPr>
            </w:pPr>
            <w:r>
              <w:rPr>
                <w:rFonts w:hint="eastAsia" w:ascii="仿宋" w:hAnsi="仿宋" w:eastAsia="仿宋" w:cs="仿宋"/>
                <w:color w:val="auto"/>
                <w:highlight w:val="none"/>
                <w:lang w:val="en-US" w:eastAsia="zh-CN"/>
              </w:rPr>
              <w:t>符合国家及相关行业规定的合格标准</w:t>
            </w:r>
          </w:p>
        </w:tc>
      </w:tr>
      <w:tr w14:paraId="415E6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D66BD3B">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2105" w:type="dxa"/>
            <w:tcBorders>
              <w:top w:val="single" w:color="auto" w:sz="6" w:space="0"/>
              <w:bottom w:val="single" w:color="auto" w:sz="6" w:space="0"/>
            </w:tcBorders>
            <w:noWrap w:val="0"/>
            <w:tcMar>
              <w:left w:w="0" w:type="dxa"/>
              <w:right w:w="0" w:type="dxa"/>
            </w:tcMar>
            <w:vAlign w:val="center"/>
          </w:tcPr>
          <w:p w14:paraId="29FF9009">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投标人资质条件、能力和信誉</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D732E0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（1）本次采购要求</w:t>
            </w: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须在中华人民共和国境内合法注册，具有独立承担民事责任的能力</w:t>
            </w:r>
            <w:r>
              <w:rPr>
                <w:rFonts w:hint="eastAsia" w:ascii="仿宋" w:hAnsi="仿宋" w:eastAsia="仿宋" w:cs="仿宋"/>
                <w:color w:val="auto"/>
                <w:szCs w:val="21"/>
                <w:highlight w:val="none"/>
                <w:lang w:eastAsia="zh-CN"/>
              </w:rPr>
              <w:t>。须具有行政主管部门颁发的工程测量、界线与不动产测绘乙级及以上资质</w:t>
            </w:r>
            <w:r>
              <w:rPr>
                <w:rFonts w:hint="eastAsia" w:ascii="仿宋" w:hAnsi="仿宋" w:eastAsia="仿宋" w:cs="仿宋"/>
                <w:color w:val="auto"/>
                <w:szCs w:val="21"/>
                <w:highlight w:val="none"/>
              </w:rPr>
              <w:t>，并在人员、设备、资金等方面具有相应的</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能力；</w:t>
            </w:r>
          </w:p>
          <w:p w14:paraId="763AC5B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2"/>
                <w:sz w:val="21"/>
                <w:szCs w:val="21"/>
                <w:highlight w:val="none"/>
                <w:lang w:val="en-US" w:eastAsia="zh-CN" w:bidi="ar-SA"/>
              </w:rPr>
              <w:t>（2）</w:t>
            </w:r>
            <w:r>
              <w:rPr>
                <w:rFonts w:hint="eastAsia" w:ascii="仿宋" w:hAnsi="仿宋" w:eastAsia="仿宋" w:cs="仿宋"/>
                <w:color w:val="auto"/>
                <w:sz w:val="21"/>
                <w:szCs w:val="21"/>
                <w:highlight w:val="none"/>
              </w:rPr>
              <w:t>具有良好的商业信誉和健全的财务会计制度，</w:t>
            </w:r>
            <w:r>
              <w:rPr>
                <w:rFonts w:hint="eastAsia" w:ascii="仿宋" w:hAnsi="仿宋" w:eastAsia="仿宋" w:cs="仿宋"/>
                <w:color w:val="auto"/>
                <w:sz w:val="21"/>
                <w:szCs w:val="21"/>
                <w:highlight w:val="none"/>
                <w:lang w:val="en-US" w:eastAsia="zh-CN"/>
              </w:rPr>
              <w:t>并具有</w:t>
            </w:r>
            <w:r>
              <w:rPr>
                <w:rFonts w:hint="eastAsia" w:ascii="仿宋" w:hAnsi="仿宋" w:eastAsia="仿宋" w:cs="仿宋"/>
                <w:color w:val="auto"/>
                <w:sz w:val="21"/>
                <w:szCs w:val="21"/>
                <w:highlight w:val="none"/>
              </w:rPr>
              <w:t>依法缴纳税收和社会保障资金的良好记录，</w:t>
            </w:r>
            <w:r>
              <w:rPr>
                <w:rFonts w:hint="eastAsia" w:ascii="仿宋" w:hAnsi="仿宋" w:eastAsia="仿宋" w:cs="仿宋"/>
                <w:color w:val="auto"/>
                <w:sz w:val="21"/>
                <w:szCs w:val="21"/>
                <w:highlight w:val="none"/>
                <w:lang w:val="en-US" w:eastAsia="zh-CN"/>
              </w:rPr>
              <w:t>参照</w:t>
            </w:r>
            <w:r>
              <w:rPr>
                <w:rFonts w:hint="eastAsia" w:ascii="仿宋" w:hAnsi="仿宋" w:eastAsia="仿宋" w:cs="仿宋"/>
                <w:color w:val="auto"/>
                <w:sz w:val="21"/>
                <w:szCs w:val="21"/>
                <w:highlight w:val="none"/>
              </w:rPr>
              <w:t>《关于加强政府采购信用体系建设简化供应商资格条件有关事项的通知》（长财采购[2022]2066号）</w:t>
            </w:r>
            <w:r>
              <w:rPr>
                <w:rFonts w:hint="eastAsia" w:ascii="仿宋" w:hAnsi="仿宋" w:eastAsia="仿宋" w:cs="仿宋"/>
                <w:color w:val="auto"/>
                <w:sz w:val="21"/>
                <w:szCs w:val="21"/>
                <w:highlight w:val="none"/>
                <w:lang w:val="en-US" w:eastAsia="zh-CN"/>
              </w:rPr>
              <w:t>文件要求，</w:t>
            </w:r>
            <w:r>
              <w:rPr>
                <w:rFonts w:hint="eastAsia" w:ascii="仿宋" w:hAnsi="仿宋" w:eastAsia="仿宋" w:cs="仿宋"/>
                <w:color w:val="auto"/>
                <w:sz w:val="21"/>
                <w:szCs w:val="21"/>
                <w:highlight w:val="none"/>
              </w:rPr>
              <w:t>提供资格条件承诺函；</w:t>
            </w:r>
          </w:p>
          <w:p w14:paraId="5A526470">
            <w:pPr>
              <w:pageBreakBefore w:val="0"/>
              <w:kinsoku/>
              <w:wordWrap/>
              <w:overflowPunct/>
              <w:topLinePunct w:val="0"/>
              <w:bidi w:val="0"/>
              <w:spacing w:line="312"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）不接受被政府列入取消投标资格期限内的企业或个人参加投标。</w:t>
            </w:r>
            <w:r>
              <w:rPr>
                <w:rFonts w:hint="eastAsia" w:ascii="仿宋" w:hAnsi="仿宋" w:eastAsia="仿宋" w:cs="仿宋"/>
                <w:color w:val="auto"/>
                <w:szCs w:val="21"/>
                <w:highlight w:val="none"/>
                <w:lang w:val="zh-CN"/>
              </w:rPr>
              <w:t>参加政府采购活动前3年内在经营活动中没有重大违法记录；</w:t>
            </w:r>
          </w:p>
          <w:p w14:paraId="29C5EA61">
            <w:pPr>
              <w:pageBreakBefore w:val="0"/>
              <w:kinsoku/>
              <w:wordWrap/>
              <w:overflowPunct/>
              <w:topLinePunct w:val="0"/>
              <w:bidi w:val="0"/>
              <w:spacing w:line="312"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与</w:t>
            </w:r>
            <w:r>
              <w:rPr>
                <w:rFonts w:hint="eastAsia" w:ascii="仿宋" w:hAnsi="仿宋" w:eastAsia="仿宋" w:cs="仿宋"/>
                <w:color w:val="auto"/>
                <w:szCs w:val="21"/>
                <w:highlight w:val="none"/>
                <w:lang w:val="en-US" w:eastAsia="zh-CN"/>
              </w:rPr>
              <w:t>招标人</w:t>
            </w:r>
            <w:r>
              <w:rPr>
                <w:rFonts w:hint="eastAsia" w:ascii="仿宋" w:hAnsi="仿宋" w:eastAsia="仿宋" w:cs="仿宋"/>
                <w:color w:val="auto"/>
                <w:szCs w:val="21"/>
                <w:highlight w:val="none"/>
                <w:lang w:val="zh-CN"/>
              </w:rPr>
              <w:t>存在利害关系可能影响招标公正性的法人、其他组织或者个人，不得参加投标。单位负责人为同一人或者存在控股、管理关系的不同单位，不得参加同一标段投标或者未划分标段的同一采购</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项目投标。违反这两款规定的，相关投标均无效；</w:t>
            </w:r>
          </w:p>
          <w:p w14:paraId="0688C002">
            <w:pPr>
              <w:pageBreakBefore w:val="0"/>
              <w:kinsoku/>
              <w:wordWrap/>
              <w:overflowPunct/>
              <w:topLinePunct w:val="0"/>
              <w:bidi w:val="0"/>
              <w:spacing w:line="312" w:lineRule="auto"/>
              <w:rPr>
                <w:rFonts w:hint="eastAsia" w:ascii="仿宋" w:hAnsi="仿宋" w:eastAsia="仿宋" w:cs="仿宋"/>
                <w:bCs/>
                <w:color w:val="auto"/>
                <w:szCs w:val="21"/>
                <w:highlight w:val="none"/>
                <w:lang w:val="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）本项目不接受被列入失信被执行人、重大税收违法案件当事人名单、政府采购严重违法失信行为记录名单的</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zCs w:val="21"/>
                <w:highlight w:val="none"/>
              </w:rPr>
              <w:t>参与投标（详见财库[2016]125号文件）</w:t>
            </w:r>
            <w:r>
              <w:rPr>
                <w:rFonts w:hint="eastAsia" w:ascii="仿宋" w:hAnsi="仿宋" w:eastAsia="仿宋" w:cs="仿宋"/>
                <w:color w:val="auto"/>
                <w:szCs w:val="21"/>
                <w:highlight w:val="none"/>
                <w:lang w:eastAsia="zh-CN"/>
              </w:rPr>
              <w:t>。</w:t>
            </w:r>
          </w:p>
        </w:tc>
      </w:tr>
      <w:tr w14:paraId="15998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E68E07E">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w:t>
            </w:r>
          </w:p>
        </w:tc>
        <w:tc>
          <w:tcPr>
            <w:tcW w:w="2105" w:type="dxa"/>
            <w:tcBorders>
              <w:top w:val="single" w:color="auto" w:sz="6" w:space="0"/>
              <w:bottom w:val="single" w:color="auto" w:sz="6" w:space="0"/>
            </w:tcBorders>
            <w:noWrap w:val="0"/>
            <w:tcMar>
              <w:left w:w="0" w:type="dxa"/>
              <w:right w:w="0" w:type="dxa"/>
            </w:tcMar>
            <w:vAlign w:val="center"/>
          </w:tcPr>
          <w:p w14:paraId="54DC4459">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是否接受联合体投标</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47ABB2A">
            <w:pPr>
              <w:keepNext w:val="0"/>
              <w:keepLines w:val="0"/>
              <w:pageBreakBefore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不</w:t>
            </w:r>
            <w:r>
              <w:rPr>
                <w:rFonts w:hint="eastAsia" w:ascii="仿宋" w:hAnsi="仿宋" w:eastAsia="仿宋" w:cs="仿宋"/>
                <w:color w:val="auto"/>
                <w:highlight w:val="none"/>
              </w:rPr>
              <w:t>接受</w:t>
            </w:r>
          </w:p>
        </w:tc>
      </w:tr>
      <w:tr w14:paraId="090D4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F36A970">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w:t>
            </w:r>
          </w:p>
        </w:tc>
        <w:tc>
          <w:tcPr>
            <w:tcW w:w="2105" w:type="dxa"/>
            <w:tcBorders>
              <w:top w:val="single" w:color="auto" w:sz="6" w:space="0"/>
              <w:bottom w:val="single" w:color="auto" w:sz="6" w:space="0"/>
            </w:tcBorders>
            <w:noWrap w:val="0"/>
            <w:tcMar>
              <w:left w:w="0" w:type="dxa"/>
              <w:right w:w="0" w:type="dxa"/>
            </w:tcMar>
            <w:vAlign w:val="center"/>
          </w:tcPr>
          <w:p w14:paraId="455E72E2">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踏勘现场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66EDB5C">
            <w:pPr>
              <w:keepNext w:val="0"/>
              <w:keepLines w:val="0"/>
              <w:pageBreakBefore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不组织</w:t>
            </w:r>
          </w:p>
        </w:tc>
      </w:tr>
      <w:tr w14:paraId="359549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9607EDF">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w:t>
            </w:r>
          </w:p>
        </w:tc>
        <w:tc>
          <w:tcPr>
            <w:tcW w:w="2105" w:type="dxa"/>
            <w:tcBorders>
              <w:top w:val="single" w:color="auto" w:sz="6" w:space="0"/>
              <w:bottom w:val="single" w:color="auto" w:sz="6" w:space="0"/>
            </w:tcBorders>
            <w:noWrap w:val="0"/>
            <w:tcMar>
              <w:left w:w="0" w:type="dxa"/>
              <w:right w:w="0" w:type="dxa"/>
            </w:tcMar>
            <w:vAlign w:val="center"/>
          </w:tcPr>
          <w:p w14:paraId="7A2A6E0E">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投标预备会</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96868B7">
            <w:pPr>
              <w:keepNext w:val="0"/>
              <w:keepLines w:val="0"/>
              <w:pageBreakBefore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不召开</w:t>
            </w:r>
          </w:p>
        </w:tc>
      </w:tr>
      <w:tr w14:paraId="5F650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9C9A11F">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1.10.1</w:t>
            </w:r>
          </w:p>
        </w:tc>
        <w:tc>
          <w:tcPr>
            <w:tcW w:w="2105" w:type="dxa"/>
            <w:tcBorders>
              <w:top w:val="single" w:color="auto" w:sz="6" w:space="0"/>
              <w:bottom w:val="single" w:color="auto" w:sz="6" w:space="0"/>
            </w:tcBorders>
            <w:noWrap w:val="0"/>
            <w:tcMar>
              <w:left w:w="0" w:type="dxa"/>
              <w:right w:w="0" w:type="dxa"/>
            </w:tcMar>
            <w:vAlign w:val="center"/>
          </w:tcPr>
          <w:p w14:paraId="4D3EE810">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投标人提出问题的截止时间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CF3BEA7">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投标疑问的提出：</w:t>
            </w:r>
          </w:p>
          <w:p w14:paraId="70C34987">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提交投标疑问截止时间：投标截止时间前10天</w:t>
            </w:r>
          </w:p>
          <w:p w14:paraId="24CE36BA">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提交地址：</w:t>
            </w:r>
            <w:r>
              <w:rPr>
                <w:rFonts w:hint="eastAsia" w:ascii="仿宋" w:hAnsi="仿宋" w:eastAsia="仿宋" w:cs="仿宋"/>
                <w:bCs/>
                <w:color w:val="auto"/>
                <w:szCs w:val="21"/>
                <w:highlight w:val="none"/>
                <w:lang w:val="zh-CN"/>
              </w:rPr>
              <w:t>中联国际工程管理有限公司</w:t>
            </w:r>
            <w:r>
              <w:rPr>
                <w:rFonts w:hint="eastAsia" w:ascii="仿宋" w:hAnsi="仿宋" w:eastAsia="仿宋" w:cs="仿宋"/>
                <w:color w:val="auto"/>
                <w:kern w:val="0"/>
                <w:szCs w:val="21"/>
                <w:highlight w:val="none"/>
              </w:rPr>
              <w:t>，同时将电子版word版发送到采购代理公司邮箱（</w:t>
            </w:r>
            <w:r>
              <w:rPr>
                <w:rFonts w:hint="eastAsia" w:ascii="仿宋" w:hAnsi="仿宋" w:eastAsia="仿宋" w:cs="仿宋"/>
                <w:color w:val="auto"/>
                <w:kern w:val="0"/>
                <w:szCs w:val="21"/>
                <w:highlight w:val="none"/>
                <w:lang w:eastAsia="zh-CN"/>
              </w:rPr>
              <w:t>zljl001@126.com</w:t>
            </w:r>
            <w:r>
              <w:rPr>
                <w:rFonts w:hint="eastAsia" w:ascii="仿宋" w:hAnsi="仿宋" w:eastAsia="仿宋" w:cs="仿宋"/>
                <w:color w:val="auto"/>
                <w:kern w:val="0"/>
                <w:szCs w:val="21"/>
                <w:highlight w:val="none"/>
              </w:rPr>
              <w:t xml:space="preserve">）  </w:t>
            </w:r>
          </w:p>
          <w:p w14:paraId="0A0FF0E2">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李先生</w:t>
            </w:r>
          </w:p>
          <w:p w14:paraId="77D25005">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电话：</w:t>
            </w:r>
            <w:r>
              <w:rPr>
                <w:rFonts w:hint="eastAsia" w:ascii="仿宋" w:hAnsi="仿宋" w:eastAsia="仿宋" w:cs="仿宋"/>
                <w:color w:val="auto"/>
                <w:kern w:val="0"/>
                <w:szCs w:val="21"/>
                <w:highlight w:val="none"/>
                <w:lang w:val="en-US" w:eastAsia="zh-CN"/>
              </w:rPr>
              <w:t>15326308767</w:t>
            </w:r>
          </w:p>
          <w:p w14:paraId="79680ED4">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用A4纸打印，一式五份，并加盖公章，格式见附页。</w:t>
            </w:r>
          </w:p>
          <w:p w14:paraId="05E26C66">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若投标人未按规定提交，则视为其无疑问。</w:t>
            </w:r>
          </w:p>
        </w:tc>
      </w:tr>
      <w:tr w14:paraId="25488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6FA56847">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1.10.2</w:t>
            </w:r>
          </w:p>
        </w:tc>
        <w:tc>
          <w:tcPr>
            <w:tcW w:w="2105" w:type="dxa"/>
            <w:tcBorders>
              <w:top w:val="single" w:color="auto" w:sz="6" w:space="0"/>
              <w:bottom w:val="single" w:color="auto" w:sz="6" w:space="0"/>
            </w:tcBorders>
            <w:noWrap w:val="0"/>
            <w:tcMar>
              <w:left w:w="0" w:type="dxa"/>
              <w:right w:w="0" w:type="dxa"/>
            </w:tcMar>
            <w:vAlign w:val="center"/>
          </w:tcPr>
          <w:p w14:paraId="7BADC0C4">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采购人书面澄清的</w:t>
            </w:r>
          </w:p>
          <w:p w14:paraId="64426B95">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A6E0DB7">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0"/>
                <w:sz w:val="21"/>
                <w:szCs w:val="21"/>
                <w:highlight w:val="none"/>
                <w:lang w:val="en-US" w:eastAsia="zh-CN" w:bidi="ar-SA"/>
              </w:rPr>
              <w:t>投标截止时间前15日</w:t>
            </w:r>
          </w:p>
        </w:tc>
      </w:tr>
      <w:tr w14:paraId="2C2C5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4CB73CEF">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1.11.1</w:t>
            </w:r>
          </w:p>
        </w:tc>
        <w:tc>
          <w:tcPr>
            <w:tcW w:w="2105" w:type="dxa"/>
            <w:tcBorders>
              <w:top w:val="single" w:color="auto" w:sz="6" w:space="0"/>
              <w:bottom w:val="single" w:color="auto" w:sz="6" w:space="0"/>
            </w:tcBorders>
            <w:noWrap w:val="0"/>
            <w:tcMar>
              <w:left w:w="0" w:type="dxa"/>
              <w:right w:w="0" w:type="dxa"/>
            </w:tcMar>
            <w:vAlign w:val="center"/>
          </w:tcPr>
          <w:p w14:paraId="1A683ECA">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3C7D69E">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不允许</w:t>
            </w:r>
          </w:p>
        </w:tc>
      </w:tr>
      <w:tr w14:paraId="69C909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08F799DD">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1.12.3</w:t>
            </w:r>
          </w:p>
        </w:tc>
        <w:tc>
          <w:tcPr>
            <w:tcW w:w="2105" w:type="dxa"/>
            <w:tcBorders>
              <w:top w:val="single" w:color="auto" w:sz="6" w:space="0"/>
              <w:bottom w:val="single" w:color="auto" w:sz="6" w:space="0"/>
            </w:tcBorders>
            <w:noWrap w:val="0"/>
            <w:tcMar>
              <w:left w:w="0" w:type="dxa"/>
              <w:right w:w="0" w:type="dxa"/>
            </w:tcMar>
            <w:vAlign w:val="center"/>
          </w:tcPr>
          <w:p w14:paraId="01C26EC2">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C79D459">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不允许</w:t>
            </w:r>
          </w:p>
        </w:tc>
      </w:tr>
      <w:tr w14:paraId="4A9009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68DDE92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2105" w:type="dxa"/>
            <w:tcBorders>
              <w:top w:val="single" w:color="auto" w:sz="6" w:space="0"/>
              <w:bottom w:val="single" w:color="auto" w:sz="6" w:space="0"/>
            </w:tcBorders>
            <w:noWrap w:val="0"/>
            <w:tcMar>
              <w:left w:w="0" w:type="dxa"/>
              <w:right w:w="0" w:type="dxa"/>
            </w:tcMar>
            <w:vAlign w:val="center"/>
          </w:tcPr>
          <w:p w14:paraId="12B883D8">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构成采购文件的</w:t>
            </w:r>
          </w:p>
          <w:p w14:paraId="5F55F48C">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其他材料</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2A8DA1B">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w:t>
            </w:r>
          </w:p>
        </w:tc>
      </w:tr>
      <w:tr w14:paraId="3E7BC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895" w:type="dxa"/>
            <w:tcBorders>
              <w:top w:val="single" w:color="auto" w:sz="4" w:space="0"/>
              <w:left w:val="single" w:color="auto" w:sz="6" w:space="0"/>
              <w:bottom w:val="single" w:color="auto" w:sz="4" w:space="0"/>
            </w:tcBorders>
            <w:noWrap w:val="0"/>
            <w:tcMar>
              <w:left w:w="0" w:type="dxa"/>
              <w:right w:w="0" w:type="dxa"/>
            </w:tcMar>
            <w:vAlign w:val="center"/>
          </w:tcPr>
          <w:p w14:paraId="67BE49C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w:t>
            </w:r>
          </w:p>
        </w:tc>
        <w:tc>
          <w:tcPr>
            <w:tcW w:w="2105" w:type="dxa"/>
            <w:tcBorders>
              <w:top w:val="single" w:color="auto" w:sz="6" w:space="0"/>
              <w:bottom w:val="single" w:color="auto" w:sz="6" w:space="0"/>
            </w:tcBorders>
            <w:noWrap w:val="0"/>
            <w:tcMar>
              <w:left w:w="0" w:type="dxa"/>
              <w:right w:w="0" w:type="dxa"/>
            </w:tcMar>
            <w:vAlign w:val="center"/>
          </w:tcPr>
          <w:p w14:paraId="7819A73D">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投标人确认收到采购文件澄清的时间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1958FDAF">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lang w:val="zh-CN"/>
              </w:rPr>
            </w:pPr>
            <w:r>
              <w:rPr>
                <w:rFonts w:hint="eastAsia" w:ascii="仿宋" w:hAnsi="仿宋" w:eastAsia="仿宋" w:cs="仿宋"/>
                <w:color w:val="auto"/>
                <w:highlight w:val="none"/>
              </w:rPr>
              <w:t>在收到相应澄清文件后</w:t>
            </w:r>
            <w:r>
              <w:rPr>
                <w:rFonts w:hint="eastAsia" w:ascii="仿宋" w:hAnsi="仿宋" w:eastAsia="仿宋" w:cs="仿宋"/>
                <w:color w:val="auto"/>
                <w:highlight w:val="none"/>
                <w:u w:val="single"/>
              </w:rPr>
              <w:t xml:space="preserve"> 24 </w:t>
            </w:r>
            <w:r>
              <w:rPr>
                <w:rFonts w:hint="eastAsia" w:ascii="仿宋" w:hAnsi="仿宋" w:eastAsia="仿宋" w:cs="仿宋"/>
                <w:color w:val="auto"/>
                <w:highlight w:val="none"/>
              </w:rPr>
              <w:t>小时内</w:t>
            </w:r>
          </w:p>
        </w:tc>
      </w:tr>
      <w:tr w14:paraId="62C4C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6" w:space="0"/>
              <w:bottom w:val="single" w:color="auto" w:sz="4" w:space="0"/>
            </w:tcBorders>
            <w:noWrap w:val="0"/>
            <w:tcMar>
              <w:left w:w="0" w:type="dxa"/>
              <w:right w:w="0" w:type="dxa"/>
            </w:tcMar>
            <w:vAlign w:val="center"/>
          </w:tcPr>
          <w:p w14:paraId="3F3A35EE">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2105" w:type="dxa"/>
            <w:tcBorders>
              <w:top w:val="single" w:color="auto" w:sz="6" w:space="0"/>
              <w:bottom w:val="single" w:color="auto" w:sz="4" w:space="0"/>
            </w:tcBorders>
            <w:noWrap w:val="0"/>
            <w:tcMar>
              <w:left w:w="0" w:type="dxa"/>
              <w:right w:w="0" w:type="dxa"/>
            </w:tcMar>
            <w:vAlign w:val="center"/>
          </w:tcPr>
          <w:p w14:paraId="771518CD">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投标人确认收到采购文件修改内容的时间</w:t>
            </w:r>
          </w:p>
        </w:tc>
        <w:tc>
          <w:tcPr>
            <w:tcW w:w="7513" w:type="dxa"/>
            <w:tcBorders>
              <w:top w:val="single" w:color="auto" w:sz="6" w:space="0"/>
              <w:bottom w:val="single" w:color="auto" w:sz="4" w:space="0"/>
              <w:right w:val="single" w:color="auto" w:sz="6" w:space="0"/>
            </w:tcBorders>
            <w:noWrap w:val="0"/>
            <w:tcMar>
              <w:left w:w="0" w:type="dxa"/>
              <w:right w:w="0" w:type="dxa"/>
            </w:tcMar>
            <w:vAlign w:val="center"/>
          </w:tcPr>
          <w:p w14:paraId="2E952DB2">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lang w:val="zh-CN"/>
              </w:rPr>
            </w:pPr>
            <w:r>
              <w:rPr>
                <w:rFonts w:hint="eastAsia" w:ascii="仿宋" w:hAnsi="仿宋" w:eastAsia="仿宋" w:cs="仿宋"/>
                <w:color w:val="auto"/>
                <w:highlight w:val="none"/>
              </w:rPr>
              <w:t>在收到相应澄清文件后</w:t>
            </w:r>
            <w:r>
              <w:rPr>
                <w:rFonts w:hint="eastAsia" w:ascii="仿宋" w:hAnsi="仿宋" w:eastAsia="仿宋" w:cs="仿宋"/>
                <w:color w:val="auto"/>
                <w:highlight w:val="none"/>
                <w:u w:val="single"/>
              </w:rPr>
              <w:t xml:space="preserve"> 24 </w:t>
            </w:r>
            <w:r>
              <w:rPr>
                <w:rFonts w:hint="eastAsia" w:ascii="仿宋" w:hAnsi="仿宋" w:eastAsia="仿宋" w:cs="仿宋"/>
                <w:color w:val="auto"/>
                <w:highlight w:val="none"/>
              </w:rPr>
              <w:t>小时内</w:t>
            </w:r>
          </w:p>
        </w:tc>
      </w:tr>
      <w:tr w14:paraId="0DC7F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89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8368490">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p>
        </w:tc>
        <w:tc>
          <w:tcPr>
            <w:tcW w:w="2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FE902A">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构成投标文件的其他材料</w:t>
            </w:r>
          </w:p>
        </w:tc>
        <w:tc>
          <w:tcPr>
            <w:tcW w:w="75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3C5B1C0">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 w:val="21"/>
                <w:szCs w:val="22"/>
                <w:highlight w:val="none"/>
                <w:lang w:val="zh-CN" w:eastAsia="zh-CN"/>
              </w:rPr>
              <w:t xml:space="preserve">评标办法中要求的资料 </w:t>
            </w:r>
          </w:p>
        </w:tc>
      </w:tr>
      <w:tr w14:paraId="229A6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082D530">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w:t>
            </w:r>
          </w:p>
        </w:tc>
        <w:tc>
          <w:tcPr>
            <w:tcW w:w="2105" w:type="dxa"/>
            <w:tcBorders>
              <w:top w:val="single" w:color="auto" w:sz="6" w:space="0"/>
            </w:tcBorders>
            <w:noWrap w:val="0"/>
            <w:tcMar>
              <w:left w:w="0" w:type="dxa"/>
              <w:right w:w="0" w:type="dxa"/>
            </w:tcMar>
            <w:vAlign w:val="center"/>
          </w:tcPr>
          <w:p w14:paraId="1479AC58">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预算金额           </w:t>
            </w:r>
          </w:p>
        </w:tc>
        <w:tc>
          <w:tcPr>
            <w:tcW w:w="7513" w:type="dxa"/>
            <w:tcBorders>
              <w:top w:val="single" w:color="auto" w:sz="6" w:space="0"/>
              <w:right w:val="single" w:color="auto" w:sz="6" w:space="0"/>
            </w:tcBorders>
            <w:noWrap w:val="0"/>
            <w:tcMar>
              <w:left w:w="0" w:type="dxa"/>
              <w:right w:w="0" w:type="dxa"/>
            </w:tcMar>
            <w:vAlign w:val="center"/>
          </w:tcPr>
          <w:p w14:paraId="17DB32BB">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预算金额：</w:t>
            </w:r>
            <w:r>
              <w:rPr>
                <w:rFonts w:hint="eastAsia" w:ascii="仿宋" w:hAnsi="仿宋" w:eastAsia="仿宋" w:cs="仿宋"/>
                <w:i w:val="0"/>
                <w:iCs w:val="0"/>
                <w:color w:val="auto"/>
                <w:kern w:val="0"/>
                <w:sz w:val="21"/>
                <w:szCs w:val="21"/>
                <w:highlight w:val="none"/>
                <w:u w:val="none"/>
                <w:lang w:val="en-US" w:eastAsia="zh-CN" w:bidi="ar"/>
              </w:rPr>
              <w:t>205.564</w:t>
            </w:r>
            <w:r>
              <w:rPr>
                <w:rFonts w:hint="eastAsia" w:ascii="仿宋" w:hAnsi="仿宋" w:eastAsia="仿宋" w:cs="仿宋"/>
                <w:color w:val="auto"/>
                <w:szCs w:val="21"/>
                <w:highlight w:val="none"/>
              </w:rPr>
              <w:t>万元</w:t>
            </w:r>
            <w:r>
              <w:rPr>
                <w:rFonts w:hint="eastAsia" w:ascii="仿宋" w:hAnsi="仿宋" w:eastAsia="仿宋" w:cs="仿宋"/>
                <w:bCs/>
                <w:color w:val="auto"/>
                <w:szCs w:val="21"/>
                <w:highlight w:val="none"/>
              </w:rPr>
              <w:t>，投标报价不得超过预算金额。</w:t>
            </w:r>
          </w:p>
        </w:tc>
      </w:tr>
      <w:tr w14:paraId="25AF7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E8F1161">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w:t>
            </w:r>
          </w:p>
        </w:tc>
        <w:tc>
          <w:tcPr>
            <w:tcW w:w="2105" w:type="dxa"/>
            <w:tcBorders>
              <w:top w:val="single" w:color="auto" w:sz="6" w:space="0"/>
              <w:bottom w:val="single" w:color="auto" w:sz="6" w:space="0"/>
            </w:tcBorders>
            <w:noWrap w:val="0"/>
            <w:tcMar>
              <w:left w:w="0" w:type="dxa"/>
              <w:right w:w="0" w:type="dxa"/>
            </w:tcMar>
            <w:vAlign w:val="center"/>
          </w:tcPr>
          <w:p w14:paraId="7799FE93">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DE6574F">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投标截止之日起90天</w:t>
            </w:r>
          </w:p>
        </w:tc>
      </w:tr>
      <w:tr w14:paraId="5FFE8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D93D2F6">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3.4.1</w:t>
            </w:r>
          </w:p>
        </w:tc>
        <w:tc>
          <w:tcPr>
            <w:tcW w:w="2105" w:type="dxa"/>
            <w:tcBorders>
              <w:top w:val="single" w:color="auto" w:sz="6" w:space="0"/>
              <w:bottom w:val="single" w:color="auto" w:sz="6" w:space="0"/>
            </w:tcBorders>
            <w:noWrap w:val="0"/>
            <w:tcMar>
              <w:left w:w="0" w:type="dxa"/>
              <w:right w:w="0" w:type="dxa"/>
            </w:tcMar>
            <w:vAlign w:val="center"/>
          </w:tcPr>
          <w:p w14:paraId="52253BC2">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5DF0B36">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3CE8C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95" w:type="dxa"/>
            <w:vMerge w:val="restart"/>
            <w:tcBorders>
              <w:top w:val="single" w:color="auto" w:sz="6" w:space="0"/>
              <w:left w:val="single" w:color="auto" w:sz="6" w:space="0"/>
            </w:tcBorders>
            <w:noWrap w:val="0"/>
            <w:tcMar>
              <w:left w:w="0" w:type="dxa"/>
              <w:right w:w="0" w:type="dxa"/>
            </w:tcMar>
            <w:vAlign w:val="center"/>
          </w:tcPr>
          <w:p w14:paraId="400CB786">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3.5.2</w:t>
            </w:r>
          </w:p>
        </w:tc>
        <w:tc>
          <w:tcPr>
            <w:tcW w:w="2105" w:type="dxa"/>
            <w:tcBorders>
              <w:top w:val="single" w:color="auto" w:sz="6" w:space="0"/>
              <w:bottom w:val="single" w:color="auto" w:sz="6" w:space="0"/>
            </w:tcBorders>
            <w:noWrap w:val="0"/>
            <w:tcMar>
              <w:left w:w="0" w:type="dxa"/>
              <w:right w:w="0" w:type="dxa"/>
            </w:tcMar>
            <w:vAlign w:val="center"/>
          </w:tcPr>
          <w:p w14:paraId="2EB28CF6">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近年财务状况的年份要求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FC46391">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u w:val="none"/>
                <w:lang w:val="en-US" w:eastAsia="zh-CN"/>
              </w:rPr>
              <w:t>/</w:t>
            </w:r>
          </w:p>
        </w:tc>
      </w:tr>
      <w:tr w14:paraId="2EF8B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895" w:type="dxa"/>
            <w:vMerge w:val="continue"/>
            <w:tcBorders>
              <w:left w:val="single" w:color="auto" w:sz="6" w:space="0"/>
              <w:bottom w:val="single" w:color="auto" w:sz="6" w:space="0"/>
            </w:tcBorders>
            <w:noWrap w:val="0"/>
            <w:tcMar>
              <w:left w:w="0" w:type="dxa"/>
              <w:right w:w="0" w:type="dxa"/>
            </w:tcMar>
            <w:vAlign w:val="center"/>
          </w:tcPr>
          <w:p w14:paraId="18B805EF">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p>
        </w:tc>
        <w:tc>
          <w:tcPr>
            <w:tcW w:w="2105" w:type="dxa"/>
            <w:tcBorders>
              <w:top w:val="single" w:color="auto" w:sz="6" w:space="0"/>
              <w:bottom w:val="single" w:color="auto" w:sz="6" w:space="0"/>
            </w:tcBorders>
            <w:noWrap w:val="0"/>
            <w:tcMar>
              <w:left w:w="0" w:type="dxa"/>
              <w:right w:w="0" w:type="dxa"/>
            </w:tcMar>
            <w:vAlign w:val="center"/>
          </w:tcPr>
          <w:p w14:paraId="786DCAF4">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依法缴纳税收和社会保障资金的年份要求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164EB75">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b/>
                <w:color w:val="auto"/>
                <w:highlight w:val="none"/>
                <w:lang w:val="en-US" w:eastAsia="zh-CN"/>
              </w:rPr>
            </w:pPr>
            <w:r>
              <w:rPr>
                <w:rFonts w:hint="eastAsia" w:ascii="仿宋" w:hAnsi="仿宋" w:eastAsia="仿宋" w:cs="仿宋"/>
                <w:color w:val="auto"/>
                <w:szCs w:val="21"/>
                <w:highlight w:val="none"/>
                <w:lang w:val="en-US" w:eastAsia="zh-CN"/>
              </w:rPr>
              <w:t>/</w:t>
            </w:r>
          </w:p>
        </w:tc>
      </w:tr>
      <w:tr w14:paraId="23347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9B98681">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3.5.3</w:t>
            </w:r>
          </w:p>
        </w:tc>
        <w:tc>
          <w:tcPr>
            <w:tcW w:w="2105" w:type="dxa"/>
            <w:tcBorders>
              <w:top w:val="single" w:color="auto" w:sz="6" w:space="0"/>
              <w:bottom w:val="single" w:color="auto" w:sz="6" w:space="0"/>
            </w:tcBorders>
            <w:noWrap w:val="0"/>
            <w:tcMar>
              <w:left w:w="0" w:type="dxa"/>
              <w:right w:w="0" w:type="dxa"/>
            </w:tcMar>
            <w:vAlign w:val="center"/>
          </w:tcPr>
          <w:p w14:paraId="45E948B4">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近年类似业绩的年份要求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48E653C">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20</w:t>
            </w:r>
            <w:r>
              <w:rPr>
                <w:rFonts w:hint="eastAsia" w:ascii="仿宋" w:hAnsi="仿宋" w:eastAsia="仿宋" w:cs="仿宋"/>
                <w:color w:val="auto"/>
                <w:kern w:val="0"/>
                <w:szCs w:val="21"/>
                <w:highlight w:val="none"/>
                <w:lang w:val="en-US" w:eastAsia="zh-CN" w:bidi="ar"/>
              </w:rPr>
              <w:t>22</w:t>
            </w:r>
            <w:r>
              <w:rPr>
                <w:rFonts w:hint="eastAsia" w:ascii="仿宋" w:hAnsi="仿宋" w:eastAsia="仿宋" w:cs="仿宋"/>
                <w:color w:val="auto"/>
                <w:kern w:val="0"/>
                <w:szCs w:val="21"/>
                <w:highlight w:val="none"/>
                <w:lang w:val="zh-CN" w:bidi="ar"/>
              </w:rPr>
              <w:t>年</w:t>
            </w:r>
            <w:r>
              <w:rPr>
                <w:rFonts w:hint="eastAsia" w:ascii="仿宋" w:hAnsi="仿宋" w:eastAsia="仿宋" w:cs="仿宋"/>
                <w:color w:val="auto"/>
                <w:kern w:val="0"/>
                <w:szCs w:val="21"/>
                <w:highlight w:val="none"/>
                <w:lang w:val="en-US" w:eastAsia="zh-CN" w:bidi="ar"/>
              </w:rPr>
              <w:t>1</w:t>
            </w:r>
            <w:r>
              <w:rPr>
                <w:rFonts w:hint="eastAsia" w:ascii="仿宋" w:hAnsi="仿宋" w:eastAsia="仿宋" w:cs="仿宋"/>
                <w:color w:val="auto"/>
                <w:kern w:val="0"/>
                <w:szCs w:val="21"/>
                <w:highlight w:val="none"/>
                <w:lang w:val="zh-CN" w:bidi="ar"/>
              </w:rPr>
              <w:t>月1日至今</w:t>
            </w:r>
          </w:p>
        </w:tc>
      </w:tr>
      <w:tr w14:paraId="63A09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1064B88">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3.5.5</w:t>
            </w:r>
          </w:p>
        </w:tc>
        <w:tc>
          <w:tcPr>
            <w:tcW w:w="2105" w:type="dxa"/>
            <w:tcBorders>
              <w:top w:val="single" w:color="auto" w:sz="6" w:space="0"/>
              <w:bottom w:val="single" w:color="auto" w:sz="6" w:space="0"/>
            </w:tcBorders>
            <w:noWrap w:val="0"/>
            <w:tcMar>
              <w:left w:w="0" w:type="dxa"/>
              <w:right w:w="0" w:type="dxa"/>
            </w:tcMar>
            <w:vAlign w:val="center"/>
          </w:tcPr>
          <w:p w14:paraId="36CB0F11">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近年发生的诉讼及</w:t>
            </w:r>
          </w:p>
          <w:p w14:paraId="11F3B701">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仲裁情况的时间要求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A61B169">
            <w:pPr>
              <w:keepNext w:val="0"/>
              <w:keepLines w:val="0"/>
              <w:pageBreakBefore w:val="0"/>
              <w:kinsoku/>
              <w:wordWrap/>
              <w:overflowPunct/>
              <w:topLinePunct w:val="0"/>
              <w:bidi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lang w:val="zh-CN" w:bidi="ar"/>
              </w:rPr>
            </w:pPr>
            <w:r>
              <w:rPr>
                <w:rFonts w:hint="eastAsia" w:ascii="仿宋" w:hAnsi="仿宋" w:eastAsia="仿宋" w:cs="仿宋"/>
                <w:color w:val="auto"/>
                <w:kern w:val="0"/>
                <w:szCs w:val="21"/>
                <w:highlight w:val="none"/>
                <w:lang w:val="zh-CN" w:bidi="ar"/>
              </w:rPr>
              <w:t>20</w:t>
            </w:r>
            <w:r>
              <w:rPr>
                <w:rFonts w:hint="eastAsia" w:ascii="仿宋" w:hAnsi="仿宋" w:eastAsia="仿宋" w:cs="仿宋"/>
                <w:color w:val="auto"/>
                <w:kern w:val="0"/>
                <w:szCs w:val="21"/>
                <w:highlight w:val="none"/>
                <w:lang w:val="en-US" w:eastAsia="zh-CN" w:bidi="ar"/>
              </w:rPr>
              <w:t>22</w:t>
            </w:r>
            <w:r>
              <w:rPr>
                <w:rFonts w:hint="eastAsia" w:ascii="仿宋" w:hAnsi="仿宋" w:eastAsia="仿宋" w:cs="仿宋"/>
                <w:color w:val="auto"/>
                <w:kern w:val="0"/>
                <w:szCs w:val="21"/>
                <w:highlight w:val="none"/>
                <w:lang w:val="zh-CN" w:bidi="ar"/>
              </w:rPr>
              <w:t>年1月1日至今</w:t>
            </w:r>
          </w:p>
        </w:tc>
      </w:tr>
      <w:tr w14:paraId="0AB30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ACA2E7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3.6.1</w:t>
            </w:r>
          </w:p>
        </w:tc>
        <w:tc>
          <w:tcPr>
            <w:tcW w:w="2105" w:type="dxa"/>
            <w:tcBorders>
              <w:top w:val="single" w:color="auto" w:sz="6" w:space="0"/>
              <w:bottom w:val="single" w:color="auto" w:sz="6" w:space="0"/>
            </w:tcBorders>
            <w:noWrap w:val="0"/>
            <w:tcMar>
              <w:left w:w="0" w:type="dxa"/>
              <w:right w:w="0" w:type="dxa"/>
            </w:tcMar>
            <w:vAlign w:val="center"/>
          </w:tcPr>
          <w:p w14:paraId="69CF9CEC">
            <w:pPr>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是否允许递交备选投标方案</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7607381">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不允许</w:t>
            </w:r>
          </w:p>
        </w:tc>
      </w:tr>
      <w:tr w14:paraId="646B3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4AD74DE">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3.7.3（1）</w:t>
            </w:r>
          </w:p>
        </w:tc>
        <w:tc>
          <w:tcPr>
            <w:tcW w:w="2105" w:type="dxa"/>
            <w:tcBorders>
              <w:top w:val="single" w:color="auto" w:sz="6" w:space="0"/>
              <w:bottom w:val="single" w:color="auto" w:sz="6" w:space="0"/>
            </w:tcBorders>
            <w:noWrap w:val="0"/>
            <w:tcMar>
              <w:left w:w="0" w:type="dxa"/>
              <w:right w:w="0" w:type="dxa"/>
            </w:tcMar>
            <w:vAlign w:val="center"/>
          </w:tcPr>
          <w:p w14:paraId="51A1C0E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签字或盖章要求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176A8D8">
            <w:pPr>
              <w:keepNext w:val="0"/>
              <w:keepLines w:val="0"/>
              <w:pageBreakBefore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按</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sz w:val="21"/>
                <w:szCs w:val="21"/>
                <w:highlight w:val="none"/>
              </w:rPr>
              <w:t>文件中提供的格式及要求填写</w:t>
            </w:r>
          </w:p>
        </w:tc>
      </w:tr>
      <w:tr w14:paraId="17D37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ACE0F81">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3.7.3（2）</w:t>
            </w:r>
          </w:p>
        </w:tc>
        <w:tc>
          <w:tcPr>
            <w:tcW w:w="2105" w:type="dxa"/>
            <w:tcBorders>
              <w:top w:val="single" w:color="auto" w:sz="6" w:space="0"/>
              <w:bottom w:val="single" w:color="auto" w:sz="6" w:space="0"/>
            </w:tcBorders>
            <w:noWrap w:val="0"/>
            <w:tcMar>
              <w:left w:w="0" w:type="dxa"/>
              <w:right w:w="0" w:type="dxa"/>
            </w:tcMar>
            <w:vAlign w:val="center"/>
          </w:tcPr>
          <w:p w14:paraId="005B81EC">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投标文件份数及其他要求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B94EF8A">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1.本项目为全流程电子化项目，通过“政采云 ”平台（http：</w:t>
            </w:r>
          </w:p>
          <w:p w14:paraId="657E2528">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//www.zcygov.cn）实行在线电子投标，供应商应先安装“政采云电子 交易客户端”（请自行前往“政采云 ”平台进行下载），并按照本项目</w:t>
            </w:r>
            <w:r>
              <w:rPr>
                <w:rFonts w:hint="eastAsia" w:ascii="仿宋" w:hAnsi="仿宋" w:eastAsia="仿宋" w:cs="仿宋"/>
                <w:color w:val="auto"/>
                <w:kern w:val="0"/>
                <w:szCs w:val="21"/>
                <w:highlight w:val="none"/>
                <w:lang w:val="en-US" w:eastAsia="zh-CN"/>
              </w:rPr>
              <w:t>招标</w:t>
            </w:r>
            <w:r>
              <w:rPr>
                <w:rFonts w:hint="eastAsia" w:ascii="仿宋" w:hAnsi="仿宋" w:eastAsia="仿宋" w:cs="仿宋"/>
                <w:color w:val="auto"/>
                <w:kern w:val="0"/>
                <w:szCs w:val="21"/>
                <w:highlight w:val="none"/>
              </w:rPr>
              <w:t>文件和“政采云 ”平台的要求编制、加密后在报价文件提交截止时间前通过网络上传至“政采云 ”平台，供应商在“政采云 ”平台提交电子版报价文件时，请填写参加开标活动经办人联系方式。</w:t>
            </w:r>
          </w:p>
          <w:p w14:paraId="032A7656">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2.供应商须递交纸质报价文件，提交时间：202</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lang w:val="en-US" w:eastAsia="zh-CN"/>
              </w:rPr>
              <w:t>11</w:t>
            </w:r>
            <w:r>
              <w:rPr>
                <w:rFonts w:hint="eastAsia" w:ascii="仿宋" w:hAnsi="仿宋" w:eastAsia="仿宋" w:cs="仿宋"/>
                <w:color w:val="auto"/>
                <w:kern w:val="0"/>
                <w:szCs w:val="21"/>
                <w:highlight w:val="none"/>
              </w:rPr>
              <w:t>日16:00前递交纸质版文件（正本1份、副本2份）及2份u盘格式的电子版文件（包含PDF和WORD版本：PDF为全部</w:t>
            </w:r>
            <w:r>
              <w:rPr>
                <w:rFonts w:hint="eastAsia" w:ascii="仿宋" w:hAnsi="仿宋" w:eastAsia="仿宋" w:cs="仿宋"/>
                <w:color w:val="auto"/>
                <w:kern w:val="0"/>
                <w:szCs w:val="21"/>
                <w:highlight w:val="none"/>
                <w:lang w:eastAsia="zh-CN"/>
              </w:rPr>
              <w:t>投标文件</w:t>
            </w:r>
            <w:r>
              <w:rPr>
                <w:rFonts w:hint="eastAsia" w:ascii="仿宋" w:hAnsi="仿宋" w:eastAsia="仿宋" w:cs="仿宋"/>
                <w:color w:val="auto"/>
                <w:kern w:val="0"/>
                <w:szCs w:val="21"/>
                <w:highlight w:val="none"/>
              </w:rPr>
              <w:t>签字及盖章版本，WORD为全部</w:t>
            </w:r>
            <w:r>
              <w:rPr>
                <w:rFonts w:hint="eastAsia" w:ascii="仿宋" w:hAnsi="仿宋" w:eastAsia="仿宋" w:cs="仿宋"/>
                <w:color w:val="auto"/>
                <w:kern w:val="0"/>
                <w:szCs w:val="21"/>
                <w:highlight w:val="none"/>
                <w:lang w:eastAsia="zh-CN"/>
              </w:rPr>
              <w:t>投标文件</w:t>
            </w:r>
            <w:r>
              <w:rPr>
                <w:rFonts w:hint="eastAsia" w:ascii="仿宋" w:hAnsi="仿宋" w:eastAsia="仿宋" w:cs="仿宋"/>
                <w:color w:val="auto"/>
                <w:kern w:val="0"/>
                <w:szCs w:val="21"/>
                <w:highlight w:val="none"/>
              </w:rPr>
              <w:t>可编辑版本）。用于项目存档使用，递交地点为</w:t>
            </w:r>
            <w:r>
              <w:rPr>
                <w:rFonts w:hint="eastAsia" w:ascii="仿宋" w:hAnsi="仿宋" w:eastAsia="仿宋" w:cs="仿宋"/>
                <w:color w:val="auto"/>
                <w:kern w:val="0"/>
                <w:szCs w:val="21"/>
                <w:highlight w:val="none"/>
                <w:lang w:val="zh-CN" w:eastAsia="zh-CN"/>
              </w:rPr>
              <w:t>吉林省长春市朝阳区人民大街4111号兆丰国际大厦12楼1209室</w:t>
            </w:r>
            <w:r>
              <w:rPr>
                <w:rFonts w:hint="eastAsia" w:ascii="仿宋" w:hAnsi="仿宋" w:eastAsia="仿宋" w:cs="仿宋"/>
                <w:color w:val="auto"/>
                <w:kern w:val="0"/>
                <w:szCs w:val="21"/>
                <w:highlight w:val="none"/>
              </w:rPr>
              <w:t>。纸质版及电子版应与上传的加密文件一致。采用书册方式胶装，装订应牢固、整齐便于保管和利用，不易拆散和换页，不得采用活页装订。建议正反面打印装订。</w:t>
            </w:r>
          </w:p>
        </w:tc>
      </w:tr>
      <w:tr w14:paraId="603ED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BFE39F6">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3.7.3（3）</w:t>
            </w:r>
          </w:p>
        </w:tc>
        <w:tc>
          <w:tcPr>
            <w:tcW w:w="2105" w:type="dxa"/>
            <w:tcBorders>
              <w:top w:val="single" w:color="auto" w:sz="6" w:space="0"/>
              <w:bottom w:val="single" w:color="auto" w:sz="6" w:space="0"/>
            </w:tcBorders>
            <w:noWrap w:val="0"/>
            <w:tcMar>
              <w:left w:w="0" w:type="dxa"/>
              <w:right w:w="0" w:type="dxa"/>
            </w:tcMar>
            <w:vAlign w:val="center"/>
          </w:tcPr>
          <w:p w14:paraId="46810E0A">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装订要求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53C4D66">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左侧纵向装订成固定不可拆分的书册形式，建议胶装。</w:t>
            </w:r>
          </w:p>
        </w:tc>
      </w:tr>
      <w:tr w14:paraId="28F59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365A5F8">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4.1.3</w:t>
            </w:r>
          </w:p>
        </w:tc>
        <w:tc>
          <w:tcPr>
            <w:tcW w:w="2105" w:type="dxa"/>
            <w:tcBorders>
              <w:top w:val="single" w:color="auto" w:sz="6" w:space="0"/>
              <w:bottom w:val="single" w:color="auto" w:sz="6" w:space="0"/>
            </w:tcBorders>
            <w:noWrap w:val="0"/>
            <w:tcMar>
              <w:left w:w="0" w:type="dxa"/>
              <w:right w:w="0" w:type="dxa"/>
            </w:tcMar>
            <w:vAlign w:val="center"/>
          </w:tcPr>
          <w:p w14:paraId="34F488E4">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sz w:val="21"/>
                <w:szCs w:val="21"/>
                <w:highlight w:val="none"/>
              </w:rPr>
              <w:t>封套上写明</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67015A1">
            <w:pPr>
              <w:spacing w:line="240" w:lineRule="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lang w:val="en-US" w:eastAsia="zh-CN"/>
              </w:rPr>
              <w:t>招标人名称：</w:t>
            </w:r>
            <w:r>
              <w:rPr>
                <w:rFonts w:hint="eastAsia" w:ascii="仿宋" w:hAnsi="仿宋" w:eastAsia="仿宋" w:cs="仿宋"/>
                <w:b w:val="0"/>
                <w:bCs w:val="0"/>
                <w:color w:val="auto"/>
                <w:sz w:val="21"/>
                <w:szCs w:val="21"/>
                <w:highlight w:val="none"/>
                <w:u w:val="single"/>
                <w:lang w:val="en-US" w:eastAsia="zh-CN"/>
              </w:rPr>
              <w:t xml:space="preserve">      </w:t>
            </w:r>
          </w:p>
          <w:p w14:paraId="22A88B34">
            <w:pPr>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招标人地址：</w:t>
            </w:r>
            <w:r>
              <w:rPr>
                <w:rFonts w:hint="eastAsia" w:ascii="仿宋" w:hAnsi="仿宋" w:eastAsia="仿宋" w:cs="仿宋"/>
                <w:b w:val="0"/>
                <w:bCs w:val="0"/>
                <w:color w:val="auto"/>
                <w:sz w:val="21"/>
                <w:szCs w:val="21"/>
                <w:highlight w:val="none"/>
                <w:u w:val="single"/>
                <w:lang w:val="en-US" w:eastAsia="zh-CN"/>
              </w:rPr>
              <w:t xml:space="preserve">      </w:t>
            </w:r>
          </w:p>
          <w:p w14:paraId="37B482DC">
            <w:pPr>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u w:val="single"/>
                <w:lang w:val="en-US" w:eastAsia="zh-CN"/>
              </w:rPr>
              <w:t xml:space="preserve">  （项目名称）  </w:t>
            </w:r>
            <w:r>
              <w:rPr>
                <w:rFonts w:hint="eastAsia" w:ascii="仿宋" w:hAnsi="仿宋" w:eastAsia="仿宋" w:cs="仿宋"/>
                <w:b w:val="0"/>
                <w:bCs w:val="0"/>
                <w:color w:val="auto"/>
                <w:sz w:val="21"/>
                <w:szCs w:val="21"/>
                <w:highlight w:val="none"/>
                <w:lang w:val="en-US" w:eastAsia="zh-CN"/>
              </w:rPr>
              <w:t>投标文件在</w:t>
            </w:r>
            <w:r>
              <w:rPr>
                <w:rFonts w:hint="eastAsia" w:ascii="仿宋" w:hAnsi="仿宋" w:eastAsia="仿宋" w:cs="仿宋"/>
                <w:b w:val="0"/>
                <w:bCs w:val="0"/>
                <w:color w:val="auto"/>
                <w:sz w:val="21"/>
                <w:szCs w:val="21"/>
                <w:highlight w:val="none"/>
                <w:u w:val="single"/>
                <w:lang w:val="en-US" w:eastAsia="zh-CN"/>
              </w:rPr>
              <w:t>2025</w:t>
            </w:r>
            <w:r>
              <w:rPr>
                <w:rFonts w:hint="eastAsia" w:ascii="仿宋" w:hAnsi="仿宋" w:eastAsia="仿宋" w:cs="仿宋"/>
                <w:b w:val="0"/>
                <w:bCs w:val="0"/>
                <w:color w:val="auto"/>
                <w:sz w:val="21"/>
                <w:szCs w:val="21"/>
                <w:highlight w:val="none"/>
                <w:lang w:val="en-US" w:eastAsia="zh-CN"/>
              </w:rPr>
              <w:t>年</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lang w:val="en-US" w:eastAsia="zh-CN"/>
              </w:rPr>
              <w:t>月</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lang w:val="en-US" w:eastAsia="zh-CN"/>
              </w:rPr>
              <w:t>日</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lang w:val="en-US" w:eastAsia="zh-CN"/>
              </w:rPr>
              <w:t>时</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lang w:val="en-US" w:eastAsia="zh-CN"/>
              </w:rPr>
              <w:t>分前不得开启</w:t>
            </w:r>
          </w:p>
          <w:p w14:paraId="11A311A9">
            <w:pPr>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投标人名称：</w:t>
            </w:r>
            <w:r>
              <w:rPr>
                <w:rFonts w:hint="eastAsia" w:ascii="仿宋" w:hAnsi="仿宋" w:eastAsia="仿宋" w:cs="仿宋"/>
                <w:b w:val="0"/>
                <w:bCs w:val="0"/>
                <w:color w:val="auto"/>
                <w:sz w:val="21"/>
                <w:szCs w:val="21"/>
                <w:highlight w:val="none"/>
                <w:u w:val="single"/>
                <w:lang w:val="en-US" w:eastAsia="zh-CN"/>
              </w:rPr>
              <w:t xml:space="preserve">                </w:t>
            </w:r>
          </w:p>
          <w:p w14:paraId="27F8C22B">
            <w:pPr>
              <w:autoSpaceDE w:val="0"/>
              <w:autoSpaceDN w:val="0"/>
              <w:adjustRightInd w:val="0"/>
              <w:spacing w:line="240" w:lineRule="auto"/>
              <w:jc w:val="left"/>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投标人地址：</w:t>
            </w:r>
            <w:r>
              <w:rPr>
                <w:rFonts w:hint="eastAsia" w:ascii="仿宋" w:hAnsi="仿宋" w:eastAsia="仿宋" w:cs="仿宋"/>
                <w:b w:val="0"/>
                <w:bCs w:val="0"/>
                <w:color w:val="auto"/>
                <w:kern w:val="0"/>
                <w:sz w:val="21"/>
                <w:szCs w:val="21"/>
                <w:highlight w:val="none"/>
                <w:u w:val="single"/>
                <w:lang w:val="en-US" w:eastAsia="zh-CN"/>
              </w:rPr>
              <w:t xml:space="preserve">                 </w:t>
            </w:r>
          </w:p>
        </w:tc>
      </w:tr>
      <w:tr w14:paraId="62F1D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53E1EC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4.2.1</w:t>
            </w:r>
          </w:p>
        </w:tc>
        <w:tc>
          <w:tcPr>
            <w:tcW w:w="2105" w:type="dxa"/>
            <w:tcBorders>
              <w:top w:val="single" w:color="auto" w:sz="6" w:space="0"/>
              <w:bottom w:val="single" w:color="auto" w:sz="6" w:space="0"/>
            </w:tcBorders>
            <w:noWrap w:val="0"/>
            <w:tcMar>
              <w:left w:w="0" w:type="dxa"/>
              <w:right w:w="0" w:type="dxa"/>
            </w:tcMar>
            <w:vAlign w:val="center"/>
          </w:tcPr>
          <w:p w14:paraId="5F4A809D">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投标截止时间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1786944">
            <w:pPr>
              <w:pStyle w:val="24"/>
              <w:keepNext w:val="0"/>
              <w:keepLines w:val="0"/>
              <w:pageBreakBefore w:val="0"/>
              <w:kinsoku/>
              <w:wordWrap/>
              <w:overflowPunct/>
              <w:topLinePunct w:val="0"/>
              <w:bidi w:val="0"/>
              <w:snapToGrid/>
              <w:spacing w:line="288" w:lineRule="auto"/>
              <w:ind w:left="105" w:leftChars="5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025年3月11日9时00分</w:t>
            </w:r>
          </w:p>
        </w:tc>
      </w:tr>
      <w:tr w14:paraId="2D595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C89470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4.2.2</w:t>
            </w:r>
          </w:p>
        </w:tc>
        <w:tc>
          <w:tcPr>
            <w:tcW w:w="2105" w:type="dxa"/>
            <w:tcBorders>
              <w:top w:val="single" w:color="auto" w:sz="6" w:space="0"/>
              <w:bottom w:val="single" w:color="auto" w:sz="6" w:space="0"/>
            </w:tcBorders>
            <w:noWrap w:val="0"/>
            <w:tcMar>
              <w:left w:w="0" w:type="dxa"/>
              <w:right w:w="0" w:type="dxa"/>
            </w:tcMar>
            <w:vAlign w:val="center"/>
          </w:tcPr>
          <w:p w14:paraId="1B871567">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开标</w:t>
            </w:r>
            <w:r>
              <w:rPr>
                <w:rFonts w:hint="eastAsia" w:ascii="仿宋" w:hAnsi="仿宋" w:eastAsia="仿宋" w:cs="仿宋"/>
                <w:color w:val="auto"/>
                <w:kern w:val="0"/>
                <w:szCs w:val="21"/>
                <w:highlight w:val="none"/>
              </w:rPr>
              <w:t>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7C938CC">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lang w:eastAsia="zh-CN"/>
              </w:rPr>
            </w:pPr>
            <w:r>
              <w:rPr>
                <w:rFonts w:hint="eastAsia" w:ascii="仿宋" w:hAnsi="仿宋" w:eastAsia="仿宋" w:cs="仿宋"/>
                <w:bCs/>
                <w:color w:val="auto"/>
                <w:sz w:val="21"/>
                <w:szCs w:val="21"/>
                <w:highlight w:val="none"/>
              </w:rPr>
              <w:t>长春市二道区洋浦大街6999号凯利中心AB栋101室</w:t>
            </w:r>
            <w:r>
              <w:rPr>
                <w:rFonts w:hint="eastAsia" w:ascii="仿宋" w:hAnsi="仿宋" w:eastAsia="仿宋" w:cs="仿宋"/>
                <w:bCs/>
                <w:color w:val="auto"/>
                <w:sz w:val="21"/>
                <w:szCs w:val="21"/>
                <w:highlight w:val="none"/>
                <w:lang w:eastAsia="zh-CN"/>
              </w:rPr>
              <w:t>开标</w:t>
            </w:r>
            <w:r>
              <w:rPr>
                <w:rFonts w:hint="eastAsia" w:ascii="仿宋" w:hAnsi="仿宋" w:eastAsia="仿宋" w:cs="仿宋"/>
                <w:bCs/>
                <w:color w:val="auto"/>
                <w:sz w:val="21"/>
                <w:szCs w:val="21"/>
                <w:highlight w:val="none"/>
                <w:lang w:val="en-US" w:eastAsia="zh-CN"/>
              </w:rPr>
              <w:t>二</w:t>
            </w:r>
            <w:r>
              <w:rPr>
                <w:rFonts w:hint="eastAsia" w:ascii="仿宋" w:hAnsi="仿宋" w:eastAsia="仿宋" w:cs="仿宋"/>
                <w:bCs/>
                <w:color w:val="auto"/>
                <w:sz w:val="21"/>
                <w:szCs w:val="21"/>
                <w:highlight w:val="none"/>
                <w:lang w:eastAsia="zh-CN"/>
              </w:rPr>
              <w:t>室</w:t>
            </w:r>
          </w:p>
        </w:tc>
      </w:tr>
      <w:tr w14:paraId="3646A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EC22C7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4.2.3</w:t>
            </w:r>
          </w:p>
        </w:tc>
        <w:tc>
          <w:tcPr>
            <w:tcW w:w="2105" w:type="dxa"/>
            <w:tcBorders>
              <w:top w:val="single" w:color="auto" w:sz="6" w:space="0"/>
              <w:bottom w:val="single" w:color="auto" w:sz="6" w:space="0"/>
            </w:tcBorders>
            <w:noWrap w:val="0"/>
            <w:tcMar>
              <w:left w:w="0" w:type="dxa"/>
              <w:right w:w="0" w:type="dxa"/>
            </w:tcMar>
            <w:vAlign w:val="center"/>
          </w:tcPr>
          <w:p w14:paraId="1D61E797">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投标文件是否退还</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C6F54B6">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color w:val="auto"/>
                <w:szCs w:val="21"/>
                <w:highlight w:val="none"/>
              </w:rPr>
              <w:t>否</w:t>
            </w:r>
            <w:r>
              <w:rPr>
                <w:rFonts w:hint="eastAsia" w:ascii="仿宋" w:hAnsi="仿宋" w:eastAsia="仿宋" w:cs="仿宋"/>
                <w:bCs/>
                <w:color w:val="auto"/>
                <w:szCs w:val="21"/>
                <w:highlight w:val="none"/>
                <w:lang w:val="en-US" w:eastAsia="zh-CN"/>
              </w:rPr>
              <w:t>。</w:t>
            </w:r>
          </w:p>
        </w:tc>
      </w:tr>
      <w:tr w14:paraId="26242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FD30FFE">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2105" w:type="dxa"/>
            <w:tcBorders>
              <w:top w:val="single" w:color="auto" w:sz="6" w:space="0"/>
              <w:bottom w:val="single" w:color="auto" w:sz="6" w:space="0"/>
            </w:tcBorders>
            <w:noWrap w:val="0"/>
            <w:tcMar>
              <w:left w:w="0" w:type="dxa"/>
              <w:right w:w="0" w:type="dxa"/>
            </w:tcMar>
            <w:vAlign w:val="center"/>
          </w:tcPr>
          <w:p w14:paraId="4C2F46F7">
            <w:pPr>
              <w:keepNext w:val="0"/>
              <w:keepLines w:val="0"/>
              <w:pageBreakBefore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开标时间和地点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057BB7D">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开标时间：</w:t>
            </w:r>
            <w:r>
              <w:rPr>
                <w:rFonts w:hint="eastAsia" w:ascii="仿宋" w:hAnsi="仿宋" w:eastAsia="仿宋" w:cs="仿宋"/>
                <w:bCs/>
                <w:color w:val="auto"/>
                <w:szCs w:val="21"/>
                <w:highlight w:val="none"/>
                <w:u w:val="single"/>
                <w:lang w:val="zh-CN"/>
              </w:rPr>
              <w:t>同投标截止时间</w:t>
            </w:r>
          </w:p>
          <w:p w14:paraId="7BA4FA61">
            <w:pPr>
              <w:keepNext w:val="0"/>
              <w:keepLines w:val="0"/>
              <w:pageBreakBefore w:val="0"/>
              <w:widowControl w:val="0"/>
              <w:kinsoku/>
              <w:wordWrap/>
              <w:overflowPunct/>
              <w:topLinePunct w:val="0"/>
              <w:autoSpaceDE/>
              <w:autoSpaceDN/>
              <w:bidi w:val="0"/>
              <w:adjustRightInd w:val="0"/>
              <w:snapToGrid/>
              <w:spacing w:line="288" w:lineRule="auto"/>
              <w:ind w:left="105" w:leftChars="50" w:right="0" w:righ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开标地点：</w:t>
            </w:r>
            <w:r>
              <w:rPr>
                <w:rFonts w:hint="eastAsia" w:ascii="仿宋" w:hAnsi="仿宋" w:eastAsia="仿宋" w:cs="仿宋"/>
                <w:bCs/>
                <w:color w:val="auto"/>
                <w:sz w:val="21"/>
                <w:szCs w:val="21"/>
                <w:highlight w:val="none"/>
                <w:u w:val="single"/>
              </w:rPr>
              <w:t>长春市二道区洋浦大街6999号凯利中心AB栋101室</w:t>
            </w:r>
            <w:r>
              <w:rPr>
                <w:rFonts w:hint="eastAsia" w:ascii="仿宋" w:hAnsi="仿宋" w:eastAsia="仿宋" w:cs="仿宋"/>
                <w:bCs/>
                <w:color w:val="auto"/>
                <w:sz w:val="21"/>
                <w:szCs w:val="21"/>
                <w:highlight w:val="none"/>
                <w:u w:val="single"/>
                <w:lang w:eastAsia="zh-CN"/>
              </w:rPr>
              <w:t>开标</w:t>
            </w:r>
            <w:r>
              <w:rPr>
                <w:rFonts w:hint="eastAsia" w:ascii="仿宋" w:hAnsi="仿宋" w:eastAsia="仿宋" w:cs="仿宋"/>
                <w:bCs/>
                <w:color w:val="auto"/>
                <w:sz w:val="21"/>
                <w:szCs w:val="21"/>
                <w:highlight w:val="none"/>
                <w:u w:val="single"/>
                <w:lang w:val="en-US" w:eastAsia="zh-CN"/>
              </w:rPr>
              <w:t>二</w:t>
            </w:r>
            <w:r>
              <w:rPr>
                <w:rFonts w:hint="eastAsia" w:ascii="仿宋" w:hAnsi="仿宋" w:eastAsia="仿宋" w:cs="仿宋"/>
                <w:bCs/>
                <w:color w:val="auto"/>
                <w:sz w:val="21"/>
                <w:szCs w:val="21"/>
                <w:highlight w:val="none"/>
                <w:u w:val="single"/>
                <w:lang w:eastAsia="zh-CN"/>
              </w:rPr>
              <w:t>室</w:t>
            </w:r>
          </w:p>
        </w:tc>
      </w:tr>
      <w:tr w14:paraId="0F3EC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0188F09">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2105" w:type="dxa"/>
            <w:tcBorders>
              <w:top w:val="single" w:color="auto" w:sz="6" w:space="0"/>
              <w:bottom w:val="single" w:color="auto" w:sz="6" w:space="0"/>
            </w:tcBorders>
            <w:noWrap w:val="0"/>
            <w:tcMar>
              <w:left w:w="0" w:type="dxa"/>
              <w:right w:w="0" w:type="dxa"/>
            </w:tcMar>
            <w:vAlign w:val="center"/>
          </w:tcPr>
          <w:p w14:paraId="659B4AF2">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highlight w:val="none"/>
                <w:lang w:val="zh-CN"/>
              </w:rPr>
              <w:t>开标程序</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A09AC69">
            <w:pPr>
              <w:keepNext w:val="0"/>
              <w:keepLines w:val="0"/>
              <w:pageBreakBefore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密封情况检查：由投标人共同检查投标文件密封情况；</w:t>
            </w:r>
          </w:p>
          <w:p w14:paraId="2978CE07">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highlight w:val="none"/>
              </w:rPr>
              <w:t>开标顺序：按购买采购文件顺序进行。</w:t>
            </w:r>
          </w:p>
        </w:tc>
      </w:tr>
      <w:tr w14:paraId="420B9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F5621F4">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2105" w:type="dxa"/>
            <w:tcBorders>
              <w:top w:val="single" w:color="auto" w:sz="6" w:space="0"/>
              <w:bottom w:val="single" w:color="auto" w:sz="6" w:space="0"/>
            </w:tcBorders>
            <w:noWrap w:val="0"/>
            <w:tcMar>
              <w:left w:w="0" w:type="dxa"/>
              <w:right w:w="0" w:type="dxa"/>
            </w:tcMar>
            <w:vAlign w:val="center"/>
          </w:tcPr>
          <w:p w14:paraId="3995300F">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评标委员会的组建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5449F16">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评标委员会构成：</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人。</w:t>
            </w:r>
          </w:p>
          <w:p w14:paraId="380EC001">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评标专家确定方式：从依法设立的评标专家库中随机抽取。</w:t>
            </w:r>
          </w:p>
        </w:tc>
      </w:tr>
      <w:tr w14:paraId="050534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D042F77">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w:t>
            </w:r>
          </w:p>
        </w:tc>
        <w:tc>
          <w:tcPr>
            <w:tcW w:w="2105" w:type="dxa"/>
            <w:tcBorders>
              <w:top w:val="single" w:color="auto" w:sz="6" w:space="0"/>
              <w:bottom w:val="single" w:color="auto" w:sz="6" w:space="0"/>
            </w:tcBorders>
            <w:noWrap w:val="0"/>
            <w:tcMar>
              <w:left w:w="0" w:type="dxa"/>
              <w:right w:w="0" w:type="dxa"/>
            </w:tcMar>
            <w:vAlign w:val="center"/>
          </w:tcPr>
          <w:p w14:paraId="2DA89149">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中标结果公告媒介</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20888C4">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bookmarkStart w:id="64" w:name="_Toc2783"/>
            <w:r>
              <w:rPr>
                <w:rFonts w:hint="eastAsia" w:ascii="仿宋" w:hAnsi="仿宋" w:eastAsia="仿宋" w:cs="仿宋"/>
                <w:bCs/>
                <w:color w:val="auto"/>
                <w:szCs w:val="21"/>
                <w:highlight w:val="none"/>
                <w:lang w:val="zh-CN"/>
              </w:rPr>
              <w:t>中国政府采购网、“政采云”平台（http://www.zcygov.cn）同步推送至吉林省政府采购网、长春市公共资源交易网上发布。</w:t>
            </w:r>
            <w:bookmarkEnd w:id="64"/>
          </w:p>
        </w:tc>
      </w:tr>
      <w:tr w14:paraId="18FAF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BF92E1C">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w:t>
            </w:r>
          </w:p>
        </w:tc>
        <w:tc>
          <w:tcPr>
            <w:tcW w:w="2105" w:type="dxa"/>
            <w:tcBorders>
              <w:top w:val="single" w:color="auto" w:sz="6" w:space="0"/>
              <w:bottom w:val="single" w:color="auto" w:sz="6" w:space="0"/>
            </w:tcBorders>
            <w:noWrap w:val="0"/>
            <w:tcMar>
              <w:left w:w="0" w:type="dxa"/>
              <w:right w:w="0" w:type="dxa"/>
            </w:tcMar>
            <w:vAlign w:val="center"/>
          </w:tcPr>
          <w:p w14:paraId="7D00BFB8">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是否授权评标委员会确定中标人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36AE69E">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推荐的中标候选人数：3</w:t>
            </w:r>
          </w:p>
        </w:tc>
      </w:tr>
      <w:tr w14:paraId="2072B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08A4417">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7.6</w:t>
            </w:r>
          </w:p>
        </w:tc>
        <w:tc>
          <w:tcPr>
            <w:tcW w:w="2105" w:type="dxa"/>
            <w:tcBorders>
              <w:top w:val="single" w:color="auto" w:sz="6" w:space="0"/>
              <w:bottom w:val="single" w:color="auto" w:sz="6" w:space="0"/>
            </w:tcBorders>
            <w:noWrap w:val="0"/>
            <w:tcMar>
              <w:left w:w="0" w:type="dxa"/>
              <w:right w:w="0" w:type="dxa"/>
            </w:tcMar>
            <w:vAlign w:val="center"/>
          </w:tcPr>
          <w:p w14:paraId="25AC9CCB">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履约保证金</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C1A7590">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color w:val="auto"/>
                <w:kern w:val="0"/>
                <w:sz w:val="21"/>
                <w:szCs w:val="21"/>
                <w:highlight w:val="none"/>
                <w:lang w:val="en-US" w:eastAsia="zh-CN"/>
              </w:rPr>
              <w:t>中标金额的10%。</w:t>
            </w:r>
          </w:p>
        </w:tc>
      </w:tr>
      <w:tr w14:paraId="2F651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9AFC66D">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105" w:type="dxa"/>
            <w:tcBorders>
              <w:top w:val="single" w:color="auto" w:sz="6" w:space="0"/>
              <w:bottom w:val="single" w:color="auto" w:sz="6" w:space="0"/>
            </w:tcBorders>
            <w:noWrap w:val="0"/>
            <w:tcMar>
              <w:left w:w="0" w:type="dxa"/>
              <w:right w:w="0" w:type="dxa"/>
            </w:tcMar>
            <w:vAlign w:val="center"/>
          </w:tcPr>
          <w:p w14:paraId="567D465F">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是否采用电子</w:t>
            </w:r>
          </w:p>
          <w:p w14:paraId="202F258D">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招标投标</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1AF8FE6">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是</w:t>
            </w:r>
          </w:p>
        </w:tc>
      </w:tr>
      <w:tr w14:paraId="4DF511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C3359C9">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2CD2CB47">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kern w:val="15"/>
                <w:szCs w:val="21"/>
                <w:highlight w:val="none"/>
                <w:lang w:val="zh-CN"/>
              </w:rPr>
            </w:pPr>
            <w:r>
              <w:rPr>
                <w:rFonts w:hint="eastAsia" w:ascii="仿宋" w:hAnsi="仿宋" w:eastAsia="仿宋" w:cs="仿宋"/>
                <w:color w:val="auto"/>
                <w:kern w:val="0"/>
                <w:szCs w:val="21"/>
                <w:highlight w:val="none"/>
              </w:rPr>
              <w:t>需要补充的其他内容</w:t>
            </w:r>
          </w:p>
        </w:tc>
      </w:tr>
      <w:tr w14:paraId="649504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C1F7BBD">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.1</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7784B818">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lang w:val="zh-CN"/>
              </w:rPr>
              <w:t>技术标是否采用暗标评审：不采用</w:t>
            </w:r>
          </w:p>
        </w:tc>
      </w:tr>
      <w:tr w14:paraId="00721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3185EEA">
            <w:pPr>
              <w:keepNext w:val="0"/>
              <w:keepLines w:val="0"/>
              <w:pageBreakBefore w:val="0"/>
              <w:kinsoku/>
              <w:wordWrap/>
              <w:overflowPunct/>
              <w:topLinePunct w:val="0"/>
              <w:autoSpaceDE w:val="0"/>
              <w:autoSpaceDN w:val="0"/>
              <w:bidi w:val="0"/>
              <w:adjustRightInd w:val="0"/>
              <w:snapToGrid/>
              <w:spacing w:line="288" w:lineRule="auto"/>
              <w:ind w:left="105" w:leftChars="50" w:right="0" w:rightChars="0"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.2</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5D2E835A">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合同方式：总价合同</w:t>
            </w:r>
          </w:p>
        </w:tc>
      </w:tr>
      <w:tr w14:paraId="57E38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AF57CE9">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.3</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0FCA5BE2">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
                <w:color w:val="auto"/>
                <w:szCs w:val="21"/>
                <w:highlight w:val="none"/>
                <w:lang w:val="zh-CN"/>
              </w:rPr>
              <w:t>合同备案管理</w:t>
            </w:r>
            <w:r>
              <w:rPr>
                <w:rFonts w:hint="eastAsia" w:ascii="仿宋" w:hAnsi="仿宋" w:eastAsia="仿宋" w:cs="仿宋"/>
                <w:b/>
                <w:color w:val="auto"/>
                <w:kern w:val="0"/>
                <w:szCs w:val="21"/>
                <w:highlight w:val="none"/>
              </w:rPr>
              <w:t>：</w:t>
            </w:r>
            <w:r>
              <w:rPr>
                <w:rStyle w:val="23"/>
                <w:rFonts w:hint="eastAsia" w:ascii="仿宋" w:hAnsi="仿宋" w:eastAsia="仿宋" w:cs="仿宋"/>
                <w:b/>
                <w:color w:val="auto"/>
                <w:highlight w:val="none"/>
              </w:rPr>
              <w:t>中标单位与采购人签订合同后2日内，将扫描件交于采购代理机构，</w:t>
            </w:r>
            <w:r>
              <w:rPr>
                <w:rFonts w:hint="eastAsia" w:ascii="仿宋" w:hAnsi="仿宋" w:eastAsia="仿宋" w:cs="仿宋"/>
                <w:b/>
                <w:color w:val="auto"/>
                <w:kern w:val="0"/>
                <w:szCs w:val="21"/>
                <w:highlight w:val="none"/>
              </w:rPr>
              <w:t>采购代理机构协助采购人，将政府采购合同在省级以上人民政府部门指定的媒体上公告（政府采购合同中涉及国家秘密、商业秘密的内容除外）</w:t>
            </w:r>
          </w:p>
        </w:tc>
      </w:tr>
      <w:tr w14:paraId="0E5C6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1A48B4C">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.4</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13702354">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招标代理服务费：</w:t>
            </w:r>
            <w:r>
              <w:rPr>
                <w:rFonts w:hint="eastAsia" w:ascii="仿宋" w:hAnsi="仿宋" w:eastAsia="仿宋" w:cs="仿宋"/>
                <w:color w:val="auto"/>
                <w:szCs w:val="21"/>
                <w:highlight w:val="none"/>
              </w:rPr>
              <w:t>参照国家发改委关于进一步放开建设项目专业服务价格的通知（发改价格【2015】299号）的收费标准。由中标人在中标公示结束后一次性支付</w:t>
            </w:r>
            <w:r>
              <w:rPr>
                <w:rFonts w:hint="eastAsia" w:ascii="仿宋" w:hAnsi="仿宋" w:eastAsia="仿宋" w:cs="仿宋"/>
                <w:color w:val="auto"/>
                <w:kern w:val="0"/>
                <w:szCs w:val="21"/>
                <w:highlight w:val="none"/>
              </w:rPr>
              <w:t>。</w:t>
            </w:r>
          </w:p>
        </w:tc>
      </w:tr>
      <w:tr w14:paraId="0CB36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995E828">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.5</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62F8A91D">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对投标人信用信息的查询：</w:t>
            </w:r>
          </w:p>
          <w:p w14:paraId="733636FD">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查询渠道：</w:t>
            </w:r>
            <w:r>
              <w:rPr>
                <w:rFonts w:hint="eastAsia" w:ascii="仿宋" w:hAnsi="仿宋" w:eastAsia="仿宋" w:cs="仿宋"/>
                <w:color w:val="auto"/>
                <w:highlight w:val="none"/>
              </w:rPr>
              <w:t>①“信用中国”网站（www.creditchina.gov.cn）：失信被执行人、企业经营异常名录、重大税收违法案件当事人名单、政府采购严重违法失信名单。</w:t>
            </w:r>
          </w:p>
          <w:p w14:paraId="203CA525">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②中国政府采购网(www.ccgp.gov.cn)：政府采购严重违法失信行为信息记录。</w:t>
            </w:r>
          </w:p>
          <w:p w14:paraId="6C990C5D">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查询截止时间：</w:t>
            </w:r>
            <w:r>
              <w:rPr>
                <w:rFonts w:hint="eastAsia" w:ascii="仿宋" w:hAnsi="仿宋" w:eastAsia="仿宋" w:cs="仿宋"/>
                <w:color w:val="auto"/>
                <w:highlight w:val="none"/>
              </w:rPr>
              <w:t>即</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截止时间</w:t>
            </w:r>
          </w:p>
          <w:p w14:paraId="0E774218">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信用信息查询记录和证据留存的具体方式：</w:t>
            </w:r>
          </w:p>
          <w:p w14:paraId="5B51250F">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采购人或采购代理机构将按查询截止时间对所有投标人的信用信息进行查询，网站查询记录作为招投标存档备案材料的组成部分进行留存。</w:t>
            </w:r>
          </w:p>
          <w:p w14:paraId="1D7CDEDB">
            <w:pPr>
              <w:keepNext w:val="0"/>
              <w:keepLines w:val="0"/>
              <w:pageBreakBefore w:val="0"/>
              <w:widowControl w:val="0"/>
              <w:kinsoku/>
              <w:wordWrap/>
              <w:overflowPunct/>
              <w:topLinePunct w:val="0"/>
              <w:bidi w:val="0"/>
              <w:adjustRightInd w:val="0"/>
              <w:snapToGrid/>
              <w:spacing w:line="288" w:lineRule="auto"/>
              <w:ind w:left="105" w:leftChars="50" w:right="0" w:rightChars="0"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信用信息的使用规则：</w:t>
            </w:r>
          </w:p>
          <w:p w14:paraId="2AE06359">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highlight w:val="none"/>
              </w:rPr>
              <w:t>采购人或采购代理机构将按查询截止时间对所有投标人的信用信息进行查询，查询结果作为是否接受投标报名的依据之一，被列入失信被执行人、重大税收违法案件当事人名单、政府采购严重违法失信行为记录名单的投标人将不接受其投标报名。</w:t>
            </w:r>
          </w:p>
        </w:tc>
      </w:tr>
      <w:tr w14:paraId="53F7B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6640B7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3B29F5EC">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声明：本项目采购公告与采购文件投标人须知内容有不符之处，以本项目采购文件投标人须知内容为准。</w:t>
            </w:r>
          </w:p>
          <w:p w14:paraId="49241563">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采购文件中的投标人须知总则部分是采购文件标准文本通用条款，投标人须知前附表是采购人对总则相应条款重点表述的明示和补充，如条款有不一致，总则部分相应条款不适用本文件。</w:t>
            </w:r>
          </w:p>
        </w:tc>
      </w:tr>
      <w:tr w14:paraId="6566E9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1437775">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67633C8">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lang w:val="zh-CN"/>
              </w:rPr>
              <w:t>解释权：</w:t>
            </w:r>
            <w:r>
              <w:rPr>
                <w:rFonts w:hint="eastAsia" w:ascii="仿宋" w:hAnsi="仿宋" w:eastAsia="仿宋" w:cs="仿宋"/>
                <w:color w:val="auto"/>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投标阶段的规定，按采购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B966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29C86DB">
            <w:pPr>
              <w:pStyle w:val="24"/>
              <w:keepNext w:val="0"/>
              <w:keepLines w:val="0"/>
              <w:pageBreakBefore w:val="0"/>
              <w:kinsoku/>
              <w:wordWrap/>
              <w:overflowPunct/>
              <w:topLinePunct w:val="0"/>
              <w:bidi w:val="0"/>
              <w:snapToGrid/>
              <w:spacing w:line="288" w:lineRule="auto"/>
              <w:ind w:left="105" w:leftChars="50" w:right="0" w:rightChars="0" w:firstLine="0" w:firstLineChars="0"/>
              <w:jc w:val="center"/>
              <w:textAlignment w:val="auto"/>
              <w:rPr>
                <w:rFonts w:hint="default" w:ascii="仿宋" w:hAnsi="仿宋" w:eastAsia="仿宋" w:cs="仿宋"/>
                <w:color w:val="auto"/>
                <w:sz w:val="21"/>
                <w:szCs w:val="21"/>
                <w:highlight w:val="none"/>
                <w:lang w:val="en-US" w:eastAsia="zh-CN"/>
              </w:rPr>
            </w:pPr>
            <w:bookmarkStart w:id="65" w:name="_Toc325358491"/>
            <w:bookmarkStart w:id="66" w:name="_Toc291782332"/>
            <w:bookmarkStart w:id="67" w:name="_Toc246996175"/>
            <w:bookmarkStart w:id="68" w:name="_Toc420417622"/>
            <w:bookmarkStart w:id="69" w:name="_Toc152045529"/>
            <w:bookmarkStart w:id="70" w:name="_Toc357177710"/>
            <w:bookmarkStart w:id="71" w:name="_Toc457839487"/>
            <w:bookmarkStart w:id="72" w:name="_Toc246996918"/>
            <w:bookmarkStart w:id="73" w:name="_Toc247085689"/>
            <w:bookmarkStart w:id="74" w:name="_Toc144974497"/>
            <w:bookmarkStart w:id="75" w:name="_Toc152042305"/>
            <w:bookmarkStart w:id="76" w:name="_Toc179632546"/>
            <w:r>
              <w:rPr>
                <w:rFonts w:hint="eastAsia" w:ascii="仿宋" w:hAnsi="仿宋" w:eastAsia="仿宋" w:cs="仿宋"/>
                <w:color w:val="auto"/>
                <w:sz w:val="21"/>
                <w:szCs w:val="21"/>
                <w:highlight w:val="none"/>
                <w:lang w:val="en-US" w:eastAsia="zh-CN"/>
              </w:rPr>
              <w:t>10.1.8</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17B0E7AA">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中小微企业相关政策：1.根据工信部等部委发布的《关于印发中小企业划型标准规定的通知》（工信部联企业〔2011〕300号），符合相关条件的为中小微型企业。本项目所属行业为：</w:t>
            </w:r>
            <w:r>
              <w:rPr>
                <w:rFonts w:hint="eastAsia" w:ascii="仿宋" w:hAnsi="仿宋" w:eastAsia="仿宋" w:cs="仿宋"/>
                <w:bCs/>
                <w:color w:val="auto"/>
                <w:szCs w:val="21"/>
                <w:highlight w:val="none"/>
                <w:lang w:val="en-US" w:eastAsia="zh-CN"/>
              </w:rPr>
              <w:t>其他未列明行业</w:t>
            </w:r>
            <w:r>
              <w:rPr>
                <w:rFonts w:hint="eastAsia" w:ascii="仿宋" w:hAnsi="仿宋" w:eastAsia="仿宋" w:cs="仿宋"/>
                <w:bCs/>
                <w:color w:val="auto"/>
                <w:szCs w:val="21"/>
                <w:highlight w:val="none"/>
                <w:lang w:val="zh-CN"/>
              </w:rPr>
              <w:t>。</w:t>
            </w:r>
          </w:p>
          <w:p w14:paraId="3833886B">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2.本项目为专门面向中小企业。</w:t>
            </w:r>
          </w:p>
          <w:p w14:paraId="4FF628B2">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3.符合要求的中小企业应当按照《政府采购促进中小企业发展管理办法》（财库[2020]46号）的要求提供《中小企业声明函》（格式见招标文件第三部分），否则不享受相关中小企业扶持政策。</w:t>
            </w:r>
          </w:p>
          <w:p w14:paraId="168D74DD">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4.根据财政部等部位发布的《关于促进残疾人就业政府采购政策的通知》（财库〔2017〕141）号，符合通知内条件的为残疾人福利性单位，视同小型、微型企业。符合条件的残疾人福利性单位应当提供本办法规定的《残疾人福利性单位声明函》（格式见招标文件第三部分）。</w:t>
            </w:r>
          </w:p>
          <w:p w14:paraId="083D442B">
            <w:pPr>
              <w:keepNext w:val="0"/>
              <w:keepLines w:val="0"/>
              <w:pageBreakBefore w:val="0"/>
              <w:widowControl w:val="0"/>
              <w:kinsoku/>
              <w:wordWrap/>
              <w:overflowPunct/>
              <w:topLinePunct w:val="0"/>
              <w:autoSpaceDE w:val="0"/>
              <w:autoSpaceDN w:val="0"/>
              <w:bidi w:val="0"/>
              <w:adjustRightInd w:val="0"/>
              <w:snapToGrid/>
              <w:spacing w:line="288" w:lineRule="auto"/>
              <w:ind w:left="105" w:leftChars="50" w:right="0" w:rightChars="0" w:firstLine="0" w:firstLineChars="0"/>
              <w:jc w:val="left"/>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5.按照《政府采购促进中小企业发展管理办法》（财库[2020]46号）规定，享受扶持政策获得政府采购合同的，小微企业不得将合同分包给大中型企业，中型企业不得将合同分包给大型企业。</w:t>
            </w:r>
          </w:p>
        </w:tc>
      </w:tr>
    </w:tbl>
    <w:p w14:paraId="791E3652">
      <w:pPr>
        <w:rPr>
          <w:rFonts w:hint="eastAsia" w:ascii="仿宋" w:hAnsi="仿宋" w:eastAsia="仿宋" w:cs="仿宋"/>
          <w:b/>
          <w:color w:val="auto"/>
          <w:sz w:val="24"/>
          <w:szCs w:val="32"/>
          <w:highlight w:val="none"/>
        </w:rPr>
        <w:sectPr>
          <w:headerReference r:id="rId11" w:type="first"/>
          <w:footerReference r:id="rId13" w:type="first"/>
          <w:footerReference r:id="rId12" w:type="default"/>
          <w:pgSz w:w="11906" w:h="16838"/>
          <w:pgMar w:top="1417" w:right="1417" w:bottom="1417" w:left="1417" w:header="851" w:footer="992" w:gutter="0"/>
          <w:pgNumType w:fmt="decimal" w:start="1"/>
          <w:cols w:space="720" w:num="1"/>
          <w:titlePg/>
          <w:docGrid w:type="linesAndChars" w:linePitch="312" w:charSpace="200"/>
        </w:sectPr>
      </w:pPr>
    </w:p>
    <w:p w14:paraId="4CC4BE14">
      <w:pPr>
        <w:rPr>
          <w:rFonts w:hint="eastAsia" w:ascii="仿宋" w:hAnsi="仿宋" w:eastAsia="仿宋" w:cs="仿宋"/>
          <w:b/>
          <w:color w:val="auto"/>
          <w:sz w:val="24"/>
          <w:highlight w:val="none"/>
          <w:lang w:eastAsia="zh-CN"/>
        </w:rPr>
      </w:pPr>
      <w:r>
        <w:rPr>
          <w:rFonts w:hint="eastAsia" w:ascii="仿宋" w:hAnsi="仿宋" w:eastAsia="仿宋" w:cs="仿宋"/>
          <w:b/>
          <w:color w:val="auto"/>
          <w:sz w:val="24"/>
          <w:szCs w:val="32"/>
          <w:highlight w:val="none"/>
        </w:rPr>
        <w:t>附表</w:t>
      </w:r>
      <w:bookmarkEnd w:id="65"/>
      <w:bookmarkEnd w:id="66"/>
      <w:r>
        <w:rPr>
          <w:rFonts w:hint="eastAsia" w:ascii="仿宋" w:hAnsi="仿宋" w:eastAsia="仿宋" w:cs="仿宋"/>
          <w:b/>
          <w:color w:val="auto"/>
          <w:sz w:val="24"/>
          <w:szCs w:val="32"/>
          <w:highlight w:val="none"/>
          <w:lang w:val="en-US" w:eastAsia="zh-CN"/>
        </w:rPr>
        <w:t>1</w:t>
      </w:r>
    </w:p>
    <w:p w14:paraId="7217965F">
      <w:pPr>
        <w:spacing w:before="312" w:beforeLines="100" w:after="312" w:afterLine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投标疑问</w:t>
      </w:r>
    </w:p>
    <w:p w14:paraId="345C200D">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2A355876">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投标编号：</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4409"/>
      </w:tblGrid>
      <w:tr w14:paraId="05FD3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250" w:type="dxa"/>
            <w:tcBorders>
              <w:top w:val="single" w:color="080000" w:sz="4" w:space="0"/>
              <w:left w:val="single" w:color="080000" w:sz="4" w:space="0"/>
              <w:bottom w:val="single" w:color="080000" w:sz="4" w:space="0"/>
              <w:right w:val="single" w:color="080000" w:sz="4" w:space="0"/>
            </w:tcBorders>
            <w:noWrap w:val="0"/>
            <w:vAlign w:val="center"/>
          </w:tcPr>
          <w:p w14:paraId="5DB7B800">
            <w:pPr>
              <w:snapToGrid w:val="0"/>
              <w:spacing w:line="360" w:lineRule="auto"/>
              <w:rPr>
                <w:rFonts w:hint="eastAsia" w:ascii="仿宋" w:hAnsi="仿宋" w:eastAsia="仿宋" w:cs="仿宋"/>
                <w:color w:val="auto"/>
                <w:sz w:val="18"/>
                <w:highlight w:val="none"/>
              </w:rPr>
            </w:pPr>
            <w:r>
              <w:rPr>
                <w:rFonts w:hint="eastAsia" w:ascii="仿宋" w:hAnsi="仿宋" w:eastAsia="仿宋" w:cs="仿宋"/>
                <w:color w:val="auto"/>
                <w:highlight w:val="none"/>
              </w:rPr>
              <w:t>投标人名称</w:t>
            </w:r>
          </w:p>
        </w:tc>
        <w:tc>
          <w:tcPr>
            <w:tcW w:w="4409" w:type="dxa"/>
            <w:tcBorders>
              <w:top w:val="single" w:color="080000" w:sz="4" w:space="0"/>
              <w:left w:val="single" w:color="080000" w:sz="4" w:space="0"/>
              <w:bottom w:val="single" w:color="080000" w:sz="4" w:space="0"/>
              <w:right w:val="single" w:color="080000" w:sz="4" w:space="0"/>
            </w:tcBorders>
            <w:noWrap w:val="0"/>
            <w:vAlign w:val="center"/>
          </w:tcPr>
          <w:p w14:paraId="6D122E5A">
            <w:pPr>
              <w:snapToGrid w:val="0"/>
              <w:spacing w:line="360" w:lineRule="auto"/>
              <w:rPr>
                <w:rFonts w:hint="eastAsia" w:ascii="仿宋" w:hAnsi="仿宋" w:eastAsia="仿宋" w:cs="仿宋"/>
                <w:color w:val="auto"/>
                <w:sz w:val="18"/>
                <w:highlight w:val="none"/>
              </w:rPr>
            </w:pPr>
          </w:p>
        </w:tc>
      </w:tr>
      <w:tr w14:paraId="535B8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8" w:hRule="atLeast"/>
          <w:jc w:val="center"/>
        </w:trPr>
        <w:tc>
          <w:tcPr>
            <w:tcW w:w="8659" w:type="dxa"/>
            <w:gridSpan w:val="2"/>
            <w:tcBorders>
              <w:top w:val="single" w:color="080000" w:sz="4" w:space="0"/>
              <w:left w:val="single" w:color="080000" w:sz="4" w:space="0"/>
              <w:bottom w:val="single" w:color="080000" w:sz="4" w:space="0"/>
              <w:right w:val="single" w:color="080000" w:sz="4" w:space="0"/>
            </w:tcBorders>
            <w:noWrap w:val="0"/>
            <w:vAlign w:val="top"/>
          </w:tcPr>
          <w:p w14:paraId="4D2B4299">
            <w:pPr>
              <w:snapToGrid w:val="0"/>
              <w:spacing w:line="360" w:lineRule="auto"/>
              <w:rPr>
                <w:rFonts w:hint="eastAsia" w:ascii="仿宋" w:hAnsi="仿宋" w:eastAsia="仿宋" w:cs="仿宋"/>
                <w:color w:val="auto"/>
                <w:sz w:val="18"/>
                <w:highlight w:val="none"/>
              </w:rPr>
            </w:pPr>
          </w:p>
          <w:p w14:paraId="64C63122">
            <w:pPr>
              <w:snapToGrid w:val="0"/>
              <w:spacing w:line="360" w:lineRule="auto"/>
              <w:rPr>
                <w:rFonts w:hint="eastAsia" w:ascii="仿宋" w:hAnsi="仿宋" w:eastAsia="仿宋" w:cs="仿宋"/>
                <w:color w:val="auto"/>
                <w:sz w:val="18"/>
                <w:highlight w:val="none"/>
              </w:rPr>
            </w:pPr>
          </w:p>
        </w:tc>
      </w:tr>
    </w:tbl>
    <w:p w14:paraId="10AF13AF">
      <w:pPr>
        <w:snapToGrid w:val="0"/>
        <w:spacing w:line="360" w:lineRule="auto"/>
        <w:jc w:val="right"/>
        <w:rPr>
          <w:rFonts w:hint="eastAsia" w:ascii="仿宋" w:hAnsi="仿宋" w:eastAsia="仿宋" w:cs="仿宋"/>
          <w:color w:val="auto"/>
          <w:highlight w:val="none"/>
        </w:rPr>
      </w:pPr>
    </w:p>
    <w:p w14:paraId="760F7AC4">
      <w:pPr>
        <w:wordWrap w:val="0"/>
        <w:snapToGrid w:val="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投标人：                        （公章）</w:t>
      </w:r>
    </w:p>
    <w:p w14:paraId="55287353">
      <w:pPr>
        <w:snapToGrid w:val="0"/>
        <w:jc w:val="right"/>
        <w:rPr>
          <w:rFonts w:hint="eastAsia" w:ascii="仿宋" w:hAnsi="仿宋" w:eastAsia="仿宋" w:cs="仿宋"/>
          <w:color w:val="auto"/>
          <w:highlight w:val="none"/>
        </w:rPr>
      </w:pPr>
    </w:p>
    <w:p w14:paraId="7DA0E288">
      <w:pPr>
        <w:snapToGrid w:val="0"/>
        <w:jc w:val="right"/>
        <w:rPr>
          <w:rFonts w:hint="eastAsia" w:ascii="仿宋" w:hAnsi="仿宋" w:eastAsia="仿宋" w:cs="仿宋"/>
          <w:color w:val="auto"/>
          <w:highlight w:val="none"/>
        </w:rPr>
      </w:pPr>
    </w:p>
    <w:p w14:paraId="7EE87629">
      <w:pPr>
        <w:snapToGrid w:val="0"/>
        <w:jc w:val="right"/>
        <w:rPr>
          <w:rFonts w:hint="eastAsia" w:ascii="仿宋" w:hAnsi="仿宋" w:eastAsia="仿宋" w:cs="仿宋"/>
          <w:color w:val="auto"/>
          <w:highlight w:val="none"/>
        </w:rPr>
      </w:pPr>
    </w:p>
    <w:p w14:paraId="042AEAA0">
      <w:pPr>
        <w:snapToGrid w:val="0"/>
        <w:jc w:val="right"/>
        <w:rPr>
          <w:rFonts w:hint="eastAsia" w:ascii="仿宋" w:hAnsi="仿宋" w:eastAsia="仿宋" w:cs="仿宋"/>
          <w:color w:val="auto"/>
          <w:highlight w:val="none"/>
        </w:rPr>
      </w:pPr>
    </w:p>
    <w:p w14:paraId="5871EC4C">
      <w:pPr>
        <w:snapToGrid w:val="0"/>
        <w:ind w:firstLine="6930" w:firstLineChars="3300"/>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highlight w:val="none"/>
        </w:rPr>
        <w:t>日    期：</w:t>
      </w:r>
    </w:p>
    <w:p w14:paraId="57BA7E0A">
      <w:pPr>
        <w:rPr>
          <w:rFonts w:hint="eastAsia" w:ascii="仿宋" w:hAnsi="仿宋" w:eastAsia="仿宋" w:cs="仿宋"/>
          <w:color w:val="auto"/>
          <w:highlight w:val="none"/>
        </w:rPr>
      </w:pPr>
    </w:p>
    <w:p w14:paraId="3ADAE466">
      <w:pPr>
        <w:pStyle w:val="3"/>
        <w:spacing w:line="240" w:lineRule="auto"/>
        <w:jc w:val="left"/>
        <w:rPr>
          <w:rFonts w:hint="eastAsia" w:ascii="仿宋" w:hAnsi="仿宋" w:eastAsia="仿宋" w:cs="仿宋"/>
          <w:color w:val="auto"/>
          <w:highlight w:val="none"/>
        </w:rPr>
      </w:pPr>
      <w:bookmarkStart w:id="77" w:name="_Toc21183"/>
      <w:bookmarkStart w:id="78" w:name="_Toc6931"/>
      <w:bookmarkStart w:id="79" w:name="_Toc12235"/>
      <w:r>
        <w:rPr>
          <w:rFonts w:hint="eastAsia" w:ascii="仿宋" w:hAnsi="仿宋" w:eastAsia="仿宋" w:cs="仿宋"/>
          <w:color w:val="auto"/>
          <w:highlight w:val="none"/>
        </w:rPr>
        <w:t>1. 总则</w:t>
      </w:r>
      <w:bookmarkEnd w:id="67"/>
      <w:bookmarkEnd w:id="68"/>
      <w:bookmarkEnd w:id="69"/>
      <w:bookmarkEnd w:id="70"/>
      <w:bookmarkEnd w:id="71"/>
      <w:bookmarkEnd w:id="72"/>
      <w:bookmarkEnd w:id="73"/>
      <w:bookmarkEnd w:id="74"/>
      <w:bookmarkEnd w:id="75"/>
      <w:bookmarkEnd w:id="76"/>
      <w:bookmarkEnd w:id="77"/>
      <w:bookmarkEnd w:id="78"/>
      <w:bookmarkEnd w:id="79"/>
    </w:p>
    <w:p w14:paraId="70D4BBC5">
      <w:pPr>
        <w:rPr>
          <w:rFonts w:hint="eastAsia" w:ascii="仿宋" w:hAnsi="仿宋" w:eastAsia="仿宋" w:cs="仿宋"/>
          <w:b/>
          <w:color w:val="auto"/>
          <w:highlight w:val="none"/>
        </w:rPr>
      </w:pPr>
      <w:bookmarkStart w:id="80" w:name="_Toc179632547"/>
      <w:bookmarkStart w:id="81" w:name="_Toc144974498"/>
      <w:bookmarkStart w:id="82" w:name="_Toc246996176"/>
      <w:bookmarkStart w:id="83" w:name="_Toc246996919"/>
      <w:bookmarkStart w:id="84" w:name="_Toc152042306"/>
      <w:bookmarkStart w:id="85" w:name="_Toc152045530"/>
      <w:bookmarkStart w:id="86" w:name="_Toc31798"/>
      <w:bookmarkStart w:id="87" w:name="_Toc247085690"/>
      <w:r>
        <w:rPr>
          <w:rFonts w:hint="eastAsia" w:ascii="仿宋" w:hAnsi="仿宋" w:eastAsia="仿宋" w:cs="仿宋"/>
          <w:b/>
          <w:color w:val="auto"/>
          <w:highlight w:val="none"/>
        </w:rPr>
        <w:t>1.1 项目概况</w:t>
      </w:r>
      <w:bookmarkEnd w:id="80"/>
      <w:bookmarkEnd w:id="81"/>
      <w:bookmarkEnd w:id="82"/>
      <w:bookmarkEnd w:id="83"/>
      <w:bookmarkEnd w:id="84"/>
      <w:bookmarkEnd w:id="85"/>
      <w:bookmarkEnd w:id="86"/>
      <w:bookmarkEnd w:id="87"/>
    </w:p>
    <w:p w14:paraId="7BE25D1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1.1.1根据《中华人民共和国政府采购法》等有关法律、法规和规章的规定，本采购项目已具备采购条件，现对本项目进行采购。</w:t>
      </w:r>
    </w:p>
    <w:p w14:paraId="72E7CC8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 采购人：见投标人须知前附表。</w:t>
      </w:r>
    </w:p>
    <w:p w14:paraId="67F9F4AA">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 采购代理机构：见投标人须知前附表。</w:t>
      </w:r>
    </w:p>
    <w:p w14:paraId="723DB5A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1.1.4 </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名称及编号：见投标人须知前附表。</w:t>
      </w:r>
    </w:p>
    <w:p w14:paraId="7C10B0B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1.1.5 </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项目地点：见投标人须知前附表。</w:t>
      </w:r>
    </w:p>
    <w:p w14:paraId="4226B4FE">
      <w:pPr>
        <w:rPr>
          <w:rFonts w:hint="eastAsia" w:ascii="仿宋" w:hAnsi="仿宋" w:eastAsia="仿宋" w:cs="仿宋"/>
          <w:b/>
          <w:color w:val="auto"/>
          <w:highlight w:val="none"/>
        </w:rPr>
      </w:pPr>
      <w:bookmarkStart w:id="88" w:name="_Toc246996177"/>
      <w:bookmarkStart w:id="89" w:name="_Toc144974499"/>
      <w:bookmarkStart w:id="90" w:name="_Toc247085691"/>
      <w:bookmarkStart w:id="91" w:name="_Toc10577"/>
      <w:bookmarkStart w:id="92" w:name="_Toc152045531"/>
      <w:bookmarkStart w:id="93" w:name="_Toc152042307"/>
      <w:bookmarkStart w:id="94" w:name="_Toc179632548"/>
      <w:bookmarkStart w:id="95" w:name="_Toc246996920"/>
      <w:r>
        <w:rPr>
          <w:rFonts w:hint="eastAsia" w:ascii="仿宋" w:hAnsi="仿宋" w:eastAsia="仿宋" w:cs="仿宋"/>
          <w:b/>
          <w:color w:val="auto"/>
          <w:highlight w:val="none"/>
        </w:rPr>
        <w:t>1.2 资金来源和落实情况</w:t>
      </w:r>
      <w:bookmarkEnd w:id="88"/>
      <w:bookmarkEnd w:id="89"/>
      <w:bookmarkEnd w:id="90"/>
      <w:bookmarkEnd w:id="91"/>
      <w:bookmarkEnd w:id="92"/>
      <w:bookmarkEnd w:id="93"/>
      <w:bookmarkEnd w:id="94"/>
      <w:bookmarkEnd w:id="95"/>
    </w:p>
    <w:p w14:paraId="711FED7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1.2.1 资金来源及出资比例：见投标人须知前附表。</w:t>
      </w:r>
    </w:p>
    <w:p w14:paraId="6386846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1.2.2 资金落实情况：见投标人须知前附表。</w:t>
      </w:r>
    </w:p>
    <w:p w14:paraId="69DE5CE7">
      <w:pPr>
        <w:rPr>
          <w:rFonts w:hint="eastAsia" w:ascii="仿宋" w:hAnsi="仿宋" w:eastAsia="仿宋" w:cs="仿宋"/>
          <w:b/>
          <w:color w:val="auto"/>
          <w:highlight w:val="none"/>
        </w:rPr>
      </w:pPr>
      <w:bookmarkStart w:id="96" w:name="_Toc179632549"/>
      <w:bookmarkStart w:id="97" w:name="_Toc24381"/>
      <w:bookmarkStart w:id="98" w:name="_Toc247085692"/>
      <w:bookmarkStart w:id="99" w:name="_Toc246996921"/>
      <w:bookmarkStart w:id="100" w:name="_Toc246996178"/>
      <w:bookmarkStart w:id="101" w:name="_Toc144974500"/>
      <w:bookmarkStart w:id="102" w:name="_Toc152045532"/>
      <w:bookmarkStart w:id="103" w:name="_Toc152042308"/>
      <w:r>
        <w:rPr>
          <w:rFonts w:hint="eastAsia" w:ascii="仿宋" w:hAnsi="仿宋" w:eastAsia="仿宋" w:cs="仿宋"/>
          <w:b/>
          <w:color w:val="auto"/>
          <w:highlight w:val="none"/>
        </w:rPr>
        <w:t>1.3 采购需求、</w:t>
      </w:r>
      <w:bookmarkEnd w:id="96"/>
      <w:bookmarkEnd w:id="97"/>
      <w:bookmarkEnd w:id="98"/>
      <w:bookmarkEnd w:id="99"/>
      <w:bookmarkEnd w:id="100"/>
      <w:bookmarkEnd w:id="101"/>
      <w:bookmarkEnd w:id="102"/>
      <w:bookmarkEnd w:id="103"/>
      <w:r>
        <w:rPr>
          <w:rFonts w:hint="eastAsia" w:ascii="仿宋" w:hAnsi="仿宋" w:eastAsia="仿宋" w:cs="仿宋"/>
          <w:b/>
          <w:color w:val="auto"/>
          <w:highlight w:val="none"/>
        </w:rPr>
        <w:t>合同履行期限、服务标准</w:t>
      </w:r>
    </w:p>
    <w:p w14:paraId="2987DBE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采购需求：见投标人须知前附表。</w:t>
      </w:r>
    </w:p>
    <w:p w14:paraId="43387B8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1.3.2 合同履行期限：见投标人须知前附表。</w:t>
      </w:r>
    </w:p>
    <w:p w14:paraId="029596A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1.3.3 服务标准：见投标人须知前附表。</w:t>
      </w:r>
    </w:p>
    <w:p w14:paraId="182E7CEE">
      <w:pPr>
        <w:rPr>
          <w:rFonts w:hint="eastAsia" w:ascii="仿宋" w:hAnsi="仿宋" w:eastAsia="仿宋" w:cs="仿宋"/>
          <w:b/>
          <w:color w:val="auto"/>
          <w:highlight w:val="none"/>
        </w:rPr>
      </w:pPr>
      <w:bookmarkStart w:id="104" w:name="_Toc144974502"/>
      <w:bookmarkStart w:id="105" w:name="_Toc246996179"/>
      <w:bookmarkStart w:id="106" w:name="_Toc246996922"/>
      <w:bookmarkStart w:id="107" w:name="_Toc247085693"/>
      <w:bookmarkStart w:id="108" w:name="_Toc152045534"/>
      <w:bookmarkStart w:id="109" w:name="_Toc152042310"/>
      <w:bookmarkStart w:id="110" w:name="_Toc179632551"/>
      <w:bookmarkStart w:id="111" w:name="_Toc6126"/>
      <w:r>
        <w:rPr>
          <w:rFonts w:hint="eastAsia" w:ascii="仿宋" w:hAnsi="仿宋" w:eastAsia="仿宋" w:cs="仿宋"/>
          <w:b/>
          <w:color w:val="auto"/>
          <w:highlight w:val="none"/>
        </w:rPr>
        <w:t>1.4 投标人资格要求</w:t>
      </w:r>
      <w:bookmarkEnd w:id="104"/>
      <w:bookmarkEnd w:id="105"/>
      <w:bookmarkEnd w:id="106"/>
      <w:bookmarkEnd w:id="107"/>
      <w:bookmarkEnd w:id="108"/>
      <w:bookmarkEnd w:id="109"/>
      <w:bookmarkEnd w:id="110"/>
      <w:bookmarkEnd w:id="111"/>
    </w:p>
    <w:p w14:paraId="597A66EE">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1.4.1 投标人应具备承担本项目的资质条件、能力和信誉。</w:t>
      </w:r>
    </w:p>
    <w:p w14:paraId="5580DB81">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Cs/>
          <w:color w:val="auto"/>
          <w:highlight w:val="none"/>
          <w:lang w:val="zh-CN"/>
        </w:rPr>
        <w:t>资格要求</w:t>
      </w:r>
      <w:r>
        <w:rPr>
          <w:rFonts w:hint="eastAsia" w:ascii="仿宋" w:hAnsi="仿宋" w:eastAsia="仿宋" w:cs="仿宋"/>
          <w:color w:val="auto"/>
          <w:highlight w:val="none"/>
        </w:rPr>
        <w:t>：见投标人须知前附表；</w:t>
      </w:r>
    </w:p>
    <w:p w14:paraId="414318C9">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bCs/>
          <w:color w:val="auto"/>
          <w:highlight w:val="none"/>
          <w:lang w:val="zh-CN"/>
        </w:rPr>
        <w:t>财务要求</w:t>
      </w:r>
      <w:r>
        <w:rPr>
          <w:rFonts w:hint="eastAsia" w:ascii="仿宋" w:hAnsi="仿宋" w:eastAsia="仿宋" w:cs="仿宋"/>
          <w:color w:val="auto"/>
          <w:highlight w:val="none"/>
        </w:rPr>
        <w:t>：见投标人须知前附表；</w:t>
      </w:r>
    </w:p>
    <w:p w14:paraId="3C57B5E9">
      <w:pPr>
        <w:spacing w:line="400" w:lineRule="exact"/>
        <w:ind w:firstLine="359" w:firstLineChars="171"/>
        <w:rPr>
          <w:rStyle w:val="23"/>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bCs/>
          <w:color w:val="auto"/>
          <w:highlight w:val="none"/>
          <w:lang w:val="zh-CN"/>
        </w:rPr>
        <w:t>信誉要求</w:t>
      </w:r>
      <w:r>
        <w:rPr>
          <w:rFonts w:hint="eastAsia" w:ascii="仿宋" w:hAnsi="仿宋" w:eastAsia="仿宋" w:cs="仿宋"/>
          <w:color w:val="auto"/>
          <w:highlight w:val="none"/>
        </w:rPr>
        <w:t>：见投标人须知前附表；</w:t>
      </w:r>
    </w:p>
    <w:p w14:paraId="4F65FF83">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w:t>
      </w:r>
      <w:r>
        <w:rPr>
          <w:rFonts w:hint="eastAsia" w:ascii="仿宋" w:hAnsi="仿宋" w:eastAsia="仿宋" w:cs="仿宋"/>
          <w:bCs/>
          <w:color w:val="auto"/>
          <w:szCs w:val="22"/>
          <w:highlight w:val="none"/>
          <w:lang w:val="en-US" w:eastAsia="zh-CN"/>
        </w:rPr>
        <w:t>4</w:t>
      </w:r>
      <w:r>
        <w:rPr>
          <w:rFonts w:hint="eastAsia" w:ascii="仿宋" w:hAnsi="仿宋" w:eastAsia="仿宋" w:cs="仿宋"/>
          <w:bCs/>
          <w:color w:val="auto"/>
          <w:szCs w:val="22"/>
          <w:highlight w:val="none"/>
          <w:lang w:val="zh-CN"/>
        </w:rPr>
        <w:t>）其他要求：见投标人须知前附表；</w:t>
      </w:r>
    </w:p>
    <w:p w14:paraId="28D473A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1.4.2 投标人不得存在下列情形之一：</w:t>
      </w:r>
    </w:p>
    <w:p w14:paraId="42AC8E09">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（1）为采购人不具有独立法人资格的附属机构（单位）；</w:t>
      </w:r>
    </w:p>
    <w:p w14:paraId="7A943D3F">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（2）与采购人存在利害关系且可能影响招标公正性；</w:t>
      </w:r>
    </w:p>
    <w:p w14:paraId="4C0B695C">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（3）与本采购项目的其他投标人为同一个单位负责人；</w:t>
      </w:r>
    </w:p>
    <w:p w14:paraId="7A0570CA">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（4）与本采购项目的其他投标人存在控股、管理关系；</w:t>
      </w:r>
    </w:p>
    <w:p w14:paraId="73868031">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（5）为本采购项目的代建人；</w:t>
      </w:r>
    </w:p>
    <w:p w14:paraId="7682F827">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（6）为本采购项目的采购代理机构；</w:t>
      </w:r>
    </w:p>
    <w:p w14:paraId="5E582F82">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（7）与本采购项目的代建人或采购代理机构同为一个法定代表人；</w:t>
      </w:r>
    </w:p>
    <w:p w14:paraId="354536A9">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（8）与本采购项目的代建人或采购代理机构存在控股或参股关系；</w:t>
      </w:r>
    </w:p>
    <w:p w14:paraId="5F85EB4E">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（9）被依法暂停或者取消投标资格；</w:t>
      </w:r>
    </w:p>
    <w:p w14:paraId="42696E7F">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（10）被责令停产停业，暂扣或者吊销执照，或吊销资质证书；</w:t>
      </w:r>
    </w:p>
    <w:p w14:paraId="4C2E7870">
      <w:pPr>
        <w:spacing w:line="400" w:lineRule="exact"/>
        <w:ind w:firstLine="359" w:firstLineChars="171"/>
        <w:rPr>
          <w:rFonts w:hint="eastAsia" w:ascii="仿宋" w:hAnsi="仿宋" w:eastAsia="仿宋" w:cs="仿宋"/>
          <w:bCs/>
          <w:color w:val="auto"/>
          <w:szCs w:val="22"/>
          <w:highlight w:val="none"/>
          <w:lang w:val="zh-CN"/>
        </w:rPr>
      </w:pPr>
      <w:r>
        <w:rPr>
          <w:rFonts w:hint="eastAsia" w:ascii="仿宋" w:hAnsi="仿宋" w:eastAsia="仿宋" w:cs="仿宋"/>
          <w:bCs/>
          <w:color w:val="auto"/>
          <w:szCs w:val="22"/>
          <w:highlight w:val="none"/>
          <w:lang w:val="zh-CN"/>
        </w:rPr>
        <w:t>（</w:t>
      </w:r>
      <w:r>
        <w:rPr>
          <w:rFonts w:hint="eastAsia" w:ascii="仿宋" w:hAnsi="仿宋" w:eastAsia="仿宋" w:cs="仿宋"/>
          <w:bCs/>
          <w:color w:val="auto"/>
          <w:szCs w:val="22"/>
          <w:highlight w:val="none"/>
        </w:rPr>
        <w:t>11</w:t>
      </w:r>
      <w:r>
        <w:rPr>
          <w:rFonts w:hint="eastAsia" w:ascii="仿宋" w:hAnsi="仿宋" w:eastAsia="仿宋" w:cs="仿宋"/>
          <w:bCs/>
          <w:color w:val="auto"/>
          <w:szCs w:val="22"/>
          <w:highlight w:val="none"/>
          <w:lang w:val="zh-CN"/>
        </w:rPr>
        <w:t>）进入清算程序，或被宣告破产，或其他丧失履约能力的情形；</w:t>
      </w:r>
    </w:p>
    <w:p w14:paraId="5C86720E">
      <w:pPr>
        <w:spacing w:line="400" w:lineRule="exact"/>
        <w:ind w:firstLine="359" w:firstLineChars="171"/>
        <w:rPr>
          <w:rFonts w:hint="eastAsia" w:ascii="仿宋" w:hAnsi="仿宋" w:eastAsia="仿宋" w:cs="仿宋"/>
          <w:color w:val="auto"/>
          <w:highlight w:val="none"/>
          <w:lang w:val="en-US" w:eastAsia="zh-CN"/>
        </w:rPr>
      </w:pPr>
      <w:r>
        <w:rPr>
          <w:rFonts w:hint="eastAsia" w:ascii="仿宋" w:hAnsi="仿宋" w:eastAsia="仿宋" w:cs="仿宋"/>
          <w:bCs/>
          <w:color w:val="auto"/>
          <w:szCs w:val="22"/>
          <w:highlight w:val="none"/>
          <w:lang w:val="zh-CN"/>
        </w:rPr>
        <w:t>（</w:t>
      </w:r>
      <w:r>
        <w:rPr>
          <w:rFonts w:hint="eastAsia" w:ascii="仿宋" w:hAnsi="仿宋" w:eastAsia="仿宋" w:cs="仿宋"/>
          <w:bCs/>
          <w:color w:val="auto"/>
          <w:szCs w:val="22"/>
          <w:highlight w:val="none"/>
          <w:lang w:val="en-US" w:eastAsia="zh-CN"/>
        </w:rPr>
        <w:t>12</w:t>
      </w:r>
      <w:r>
        <w:rPr>
          <w:rFonts w:hint="eastAsia" w:ascii="仿宋" w:hAnsi="仿宋" w:eastAsia="仿宋" w:cs="仿宋"/>
          <w:bCs/>
          <w:color w:val="auto"/>
          <w:szCs w:val="22"/>
          <w:highlight w:val="none"/>
          <w:lang w:val="zh-CN"/>
        </w:rPr>
        <w:t>）</w:t>
      </w:r>
      <w:r>
        <w:rPr>
          <w:rFonts w:hint="eastAsia" w:ascii="仿宋" w:hAnsi="仿宋" w:eastAsia="仿宋" w:cs="仿宋"/>
          <w:bCs/>
          <w:color w:val="auto"/>
          <w:szCs w:val="22"/>
          <w:highlight w:val="none"/>
          <w:lang w:val="en-US" w:eastAsia="zh-CN"/>
        </w:rPr>
        <w:t>法律法规或投标人须知前附表规定的其他情形。</w:t>
      </w:r>
    </w:p>
    <w:p w14:paraId="616197C7">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如投标人有上述情况，则取消其中标资格。</w:t>
      </w:r>
    </w:p>
    <w:p w14:paraId="0CE53E7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1.4.3 </w:t>
      </w:r>
      <w:r>
        <w:rPr>
          <w:rFonts w:hint="eastAsia" w:ascii="仿宋" w:hAnsi="仿宋" w:eastAsia="仿宋" w:cs="仿宋"/>
          <w:bCs/>
          <w:color w:val="auto"/>
          <w:highlight w:val="none"/>
          <w:lang w:val="zh-CN"/>
        </w:rPr>
        <w:t>与</w:t>
      </w:r>
      <w:r>
        <w:rPr>
          <w:rFonts w:hint="eastAsia" w:ascii="仿宋" w:hAnsi="仿宋" w:eastAsia="仿宋" w:cs="仿宋"/>
          <w:bCs/>
          <w:color w:val="auto"/>
          <w:highlight w:val="none"/>
          <w:lang w:val="en-US" w:eastAsia="zh-CN"/>
        </w:rPr>
        <w:t>招标</w:t>
      </w:r>
      <w:r>
        <w:rPr>
          <w:rFonts w:hint="eastAsia" w:ascii="仿宋" w:hAnsi="仿宋" w:eastAsia="仿宋" w:cs="仿宋"/>
          <w:bCs/>
          <w:color w:val="auto"/>
          <w:highlight w:val="none"/>
          <w:lang w:val="zh-CN"/>
        </w:rPr>
        <w:t>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0333F0C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1.4.4 接受联合体投标。</w:t>
      </w:r>
    </w:p>
    <w:p w14:paraId="69FF6814">
      <w:pPr>
        <w:rPr>
          <w:rFonts w:hint="eastAsia" w:ascii="仿宋" w:hAnsi="仿宋" w:eastAsia="仿宋" w:cs="仿宋"/>
          <w:b/>
          <w:color w:val="auto"/>
          <w:highlight w:val="none"/>
        </w:rPr>
      </w:pPr>
      <w:bookmarkStart w:id="112" w:name="_Toc26607"/>
      <w:bookmarkStart w:id="113" w:name="_Toc246996923"/>
      <w:bookmarkStart w:id="114" w:name="_Toc152042311"/>
      <w:bookmarkStart w:id="115" w:name="_Toc247085694"/>
      <w:bookmarkStart w:id="116" w:name="_Toc144974503"/>
      <w:bookmarkStart w:id="117" w:name="_Toc152045535"/>
      <w:bookmarkStart w:id="118" w:name="_Toc246996180"/>
      <w:bookmarkStart w:id="119" w:name="_Toc179632552"/>
      <w:r>
        <w:rPr>
          <w:rFonts w:hint="eastAsia" w:ascii="仿宋" w:hAnsi="仿宋" w:eastAsia="仿宋" w:cs="仿宋"/>
          <w:b/>
          <w:color w:val="auto"/>
          <w:highlight w:val="none"/>
        </w:rPr>
        <w:t>1.5 费用承担</w:t>
      </w:r>
      <w:bookmarkEnd w:id="112"/>
      <w:bookmarkEnd w:id="113"/>
      <w:bookmarkEnd w:id="114"/>
      <w:bookmarkEnd w:id="115"/>
      <w:bookmarkEnd w:id="116"/>
      <w:bookmarkEnd w:id="117"/>
      <w:bookmarkEnd w:id="118"/>
      <w:bookmarkEnd w:id="119"/>
    </w:p>
    <w:p w14:paraId="10E5BD4B">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投标人准备和参加投标活动发生的费用自理。</w:t>
      </w:r>
    </w:p>
    <w:p w14:paraId="1C904F20">
      <w:pPr>
        <w:rPr>
          <w:rFonts w:hint="eastAsia" w:ascii="仿宋" w:hAnsi="仿宋" w:eastAsia="仿宋" w:cs="仿宋"/>
          <w:b/>
          <w:color w:val="auto"/>
          <w:highlight w:val="none"/>
        </w:rPr>
      </w:pPr>
      <w:bookmarkStart w:id="120" w:name="_Toc246996181"/>
      <w:bookmarkStart w:id="121" w:name="_Toc152042312"/>
      <w:bookmarkStart w:id="122" w:name="_Toc246996924"/>
      <w:bookmarkStart w:id="123" w:name="_Toc247085695"/>
      <w:bookmarkStart w:id="124" w:name="_Toc144974504"/>
      <w:bookmarkStart w:id="125" w:name="_Toc179632553"/>
      <w:bookmarkStart w:id="126" w:name="_Toc152045536"/>
      <w:bookmarkStart w:id="127" w:name="_Toc11612"/>
      <w:r>
        <w:rPr>
          <w:rFonts w:hint="eastAsia" w:ascii="仿宋" w:hAnsi="仿宋" w:eastAsia="仿宋" w:cs="仿宋"/>
          <w:b/>
          <w:color w:val="auto"/>
          <w:highlight w:val="none"/>
        </w:rPr>
        <w:t>1.6 保密</w:t>
      </w:r>
      <w:bookmarkEnd w:id="120"/>
      <w:bookmarkEnd w:id="121"/>
      <w:bookmarkEnd w:id="122"/>
      <w:bookmarkEnd w:id="123"/>
      <w:bookmarkEnd w:id="124"/>
      <w:bookmarkEnd w:id="125"/>
      <w:bookmarkEnd w:id="126"/>
      <w:bookmarkEnd w:id="127"/>
    </w:p>
    <w:p w14:paraId="6AD63E6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参与招标投标活动的各方应对采购文件和投标文件中的商业和技术等秘密保密，违者应对由此造成的后果承担法律责任。 </w:t>
      </w:r>
    </w:p>
    <w:p w14:paraId="661F3985">
      <w:pPr>
        <w:rPr>
          <w:rFonts w:hint="eastAsia" w:ascii="仿宋" w:hAnsi="仿宋" w:eastAsia="仿宋" w:cs="仿宋"/>
          <w:b/>
          <w:color w:val="auto"/>
          <w:highlight w:val="none"/>
        </w:rPr>
      </w:pPr>
      <w:bookmarkStart w:id="128" w:name="_Toc144974505"/>
      <w:bookmarkStart w:id="129" w:name="_Toc152042313"/>
      <w:bookmarkStart w:id="130" w:name="_Toc246996925"/>
      <w:bookmarkStart w:id="131" w:name="_Toc4533"/>
      <w:bookmarkStart w:id="132" w:name="_Toc179632554"/>
      <w:bookmarkStart w:id="133" w:name="_Toc246996182"/>
      <w:bookmarkStart w:id="134" w:name="_Toc247085696"/>
      <w:bookmarkStart w:id="135" w:name="_Toc152045537"/>
      <w:r>
        <w:rPr>
          <w:rFonts w:hint="eastAsia" w:ascii="仿宋" w:hAnsi="仿宋" w:eastAsia="仿宋" w:cs="仿宋"/>
          <w:b/>
          <w:color w:val="auto"/>
          <w:highlight w:val="none"/>
        </w:rPr>
        <w:t>1.7 语言</w:t>
      </w:r>
      <w:bookmarkEnd w:id="128"/>
      <w:r>
        <w:rPr>
          <w:rFonts w:hint="eastAsia" w:ascii="仿宋" w:hAnsi="仿宋" w:eastAsia="仿宋" w:cs="仿宋"/>
          <w:b/>
          <w:color w:val="auto"/>
          <w:highlight w:val="none"/>
        </w:rPr>
        <w:t>文字</w:t>
      </w:r>
      <w:bookmarkEnd w:id="129"/>
      <w:bookmarkEnd w:id="130"/>
      <w:bookmarkEnd w:id="131"/>
      <w:bookmarkEnd w:id="132"/>
      <w:bookmarkEnd w:id="133"/>
      <w:bookmarkEnd w:id="134"/>
      <w:bookmarkEnd w:id="135"/>
    </w:p>
    <w:p w14:paraId="22FD7D7D">
      <w:pPr>
        <w:spacing w:line="400" w:lineRule="exact"/>
        <w:ind w:firstLine="420" w:firstLineChars="200"/>
        <w:rPr>
          <w:rFonts w:hint="eastAsia" w:ascii="仿宋" w:hAnsi="仿宋" w:eastAsia="仿宋" w:cs="仿宋"/>
          <w:color w:val="auto"/>
          <w:highlight w:val="none"/>
        </w:rPr>
      </w:pPr>
      <w:bookmarkStart w:id="136" w:name="_Toc152042314"/>
      <w:bookmarkStart w:id="137" w:name="_Toc246996926"/>
      <w:bookmarkStart w:id="138" w:name="_Toc246996183"/>
      <w:bookmarkStart w:id="139" w:name="_Toc144974506"/>
      <w:bookmarkStart w:id="140" w:name="_Toc179632555"/>
      <w:bookmarkStart w:id="141" w:name="_Toc152045538"/>
      <w:bookmarkStart w:id="142" w:name="_Toc247085697"/>
      <w:r>
        <w:rPr>
          <w:rFonts w:hint="eastAsia" w:ascii="仿宋" w:hAnsi="仿宋" w:eastAsia="仿宋" w:cs="仿宋"/>
          <w:color w:val="auto"/>
          <w:highlight w:val="none"/>
        </w:rPr>
        <w:t>招标投标文件使用的语言文字为中文。专用术语使用外文的，应附有中文注释。</w:t>
      </w:r>
    </w:p>
    <w:p w14:paraId="40BDB04E">
      <w:pPr>
        <w:rPr>
          <w:rFonts w:hint="eastAsia" w:ascii="仿宋" w:hAnsi="仿宋" w:eastAsia="仿宋" w:cs="仿宋"/>
          <w:b/>
          <w:color w:val="auto"/>
          <w:highlight w:val="none"/>
        </w:rPr>
      </w:pPr>
      <w:bookmarkStart w:id="143" w:name="_Toc2047"/>
      <w:r>
        <w:rPr>
          <w:rFonts w:hint="eastAsia" w:ascii="仿宋" w:hAnsi="仿宋" w:eastAsia="仿宋" w:cs="仿宋"/>
          <w:b/>
          <w:color w:val="auto"/>
          <w:highlight w:val="none"/>
        </w:rPr>
        <w:t>1.8 计量单位</w:t>
      </w:r>
      <w:bookmarkEnd w:id="136"/>
      <w:bookmarkEnd w:id="137"/>
      <w:bookmarkEnd w:id="138"/>
      <w:bookmarkEnd w:id="139"/>
      <w:bookmarkEnd w:id="140"/>
      <w:bookmarkEnd w:id="141"/>
      <w:bookmarkEnd w:id="142"/>
      <w:bookmarkEnd w:id="143"/>
    </w:p>
    <w:p w14:paraId="69F62CB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所有计量均采用中华人民共和国法定计量单位。</w:t>
      </w:r>
    </w:p>
    <w:p w14:paraId="59966164">
      <w:pPr>
        <w:rPr>
          <w:rFonts w:hint="eastAsia" w:ascii="仿宋" w:hAnsi="仿宋" w:eastAsia="仿宋" w:cs="仿宋"/>
          <w:b/>
          <w:color w:val="auto"/>
          <w:highlight w:val="none"/>
        </w:rPr>
      </w:pPr>
      <w:bookmarkStart w:id="144" w:name="_Toc14227"/>
      <w:bookmarkStart w:id="145" w:name="_Toc247513962"/>
      <w:bookmarkStart w:id="146" w:name="_Toc152045539"/>
      <w:bookmarkStart w:id="147" w:name="_Toc247592876"/>
      <w:bookmarkStart w:id="148" w:name="_Toc247527563"/>
      <w:bookmarkStart w:id="149" w:name="_Toc152042315"/>
      <w:bookmarkStart w:id="150" w:name="_Toc144974507"/>
      <w:r>
        <w:rPr>
          <w:rFonts w:hint="eastAsia" w:ascii="仿宋" w:hAnsi="仿宋" w:eastAsia="仿宋" w:cs="仿宋"/>
          <w:b/>
          <w:color w:val="auto"/>
          <w:highlight w:val="none"/>
        </w:rPr>
        <w:t>1.9 踏勘现场</w:t>
      </w:r>
      <w:bookmarkEnd w:id="144"/>
      <w:bookmarkEnd w:id="145"/>
      <w:bookmarkEnd w:id="146"/>
      <w:bookmarkEnd w:id="147"/>
      <w:bookmarkEnd w:id="148"/>
      <w:bookmarkEnd w:id="149"/>
      <w:bookmarkEnd w:id="150"/>
    </w:p>
    <w:p w14:paraId="6E4A7DD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 投标人须知前附表规定组织踏勘现场的，采购人按投标人须知前附表规定的时间、地点组织投标人踏勘项目现场。未规定的，投标人自行踏勘。</w:t>
      </w:r>
    </w:p>
    <w:p w14:paraId="02C8AF5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 投标人踏勘现场发生的费用自理。</w:t>
      </w:r>
    </w:p>
    <w:p w14:paraId="649BF44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 除采购人的原因外，投标人自行负责在踏勘现场中所发生的人员伤亡和财产损失。</w:t>
      </w:r>
    </w:p>
    <w:p w14:paraId="5FB1AA2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1.9.4 采购人在踏勘现场中介绍的项目场地和相关的周边环境情况，供投标人在编制投标文件时参考，采购人不对投标人据此作出的判断和决策负责。</w:t>
      </w:r>
    </w:p>
    <w:p w14:paraId="13B737C9">
      <w:pPr>
        <w:rPr>
          <w:rFonts w:hint="eastAsia" w:ascii="仿宋" w:hAnsi="仿宋" w:eastAsia="仿宋" w:cs="仿宋"/>
          <w:b/>
          <w:color w:val="auto"/>
          <w:highlight w:val="none"/>
        </w:rPr>
      </w:pPr>
      <w:bookmarkStart w:id="151" w:name="_Toc223580592"/>
      <w:bookmarkStart w:id="152" w:name="_Toc201719074"/>
      <w:bookmarkStart w:id="153" w:name="_Toc223063723"/>
      <w:bookmarkStart w:id="154" w:name="_Toc228014261"/>
      <w:bookmarkStart w:id="155" w:name="_Toc222987634"/>
      <w:bookmarkStart w:id="156" w:name="_Toc279848083"/>
      <w:bookmarkStart w:id="157" w:name="_Toc222907589"/>
      <w:bookmarkStart w:id="158" w:name="_Toc222987481"/>
      <w:bookmarkStart w:id="159" w:name="_Toc259131296"/>
      <w:bookmarkStart w:id="160" w:name="_Toc222900712"/>
      <w:bookmarkStart w:id="161" w:name="_Toc223256351"/>
      <w:bookmarkStart w:id="162" w:name="_Toc222905993"/>
      <w:bookmarkStart w:id="163" w:name="_Toc259125187"/>
      <w:bookmarkStart w:id="164" w:name="_Toc223345309"/>
      <w:bookmarkStart w:id="165" w:name="_Toc223161275"/>
      <w:bookmarkStart w:id="166" w:name="_Toc223068448"/>
      <w:r>
        <w:rPr>
          <w:rFonts w:hint="eastAsia" w:ascii="仿宋" w:hAnsi="仿宋" w:eastAsia="仿宋" w:cs="仿宋"/>
          <w:b/>
          <w:color w:val="auto"/>
          <w:highlight w:val="none"/>
        </w:rPr>
        <w:t>1.10 投标</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仿宋" w:hAnsi="仿宋" w:eastAsia="仿宋" w:cs="仿宋"/>
          <w:b/>
          <w:color w:val="auto"/>
          <w:highlight w:val="none"/>
        </w:rPr>
        <w:t>预备会</w:t>
      </w:r>
    </w:p>
    <w:p w14:paraId="1E82BF04">
      <w:pPr>
        <w:autoSpaceDE w:val="0"/>
        <w:autoSpaceDN w:val="0"/>
        <w:adjustRightInd w:val="0"/>
        <w:spacing w:line="400" w:lineRule="exact"/>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1.10.1 投标人须知前附表规定召开投标预备会的，采购人按投标人须知前附表规定的时间和地点召开投标预备会，澄清投标人提出的问题。</w:t>
      </w:r>
    </w:p>
    <w:p w14:paraId="47FBAF30">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1.10.2 投标人应在投标人须知前附表规定的时间前，以书面形式将提出的问题送达采购人，以便采购人在会议期间澄清。</w:t>
      </w:r>
    </w:p>
    <w:p w14:paraId="0A1A4EFC">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1.10.3 投标预备会后，采购人在投标人须知前附表规定的时间内，将对投标人所提问题的澄清，以书面形式通知所有购买采购文件的投标人。该澄清内容为采购文件的组成部分。</w:t>
      </w:r>
    </w:p>
    <w:p w14:paraId="77987AE1">
      <w:pPr>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1.11 分包</w:t>
      </w:r>
    </w:p>
    <w:p w14:paraId="640707D2">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 xml:space="preserve">1.11.1 </w:t>
      </w:r>
      <w:r>
        <w:rPr>
          <w:rFonts w:hint="eastAsia" w:ascii="仿宋" w:hAnsi="仿宋" w:eastAsia="仿宋" w:cs="仿宋"/>
          <w:bCs/>
          <w:color w:val="auto"/>
          <w:szCs w:val="21"/>
          <w:highlight w:val="none"/>
          <w:lang w:val="zh-CN"/>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12F5B34E">
      <w:pPr>
        <w:autoSpaceDE w:val="0"/>
        <w:autoSpaceDN w:val="0"/>
        <w:adjustRightInd w:val="0"/>
        <w:spacing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bCs/>
          <w:color w:val="auto"/>
          <w:szCs w:val="21"/>
          <w:highlight w:val="none"/>
        </w:rPr>
        <w:t xml:space="preserve">1.11.2 </w:t>
      </w:r>
      <w:r>
        <w:rPr>
          <w:rFonts w:hint="eastAsia" w:ascii="仿宋" w:hAnsi="仿宋" w:eastAsia="仿宋" w:cs="仿宋"/>
          <w:bCs/>
          <w:color w:val="auto"/>
          <w:szCs w:val="21"/>
          <w:highlight w:val="none"/>
          <w:lang w:val="zh-CN"/>
        </w:rPr>
        <w:t>中标人不得向他人转让中标项目，接受分包的人不得再次分包。中标人应当就分包项目向采购人负责，接受分包的人就分包项目承担连带责任。</w:t>
      </w:r>
    </w:p>
    <w:p w14:paraId="547D9462">
      <w:pPr>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1.12 响应和偏差</w:t>
      </w:r>
    </w:p>
    <w:p w14:paraId="7CD272A9">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 xml:space="preserve">1.12.1 </w:t>
      </w:r>
      <w:r>
        <w:rPr>
          <w:rFonts w:hint="eastAsia" w:ascii="仿宋" w:hAnsi="仿宋" w:eastAsia="仿宋" w:cs="仿宋"/>
          <w:bCs/>
          <w:color w:val="auto"/>
          <w:szCs w:val="21"/>
          <w:highlight w:val="none"/>
          <w:lang w:val="zh-CN"/>
        </w:rPr>
        <w:t>投标文件应当对采购文件的实质性要求和条件作出满足性或更有利于采购人的响应，否则，投标人的投标将被否决。实质性要求和条件见投标人须知前附表。</w:t>
      </w:r>
    </w:p>
    <w:p w14:paraId="2443ED7C">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 xml:space="preserve">1.12.2 </w:t>
      </w:r>
      <w:r>
        <w:rPr>
          <w:rFonts w:hint="eastAsia" w:ascii="仿宋" w:hAnsi="仿宋" w:eastAsia="仿宋" w:cs="仿宋"/>
          <w:bCs/>
          <w:color w:val="auto"/>
          <w:szCs w:val="21"/>
          <w:highlight w:val="none"/>
          <w:lang w:val="zh-CN"/>
        </w:rPr>
        <w:t>投标人应根据采购文件的要求提供投标服务方案等内容以对采购文件作出响应。</w:t>
      </w:r>
    </w:p>
    <w:p w14:paraId="1D23270F">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 xml:space="preserve">1.12.3 </w:t>
      </w:r>
      <w:r>
        <w:rPr>
          <w:rFonts w:hint="eastAsia" w:ascii="仿宋" w:hAnsi="仿宋" w:eastAsia="仿宋" w:cs="仿宋"/>
          <w:bCs/>
          <w:color w:val="auto"/>
          <w:szCs w:val="21"/>
          <w:highlight w:val="none"/>
          <w:lang w:val="zh-CN"/>
        </w:rPr>
        <w:t>投标人须知前附表允许投标文件偏离采购文件某些要求的，偏差应当符合采购文件规定的偏差范围和幅度。</w:t>
      </w:r>
    </w:p>
    <w:p w14:paraId="26A8D1B3">
      <w:pPr>
        <w:pStyle w:val="3"/>
        <w:rPr>
          <w:rFonts w:hint="eastAsia" w:ascii="仿宋" w:hAnsi="仿宋" w:eastAsia="仿宋" w:cs="仿宋"/>
          <w:color w:val="auto"/>
          <w:highlight w:val="none"/>
        </w:rPr>
      </w:pPr>
      <w:bookmarkStart w:id="167" w:name="_Toc152042318"/>
      <w:bookmarkStart w:id="168" w:name="_Toc144974510"/>
      <w:bookmarkStart w:id="169" w:name="_Toc21389"/>
      <w:bookmarkStart w:id="170" w:name="_Toc10805"/>
      <w:bookmarkStart w:id="171" w:name="_Toc357177711"/>
      <w:bookmarkStart w:id="172" w:name="_Toc152045542"/>
      <w:bookmarkStart w:id="173" w:name="_Toc179632560"/>
      <w:bookmarkStart w:id="174" w:name="_Toc420417623"/>
      <w:bookmarkStart w:id="175" w:name="_Toc246996930"/>
      <w:bookmarkStart w:id="176" w:name="_Toc457839488"/>
      <w:bookmarkStart w:id="177" w:name="_Toc247085701"/>
      <w:bookmarkStart w:id="178" w:name="_Toc12718"/>
      <w:bookmarkStart w:id="179" w:name="_Toc246996187"/>
      <w:r>
        <w:rPr>
          <w:rFonts w:hint="eastAsia" w:ascii="仿宋" w:hAnsi="仿宋" w:eastAsia="仿宋" w:cs="仿宋"/>
          <w:color w:val="auto"/>
          <w:highlight w:val="none"/>
        </w:rPr>
        <w:t>2. 采购文件</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6B9D803C">
      <w:pPr>
        <w:rPr>
          <w:rFonts w:hint="eastAsia" w:ascii="仿宋" w:hAnsi="仿宋" w:eastAsia="仿宋" w:cs="仿宋"/>
          <w:b/>
          <w:color w:val="auto"/>
          <w:highlight w:val="none"/>
        </w:rPr>
      </w:pPr>
      <w:bookmarkStart w:id="180" w:name="_Toc152042319"/>
      <w:bookmarkStart w:id="181" w:name="_Toc247085702"/>
      <w:bookmarkStart w:id="182" w:name="_Toc152045543"/>
      <w:bookmarkStart w:id="183" w:name="_Toc246996931"/>
      <w:bookmarkStart w:id="184" w:name="_Toc23578"/>
      <w:bookmarkStart w:id="185" w:name="_Toc179632561"/>
      <w:bookmarkStart w:id="186" w:name="_Toc246996188"/>
      <w:bookmarkStart w:id="187" w:name="_Toc144974511"/>
      <w:r>
        <w:rPr>
          <w:rFonts w:hint="eastAsia" w:ascii="仿宋" w:hAnsi="仿宋" w:eastAsia="仿宋" w:cs="仿宋"/>
          <w:b/>
          <w:color w:val="auto"/>
          <w:highlight w:val="none"/>
        </w:rPr>
        <w:t>2.1 采购文件的组成</w:t>
      </w:r>
      <w:bookmarkEnd w:id="180"/>
      <w:bookmarkEnd w:id="181"/>
      <w:bookmarkEnd w:id="182"/>
      <w:bookmarkEnd w:id="183"/>
      <w:bookmarkEnd w:id="184"/>
      <w:bookmarkEnd w:id="185"/>
      <w:bookmarkEnd w:id="186"/>
      <w:bookmarkEnd w:id="187"/>
    </w:p>
    <w:p w14:paraId="07DDE2A7">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本采购文件包括：</w:t>
      </w:r>
    </w:p>
    <w:p w14:paraId="029677BB">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（1）采购公告；</w:t>
      </w:r>
    </w:p>
    <w:p w14:paraId="51DCE7CF">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（2）投标人须知；</w:t>
      </w:r>
    </w:p>
    <w:p w14:paraId="33FC2094">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（3）评标办法；</w:t>
      </w:r>
    </w:p>
    <w:p w14:paraId="22F072A3">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（4）合同条款</w:t>
      </w:r>
      <w:r>
        <w:rPr>
          <w:rFonts w:hint="eastAsia" w:ascii="仿宋" w:hAnsi="仿宋" w:eastAsia="仿宋" w:cs="仿宋"/>
          <w:color w:val="auto"/>
          <w:szCs w:val="22"/>
          <w:highlight w:val="none"/>
        </w:rPr>
        <w:t>及格式</w:t>
      </w:r>
      <w:r>
        <w:rPr>
          <w:rFonts w:hint="eastAsia" w:ascii="仿宋" w:hAnsi="仿宋" w:eastAsia="仿宋" w:cs="仿宋"/>
          <w:color w:val="auto"/>
          <w:highlight w:val="none"/>
        </w:rPr>
        <w:t>；</w:t>
      </w:r>
    </w:p>
    <w:p w14:paraId="0EDA79BC">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（5）服务方案及要求；</w:t>
      </w:r>
    </w:p>
    <w:p w14:paraId="56696C5F">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 xml:space="preserve">（6）投标文件格式。 </w:t>
      </w:r>
    </w:p>
    <w:p w14:paraId="60DAE25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根据本章第1.10款、第2.2款和第2.3款对采购文件所作的澄清、修改，构成采购文件的组成部分。</w:t>
      </w:r>
    </w:p>
    <w:p w14:paraId="6498B4B6">
      <w:pPr>
        <w:rPr>
          <w:rFonts w:hint="eastAsia" w:ascii="仿宋" w:hAnsi="仿宋" w:eastAsia="仿宋" w:cs="仿宋"/>
          <w:b/>
          <w:color w:val="auto"/>
          <w:highlight w:val="none"/>
        </w:rPr>
      </w:pPr>
      <w:bookmarkStart w:id="188" w:name="_Toc179632562"/>
      <w:bookmarkStart w:id="189" w:name="_Toc247085703"/>
      <w:bookmarkStart w:id="190" w:name="_Toc246996189"/>
      <w:bookmarkStart w:id="191" w:name="_Toc144974512"/>
      <w:bookmarkStart w:id="192" w:name="_Toc152045544"/>
      <w:bookmarkStart w:id="193" w:name="_Toc152042320"/>
      <w:bookmarkStart w:id="194" w:name="_Toc246996932"/>
      <w:bookmarkStart w:id="195" w:name="_Toc7276"/>
      <w:r>
        <w:rPr>
          <w:rFonts w:hint="eastAsia" w:ascii="仿宋" w:hAnsi="仿宋" w:eastAsia="仿宋" w:cs="仿宋"/>
          <w:b/>
          <w:color w:val="auto"/>
          <w:highlight w:val="none"/>
        </w:rPr>
        <w:t>2.2 采购文件的澄清</w:t>
      </w:r>
      <w:bookmarkEnd w:id="188"/>
      <w:bookmarkEnd w:id="189"/>
      <w:bookmarkEnd w:id="190"/>
      <w:bookmarkEnd w:id="191"/>
      <w:bookmarkEnd w:id="192"/>
      <w:bookmarkEnd w:id="193"/>
      <w:bookmarkEnd w:id="194"/>
      <w:bookmarkEnd w:id="195"/>
      <w:r>
        <w:rPr>
          <w:rFonts w:hint="eastAsia" w:ascii="仿宋" w:hAnsi="仿宋" w:eastAsia="仿宋" w:cs="仿宋"/>
          <w:b/>
          <w:color w:val="auto"/>
          <w:highlight w:val="none"/>
        </w:rPr>
        <w:t xml:space="preserve"> </w:t>
      </w:r>
    </w:p>
    <w:p w14:paraId="6326F46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 投标人应仔细阅读和检查采购文件的全部内容。</w:t>
      </w:r>
      <w:r>
        <w:rPr>
          <w:rFonts w:hint="eastAsia" w:ascii="仿宋" w:hAnsi="仿宋" w:eastAsia="仿宋" w:cs="仿宋"/>
          <w:color w:val="auto"/>
          <w:szCs w:val="21"/>
          <w:highlight w:val="none"/>
        </w:rPr>
        <w:t>如发现缺页或附件不全，应及时向采购人提出，以便补齐。</w:t>
      </w:r>
      <w:r>
        <w:rPr>
          <w:rFonts w:hint="eastAsia" w:ascii="仿宋" w:hAnsi="仿宋" w:eastAsia="仿宋" w:cs="仿宋"/>
          <w:color w:val="auto"/>
          <w:highlight w:val="none"/>
        </w:rPr>
        <w:t>如有疑问，应在投标人须知前附表规定的时间前以书面形式（包括信函、电报、传真等可以有形地表现所载内容的形式，下同），要求采购人对采购文件予以澄清。</w:t>
      </w:r>
    </w:p>
    <w:p w14:paraId="04F0181B">
      <w:pPr>
        <w:spacing w:line="400" w:lineRule="exact"/>
        <w:ind w:firstLine="420" w:firstLineChars="200"/>
        <w:rPr>
          <w:rFonts w:hint="eastAsia" w:ascii="仿宋" w:hAnsi="仿宋" w:eastAsia="仿宋" w:cs="仿宋"/>
          <w:color w:val="auto"/>
          <w:sz w:val="32"/>
          <w:szCs w:val="32"/>
          <w:highlight w:val="none"/>
        </w:rPr>
      </w:pPr>
      <w:r>
        <w:rPr>
          <w:rFonts w:hint="eastAsia" w:ascii="仿宋" w:hAnsi="仿宋" w:eastAsia="仿宋" w:cs="仿宋"/>
          <w:color w:val="auto"/>
          <w:highlight w:val="none"/>
        </w:rPr>
        <w:t>2.2.2 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r>
        <w:rPr>
          <w:rFonts w:hint="eastAsia" w:ascii="仿宋" w:hAnsi="仿宋" w:eastAsia="仿宋" w:cs="仿宋"/>
          <w:color w:val="auto"/>
          <w:sz w:val="32"/>
          <w:szCs w:val="32"/>
          <w:highlight w:val="none"/>
        </w:rPr>
        <w:t xml:space="preserve"> </w:t>
      </w:r>
    </w:p>
    <w:p w14:paraId="74F1A6A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 投标人在收到澄清后，应在投标人须知前附表规定的时间内以书面形式通知采购人，确认已收到该澄清。</w:t>
      </w:r>
    </w:p>
    <w:p w14:paraId="64A516DB">
      <w:pPr>
        <w:rPr>
          <w:rFonts w:hint="eastAsia" w:ascii="仿宋" w:hAnsi="仿宋" w:eastAsia="仿宋" w:cs="仿宋"/>
          <w:b/>
          <w:color w:val="auto"/>
          <w:highlight w:val="none"/>
        </w:rPr>
      </w:pPr>
      <w:bookmarkStart w:id="196" w:name="_Toc144974513"/>
      <w:bookmarkStart w:id="197" w:name="_Toc246996933"/>
      <w:bookmarkStart w:id="198" w:name="_Toc247085704"/>
      <w:bookmarkStart w:id="199" w:name="_Toc18007"/>
      <w:bookmarkStart w:id="200" w:name="_Toc152045545"/>
      <w:bookmarkStart w:id="201" w:name="_Toc152042321"/>
      <w:bookmarkStart w:id="202" w:name="_Toc179632563"/>
      <w:bookmarkStart w:id="203" w:name="_Toc246996190"/>
      <w:r>
        <w:rPr>
          <w:rFonts w:hint="eastAsia" w:ascii="仿宋" w:hAnsi="仿宋" w:eastAsia="仿宋" w:cs="仿宋"/>
          <w:b/>
          <w:color w:val="auto"/>
          <w:highlight w:val="none"/>
        </w:rPr>
        <w:t>2.3 采购文件的修改</w:t>
      </w:r>
      <w:bookmarkEnd w:id="196"/>
      <w:bookmarkEnd w:id="197"/>
      <w:bookmarkEnd w:id="198"/>
      <w:bookmarkEnd w:id="199"/>
      <w:bookmarkEnd w:id="200"/>
      <w:bookmarkEnd w:id="201"/>
      <w:bookmarkEnd w:id="202"/>
      <w:bookmarkEnd w:id="203"/>
    </w:p>
    <w:p w14:paraId="7BEE26C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2.3.1采购人可以书面形式修改采购文件，并通知所有已购买采购文件的投标人。但如果修改采购文件的时间距投标截止时间不足15天，并且修改内容影响投标文件编制的，将相应延长投标截止时间。</w:t>
      </w:r>
    </w:p>
    <w:p w14:paraId="4AC9535A">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 投标人收到修改内容后，应在投标人须知前附表规定的时间内以书面形式通知采购人，确认已收到该修改。</w:t>
      </w:r>
    </w:p>
    <w:p w14:paraId="08397EFC">
      <w:pPr>
        <w:pStyle w:val="3"/>
        <w:rPr>
          <w:rFonts w:hint="eastAsia" w:ascii="仿宋" w:hAnsi="仿宋" w:eastAsia="仿宋" w:cs="仿宋"/>
          <w:color w:val="auto"/>
          <w:highlight w:val="none"/>
        </w:rPr>
      </w:pPr>
      <w:bookmarkStart w:id="204" w:name="_Toc12712"/>
      <w:bookmarkStart w:id="205" w:name="_Toc246996934"/>
      <w:bookmarkStart w:id="206" w:name="_Toc420417624"/>
      <w:bookmarkStart w:id="207" w:name="_Toc179632564"/>
      <w:bookmarkStart w:id="208" w:name="_Toc247085705"/>
      <w:bookmarkStart w:id="209" w:name="_Toc23111"/>
      <w:bookmarkStart w:id="210" w:name="_Toc457839489"/>
      <w:bookmarkStart w:id="211" w:name="_Toc246996191"/>
      <w:bookmarkStart w:id="212" w:name="_Toc144974514"/>
      <w:bookmarkStart w:id="213" w:name="_Toc357177712"/>
      <w:bookmarkStart w:id="214" w:name="_Toc152045546"/>
      <w:bookmarkStart w:id="215" w:name="_Toc152042322"/>
      <w:bookmarkStart w:id="216" w:name="_Toc7223"/>
      <w:r>
        <w:rPr>
          <w:rFonts w:hint="eastAsia" w:ascii="仿宋" w:hAnsi="仿宋" w:eastAsia="仿宋" w:cs="仿宋"/>
          <w:color w:val="auto"/>
          <w:highlight w:val="none"/>
        </w:rPr>
        <w:t>3. 投标文件</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3471A636">
      <w:pPr>
        <w:rPr>
          <w:rFonts w:hint="eastAsia" w:ascii="仿宋" w:hAnsi="仿宋" w:eastAsia="仿宋" w:cs="仿宋"/>
          <w:b/>
          <w:color w:val="auto"/>
          <w:highlight w:val="none"/>
        </w:rPr>
      </w:pPr>
      <w:bookmarkStart w:id="217" w:name="_Toc19352"/>
      <w:bookmarkStart w:id="218" w:name="_Toc179632565"/>
      <w:bookmarkStart w:id="219" w:name="_Toc144974515"/>
      <w:bookmarkStart w:id="220" w:name="_Toc247085706"/>
      <w:bookmarkStart w:id="221" w:name="_Toc246996935"/>
      <w:bookmarkStart w:id="222" w:name="_Toc152045547"/>
      <w:bookmarkStart w:id="223" w:name="_Toc152042323"/>
      <w:bookmarkStart w:id="224" w:name="_Toc246996192"/>
      <w:r>
        <w:rPr>
          <w:rFonts w:hint="eastAsia" w:ascii="仿宋" w:hAnsi="仿宋" w:eastAsia="仿宋" w:cs="仿宋"/>
          <w:b/>
          <w:color w:val="auto"/>
          <w:highlight w:val="none"/>
        </w:rPr>
        <w:t>3.1 投标文件的组成</w:t>
      </w:r>
      <w:bookmarkEnd w:id="217"/>
      <w:bookmarkEnd w:id="218"/>
      <w:bookmarkEnd w:id="219"/>
      <w:bookmarkEnd w:id="220"/>
      <w:bookmarkEnd w:id="221"/>
      <w:bookmarkEnd w:id="222"/>
      <w:bookmarkEnd w:id="223"/>
      <w:bookmarkEnd w:id="224"/>
    </w:p>
    <w:p w14:paraId="2F43F3F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投标文件应包括下列内容：</w:t>
      </w:r>
    </w:p>
    <w:p w14:paraId="56E94EE9">
      <w:pPr>
        <w:autoSpaceDE w:val="0"/>
        <w:autoSpaceDN w:val="0"/>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（1）投标函及投标函附录</w:t>
      </w:r>
    </w:p>
    <w:p w14:paraId="18EDBFAA">
      <w:pPr>
        <w:autoSpaceDE w:val="0"/>
        <w:autoSpaceDN w:val="0"/>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（2）法定代表人身份证明或附有法定代表人身份证明的授权委托书</w:t>
      </w:r>
    </w:p>
    <w:p w14:paraId="46CB661A">
      <w:pPr>
        <w:autoSpaceDE w:val="0"/>
        <w:autoSpaceDN w:val="0"/>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（3）开标一览表</w:t>
      </w:r>
    </w:p>
    <w:p w14:paraId="484881C6">
      <w:pPr>
        <w:autoSpaceDE w:val="0"/>
        <w:autoSpaceDN w:val="0"/>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（4）投标报价</w:t>
      </w:r>
    </w:p>
    <w:p w14:paraId="3367C85F">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（5）</w:t>
      </w:r>
      <w:r>
        <w:rPr>
          <w:rFonts w:hint="eastAsia" w:ascii="仿宋" w:hAnsi="仿宋" w:eastAsia="仿宋" w:cs="仿宋"/>
          <w:color w:val="auto"/>
          <w:highlight w:val="none"/>
        </w:rPr>
        <w:t>资格审查资料</w:t>
      </w:r>
    </w:p>
    <w:p w14:paraId="73D965DC">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（6）</w:t>
      </w:r>
      <w:r>
        <w:rPr>
          <w:rFonts w:hint="eastAsia" w:ascii="仿宋" w:hAnsi="仿宋" w:eastAsia="仿宋" w:cs="仿宋"/>
          <w:color w:val="auto"/>
          <w:highlight w:val="none"/>
        </w:rPr>
        <w:t>服务方案</w:t>
      </w:r>
    </w:p>
    <w:p w14:paraId="63878FE9">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（7）其他材料</w:t>
      </w:r>
    </w:p>
    <w:p w14:paraId="42B9D159">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（8）投标人不参与涉黑涉恶承诺书</w:t>
      </w:r>
    </w:p>
    <w:p w14:paraId="1EAC20B8">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（9）中小企业声明函</w:t>
      </w:r>
    </w:p>
    <w:p w14:paraId="09110A72">
      <w:pPr>
        <w:rPr>
          <w:rFonts w:hint="eastAsia" w:ascii="仿宋" w:hAnsi="仿宋" w:eastAsia="仿宋" w:cs="仿宋"/>
          <w:b/>
          <w:color w:val="auto"/>
          <w:highlight w:val="none"/>
        </w:rPr>
      </w:pPr>
      <w:bookmarkStart w:id="225" w:name="_Toc179632566"/>
      <w:bookmarkStart w:id="226" w:name="_Toc152045548"/>
      <w:bookmarkStart w:id="227" w:name="_Toc152042324"/>
      <w:bookmarkStart w:id="228" w:name="_Toc144974516"/>
      <w:bookmarkStart w:id="229" w:name="_Toc617"/>
      <w:bookmarkStart w:id="230" w:name="_Toc247085707"/>
      <w:bookmarkStart w:id="231" w:name="_Toc246996193"/>
      <w:bookmarkStart w:id="232" w:name="_Toc246996936"/>
      <w:r>
        <w:rPr>
          <w:rFonts w:hint="eastAsia" w:ascii="仿宋" w:hAnsi="仿宋" w:eastAsia="仿宋" w:cs="仿宋"/>
          <w:b/>
          <w:color w:val="auto"/>
          <w:highlight w:val="none"/>
        </w:rPr>
        <w:t>3.2 投标报价</w:t>
      </w:r>
      <w:bookmarkEnd w:id="225"/>
      <w:bookmarkEnd w:id="226"/>
      <w:bookmarkEnd w:id="227"/>
      <w:bookmarkEnd w:id="228"/>
      <w:bookmarkEnd w:id="229"/>
      <w:bookmarkEnd w:id="230"/>
      <w:bookmarkEnd w:id="231"/>
      <w:bookmarkEnd w:id="232"/>
    </w:p>
    <w:p w14:paraId="40EFAF68">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bookmarkStart w:id="233" w:name="_Toc179632567"/>
      <w:bookmarkStart w:id="234" w:name="_Toc152042325"/>
      <w:bookmarkStart w:id="235" w:name="_Toc144974517"/>
      <w:bookmarkStart w:id="236" w:name="_Toc152045549"/>
      <w:r>
        <w:rPr>
          <w:rFonts w:hint="eastAsia" w:ascii="仿宋" w:hAnsi="仿宋" w:eastAsia="仿宋" w:cs="仿宋"/>
          <w:color w:val="auto"/>
          <w:szCs w:val="22"/>
          <w:highlight w:val="none"/>
        </w:rPr>
        <w:t>3.2.1 投标报价应包括国家规定的增值税税金，除投标人须知前附表另有规定外，增值税税金按一般计税方法计算。投标人应按第六章“投标文件格式”的要求在投标函中进行报价。</w:t>
      </w:r>
    </w:p>
    <w:p w14:paraId="3A07DA78">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3.2.2 投标人应充分了解该项目的总体情况以及影响投标报价的其他要素。</w:t>
      </w:r>
    </w:p>
    <w:p w14:paraId="3D115749">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3.2.3 本项目的报价方式见投标人须知前附表。投标人在投标截止时间前修改投标函中的投标报价总额，应同时修改投标文件中的相应报价。此修改须符合本章第 4.3 款的有关要求。</w:t>
      </w:r>
    </w:p>
    <w:p w14:paraId="4501741D">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3.2.4 采购人设有最高投标限价的，投标人的投标报价不得超过最高投标限价，最高投标限价在投标人须知前附表中载明。</w:t>
      </w:r>
    </w:p>
    <w:p w14:paraId="4D1B693E">
      <w:pPr>
        <w:autoSpaceDE w:val="0"/>
        <w:autoSpaceDN w:val="0"/>
        <w:adjustRightInd w:val="0"/>
        <w:snapToGrid w:val="0"/>
        <w:spacing w:line="400" w:lineRule="exact"/>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3.2.5 投标报价的其他要求见投标人须知前附表。</w:t>
      </w:r>
    </w:p>
    <w:p w14:paraId="0A942720">
      <w:pPr>
        <w:rPr>
          <w:rFonts w:hint="eastAsia" w:ascii="仿宋" w:hAnsi="仿宋" w:eastAsia="仿宋" w:cs="仿宋"/>
          <w:b/>
          <w:color w:val="auto"/>
          <w:highlight w:val="none"/>
        </w:rPr>
      </w:pPr>
      <w:bookmarkStart w:id="237" w:name="_Toc18235"/>
      <w:bookmarkStart w:id="238" w:name="_Toc246996194"/>
      <w:bookmarkStart w:id="239" w:name="_Toc246996937"/>
      <w:bookmarkStart w:id="240" w:name="_Toc247085708"/>
      <w:r>
        <w:rPr>
          <w:rFonts w:hint="eastAsia" w:ascii="仿宋" w:hAnsi="仿宋" w:eastAsia="仿宋" w:cs="仿宋"/>
          <w:b/>
          <w:color w:val="auto"/>
          <w:highlight w:val="none"/>
        </w:rPr>
        <w:t>3.3 投标有效期</w:t>
      </w:r>
      <w:bookmarkEnd w:id="233"/>
      <w:bookmarkEnd w:id="234"/>
      <w:bookmarkEnd w:id="235"/>
      <w:bookmarkEnd w:id="236"/>
      <w:bookmarkEnd w:id="237"/>
      <w:bookmarkEnd w:id="238"/>
      <w:bookmarkEnd w:id="239"/>
      <w:bookmarkEnd w:id="240"/>
    </w:p>
    <w:p w14:paraId="11F0347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 除投标人须知前附表另有规定外，投标有效期为90天。</w:t>
      </w:r>
    </w:p>
    <w:p w14:paraId="7D33C11A">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3.3.2在投标有效期内，投标人撤销或修改其投标文件的，应承担采购文件和法律规定的责任。</w:t>
      </w:r>
    </w:p>
    <w:p w14:paraId="7A63B1B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3.3.3出现特殊情况需要延长投标有效期的，采购人以书面形式通知所有投标人延长投标有效期。投标人同意延长的，不得要求或被允许修改或撤销其投标文件；投标人拒绝延长的，其投标失效。</w:t>
      </w:r>
    </w:p>
    <w:p w14:paraId="4928EE9B">
      <w:pPr>
        <w:rPr>
          <w:rFonts w:hint="eastAsia" w:ascii="仿宋" w:hAnsi="仿宋" w:eastAsia="仿宋" w:cs="仿宋"/>
          <w:b/>
          <w:color w:val="auto"/>
          <w:highlight w:val="none"/>
          <w:lang w:eastAsia="zh-CN"/>
        </w:rPr>
      </w:pPr>
      <w:bookmarkStart w:id="241" w:name="_Toc144974518"/>
      <w:bookmarkStart w:id="242" w:name="_Toc246996195"/>
      <w:bookmarkStart w:id="243" w:name="_Toc11043"/>
      <w:bookmarkStart w:id="244" w:name="_Toc246996938"/>
      <w:bookmarkStart w:id="245" w:name="_Toc152045550"/>
      <w:bookmarkStart w:id="246" w:name="_Toc152042326"/>
      <w:bookmarkStart w:id="247" w:name="_Toc247085709"/>
      <w:bookmarkStart w:id="248" w:name="_Toc179632568"/>
      <w:bookmarkStart w:id="249" w:name="_Toc152045552"/>
      <w:bookmarkStart w:id="250" w:name="_Toc246996196"/>
      <w:bookmarkStart w:id="251" w:name="_Toc246996939"/>
      <w:bookmarkStart w:id="252" w:name="_Toc247085710"/>
      <w:bookmarkStart w:id="253" w:name="_Toc144974520"/>
      <w:bookmarkStart w:id="254" w:name="_Toc152042328"/>
      <w:bookmarkStart w:id="255" w:name="_Toc24001"/>
      <w:bookmarkStart w:id="256" w:name="_Toc179632570"/>
      <w:r>
        <w:rPr>
          <w:rFonts w:hint="eastAsia" w:ascii="仿宋" w:hAnsi="仿宋" w:eastAsia="仿宋" w:cs="仿宋"/>
          <w:b/>
          <w:color w:val="auto"/>
          <w:highlight w:val="none"/>
        </w:rPr>
        <w:t>3.4 投标保证金</w:t>
      </w:r>
      <w:bookmarkEnd w:id="241"/>
      <w:bookmarkEnd w:id="242"/>
      <w:bookmarkEnd w:id="243"/>
      <w:bookmarkEnd w:id="244"/>
      <w:bookmarkEnd w:id="245"/>
      <w:bookmarkEnd w:id="246"/>
      <w:bookmarkEnd w:id="247"/>
      <w:bookmarkEnd w:id="248"/>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本项目不适用</w:t>
      </w:r>
      <w:r>
        <w:rPr>
          <w:rFonts w:hint="eastAsia" w:ascii="仿宋" w:hAnsi="仿宋" w:eastAsia="仿宋" w:cs="仿宋"/>
          <w:b/>
          <w:color w:val="auto"/>
          <w:highlight w:val="none"/>
          <w:lang w:eastAsia="zh-CN"/>
        </w:rPr>
        <w:t>）</w:t>
      </w:r>
    </w:p>
    <w:p w14:paraId="3933924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2216C58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3.4.2 投标人不按本章第3.4.1项要求提交投标保证金的，评标委员会将否决其投标。</w:t>
      </w:r>
    </w:p>
    <w:p w14:paraId="7A6DB09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3.4.3</w:t>
      </w:r>
      <w:r>
        <w:rPr>
          <w:rFonts w:hint="eastAsia" w:ascii="仿宋" w:hAnsi="仿宋" w:eastAsia="仿宋" w:cs="仿宋"/>
          <w:bCs/>
          <w:color w:val="auto"/>
          <w:szCs w:val="21"/>
          <w:highlight w:val="none"/>
          <w:lang w:val="zh-CN"/>
        </w:rPr>
        <w:t>采购人与中标人签订合同后5个工作日内，向中标人退还投标保证金；发出中标通知书5个工作日内，向未中标的投标人退还投标保证金。</w:t>
      </w:r>
    </w:p>
    <w:p w14:paraId="0E1F6F0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3.4.4 有下列情形之一的，投标保证金将不予退还： </w:t>
      </w:r>
    </w:p>
    <w:p w14:paraId="279C2E83">
      <w:pPr>
        <w:spacing w:line="400" w:lineRule="exact"/>
        <w:ind w:firstLine="718" w:firstLineChars="342"/>
        <w:rPr>
          <w:rFonts w:hint="eastAsia" w:ascii="仿宋" w:hAnsi="仿宋" w:eastAsia="仿宋" w:cs="仿宋"/>
          <w:color w:val="auto"/>
          <w:highlight w:val="none"/>
        </w:rPr>
      </w:pPr>
      <w:r>
        <w:rPr>
          <w:rFonts w:hint="eastAsia" w:ascii="仿宋" w:hAnsi="仿宋" w:eastAsia="仿宋" w:cs="仿宋"/>
          <w:color w:val="auto"/>
          <w:highlight w:val="none"/>
        </w:rPr>
        <w:t>（1）投标人在规定的投标有效期内撤销或修改其投标文件；</w:t>
      </w:r>
    </w:p>
    <w:p w14:paraId="1B6F1DED">
      <w:pPr>
        <w:spacing w:line="400" w:lineRule="exact"/>
        <w:ind w:firstLine="718" w:firstLineChars="342"/>
        <w:rPr>
          <w:rFonts w:hint="eastAsia" w:ascii="仿宋" w:hAnsi="仿宋" w:eastAsia="仿宋" w:cs="仿宋"/>
          <w:color w:val="auto"/>
          <w:highlight w:val="none"/>
        </w:rPr>
      </w:pPr>
      <w:r>
        <w:rPr>
          <w:rFonts w:hint="eastAsia" w:ascii="仿宋" w:hAnsi="仿宋" w:eastAsia="仿宋" w:cs="仿宋"/>
          <w:color w:val="auto"/>
          <w:highlight w:val="none"/>
        </w:rPr>
        <w:t>（2）中标人在收到中标通知书后，无正当理由拒签合同协议书。</w:t>
      </w:r>
    </w:p>
    <w:p w14:paraId="36B7D9D0">
      <w:pPr>
        <w:rPr>
          <w:rFonts w:hint="eastAsia" w:ascii="仿宋" w:hAnsi="仿宋" w:eastAsia="仿宋" w:cs="仿宋"/>
          <w:b/>
          <w:color w:val="auto"/>
          <w:highlight w:val="none"/>
        </w:rPr>
      </w:pPr>
      <w:r>
        <w:rPr>
          <w:rFonts w:hint="eastAsia" w:ascii="仿宋" w:hAnsi="仿宋" w:eastAsia="仿宋" w:cs="仿宋"/>
          <w:b/>
          <w:color w:val="auto"/>
          <w:highlight w:val="none"/>
        </w:rPr>
        <w:t>3.5 资格审查资料</w:t>
      </w:r>
      <w:bookmarkEnd w:id="249"/>
      <w:bookmarkEnd w:id="250"/>
      <w:bookmarkEnd w:id="251"/>
      <w:bookmarkEnd w:id="252"/>
      <w:bookmarkEnd w:id="253"/>
      <w:bookmarkEnd w:id="254"/>
      <w:bookmarkEnd w:id="255"/>
      <w:bookmarkEnd w:id="256"/>
    </w:p>
    <w:p w14:paraId="1E368E8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3.5.1 “投标人基本情况表”应附投标人营业执照副本、投标人资质证书副本等材料的复印件。</w:t>
      </w:r>
    </w:p>
    <w:p w14:paraId="36AE39EC">
      <w:pPr>
        <w:autoSpaceDE w:val="0"/>
        <w:autoSpaceDN w:val="0"/>
        <w:adjustRightIn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3.5.2 “近年财务状况表”应附经会计师事务所审计的财务审计报告，包括资产负债表、现金流量表、利润表和财务情况说明书等复印件，具体年份要求见投标人须知前附表。</w:t>
      </w:r>
    </w:p>
    <w:p w14:paraId="4DCECC62">
      <w:pPr>
        <w:autoSpaceDE w:val="0"/>
        <w:autoSpaceDN w:val="0"/>
        <w:adjustRightIn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bCs/>
          <w:color w:val="auto"/>
          <w:szCs w:val="21"/>
          <w:highlight w:val="none"/>
          <w:lang w:val="zh-CN"/>
        </w:rPr>
        <w:t>“依法缴纳税收和社会保障资金”应附相关证明材料，证明投标人在前附表规定年限内有依法缴纳税收和社会保障资金的良好记录。</w:t>
      </w:r>
    </w:p>
    <w:p w14:paraId="2D285744">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bookmarkStart w:id="257" w:name="_Toc2714"/>
      <w:bookmarkStart w:id="258" w:name="_Toc179632571"/>
      <w:bookmarkStart w:id="259" w:name="_Toc246996197"/>
      <w:bookmarkStart w:id="260" w:name="_Toc247085711"/>
      <w:bookmarkStart w:id="261" w:name="_Toc246996940"/>
      <w:bookmarkStart w:id="262" w:name="_Toc152045553"/>
      <w:bookmarkStart w:id="263" w:name="_Toc144974521"/>
      <w:bookmarkStart w:id="264" w:name="_Toc152042329"/>
      <w:r>
        <w:rPr>
          <w:rFonts w:hint="eastAsia" w:ascii="仿宋" w:hAnsi="仿宋" w:eastAsia="仿宋" w:cs="仿宋"/>
          <w:bCs/>
          <w:color w:val="auto"/>
          <w:szCs w:val="21"/>
          <w:highlight w:val="none"/>
          <w:lang w:val="zh-CN"/>
        </w:rPr>
        <w:t>3.5.3 “近年完成的类似项目情况表”应附中标通知书或合同协议书的复印件，具体年份要求见投标人须知前附表。每张表格只填写一个项目，并标明序号。</w:t>
      </w:r>
    </w:p>
    <w:p w14:paraId="4327F3EE">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3.5.4 “正在承接的项目情况表”应附中标通知书或合同协议书复印件。每张表格只填写一个项目，并标明序号。</w:t>
      </w:r>
    </w:p>
    <w:p w14:paraId="09F9DDA9">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3.5.5 “近年发生的诉讼及仲裁情况”应说明投标人败诉的合同的相关情况，并附法院或仲裁机构作出的判决、裁决等有关法律文书复印件，具体时间要求见投标人须知前附表。</w:t>
      </w:r>
    </w:p>
    <w:p w14:paraId="3DB91A57">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3.5.6 “拟投入人员基本情况表”应填报满足本章第 1.4.1 项规定</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应附身份证、</w:t>
      </w:r>
      <w:r>
        <w:rPr>
          <w:rFonts w:hint="eastAsia" w:ascii="仿宋" w:hAnsi="仿宋" w:eastAsia="仿宋" w:cs="仿宋"/>
          <w:color w:val="auto"/>
          <w:kern w:val="0"/>
          <w:szCs w:val="21"/>
          <w:highlight w:val="none"/>
        </w:rPr>
        <w:t>资格证书</w:t>
      </w:r>
      <w:r>
        <w:rPr>
          <w:rFonts w:hint="eastAsia" w:ascii="仿宋" w:hAnsi="仿宋" w:eastAsia="仿宋" w:cs="仿宋"/>
          <w:color w:val="auto"/>
          <w:kern w:val="0"/>
          <w:szCs w:val="21"/>
          <w:highlight w:val="none"/>
          <w:lang w:val="en-US" w:eastAsia="zh-CN"/>
        </w:rPr>
        <w:t>等</w:t>
      </w:r>
      <w:r>
        <w:rPr>
          <w:rFonts w:hint="eastAsia" w:ascii="仿宋" w:hAnsi="仿宋" w:eastAsia="仿宋" w:cs="仿宋"/>
          <w:bCs/>
          <w:color w:val="auto"/>
          <w:szCs w:val="21"/>
          <w:highlight w:val="none"/>
        </w:rPr>
        <w:t>复印件。</w:t>
      </w:r>
    </w:p>
    <w:p w14:paraId="273D6840">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3.5.7 投标人须知前附表规定接受联合体投标的，本章第 3.5.1 项至第 3.5.6 项规定的表格和资料应包括联合体各方相关情况。</w:t>
      </w:r>
    </w:p>
    <w:p w14:paraId="01E7426E">
      <w:pPr>
        <w:rPr>
          <w:rFonts w:hint="eastAsia" w:ascii="仿宋" w:hAnsi="仿宋" w:eastAsia="仿宋" w:cs="仿宋"/>
          <w:b/>
          <w:color w:val="auto"/>
          <w:highlight w:val="none"/>
        </w:rPr>
      </w:pPr>
      <w:r>
        <w:rPr>
          <w:rFonts w:hint="eastAsia" w:ascii="仿宋" w:hAnsi="仿宋" w:eastAsia="仿宋" w:cs="仿宋"/>
          <w:b/>
          <w:color w:val="auto"/>
          <w:highlight w:val="none"/>
        </w:rPr>
        <w:t>3.6 备选投标方案</w:t>
      </w:r>
    </w:p>
    <w:p w14:paraId="2A78CD16">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3.6.1 除投标人须知前附表规定允许外，投标人不得递交备选投标方案，否则其投标将被否决。</w:t>
      </w:r>
    </w:p>
    <w:p w14:paraId="22254A98">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3.6.2 允许投标人递交备选投标方案的，只有中标人所递交的备选投标方案方可予以考虑。评标委员会认为中标人的备选投标方案优于其按照采购文件要求编制的投标方案的，采购人可以接受该备选投标方案。</w:t>
      </w:r>
    </w:p>
    <w:p w14:paraId="66B02BD7">
      <w:pPr>
        <w:autoSpaceDE w:val="0"/>
        <w:autoSpaceDN w:val="0"/>
        <w:adjustRightInd w:val="0"/>
        <w:spacing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3.6.3 投标人提供两个或两个以上投标报价，或者在投标文件中提供一个报价，但同时提供两个或两个以上服务方案的，视为提供备选方案。</w:t>
      </w:r>
    </w:p>
    <w:p w14:paraId="391FC359">
      <w:pPr>
        <w:rPr>
          <w:rFonts w:hint="eastAsia" w:ascii="仿宋" w:hAnsi="仿宋" w:eastAsia="仿宋" w:cs="仿宋"/>
          <w:b/>
          <w:color w:val="auto"/>
          <w:highlight w:val="none"/>
        </w:rPr>
      </w:pPr>
      <w:r>
        <w:rPr>
          <w:rFonts w:hint="eastAsia" w:ascii="仿宋" w:hAnsi="仿宋" w:eastAsia="仿宋" w:cs="仿宋"/>
          <w:b/>
          <w:color w:val="auto"/>
          <w:highlight w:val="none"/>
        </w:rPr>
        <w:t>3.7投标文件的编制</w:t>
      </w:r>
      <w:bookmarkEnd w:id="257"/>
    </w:p>
    <w:p w14:paraId="716041BF">
      <w:pPr>
        <w:spacing w:line="288"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3B65584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3.7.2 投标文件应当对采购文件有关合同履行期限</w:t>
      </w:r>
      <w:r>
        <w:rPr>
          <w:rFonts w:hint="eastAsia" w:ascii="仿宋" w:hAnsi="仿宋" w:eastAsia="仿宋" w:cs="仿宋"/>
          <w:color w:val="auto"/>
          <w:szCs w:val="21"/>
          <w:highlight w:val="none"/>
        </w:rPr>
        <w:t>、投标有效期、采购人要求、采购范围等实质性内容作出响应。</w:t>
      </w:r>
    </w:p>
    <w:p w14:paraId="47CD796B">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3.7.3（1）投标文件应用不褪色的材料书写或打印，并按第六章“投标文件格式”的要求进行签字和（或）盖章，其中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加盖单位章或由投标人的法定代表人或其授权的代理人签字或盖单位章。</w:t>
      </w:r>
    </w:p>
    <w:p w14:paraId="57816A0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（2）投标文件正本一份, 副本份数见投标人须知前附表。正本和副本的封面上应清楚地标记“正本”或“副本”的字样。投标人应根据投标人须知前附表要求提供电子版文件。当副本和正本不一致或电子版文件和纸质正本文件不一致时，以纸质正本文件为准。</w:t>
      </w:r>
    </w:p>
    <w:p w14:paraId="28FC16F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bookmarkEnd w:id="258"/>
      <w:bookmarkEnd w:id="259"/>
      <w:bookmarkEnd w:id="260"/>
      <w:bookmarkEnd w:id="261"/>
      <w:bookmarkEnd w:id="262"/>
      <w:bookmarkEnd w:id="263"/>
      <w:bookmarkEnd w:id="264"/>
      <w:bookmarkStart w:id="265" w:name="_Toc179632573"/>
      <w:bookmarkStart w:id="266" w:name="_Toc246996942"/>
      <w:bookmarkStart w:id="267" w:name="_Toc152042331"/>
      <w:bookmarkStart w:id="268" w:name="_Toc247085713"/>
      <w:bookmarkStart w:id="269" w:name="_Toc144974523"/>
      <w:bookmarkStart w:id="270" w:name="_Toc152045555"/>
      <w:bookmarkStart w:id="271" w:name="_Toc246996199"/>
      <w:r>
        <w:rPr>
          <w:rFonts w:hint="eastAsia" w:ascii="仿宋" w:hAnsi="仿宋" w:eastAsia="仿宋" w:cs="仿宋"/>
          <w:color w:val="auto"/>
          <w:highlight w:val="none"/>
        </w:rPr>
        <w:t>投标文件的正本与副本应分别装订，并编制目录，投标文件需分册装订的，具体分册装订要求见投标人须知前附表规定。</w:t>
      </w:r>
    </w:p>
    <w:p w14:paraId="3FB1EA96">
      <w:pPr>
        <w:pStyle w:val="3"/>
        <w:rPr>
          <w:rFonts w:hint="eastAsia" w:ascii="仿宋" w:hAnsi="仿宋" w:eastAsia="仿宋" w:cs="仿宋"/>
          <w:color w:val="auto"/>
          <w:highlight w:val="none"/>
        </w:rPr>
      </w:pPr>
      <w:bookmarkStart w:id="272" w:name="_Toc7539"/>
      <w:bookmarkStart w:id="273" w:name="_Toc357177713"/>
      <w:bookmarkStart w:id="274" w:name="_Toc420417625"/>
      <w:bookmarkStart w:id="275" w:name="_Toc10846"/>
      <w:bookmarkStart w:id="276" w:name="_Toc457839490"/>
      <w:bookmarkStart w:id="277" w:name="_Toc8554"/>
      <w:r>
        <w:rPr>
          <w:rFonts w:hint="eastAsia" w:ascii="仿宋" w:hAnsi="仿宋" w:eastAsia="仿宋" w:cs="仿宋"/>
          <w:color w:val="auto"/>
          <w:highlight w:val="none"/>
        </w:rPr>
        <w:t>4. 投标</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2379A489">
      <w:pPr>
        <w:rPr>
          <w:rFonts w:hint="eastAsia" w:ascii="仿宋" w:hAnsi="仿宋" w:eastAsia="仿宋" w:cs="仿宋"/>
          <w:b/>
          <w:color w:val="auto"/>
          <w:highlight w:val="none"/>
        </w:rPr>
      </w:pPr>
      <w:bookmarkStart w:id="278" w:name="_Toc246996200"/>
      <w:bookmarkStart w:id="279" w:name="_Toc246996943"/>
      <w:bookmarkStart w:id="280" w:name="_Toc152042332"/>
      <w:bookmarkStart w:id="281" w:name="_Toc144974524"/>
      <w:bookmarkStart w:id="282" w:name="_Toc22194"/>
      <w:bookmarkStart w:id="283" w:name="_Toc247085714"/>
      <w:bookmarkStart w:id="284" w:name="_Toc152045556"/>
      <w:bookmarkStart w:id="285" w:name="_Toc179632574"/>
      <w:r>
        <w:rPr>
          <w:rFonts w:hint="eastAsia" w:ascii="仿宋" w:hAnsi="仿宋" w:eastAsia="仿宋" w:cs="仿宋"/>
          <w:b/>
          <w:color w:val="auto"/>
          <w:highlight w:val="none"/>
        </w:rPr>
        <w:t>4.1 投标文件的密封和标记</w:t>
      </w:r>
      <w:bookmarkEnd w:id="278"/>
      <w:bookmarkEnd w:id="279"/>
      <w:bookmarkEnd w:id="280"/>
      <w:bookmarkEnd w:id="281"/>
      <w:bookmarkEnd w:id="282"/>
      <w:bookmarkEnd w:id="283"/>
      <w:bookmarkEnd w:id="284"/>
      <w:bookmarkEnd w:id="285"/>
    </w:p>
    <w:p w14:paraId="4F667995">
      <w:pPr>
        <w:spacing w:line="400" w:lineRule="exact"/>
        <w:ind w:firstLine="420" w:firstLineChars="200"/>
        <w:rPr>
          <w:rFonts w:hint="eastAsia" w:ascii="仿宋" w:hAnsi="仿宋" w:eastAsia="仿宋" w:cs="仿宋"/>
          <w:color w:val="auto"/>
          <w:highlight w:val="none"/>
        </w:rPr>
      </w:pPr>
      <w:bookmarkStart w:id="286" w:name="_Toc179632575"/>
      <w:bookmarkStart w:id="287" w:name="_Toc246996201"/>
      <w:bookmarkStart w:id="288" w:name="_Toc152042333"/>
      <w:bookmarkStart w:id="289" w:name="_Toc247085715"/>
      <w:bookmarkStart w:id="290" w:name="_Toc152045557"/>
      <w:bookmarkStart w:id="291" w:name="_Toc246996944"/>
      <w:bookmarkStart w:id="292" w:name="_Toc144974525"/>
      <w:r>
        <w:rPr>
          <w:rFonts w:hint="eastAsia" w:ascii="仿宋" w:hAnsi="仿宋" w:eastAsia="仿宋" w:cs="仿宋"/>
          <w:color w:val="auto"/>
          <w:highlight w:val="none"/>
        </w:rPr>
        <w:t>4.1.1 投标文件应进行密封包装。在封套的封口处加盖投标人单位公章。投标人应将投标文件的正本和所有副本分别密封，在密封袋上清楚地标明“正本”或“副本”。</w:t>
      </w:r>
    </w:p>
    <w:p w14:paraId="6D71F16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4.1.2 电子U盘、开标一览表，分别单独放入一个密封袋中，并在封套封口处加盖投标人单位公章，在封套上分别标记“投标文件电子版”或“开标一览表”字样。</w:t>
      </w:r>
    </w:p>
    <w:p w14:paraId="4954815B">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4.1.3 投标文件封套上应写明的内容见投标人须知前附表。</w:t>
      </w:r>
    </w:p>
    <w:p w14:paraId="1E4CE64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4.1.4 未按本章第4.1.1项或第4.1.2项或前附表项要求密封和加写标记的投标文件，采购人应予拒收。</w:t>
      </w:r>
    </w:p>
    <w:p w14:paraId="3B3DF115">
      <w:pPr>
        <w:rPr>
          <w:rFonts w:hint="eastAsia" w:ascii="仿宋" w:hAnsi="仿宋" w:eastAsia="仿宋" w:cs="仿宋"/>
          <w:b/>
          <w:color w:val="auto"/>
          <w:highlight w:val="none"/>
        </w:rPr>
      </w:pPr>
      <w:bookmarkStart w:id="293" w:name="_Toc20908"/>
      <w:r>
        <w:rPr>
          <w:rFonts w:hint="eastAsia" w:ascii="仿宋" w:hAnsi="仿宋" w:eastAsia="仿宋" w:cs="仿宋"/>
          <w:b/>
          <w:color w:val="auto"/>
          <w:highlight w:val="none"/>
        </w:rPr>
        <w:t>4.2 投标文件的递交</w:t>
      </w:r>
      <w:bookmarkEnd w:id="286"/>
      <w:bookmarkEnd w:id="287"/>
      <w:bookmarkEnd w:id="288"/>
      <w:bookmarkEnd w:id="289"/>
      <w:bookmarkEnd w:id="290"/>
      <w:bookmarkEnd w:id="291"/>
      <w:bookmarkEnd w:id="292"/>
      <w:bookmarkEnd w:id="293"/>
    </w:p>
    <w:p w14:paraId="37F87C2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 投标人应在投标人须知前附表规定的投标截止时间前递交投标文件。</w:t>
      </w:r>
    </w:p>
    <w:p w14:paraId="6185CF88">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4.2.2 投标人递交投标文件的地点：见投标人须知前附表。</w:t>
      </w:r>
    </w:p>
    <w:p w14:paraId="5674483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4.2.3 除投标人须知前附表另有规定外，投标人所递交的投标文件不予退还。</w:t>
      </w:r>
    </w:p>
    <w:p w14:paraId="47E8142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4.2.4逾期送达的或者未送达指定地点的投标文件，采购人不予受理。</w:t>
      </w:r>
    </w:p>
    <w:p w14:paraId="0365D75D">
      <w:pPr>
        <w:rPr>
          <w:rFonts w:hint="eastAsia" w:ascii="仿宋" w:hAnsi="仿宋" w:eastAsia="仿宋" w:cs="仿宋"/>
          <w:b/>
          <w:color w:val="auto"/>
          <w:highlight w:val="none"/>
        </w:rPr>
      </w:pPr>
      <w:bookmarkStart w:id="294" w:name="_Toc152042334"/>
      <w:bookmarkStart w:id="295" w:name="_Toc179632576"/>
      <w:bookmarkStart w:id="296" w:name="_Toc247085716"/>
      <w:bookmarkStart w:id="297" w:name="_Toc14410"/>
      <w:bookmarkStart w:id="298" w:name="_Toc246996945"/>
      <w:bookmarkStart w:id="299" w:name="_Toc152045558"/>
      <w:bookmarkStart w:id="300" w:name="_Toc246996202"/>
      <w:bookmarkStart w:id="301" w:name="_Toc144974526"/>
      <w:r>
        <w:rPr>
          <w:rFonts w:hint="eastAsia" w:ascii="仿宋" w:hAnsi="仿宋" w:eastAsia="仿宋" w:cs="仿宋"/>
          <w:b/>
          <w:color w:val="auto"/>
          <w:highlight w:val="none"/>
        </w:rPr>
        <w:t>4.3 投标文件的修改与撤回</w:t>
      </w:r>
      <w:bookmarkEnd w:id="294"/>
      <w:bookmarkEnd w:id="295"/>
      <w:bookmarkEnd w:id="296"/>
      <w:bookmarkEnd w:id="297"/>
      <w:bookmarkEnd w:id="298"/>
      <w:bookmarkEnd w:id="299"/>
      <w:bookmarkEnd w:id="300"/>
      <w:bookmarkEnd w:id="301"/>
    </w:p>
    <w:p w14:paraId="1971CD9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4.3.1 在本章第4.2.1项规定的投标截止时间前，投标人可以修改或撤回已递交的投标文件，但应以书面形式通知采购人。</w:t>
      </w:r>
    </w:p>
    <w:p w14:paraId="134528C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 投标人修改或撤回已递交投标文件的书面通知应按照本章第3.7.3项的要求签字或盖章。</w:t>
      </w:r>
    </w:p>
    <w:p w14:paraId="50DCAD6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4.3.3 修改的内容为投标文件的组成部分。修改的投标文件应按照本章第3条、第4条规定进行编制、密封、标记和递交，并标明“修改”字样。</w:t>
      </w:r>
    </w:p>
    <w:p w14:paraId="5FD99B8E">
      <w:pPr>
        <w:pStyle w:val="3"/>
        <w:rPr>
          <w:rFonts w:hint="eastAsia" w:ascii="仿宋" w:hAnsi="仿宋" w:eastAsia="仿宋" w:cs="仿宋"/>
          <w:color w:val="auto"/>
          <w:highlight w:val="none"/>
        </w:rPr>
      </w:pPr>
      <w:bookmarkStart w:id="302" w:name="_Toc152042335"/>
      <w:bookmarkStart w:id="303" w:name="_Toc179632577"/>
      <w:bookmarkStart w:id="304" w:name="_Toc420417626"/>
      <w:bookmarkStart w:id="305" w:name="_Toc4266"/>
      <w:bookmarkStart w:id="306" w:name="_Toc144974527"/>
      <w:bookmarkStart w:id="307" w:name="_Toc31635"/>
      <w:bookmarkStart w:id="308" w:name="_Toc152045559"/>
      <w:bookmarkStart w:id="309" w:name="_Toc357177714"/>
      <w:bookmarkStart w:id="310" w:name="_Toc13997"/>
      <w:bookmarkStart w:id="311" w:name="_Toc247085717"/>
      <w:bookmarkStart w:id="312" w:name="_Toc246996946"/>
      <w:bookmarkStart w:id="313" w:name="_Toc457839491"/>
      <w:bookmarkStart w:id="314" w:name="_Toc246996203"/>
      <w:r>
        <w:rPr>
          <w:rFonts w:hint="eastAsia" w:ascii="仿宋" w:hAnsi="仿宋" w:eastAsia="仿宋" w:cs="仿宋"/>
          <w:color w:val="auto"/>
          <w:highlight w:val="none"/>
        </w:rPr>
        <w:t>5. 开标</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1AE5784E">
      <w:pPr>
        <w:rPr>
          <w:rFonts w:hint="eastAsia" w:ascii="仿宋" w:hAnsi="仿宋" w:eastAsia="仿宋" w:cs="仿宋"/>
          <w:b/>
          <w:color w:val="auto"/>
          <w:highlight w:val="none"/>
        </w:rPr>
      </w:pPr>
      <w:bookmarkStart w:id="315" w:name="_Toc223161293"/>
      <w:bookmarkStart w:id="316" w:name="_Toc222987652"/>
      <w:bookmarkStart w:id="317" w:name="_Toc222987499"/>
      <w:bookmarkStart w:id="318" w:name="_Toc223580610"/>
      <w:bookmarkStart w:id="319" w:name="_Toc223068466"/>
      <w:bookmarkStart w:id="320" w:name="_Toc259131316"/>
      <w:bookmarkStart w:id="321" w:name="_Toc259125207"/>
      <w:bookmarkStart w:id="322" w:name="_Toc223063741"/>
      <w:bookmarkStart w:id="323" w:name="_Toc222907607"/>
      <w:bookmarkStart w:id="324" w:name="_Toc222900730"/>
      <w:bookmarkStart w:id="325" w:name="_Toc223256369"/>
      <w:bookmarkStart w:id="326" w:name="_Toc222906011"/>
      <w:bookmarkStart w:id="327" w:name="_Toc279848103"/>
      <w:bookmarkStart w:id="328" w:name="_Toc201719094"/>
      <w:bookmarkStart w:id="329" w:name="_Toc223345327"/>
      <w:bookmarkStart w:id="330" w:name="_Toc228014279"/>
      <w:r>
        <w:rPr>
          <w:rFonts w:hint="eastAsia" w:ascii="仿宋" w:hAnsi="仿宋" w:eastAsia="仿宋" w:cs="仿宋"/>
          <w:b/>
          <w:color w:val="auto"/>
          <w:highlight w:val="none"/>
        </w:rPr>
        <w:t>5.1 开标时间和地点</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794FEF4">
      <w:pPr>
        <w:autoSpaceDE w:val="0"/>
        <w:autoSpaceDN w:val="0"/>
        <w:adjustRightInd w:val="0"/>
        <w:spacing w:line="400" w:lineRule="exact"/>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采购人在本章投标人须知前附表规定的投标截止时间(开标时间)和地点公开开标，并邀请所有投标人的法定代表人或其委托代理人准时参加。</w:t>
      </w:r>
    </w:p>
    <w:p w14:paraId="50B2B4F9">
      <w:pPr>
        <w:rPr>
          <w:rFonts w:hint="eastAsia" w:ascii="仿宋" w:hAnsi="仿宋" w:eastAsia="仿宋" w:cs="仿宋"/>
          <w:b/>
          <w:color w:val="auto"/>
          <w:highlight w:val="none"/>
        </w:rPr>
      </w:pPr>
      <w:bookmarkStart w:id="331" w:name="_Toc246996205"/>
      <w:bookmarkStart w:id="332" w:name="_Toc152045561"/>
      <w:bookmarkStart w:id="333" w:name="_Toc152042337"/>
      <w:bookmarkStart w:id="334" w:name="_Toc247085719"/>
      <w:bookmarkStart w:id="335" w:name="_Toc144974529"/>
      <w:bookmarkStart w:id="336" w:name="_Toc246996948"/>
      <w:bookmarkStart w:id="337" w:name="_Toc24791"/>
      <w:bookmarkStart w:id="338" w:name="_Toc179632579"/>
      <w:r>
        <w:rPr>
          <w:rFonts w:hint="eastAsia" w:ascii="仿宋" w:hAnsi="仿宋" w:eastAsia="仿宋" w:cs="仿宋"/>
          <w:b/>
          <w:color w:val="auto"/>
          <w:highlight w:val="none"/>
        </w:rPr>
        <w:t>5.2 开标程序</w:t>
      </w:r>
      <w:bookmarkEnd w:id="331"/>
      <w:bookmarkEnd w:id="332"/>
      <w:bookmarkEnd w:id="333"/>
      <w:bookmarkEnd w:id="334"/>
      <w:bookmarkEnd w:id="335"/>
      <w:bookmarkEnd w:id="336"/>
      <w:bookmarkEnd w:id="337"/>
      <w:bookmarkEnd w:id="338"/>
    </w:p>
    <w:p w14:paraId="415471B1">
      <w:pPr>
        <w:autoSpaceDE w:val="0"/>
        <w:autoSpaceDN w:val="0"/>
        <w:adjustRightInd w:val="0"/>
        <w:spacing w:line="400" w:lineRule="exact"/>
        <w:ind w:firstLine="420" w:firstLineChars="200"/>
        <w:jc w:val="left"/>
        <w:rPr>
          <w:rFonts w:hint="eastAsia" w:ascii="仿宋" w:hAnsi="仿宋" w:eastAsia="仿宋" w:cs="仿宋"/>
          <w:color w:val="auto"/>
          <w:highlight w:val="none"/>
        </w:rPr>
      </w:pPr>
      <w:bookmarkStart w:id="339" w:name="_Toc19598"/>
      <w:r>
        <w:rPr>
          <w:rFonts w:hint="eastAsia" w:ascii="仿宋" w:hAnsi="仿宋" w:eastAsia="仿宋" w:cs="仿宋"/>
          <w:color w:val="auto"/>
          <w:highlight w:val="none"/>
          <w:lang w:val="zh-CN"/>
        </w:rPr>
        <w:t>见投标人须知前附表。</w:t>
      </w:r>
    </w:p>
    <w:p w14:paraId="4BFBF77B">
      <w:pPr>
        <w:adjustRightInd w:val="0"/>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5.3 开标异议</w:t>
      </w:r>
      <w:bookmarkEnd w:id="339"/>
    </w:p>
    <w:p w14:paraId="720BC94B">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投标人对开标有异议的，应当在开标现场提出，采购人当场作出答复，并制作记录。</w:t>
      </w:r>
    </w:p>
    <w:p w14:paraId="6A1E2DAA">
      <w:pPr>
        <w:pStyle w:val="3"/>
        <w:rPr>
          <w:rFonts w:hint="eastAsia" w:ascii="仿宋" w:hAnsi="仿宋" w:eastAsia="仿宋" w:cs="仿宋"/>
          <w:color w:val="auto"/>
          <w:highlight w:val="none"/>
        </w:rPr>
      </w:pPr>
      <w:bookmarkStart w:id="340" w:name="_Toc357177715"/>
      <w:bookmarkStart w:id="341" w:name="_Toc247085720"/>
      <w:bookmarkStart w:id="342" w:name="_Toc457839492"/>
      <w:bookmarkStart w:id="343" w:name="_Toc246996206"/>
      <w:bookmarkStart w:id="344" w:name="_Toc420417627"/>
      <w:bookmarkStart w:id="345" w:name="_Toc23651"/>
      <w:bookmarkStart w:id="346" w:name="_Toc144974530"/>
      <w:bookmarkStart w:id="347" w:name="_Toc30830"/>
      <w:bookmarkStart w:id="348" w:name="_Toc246996949"/>
      <w:bookmarkStart w:id="349" w:name="_Toc28309"/>
      <w:bookmarkStart w:id="350" w:name="_Toc152042338"/>
      <w:bookmarkStart w:id="351" w:name="_Toc152045562"/>
      <w:bookmarkStart w:id="352" w:name="_Toc179632580"/>
      <w:r>
        <w:rPr>
          <w:rFonts w:hint="eastAsia" w:ascii="仿宋" w:hAnsi="仿宋" w:eastAsia="仿宋" w:cs="仿宋"/>
          <w:color w:val="auto"/>
          <w:highlight w:val="none"/>
        </w:rPr>
        <w:t>6. 评标</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0C68EBF5">
      <w:pPr>
        <w:rPr>
          <w:rFonts w:hint="eastAsia" w:ascii="仿宋" w:hAnsi="仿宋" w:eastAsia="仿宋" w:cs="仿宋"/>
          <w:b/>
          <w:color w:val="auto"/>
          <w:highlight w:val="none"/>
        </w:rPr>
      </w:pPr>
      <w:bookmarkStart w:id="353" w:name="_Toc246996950"/>
      <w:bookmarkStart w:id="354" w:name="_Toc179632581"/>
      <w:bookmarkStart w:id="355" w:name="_Toc246996207"/>
      <w:bookmarkStart w:id="356" w:name="_Toc18861"/>
      <w:bookmarkStart w:id="357" w:name="_Toc247085721"/>
      <w:bookmarkStart w:id="358" w:name="_Toc152042339"/>
      <w:bookmarkStart w:id="359" w:name="_Toc144974531"/>
      <w:bookmarkStart w:id="360" w:name="_Toc152045563"/>
      <w:r>
        <w:rPr>
          <w:rFonts w:hint="eastAsia" w:ascii="仿宋" w:hAnsi="仿宋" w:eastAsia="仿宋" w:cs="仿宋"/>
          <w:b/>
          <w:color w:val="auto"/>
          <w:highlight w:val="none"/>
        </w:rPr>
        <w:t>6.1 评标委员会</w:t>
      </w:r>
      <w:bookmarkEnd w:id="353"/>
      <w:bookmarkEnd w:id="354"/>
      <w:bookmarkEnd w:id="355"/>
      <w:bookmarkEnd w:id="356"/>
      <w:bookmarkEnd w:id="357"/>
      <w:bookmarkEnd w:id="358"/>
      <w:bookmarkEnd w:id="359"/>
      <w:bookmarkEnd w:id="360"/>
    </w:p>
    <w:p w14:paraId="2E45293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6.1.1 评标由采购人依法组建的评标委员会负责。评标委员会由有关技术、经济等方面的专家组成。评标委员会成员人数以及技术、经济等方面专家的确定方式见投标人须知前附表。</w:t>
      </w:r>
    </w:p>
    <w:p w14:paraId="4D4F36DA">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6.1.2 评标委员会成员有下列情形之一的，应当回避：</w:t>
      </w:r>
    </w:p>
    <w:p w14:paraId="2099DB8B">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（1）投标人或投标人主要负责人的近亲属；</w:t>
      </w:r>
    </w:p>
    <w:p w14:paraId="0D85C88B">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（2）项目主管部门或者行政监督部门的人员；</w:t>
      </w:r>
    </w:p>
    <w:p w14:paraId="0355D9AC">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（3）与投标人有经济利益关系；</w:t>
      </w:r>
    </w:p>
    <w:p w14:paraId="2CC7082C">
      <w:pPr>
        <w:spacing w:line="400" w:lineRule="exact"/>
        <w:ind w:firstLine="359" w:firstLineChars="171"/>
        <w:rPr>
          <w:rFonts w:hint="eastAsia" w:ascii="仿宋" w:hAnsi="仿宋" w:eastAsia="仿宋" w:cs="仿宋"/>
          <w:color w:val="auto"/>
          <w:highlight w:val="none"/>
        </w:rPr>
      </w:pPr>
      <w:r>
        <w:rPr>
          <w:rFonts w:hint="eastAsia" w:ascii="仿宋" w:hAnsi="仿宋" w:eastAsia="仿宋" w:cs="仿宋"/>
          <w:color w:val="auto"/>
          <w:highlight w:val="none"/>
        </w:rPr>
        <w:t>（4）曾因在招标、评标以及其他与招标投标有关活动中从事违法行为而受过行政处罚或刑事处罚的；</w:t>
      </w:r>
    </w:p>
    <w:p w14:paraId="6A112989">
      <w:pPr>
        <w:spacing w:line="239" w:lineRule="auto"/>
        <w:ind w:left="420"/>
        <w:jc w:val="left"/>
        <w:rPr>
          <w:rFonts w:hint="eastAsia" w:ascii="仿宋" w:hAnsi="仿宋" w:eastAsia="仿宋" w:cs="仿宋"/>
          <w:color w:val="auto"/>
          <w:highlight w:val="none"/>
        </w:rPr>
      </w:pPr>
      <w:r>
        <w:rPr>
          <w:rFonts w:hint="eastAsia" w:ascii="仿宋" w:hAnsi="仿宋" w:eastAsia="仿宋" w:cs="仿宋"/>
          <w:color w:val="auto"/>
          <w:highlight w:val="none"/>
        </w:rPr>
        <w:t>（5）与投标人有其他利害关系。</w:t>
      </w:r>
    </w:p>
    <w:p w14:paraId="1D7F8A0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6.1.3 评标过程中，评标委员会成员有回避事由、擅离职守或者因健康等原因不能继续评标的，</w:t>
      </w:r>
      <w:r>
        <w:rPr>
          <w:rFonts w:hint="eastAsia" w:ascii="仿宋" w:hAnsi="仿宋" w:eastAsia="仿宋" w:cs="仿宋"/>
          <w:bCs/>
          <w:color w:val="auto"/>
          <w:szCs w:val="21"/>
          <w:highlight w:val="none"/>
        </w:rPr>
        <w:t>采购</w:t>
      </w:r>
      <w:r>
        <w:rPr>
          <w:rFonts w:hint="eastAsia" w:ascii="仿宋" w:hAnsi="仿宋" w:eastAsia="仿宋" w:cs="仿宋"/>
          <w:color w:val="auto"/>
          <w:highlight w:val="none"/>
        </w:rPr>
        <w:t>人有权更换。被更换的评标委员会成员作出的评审结论无效，由更换后的评标委员会成员重新进行评审。</w:t>
      </w:r>
    </w:p>
    <w:p w14:paraId="1E6F5EC8">
      <w:pPr>
        <w:rPr>
          <w:rFonts w:hint="eastAsia" w:ascii="仿宋" w:hAnsi="仿宋" w:eastAsia="仿宋" w:cs="仿宋"/>
          <w:b/>
          <w:color w:val="auto"/>
          <w:highlight w:val="none"/>
        </w:rPr>
      </w:pPr>
      <w:bookmarkStart w:id="361" w:name="_Toc144974532"/>
      <w:bookmarkStart w:id="362" w:name="_Toc876"/>
      <w:bookmarkStart w:id="363" w:name="_Toc246996951"/>
      <w:bookmarkStart w:id="364" w:name="_Toc152045564"/>
      <w:bookmarkStart w:id="365" w:name="_Toc246996208"/>
      <w:bookmarkStart w:id="366" w:name="_Toc152042340"/>
      <w:bookmarkStart w:id="367" w:name="_Toc179632582"/>
      <w:bookmarkStart w:id="368" w:name="_Toc247085722"/>
      <w:r>
        <w:rPr>
          <w:rFonts w:hint="eastAsia" w:ascii="仿宋" w:hAnsi="仿宋" w:eastAsia="仿宋" w:cs="仿宋"/>
          <w:b/>
          <w:color w:val="auto"/>
          <w:highlight w:val="none"/>
        </w:rPr>
        <w:t>6.2 评标原则</w:t>
      </w:r>
      <w:bookmarkEnd w:id="361"/>
      <w:bookmarkEnd w:id="362"/>
      <w:bookmarkEnd w:id="363"/>
      <w:bookmarkEnd w:id="364"/>
      <w:bookmarkEnd w:id="365"/>
      <w:bookmarkEnd w:id="366"/>
      <w:bookmarkEnd w:id="367"/>
      <w:bookmarkEnd w:id="368"/>
    </w:p>
    <w:p w14:paraId="4D21B4D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评标活动遵循公平、公正、科学和择优的原则。</w:t>
      </w:r>
    </w:p>
    <w:p w14:paraId="170289DE">
      <w:pPr>
        <w:rPr>
          <w:rFonts w:hint="eastAsia" w:ascii="仿宋" w:hAnsi="仿宋" w:eastAsia="仿宋" w:cs="仿宋"/>
          <w:b/>
          <w:color w:val="auto"/>
          <w:highlight w:val="none"/>
        </w:rPr>
      </w:pPr>
      <w:bookmarkStart w:id="369" w:name="_Toc179632583"/>
      <w:bookmarkStart w:id="370" w:name="_Toc152045565"/>
      <w:bookmarkStart w:id="371" w:name="_Toc246996209"/>
      <w:bookmarkStart w:id="372" w:name="_Toc2428"/>
      <w:bookmarkStart w:id="373" w:name="_Toc246996952"/>
      <w:bookmarkStart w:id="374" w:name="_Toc144974533"/>
      <w:bookmarkStart w:id="375" w:name="_Toc152042341"/>
      <w:bookmarkStart w:id="376" w:name="_Toc247085723"/>
      <w:r>
        <w:rPr>
          <w:rFonts w:hint="eastAsia" w:ascii="仿宋" w:hAnsi="仿宋" w:eastAsia="仿宋" w:cs="仿宋"/>
          <w:b/>
          <w:color w:val="auto"/>
          <w:highlight w:val="none"/>
        </w:rPr>
        <w:t>6.3 评标</w:t>
      </w:r>
      <w:bookmarkEnd w:id="369"/>
      <w:bookmarkEnd w:id="370"/>
      <w:bookmarkEnd w:id="371"/>
      <w:bookmarkEnd w:id="372"/>
      <w:bookmarkEnd w:id="373"/>
      <w:bookmarkEnd w:id="374"/>
      <w:bookmarkEnd w:id="375"/>
      <w:bookmarkEnd w:id="376"/>
    </w:p>
    <w:p w14:paraId="3620A17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6.3.1 评标委员会按照第三章“评标办法”规定的方法、评审因素、标准和程序对投标文件进行评审。第三章“评标办法”没有规定的方法、评审因素和标准，不作为评标依据。</w:t>
      </w:r>
    </w:p>
    <w:p w14:paraId="10488A0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6.3.2 评标完成后，评标委员会应当向</w:t>
      </w:r>
      <w:r>
        <w:rPr>
          <w:rFonts w:hint="eastAsia" w:ascii="仿宋" w:hAnsi="仿宋" w:eastAsia="仿宋" w:cs="仿宋"/>
          <w:bCs/>
          <w:color w:val="auto"/>
          <w:szCs w:val="21"/>
          <w:highlight w:val="none"/>
        </w:rPr>
        <w:t>采购</w:t>
      </w:r>
      <w:r>
        <w:rPr>
          <w:rFonts w:hint="eastAsia" w:ascii="仿宋" w:hAnsi="仿宋" w:eastAsia="仿宋" w:cs="仿宋"/>
          <w:color w:val="auto"/>
          <w:highlight w:val="none"/>
        </w:rPr>
        <w:t>人提交书面评标报告和中标候选人名单。评标委员会推荐中标候选人的人数见投标人须知前附表。</w:t>
      </w:r>
    </w:p>
    <w:p w14:paraId="6C725E5F">
      <w:pPr>
        <w:pStyle w:val="3"/>
        <w:spacing w:line="440" w:lineRule="exact"/>
        <w:rPr>
          <w:rFonts w:hint="eastAsia" w:ascii="仿宋" w:hAnsi="仿宋" w:eastAsia="仿宋" w:cs="仿宋"/>
          <w:color w:val="auto"/>
          <w:highlight w:val="none"/>
        </w:rPr>
      </w:pPr>
      <w:bookmarkStart w:id="377" w:name="_Toc30903"/>
      <w:bookmarkStart w:id="378" w:name="_Toc179632584"/>
      <w:bookmarkStart w:id="379" w:name="_Toc420417628"/>
      <w:bookmarkStart w:id="380" w:name="_Toc357177716"/>
      <w:bookmarkStart w:id="381" w:name="_Toc457839493"/>
      <w:bookmarkStart w:id="382" w:name="_Toc247085724"/>
      <w:bookmarkStart w:id="383" w:name="_Toc144974534"/>
      <w:bookmarkStart w:id="384" w:name="_Toc9816"/>
      <w:bookmarkStart w:id="385" w:name="_Toc3415"/>
      <w:bookmarkStart w:id="386" w:name="_Toc152045566"/>
      <w:bookmarkStart w:id="387" w:name="_Toc152042342"/>
      <w:bookmarkStart w:id="388" w:name="_Toc246996210"/>
      <w:bookmarkStart w:id="389" w:name="_Toc246996953"/>
      <w:r>
        <w:rPr>
          <w:rFonts w:hint="eastAsia" w:ascii="仿宋" w:hAnsi="仿宋" w:eastAsia="仿宋" w:cs="仿宋"/>
          <w:color w:val="auto"/>
          <w:highlight w:val="none"/>
        </w:rPr>
        <w:t>7. 合同授予</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4AA8DBC1">
      <w:pPr>
        <w:pStyle w:val="13"/>
        <w:spacing w:before="156" w:beforeLines="50" w:after="0" w:line="240" w:lineRule="auto"/>
        <w:jc w:val="left"/>
        <w:rPr>
          <w:rFonts w:hint="eastAsia" w:ascii="仿宋" w:hAnsi="仿宋" w:eastAsia="仿宋" w:cs="仿宋"/>
          <w:color w:val="auto"/>
          <w:kern w:val="2"/>
          <w:sz w:val="21"/>
          <w:szCs w:val="21"/>
          <w:highlight w:val="none"/>
        </w:rPr>
      </w:pPr>
      <w:bookmarkStart w:id="390" w:name="_Toc508804010"/>
      <w:bookmarkStart w:id="391" w:name="_Toc4065"/>
      <w:bookmarkStart w:id="392" w:name="_Toc6501"/>
      <w:bookmarkStart w:id="393" w:name="_Toc26112"/>
      <w:bookmarkStart w:id="394" w:name="_Toc21096"/>
      <w:bookmarkStart w:id="395" w:name="_Toc14157"/>
      <w:bookmarkStart w:id="396" w:name="_Toc14832"/>
      <w:bookmarkStart w:id="397" w:name="_Toc30897"/>
      <w:bookmarkStart w:id="398" w:name="_Toc1596"/>
      <w:bookmarkStart w:id="399" w:name="_Toc471822512"/>
      <w:bookmarkStart w:id="400" w:name="_Toc1814"/>
      <w:bookmarkStart w:id="401" w:name="_Toc223580621"/>
      <w:bookmarkStart w:id="402" w:name="_Toc201719105"/>
      <w:bookmarkStart w:id="403" w:name="_Toc471822569"/>
      <w:bookmarkStart w:id="404" w:name="_Toc406417361"/>
      <w:bookmarkStart w:id="405" w:name="_Toc29048"/>
      <w:bookmarkStart w:id="406" w:name="_Toc420417629"/>
      <w:bookmarkStart w:id="407" w:name="_Toc357177717"/>
      <w:bookmarkStart w:id="408" w:name="_Toc457839494"/>
      <w:r>
        <w:rPr>
          <w:rFonts w:hint="eastAsia" w:ascii="仿宋" w:hAnsi="仿宋" w:eastAsia="仿宋" w:cs="仿宋"/>
          <w:color w:val="auto"/>
          <w:kern w:val="2"/>
          <w:sz w:val="21"/>
          <w:szCs w:val="21"/>
          <w:highlight w:val="none"/>
        </w:rPr>
        <w:t>7.1 中标</w:t>
      </w:r>
      <w:bookmarkEnd w:id="390"/>
      <w:bookmarkEnd w:id="391"/>
      <w:bookmarkEnd w:id="392"/>
      <w:bookmarkEnd w:id="393"/>
      <w:bookmarkEnd w:id="394"/>
      <w:bookmarkEnd w:id="395"/>
      <w:r>
        <w:rPr>
          <w:rFonts w:hint="eastAsia" w:ascii="仿宋" w:hAnsi="仿宋" w:eastAsia="仿宋" w:cs="仿宋"/>
          <w:color w:val="auto"/>
          <w:kern w:val="2"/>
          <w:sz w:val="21"/>
          <w:szCs w:val="21"/>
          <w:highlight w:val="none"/>
        </w:rPr>
        <w:t>结果公告</w:t>
      </w:r>
      <w:bookmarkEnd w:id="396"/>
      <w:bookmarkEnd w:id="397"/>
      <w:bookmarkEnd w:id="398"/>
    </w:p>
    <w:p w14:paraId="48D4D3A0">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采购人在投标人须知前附表规定的媒介公告中标结果。</w:t>
      </w:r>
    </w:p>
    <w:p w14:paraId="340A9AEC">
      <w:pPr>
        <w:pStyle w:val="13"/>
        <w:spacing w:before="156" w:beforeLines="50" w:after="0" w:line="240" w:lineRule="auto"/>
        <w:jc w:val="left"/>
        <w:rPr>
          <w:rFonts w:hint="eastAsia" w:ascii="仿宋" w:hAnsi="仿宋" w:eastAsia="仿宋" w:cs="仿宋"/>
          <w:color w:val="auto"/>
          <w:kern w:val="2"/>
          <w:sz w:val="21"/>
          <w:szCs w:val="21"/>
          <w:highlight w:val="none"/>
        </w:rPr>
      </w:pPr>
      <w:bookmarkStart w:id="409" w:name="_Toc508804011"/>
      <w:bookmarkStart w:id="410" w:name="_Toc13665"/>
      <w:bookmarkStart w:id="411" w:name="_Toc4776"/>
      <w:bookmarkStart w:id="412" w:name="_Toc30453"/>
      <w:bookmarkStart w:id="413" w:name="_Toc6233"/>
      <w:bookmarkStart w:id="414" w:name="_Toc3962"/>
      <w:bookmarkStart w:id="415" w:name="_Toc14299"/>
      <w:bookmarkStart w:id="416" w:name="_Toc25718"/>
      <w:bookmarkStart w:id="417" w:name="_Toc19541"/>
      <w:r>
        <w:rPr>
          <w:rFonts w:hint="eastAsia" w:ascii="仿宋" w:hAnsi="仿宋" w:eastAsia="仿宋" w:cs="仿宋"/>
          <w:color w:val="auto"/>
          <w:kern w:val="2"/>
          <w:sz w:val="21"/>
          <w:szCs w:val="21"/>
          <w:highlight w:val="none"/>
        </w:rPr>
        <w:t>7.2 评标结果</w:t>
      </w:r>
      <w:bookmarkEnd w:id="409"/>
      <w:bookmarkEnd w:id="410"/>
      <w:bookmarkEnd w:id="411"/>
      <w:bookmarkEnd w:id="412"/>
      <w:r>
        <w:rPr>
          <w:rFonts w:hint="eastAsia" w:ascii="仿宋" w:hAnsi="仿宋" w:eastAsia="仿宋" w:cs="仿宋"/>
          <w:color w:val="auto"/>
          <w:kern w:val="2"/>
          <w:sz w:val="21"/>
          <w:szCs w:val="21"/>
          <w:highlight w:val="none"/>
        </w:rPr>
        <w:t>质疑</w:t>
      </w:r>
      <w:bookmarkEnd w:id="413"/>
      <w:bookmarkEnd w:id="414"/>
      <w:bookmarkEnd w:id="415"/>
      <w:bookmarkEnd w:id="416"/>
      <w:bookmarkEnd w:id="417"/>
    </w:p>
    <w:p w14:paraId="0C84942A">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2"/>
          <w:highlight w:val="none"/>
          <w:lang w:val="zh-CN"/>
        </w:rPr>
        <w:t>投标人对中标结果提出质疑的，应当在质疑期间内将质疑事项一次性向采购人（采购代理机）提出。质疑书须提供纸质，并应当经法定代理人或委托代理人签字并加盖公章</w:t>
      </w:r>
      <w:r>
        <w:rPr>
          <w:rFonts w:hint="eastAsia" w:ascii="仿宋" w:hAnsi="仿宋" w:eastAsia="仿宋" w:cs="仿宋"/>
          <w:color w:val="auto"/>
          <w:szCs w:val="21"/>
          <w:highlight w:val="none"/>
        </w:rPr>
        <w:t>。</w:t>
      </w:r>
    </w:p>
    <w:p w14:paraId="2FC96CE5">
      <w:pPr>
        <w:pStyle w:val="13"/>
        <w:spacing w:before="156" w:beforeLines="50" w:after="0" w:line="240" w:lineRule="auto"/>
        <w:jc w:val="left"/>
        <w:rPr>
          <w:rFonts w:hint="eastAsia" w:ascii="仿宋" w:hAnsi="仿宋" w:eastAsia="仿宋" w:cs="仿宋"/>
          <w:color w:val="auto"/>
          <w:kern w:val="2"/>
          <w:sz w:val="21"/>
          <w:szCs w:val="21"/>
          <w:highlight w:val="none"/>
        </w:rPr>
      </w:pPr>
      <w:bookmarkStart w:id="418" w:name="_Toc30667"/>
      <w:bookmarkStart w:id="419" w:name="_Toc508804012"/>
      <w:bookmarkStart w:id="420" w:name="_Toc29940"/>
      <w:bookmarkStart w:id="421" w:name="_Toc22627"/>
      <w:bookmarkStart w:id="422" w:name="_Toc6148"/>
      <w:bookmarkStart w:id="423" w:name="_Toc27275"/>
      <w:bookmarkStart w:id="424" w:name="_Toc29759"/>
      <w:bookmarkStart w:id="425" w:name="_Toc6390"/>
      <w:bookmarkStart w:id="426" w:name="_Toc5247"/>
      <w:r>
        <w:rPr>
          <w:rFonts w:hint="eastAsia" w:ascii="仿宋" w:hAnsi="仿宋" w:eastAsia="仿宋" w:cs="仿宋"/>
          <w:color w:val="auto"/>
          <w:kern w:val="2"/>
          <w:sz w:val="21"/>
          <w:szCs w:val="21"/>
          <w:highlight w:val="none"/>
        </w:rPr>
        <w:t>7.3 中标候选人履约能力审查</w:t>
      </w:r>
      <w:bookmarkEnd w:id="418"/>
      <w:bookmarkEnd w:id="419"/>
      <w:bookmarkEnd w:id="420"/>
      <w:bookmarkEnd w:id="421"/>
      <w:bookmarkEnd w:id="422"/>
      <w:bookmarkEnd w:id="423"/>
      <w:bookmarkEnd w:id="424"/>
      <w:bookmarkEnd w:id="425"/>
      <w:bookmarkEnd w:id="426"/>
    </w:p>
    <w:p w14:paraId="50C59CC7">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中标候选人的经营、财务状况发生较大变化或存在违法行为，采购人认为可能影响其履约能力的，将在发出中标通知书前提请原评标委员会按照采购文件规定的标准和方法进行审查确认。</w:t>
      </w:r>
    </w:p>
    <w:p w14:paraId="3FF84C41">
      <w:pPr>
        <w:pStyle w:val="13"/>
        <w:spacing w:before="156" w:beforeLines="50" w:after="0" w:line="240" w:lineRule="auto"/>
        <w:jc w:val="left"/>
        <w:rPr>
          <w:rFonts w:hint="eastAsia" w:ascii="仿宋" w:hAnsi="仿宋" w:eastAsia="仿宋" w:cs="仿宋"/>
          <w:color w:val="auto"/>
          <w:kern w:val="2"/>
          <w:sz w:val="21"/>
          <w:szCs w:val="21"/>
          <w:highlight w:val="none"/>
        </w:rPr>
      </w:pPr>
      <w:bookmarkStart w:id="427" w:name="_Toc1700"/>
      <w:bookmarkStart w:id="428" w:name="_Toc9776"/>
      <w:bookmarkStart w:id="429" w:name="_Toc26288"/>
      <w:bookmarkStart w:id="430" w:name="_Toc14795"/>
      <w:bookmarkStart w:id="431" w:name="_Toc508804013"/>
      <w:bookmarkStart w:id="432" w:name="_Toc27554"/>
      <w:bookmarkStart w:id="433" w:name="_Toc15309"/>
      <w:bookmarkStart w:id="434" w:name="_Toc30714"/>
      <w:bookmarkStart w:id="435" w:name="_Toc19905"/>
      <w:r>
        <w:rPr>
          <w:rFonts w:hint="eastAsia" w:ascii="仿宋" w:hAnsi="仿宋" w:eastAsia="仿宋" w:cs="仿宋"/>
          <w:color w:val="auto"/>
          <w:kern w:val="2"/>
          <w:sz w:val="21"/>
          <w:szCs w:val="21"/>
          <w:highlight w:val="none"/>
        </w:rPr>
        <w:t>7.4 定标</w:t>
      </w:r>
      <w:bookmarkEnd w:id="427"/>
      <w:bookmarkEnd w:id="428"/>
      <w:bookmarkEnd w:id="429"/>
      <w:bookmarkEnd w:id="430"/>
      <w:bookmarkEnd w:id="431"/>
      <w:bookmarkEnd w:id="432"/>
      <w:bookmarkEnd w:id="433"/>
      <w:bookmarkEnd w:id="434"/>
      <w:bookmarkEnd w:id="435"/>
    </w:p>
    <w:p w14:paraId="6251174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按照投标人须知前附表的规定，采购人或采购人授权的评标委员会依法确定中标人。</w:t>
      </w:r>
    </w:p>
    <w:p w14:paraId="1932BAD5">
      <w:pPr>
        <w:pStyle w:val="13"/>
        <w:spacing w:before="156" w:beforeLines="50" w:after="0" w:line="240" w:lineRule="auto"/>
        <w:jc w:val="left"/>
        <w:rPr>
          <w:rFonts w:hint="eastAsia" w:ascii="仿宋" w:hAnsi="仿宋" w:eastAsia="仿宋" w:cs="仿宋"/>
          <w:color w:val="auto"/>
          <w:kern w:val="2"/>
          <w:sz w:val="21"/>
          <w:szCs w:val="21"/>
          <w:highlight w:val="none"/>
        </w:rPr>
      </w:pPr>
      <w:bookmarkStart w:id="436" w:name="_Toc27250"/>
      <w:bookmarkStart w:id="437" w:name="_Toc508804014"/>
      <w:bookmarkStart w:id="438" w:name="_Toc25395"/>
      <w:bookmarkStart w:id="439" w:name="_Toc15891"/>
      <w:bookmarkStart w:id="440" w:name="_Toc31277"/>
      <w:bookmarkStart w:id="441" w:name="_Toc13575"/>
      <w:bookmarkStart w:id="442" w:name="_Toc30524"/>
      <w:bookmarkStart w:id="443" w:name="_Toc22595"/>
      <w:bookmarkStart w:id="444" w:name="_Toc23171"/>
      <w:r>
        <w:rPr>
          <w:rFonts w:hint="eastAsia" w:ascii="仿宋" w:hAnsi="仿宋" w:eastAsia="仿宋" w:cs="仿宋"/>
          <w:color w:val="auto"/>
          <w:kern w:val="2"/>
          <w:sz w:val="21"/>
          <w:szCs w:val="21"/>
          <w:highlight w:val="none"/>
        </w:rPr>
        <w:t>7.5 中标通知</w:t>
      </w:r>
      <w:bookmarkEnd w:id="436"/>
      <w:bookmarkEnd w:id="437"/>
      <w:bookmarkEnd w:id="438"/>
      <w:bookmarkEnd w:id="439"/>
      <w:bookmarkEnd w:id="440"/>
      <w:bookmarkEnd w:id="441"/>
      <w:bookmarkEnd w:id="442"/>
      <w:bookmarkEnd w:id="443"/>
      <w:bookmarkEnd w:id="444"/>
    </w:p>
    <w:p w14:paraId="6565258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在本章第 3.3 款规定的投标有效期内，采购人以书面形式向中标人发出中标通知书，同时将中标结果通知未中标的投标人。</w:t>
      </w:r>
    </w:p>
    <w:p w14:paraId="23A953AB">
      <w:pPr>
        <w:pStyle w:val="13"/>
        <w:spacing w:before="156" w:beforeLines="50" w:after="0" w:line="240" w:lineRule="auto"/>
        <w:jc w:val="left"/>
        <w:rPr>
          <w:rFonts w:hint="eastAsia" w:ascii="仿宋" w:hAnsi="仿宋" w:eastAsia="仿宋" w:cs="仿宋"/>
          <w:color w:val="auto"/>
          <w:kern w:val="2"/>
          <w:sz w:val="21"/>
          <w:szCs w:val="21"/>
          <w:highlight w:val="none"/>
          <w:lang w:eastAsia="zh-CN"/>
        </w:rPr>
      </w:pPr>
      <w:bookmarkStart w:id="445" w:name="_Toc8187"/>
      <w:bookmarkStart w:id="446" w:name="_Toc30683"/>
      <w:bookmarkStart w:id="447" w:name="_Toc31976"/>
      <w:bookmarkStart w:id="448" w:name="_Toc8416"/>
      <w:bookmarkStart w:id="449" w:name="_Toc3262"/>
      <w:bookmarkStart w:id="450" w:name="_Toc508804015"/>
      <w:bookmarkStart w:id="451" w:name="_Toc17382"/>
      <w:bookmarkStart w:id="452" w:name="_Toc15342"/>
      <w:bookmarkStart w:id="453" w:name="_Toc23429"/>
      <w:r>
        <w:rPr>
          <w:rFonts w:hint="eastAsia" w:ascii="仿宋" w:hAnsi="仿宋" w:eastAsia="仿宋" w:cs="仿宋"/>
          <w:color w:val="auto"/>
          <w:kern w:val="2"/>
          <w:sz w:val="21"/>
          <w:szCs w:val="21"/>
          <w:highlight w:val="none"/>
        </w:rPr>
        <w:t>7.6 履约保证金</w:t>
      </w:r>
      <w:bookmarkEnd w:id="445"/>
      <w:bookmarkEnd w:id="446"/>
      <w:bookmarkEnd w:id="447"/>
      <w:bookmarkEnd w:id="448"/>
      <w:bookmarkEnd w:id="449"/>
      <w:bookmarkEnd w:id="450"/>
      <w:bookmarkEnd w:id="451"/>
      <w:bookmarkEnd w:id="452"/>
      <w:bookmarkEnd w:id="453"/>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本项目不适用</w:t>
      </w:r>
      <w:r>
        <w:rPr>
          <w:rFonts w:hint="eastAsia" w:ascii="仿宋" w:hAnsi="仿宋" w:eastAsia="仿宋" w:cs="仿宋"/>
          <w:color w:val="auto"/>
          <w:kern w:val="2"/>
          <w:sz w:val="21"/>
          <w:szCs w:val="21"/>
          <w:highlight w:val="none"/>
          <w:lang w:eastAsia="zh-CN"/>
        </w:rPr>
        <w:t>）</w:t>
      </w:r>
    </w:p>
    <w:p w14:paraId="7B54622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7.6.1 在签订合同前，中标人应按投标人须知前附表规定的形式、金额和采购文件第四章“合</w:t>
      </w:r>
      <w:bookmarkStart w:id="454" w:name="page31"/>
      <w:bookmarkEnd w:id="454"/>
      <w:r>
        <w:rPr>
          <w:rFonts w:hint="eastAsia" w:ascii="仿宋" w:hAnsi="仿宋" w:eastAsia="仿宋" w:cs="仿宋"/>
          <w:color w:val="auto"/>
          <w:highlight w:val="none"/>
        </w:rPr>
        <w:t>同条款及格式”规定的或者事先经过采购人书面认可的履约保证金格式向采购人提交履约保证金。除投标人须知前附表另有规定外，履约保证金为中标金额的10%。联合体中标的，其履约保证金以联合体各方或者联合体中牵头人的名义提交。</w:t>
      </w:r>
    </w:p>
    <w:p w14:paraId="4BA0BA8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7.6.2 中标人不能按本章第 7.6.1 项要求提交履约保证金的，视为放弃中标，其投标保证金不予退还，给采购人造成的损失超过投标保证金数额的，中标人还应当对超过部分予以赔偿。</w:t>
      </w:r>
    </w:p>
    <w:p w14:paraId="67761594">
      <w:pPr>
        <w:pStyle w:val="13"/>
        <w:spacing w:before="156" w:beforeLines="50" w:after="0" w:line="240" w:lineRule="auto"/>
        <w:jc w:val="left"/>
        <w:rPr>
          <w:rFonts w:hint="eastAsia" w:ascii="仿宋" w:hAnsi="仿宋" w:eastAsia="仿宋" w:cs="仿宋"/>
          <w:color w:val="auto"/>
          <w:kern w:val="2"/>
          <w:sz w:val="21"/>
          <w:szCs w:val="21"/>
          <w:highlight w:val="none"/>
        </w:rPr>
      </w:pPr>
      <w:bookmarkStart w:id="455" w:name="_Toc7682"/>
      <w:bookmarkStart w:id="456" w:name="_Toc8982"/>
      <w:bookmarkStart w:id="457" w:name="_Toc838"/>
      <w:bookmarkStart w:id="458" w:name="_Toc31377"/>
      <w:bookmarkStart w:id="459" w:name="_Toc32729"/>
      <w:bookmarkStart w:id="460" w:name="_Toc2969"/>
      <w:bookmarkStart w:id="461" w:name="_Toc22655"/>
      <w:bookmarkStart w:id="462" w:name="_Toc508804016"/>
      <w:bookmarkStart w:id="463" w:name="_Toc29776"/>
      <w:r>
        <w:rPr>
          <w:rFonts w:hint="eastAsia" w:ascii="仿宋" w:hAnsi="仿宋" w:eastAsia="仿宋" w:cs="仿宋"/>
          <w:color w:val="auto"/>
          <w:kern w:val="2"/>
          <w:sz w:val="21"/>
          <w:szCs w:val="21"/>
          <w:highlight w:val="none"/>
        </w:rPr>
        <w:t>7.7 签订合同</w:t>
      </w:r>
      <w:bookmarkEnd w:id="455"/>
      <w:bookmarkEnd w:id="456"/>
      <w:bookmarkEnd w:id="457"/>
      <w:bookmarkEnd w:id="458"/>
      <w:bookmarkEnd w:id="459"/>
      <w:bookmarkEnd w:id="460"/>
      <w:bookmarkEnd w:id="461"/>
      <w:bookmarkEnd w:id="462"/>
      <w:bookmarkEnd w:id="463"/>
    </w:p>
    <w:p w14:paraId="3450F74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7.7.1 采购人和中标人应当在中标通知书发出之日起 30 日内，根据采购文件和中标人的投标文件订立书面合同。中标人无正当理由拒签合同，在签订合同时向采购人提出附加条件，或者不按照采购文件要求提交履约保证金的，采购人有权取消其中标资格，其投标保证金不予退还；给采购人造成的损失超过投标保证金数额的，中标人还应当对超过部分予以赔偿。</w:t>
      </w:r>
    </w:p>
    <w:p w14:paraId="511C259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7.7.2 发出中标通知书后，采购人无正当理由拒签合同，或者在签订合同时向中标人提出附加条件的，采购人向中标人退还投标保证金；给中标人造成损失的，还应当赔偿损失。</w:t>
      </w:r>
    </w:p>
    <w:p w14:paraId="43F8317E">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7.7.3 联合体中标的，联合体各方应当共同与采购人签订合同，就中标项目向采购人承担连带责任。</w:t>
      </w:r>
      <w:bookmarkEnd w:id="399"/>
      <w:bookmarkEnd w:id="400"/>
      <w:bookmarkEnd w:id="401"/>
      <w:bookmarkEnd w:id="402"/>
      <w:bookmarkEnd w:id="403"/>
      <w:bookmarkEnd w:id="404"/>
      <w:bookmarkEnd w:id="405"/>
    </w:p>
    <w:p w14:paraId="55CBB798">
      <w:pPr>
        <w:pStyle w:val="3"/>
        <w:spacing w:line="440" w:lineRule="exact"/>
        <w:rPr>
          <w:rFonts w:hint="eastAsia" w:ascii="仿宋" w:hAnsi="仿宋" w:eastAsia="仿宋" w:cs="仿宋"/>
          <w:color w:val="auto"/>
          <w:highlight w:val="none"/>
        </w:rPr>
      </w:pPr>
      <w:bookmarkStart w:id="464" w:name="_Toc24535"/>
      <w:bookmarkStart w:id="465" w:name="_Toc5060"/>
      <w:bookmarkStart w:id="466" w:name="_Toc3329"/>
      <w:r>
        <w:rPr>
          <w:rFonts w:hint="eastAsia" w:ascii="仿宋" w:hAnsi="仿宋" w:eastAsia="仿宋" w:cs="仿宋"/>
          <w:color w:val="auto"/>
          <w:highlight w:val="none"/>
        </w:rPr>
        <w:t>8. 纪律和监督</w:t>
      </w:r>
      <w:bookmarkEnd w:id="406"/>
      <w:bookmarkEnd w:id="407"/>
      <w:bookmarkEnd w:id="408"/>
      <w:bookmarkEnd w:id="464"/>
      <w:bookmarkEnd w:id="465"/>
      <w:bookmarkEnd w:id="466"/>
    </w:p>
    <w:p w14:paraId="41204FDA">
      <w:pPr>
        <w:rPr>
          <w:rFonts w:hint="eastAsia" w:ascii="仿宋" w:hAnsi="仿宋" w:eastAsia="仿宋" w:cs="仿宋"/>
          <w:b/>
          <w:color w:val="auto"/>
          <w:highlight w:val="none"/>
        </w:rPr>
      </w:pPr>
      <w:bookmarkStart w:id="467" w:name="_Toc152042351"/>
      <w:bookmarkStart w:id="468" w:name="_Toc144974543"/>
      <w:bookmarkStart w:id="469" w:name="_Toc29583"/>
      <w:bookmarkStart w:id="470" w:name="_Toc296590983"/>
      <w:bookmarkStart w:id="471" w:name="_Toc152045575"/>
      <w:bookmarkStart w:id="472" w:name="_Toc247085733"/>
      <w:bookmarkStart w:id="473" w:name="_Toc179632593"/>
      <w:bookmarkStart w:id="474" w:name="_Toc246996219"/>
      <w:bookmarkStart w:id="475" w:name="_Toc246996962"/>
      <w:r>
        <w:rPr>
          <w:rFonts w:hint="eastAsia" w:ascii="仿宋" w:hAnsi="仿宋" w:eastAsia="仿宋" w:cs="仿宋"/>
          <w:b/>
          <w:color w:val="auto"/>
          <w:highlight w:val="none"/>
        </w:rPr>
        <w:t>8.1 对采购人的纪律要求</w:t>
      </w:r>
      <w:bookmarkEnd w:id="467"/>
      <w:bookmarkEnd w:id="468"/>
      <w:bookmarkEnd w:id="469"/>
      <w:bookmarkEnd w:id="470"/>
      <w:bookmarkEnd w:id="471"/>
      <w:bookmarkEnd w:id="472"/>
      <w:bookmarkEnd w:id="473"/>
      <w:bookmarkEnd w:id="474"/>
      <w:bookmarkEnd w:id="475"/>
    </w:p>
    <w:p w14:paraId="008F00F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采购人不得泄露招标投标活动中应当保密的情况和资料，不得与投标人串通损害国家利益、社会公共利益或者他人合法权益。</w:t>
      </w:r>
    </w:p>
    <w:p w14:paraId="3C583B6F">
      <w:pPr>
        <w:rPr>
          <w:rFonts w:hint="eastAsia" w:ascii="仿宋" w:hAnsi="仿宋" w:eastAsia="仿宋" w:cs="仿宋"/>
          <w:b/>
          <w:color w:val="auto"/>
          <w:highlight w:val="none"/>
        </w:rPr>
      </w:pPr>
      <w:bookmarkStart w:id="476" w:name="_Toc246996963"/>
      <w:bookmarkStart w:id="477" w:name="_Toc247085734"/>
      <w:bookmarkStart w:id="478" w:name="_Toc144974544"/>
      <w:bookmarkStart w:id="479" w:name="_Toc152045576"/>
      <w:bookmarkStart w:id="480" w:name="_Toc179632594"/>
      <w:bookmarkStart w:id="481" w:name="_Toc152042352"/>
      <w:bookmarkStart w:id="482" w:name="_Toc9679"/>
      <w:bookmarkStart w:id="483" w:name="_Toc246996220"/>
      <w:r>
        <w:rPr>
          <w:rFonts w:hint="eastAsia" w:ascii="仿宋" w:hAnsi="仿宋" w:eastAsia="仿宋" w:cs="仿宋"/>
          <w:b/>
          <w:color w:val="auto"/>
          <w:highlight w:val="none"/>
        </w:rPr>
        <w:t>8.2 对投标人的纪律要求</w:t>
      </w:r>
      <w:bookmarkEnd w:id="476"/>
      <w:bookmarkEnd w:id="477"/>
      <w:bookmarkEnd w:id="478"/>
      <w:bookmarkEnd w:id="479"/>
      <w:bookmarkEnd w:id="480"/>
      <w:bookmarkEnd w:id="481"/>
      <w:bookmarkEnd w:id="482"/>
      <w:bookmarkEnd w:id="483"/>
    </w:p>
    <w:p w14:paraId="4671B6E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4426446">
      <w:pPr>
        <w:rPr>
          <w:rFonts w:hint="eastAsia" w:ascii="仿宋" w:hAnsi="仿宋" w:eastAsia="仿宋" w:cs="仿宋"/>
          <w:b/>
          <w:color w:val="auto"/>
          <w:highlight w:val="none"/>
        </w:rPr>
      </w:pPr>
      <w:bookmarkStart w:id="484" w:name="_Toc152042353"/>
      <w:bookmarkStart w:id="485" w:name="_Toc179632595"/>
      <w:bookmarkStart w:id="486" w:name="_Toc247085735"/>
      <w:bookmarkStart w:id="487" w:name="_Toc246996221"/>
      <w:bookmarkStart w:id="488" w:name="_Toc152045577"/>
      <w:bookmarkStart w:id="489" w:name="_Toc246996964"/>
      <w:bookmarkStart w:id="490" w:name="_Toc144974545"/>
      <w:bookmarkStart w:id="491" w:name="_Toc10454"/>
      <w:r>
        <w:rPr>
          <w:rFonts w:hint="eastAsia" w:ascii="仿宋" w:hAnsi="仿宋" w:eastAsia="仿宋" w:cs="仿宋"/>
          <w:b/>
          <w:color w:val="auto"/>
          <w:highlight w:val="none"/>
        </w:rPr>
        <w:t>8.3 对评标委员会成员的纪律要求</w:t>
      </w:r>
      <w:bookmarkEnd w:id="484"/>
      <w:bookmarkEnd w:id="485"/>
      <w:bookmarkEnd w:id="486"/>
      <w:bookmarkEnd w:id="487"/>
      <w:bookmarkEnd w:id="488"/>
      <w:bookmarkEnd w:id="489"/>
      <w:bookmarkEnd w:id="490"/>
      <w:bookmarkEnd w:id="491"/>
    </w:p>
    <w:p w14:paraId="03E6506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865CF9">
      <w:pPr>
        <w:rPr>
          <w:rFonts w:hint="eastAsia" w:ascii="仿宋" w:hAnsi="仿宋" w:eastAsia="仿宋" w:cs="仿宋"/>
          <w:b/>
          <w:color w:val="auto"/>
          <w:highlight w:val="none"/>
        </w:rPr>
      </w:pPr>
      <w:bookmarkStart w:id="492" w:name="_Toc152042354"/>
      <w:bookmarkStart w:id="493" w:name="_Toc247085736"/>
      <w:bookmarkStart w:id="494" w:name="_Toc179632596"/>
      <w:bookmarkStart w:id="495" w:name="_Toc2525"/>
      <w:bookmarkStart w:id="496" w:name="_Toc152045578"/>
      <w:bookmarkStart w:id="497" w:name="_Toc246996222"/>
      <w:bookmarkStart w:id="498" w:name="_Toc246996965"/>
      <w:bookmarkStart w:id="499" w:name="_Toc144974546"/>
      <w:r>
        <w:rPr>
          <w:rFonts w:hint="eastAsia" w:ascii="仿宋" w:hAnsi="仿宋" w:eastAsia="仿宋" w:cs="仿宋"/>
          <w:b/>
          <w:color w:val="auto"/>
          <w:highlight w:val="none"/>
        </w:rPr>
        <w:t>8.4 对与评标活动有关的工作人员的纪律要求</w:t>
      </w:r>
      <w:bookmarkEnd w:id="492"/>
      <w:bookmarkEnd w:id="493"/>
      <w:bookmarkEnd w:id="494"/>
      <w:bookmarkEnd w:id="495"/>
      <w:bookmarkEnd w:id="496"/>
      <w:bookmarkEnd w:id="497"/>
      <w:bookmarkEnd w:id="498"/>
    </w:p>
    <w:p w14:paraId="7A10F411">
      <w:pPr>
        <w:spacing w:line="400" w:lineRule="exact"/>
        <w:ind w:firstLine="420" w:firstLineChars="200"/>
        <w:rPr>
          <w:rFonts w:hint="eastAsia" w:ascii="仿宋" w:hAnsi="仿宋" w:eastAsia="仿宋" w:cs="仿宋"/>
          <w:color w:val="auto"/>
          <w:highlight w:val="none"/>
        </w:rPr>
      </w:pPr>
      <w:bookmarkStart w:id="500" w:name="_Toc152042355"/>
      <w:r>
        <w:rPr>
          <w:rFonts w:hint="eastAsia" w:ascii="仿宋" w:hAnsi="仿宋" w:eastAsia="仿宋" w:cs="仿宋"/>
          <w:color w:val="auto"/>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500"/>
    </w:p>
    <w:p w14:paraId="3722AAD6">
      <w:pPr>
        <w:rPr>
          <w:rFonts w:hint="eastAsia" w:ascii="仿宋" w:hAnsi="仿宋" w:eastAsia="仿宋" w:cs="仿宋"/>
          <w:b/>
          <w:color w:val="auto"/>
          <w:highlight w:val="none"/>
        </w:rPr>
      </w:pPr>
      <w:bookmarkStart w:id="501" w:name="_Toc246996223"/>
      <w:bookmarkStart w:id="502" w:name="_Toc246996966"/>
      <w:bookmarkStart w:id="503" w:name="_Toc179632597"/>
      <w:bookmarkStart w:id="504" w:name="_Toc152042356"/>
      <w:bookmarkStart w:id="505" w:name="_Toc152045579"/>
      <w:bookmarkStart w:id="506" w:name="_Toc16936"/>
      <w:bookmarkStart w:id="507" w:name="_Toc247085737"/>
      <w:r>
        <w:rPr>
          <w:rFonts w:hint="eastAsia" w:ascii="仿宋" w:hAnsi="仿宋" w:eastAsia="仿宋" w:cs="仿宋"/>
          <w:b/>
          <w:color w:val="auto"/>
          <w:highlight w:val="none"/>
        </w:rPr>
        <w:t>8.5 投诉</w:t>
      </w:r>
      <w:bookmarkEnd w:id="499"/>
      <w:bookmarkEnd w:id="501"/>
      <w:bookmarkEnd w:id="502"/>
      <w:bookmarkEnd w:id="503"/>
      <w:bookmarkEnd w:id="504"/>
      <w:bookmarkEnd w:id="505"/>
      <w:bookmarkEnd w:id="506"/>
      <w:bookmarkEnd w:id="507"/>
    </w:p>
    <w:p w14:paraId="33D5FD8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投标人和其他利害关系人认为本次采购活动违反法律、法规和规章规定的，有权向有关行政监督部门投诉。</w:t>
      </w:r>
    </w:p>
    <w:p w14:paraId="1BAAAD29">
      <w:pPr>
        <w:pStyle w:val="3"/>
        <w:numPr>
          <w:ilvl w:val="0"/>
          <w:numId w:val="2"/>
        </w:numPr>
        <w:spacing w:line="400" w:lineRule="exact"/>
        <w:rPr>
          <w:rFonts w:hint="eastAsia" w:ascii="仿宋" w:hAnsi="仿宋" w:eastAsia="仿宋" w:cs="仿宋"/>
          <w:color w:val="auto"/>
          <w:highlight w:val="none"/>
        </w:rPr>
      </w:pPr>
      <w:bookmarkStart w:id="508" w:name="_Toc31886"/>
      <w:bookmarkStart w:id="509" w:name="_Toc13512"/>
      <w:bookmarkStart w:id="510" w:name="_Toc14347"/>
      <w:r>
        <w:rPr>
          <w:rFonts w:hint="eastAsia" w:ascii="仿宋" w:hAnsi="仿宋" w:eastAsia="仿宋" w:cs="仿宋"/>
          <w:color w:val="auto"/>
          <w:highlight w:val="none"/>
        </w:rPr>
        <w:t>是否采用电子招标投标</w:t>
      </w:r>
      <w:bookmarkEnd w:id="508"/>
      <w:bookmarkEnd w:id="509"/>
      <w:bookmarkEnd w:id="510"/>
    </w:p>
    <w:p w14:paraId="71489A3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本招标项目是否采用电子招标投标方式，见投标人须知前附表。</w:t>
      </w:r>
    </w:p>
    <w:p w14:paraId="737BFEDA">
      <w:pPr>
        <w:pStyle w:val="3"/>
        <w:numPr>
          <w:ilvl w:val="0"/>
          <w:numId w:val="2"/>
        </w:numPr>
        <w:spacing w:line="400" w:lineRule="exact"/>
        <w:rPr>
          <w:rFonts w:hint="eastAsia" w:ascii="仿宋" w:hAnsi="仿宋" w:eastAsia="仿宋" w:cs="仿宋"/>
          <w:bCs w:val="0"/>
          <w:color w:val="auto"/>
          <w:szCs w:val="21"/>
          <w:highlight w:val="none"/>
        </w:rPr>
      </w:pPr>
      <w:bookmarkStart w:id="511" w:name="_Toc21437"/>
      <w:bookmarkStart w:id="512" w:name="_Toc28801"/>
      <w:bookmarkStart w:id="513" w:name="_Toc247085738"/>
      <w:bookmarkStart w:id="514" w:name="_Toc357177719"/>
      <w:bookmarkStart w:id="515" w:name="_Toc246996967"/>
      <w:bookmarkStart w:id="516" w:name="_Toc246996224"/>
      <w:bookmarkStart w:id="517" w:name="_Toc144974547"/>
      <w:bookmarkStart w:id="518" w:name="_Toc179632598"/>
      <w:bookmarkStart w:id="519" w:name="_Toc420417631"/>
      <w:bookmarkStart w:id="520" w:name="_Toc152045580"/>
      <w:bookmarkStart w:id="521" w:name="_Toc152042357"/>
      <w:bookmarkStart w:id="522" w:name="_Toc17123"/>
      <w:bookmarkStart w:id="523" w:name="_Toc457839495"/>
      <w:r>
        <w:rPr>
          <w:rFonts w:hint="eastAsia" w:ascii="仿宋" w:hAnsi="仿宋" w:eastAsia="仿宋" w:cs="仿宋"/>
          <w:color w:val="auto"/>
          <w:highlight w:val="none"/>
        </w:rPr>
        <w:t>需要补充的其他内容</w:t>
      </w:r>
      <w:bookmarkEnd w:id="511"/>
      <w:bookmarkEnd w:id="512"/>
      <w:bookmarkEnd w:id="513"/>
      <w:bookmarkEnd w:id="514"/>
      <w:bookmarkEnd w:id="515"/>
      <w:bookmarkEnd w:id="516"/>
      <w:bookmarkEnd w:id="517"/>
      <w:bookmarkEnd w:id="518"/>
      <w:bookmarkEnd w:id="519"/>
      <w:bookmarkEnd w:id="520"/>
      <w:bookmarkEnd w:id="521"/>
      <w:bookmarkEnd w:id="522"/>
      <w:bookmarkEnd w:id="523"/>
    </w:p>
    <w:p w14:paraId="3CEF2FC9">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10.</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见投标人须知前附表。</w:t>
      </w:r>
    </w:p>
    <w:p w14:paraId="203F0693">
      <w:pPr>
        <w:snapToGrid w:val="0"/>
        <w:spacing w:line="360" w:lineRule="auto"/>
        <w:rPr>
          <w:rFonts w:hint="eastAsia" w:ascii="仿宋" w:hAnsi="仿宋" w:eastAsia="仿宋" w:cs="仿宋"/>
          <w:color w:val="auto"/>
          <w:sz w:val="28"/>
          <w:szCs w:val="2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：问题澄清通知</w:t>
      </w:r>
    </w:p>
    <w:p w14:paraId="4C59BA8B">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问题澄清通知</w:t>
      </w:r>
    </w:p>
    <w:p w14:paraId="6C6C8068">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编号：</w:t>
      </w:r>
    </w:p>
    <w:p w14:paraId="099ED2B6">
      <w:pPr>
        <w:spacing w:line="440" w:lineRule="exact"/>
        <w:rPr>
          <w:rFonts w:hint="eastAsia" w:ascii="仿宋" w:hAnsi="仿宋" w:eastAsia="仿宋" w:cs="仿宋"/>
          <w:color w:val="auto"/>
          <w:szCs w:val="21"/>
          <w:highlight w:val="none"/>
        </w:rPr>
      </w:pPr>
    </w:p>
    <w:p w14:paraId="03BE789F">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w:t>
      </w:r>
    </w:p>
    <w:p w14:paraId="2E7BF60A">
      <w:pPr>
        <w:spacing w:line="440" w:lineRule="exact"/>
        <w:rPr>
          <w:rFonts w:hint="eastAsia" w:ascii="仿宋" w:hAnsi="仿宋" w:eastAsia="仿宋" w:cs="仿宋"/>
          <w:color w:val="auto"/>
          <w:szCs w:val="21"/>
          <w:highlight w:val="none"/>
        </w:rPr>
      </w:pPr>
    </w:p>
    <w:p w14:paraId="0ECFFF33">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招标的评标委员会，对你方的投标文件进行了仔细的审查，现需你方对下列问题以书面形式予以澄清：</w:t>
      </w:r>
    </w:p>
    <w:p w14:paraId="7805A390">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14:paraId="7BA828F7">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w:t>
      </w:r>
    </w:p>
    <w:p w14:paraId="60C9A5D2">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w:t>
      </w:r>
    </w:p>
    <w:p w14:paraId="510F3891">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   </w:t>
      </w:r>
    </w:p>
    <w:p w14:paraId="1A2D779D">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14:paraId="38756BFF">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请将上述问题的澄清于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时前递交至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（详细地址）或传真至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（传真号码）。采用传真方式的，应在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时前将原件递交至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w:t>
      </w:r>
    </w:p>
    <w:p w14:paraId="24E7AD70">
      <w:pPr>
        <w:spacing w:line="440" w:lineRule="exact"/>
        <w:rPr>
          <w:rFonts w:hint="eastAsia" w:ascii="仿宋" w:hAnsi="仿宋" w:eastAsia="仿宋" w:cs="仿宋"/>
          <w:color w:val="auto"/>
          <w:szCs w:val="21"/>
          <w:highlight w:val="none"/>
        </w:rPr>
      </w:pPr>
    </w:p>
    <w:p w14:paraId="2AD47753">
      <w:pPr>
        <w:spacing w:line="440" w:lineRule="exact"/>
        <w:rPr>
          <w:rFonts w:hint="eastAsia" w:ascii="仿宋" w:hAnsi="仿宋" w:eastAsia="仿宋" w:cs="仿宋"/>
          <w:color w:val="auto"/>
          <w:szCs w:val="21"/>
          <w:highlight w:val="none"/>
        </w:rPr>
      </w:pPr>
    </w:p>
    <w:p w14:paraId="59708A3C">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经评标委员会授权的招标人或招标代理机构：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3E545A85">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24398A0">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845888C">
      <w:pPr>
        <w:pStyle w:val="24"/>
        <w:rPr>
          <w:rFonts w:hint="eastAsia" w:ascii="仿宋" w:hAnsi="仿宋" w:eastAsia="仿宋" w:cs="仿宋"/>
          <w:color w:val="auto"/>
          <w:highlight w:val="none"/>
        </w:rPr>
      </w:pPr>
    </w:p>
    <w:p w14:paraId="73EB155F">
      <w:pPr>
        <w:pStyle w:val="24"/>
        <w:rPr>
          <w:rFonts w:hint="eastAsia" w:ascii="仿宋" w:hAnsi="仿宋" w:eastAsia="仿宋" w:cs="仿宋"/>
          <w:b/>
          <w:bCs/>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rPr>
        <w:t>：问题的澄清</w:t>
      </w:r>
    </w:p>
    <w:p w14:paraId="31DC747C">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问题的澄清</w:t>
      </w:r>
    </w:p>
    <w:p w14:paraId="745A0C4C">
      <w:pPr>
        <w:pStyle w:val="24"/>
        <w:spacing w:line="360" w:lineRule="auto"/>
        <w:ind w:firstLine="3360" w:firstLineChars="1600"/>
        <w:jc w:val="both"/>
        <w:rPr>
          <w:rFonts w:hint="eastAsia" w:ascii="仿宋" w:hAnsi="仿宋" w:eastAsia="仿宋" w:cs="仿宋"/>
          <w:color w:val="auto"/>
          <w:sz w:val="21"/>
          <w:szCs w:val="21"/>
          <w:highlight w:val="none"/>
        </w:rPr>
      </w:pPr>
    </w:p>
    <w:p w14:paraId="3F71D156">
      <w:pPr>
        <w:pStyle w:val="24"/>
        <w:spacing w:line="360" w:lineRule="auto"/>
        <w:ind w:firstLine="3360" w:firstLineChars="16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1463DCF1">
      <w:pPr>
        <w:pStyle w:val="24"/>
        <w:spacing w:line="360" w:lineRule="auto"/>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spacing w:val="-13"/>
          <w:sz w:val="21"/>
          <w:szCs w:val="22"/>
          <w:highlight w:val="none"/>
        </w:rPr>
        <w:t>（项目名称）招标</w:t>
      </w:r>
      <w:r>
        <w:rPr>
          <w:rFonts w:hint="eastAsia" w:ascii="仿宋" w:hAnsi="仿宋" w:eastAsia="仿宋" w:cs="仿宋"/>
          <w:color w:val="auto"/>
          <w:sz w:val="21"/>
          <w:szCs w:val="21"/>
          <w:highlight w:val="none"/>
        </w:rPr>
        <w:t>评标委员会：</w:t>
      </w:r>
    </w:p>
    <w:p w14:paraId="327F038D">
      <w:pPr>
        <w:pStyle w:val="24"/>
        <w:spacing w:line="360" w:lineRule="auto"/>
        <w:rPr>
          <w:rFonts w:hint="eastAsia" w:ascii="仿宋" w:hAnsi="仿宋" w:eastAsia="仿宋" w:cs="仿宋"/>
          <w:color w:val="auto"/>
          <w:sz w:val="21"/>
          <w:szCs w:val="21"/>
          <w:highlight w:val="none"/>
        </w:rPr>
      </w:pPr>
    </w:p>
    <w:p w14:paraId="59AC13DD">
      <w:pPr>
        <w:pStyle w:val="24"/>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问题澄清通知（编号： ）已收悉，现澄清、说明或补正如下：</w:t>
      </w:r>
    </w:p>
    <w:p w14:paraId="06803A0F">
      <w:pPr>
        <w:pStyle w:val="24"/>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p w14:paraId="1713C3C0">
      <w:pPr>
        <w:pStyle w:val="24"/>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p w14:paraId="105E628D">
      <w:pPr>
        <w:pStyle w:val="24"/>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2BC79309">
      <w:pPr>
        <w:pStyle w:val="24"/>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上述问题澄清、说明或补正，不改变我方投标文件的实质性内容，构成我方投标文件的组</w:t>
      </w:r>
    </w:p>
    <w:p w14:paraId="1E011FA0">
      <w:pPr>
        <w:pStyle w:val="24"/>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成部分。</w:t>
      </w:r>
    </w:p>
    <w:p w14:paraId="25C83991">
      <w:pPr>
        <w:pStyle w:val="24"/>
        <w:spacing w:line="480" w:lineRule="auto"/>
        <w:jc w:val="right"/>
        <w:rPr>
          <w:rFonts w:hint="eastAsia" w:ascii="仿宋" w:hAnsi="仿宋" w:eastAsia="仿宋" w:cs="仿宋"/>
          <w:color w:val="auto"/>
          <w:sz w:val="21"/>
          <w:szCs w:val="21"/>
          <w:highlight w:val="none"/>
        </w:rPr>
      </w:pPr>
    </w:p>
    <w:p w14:paraId="382CA37B">
      <w:pPr>
        <w:pStyle w:val="24"/>
        <w:spacing w:line="480" w:lineRule="auto"/>
        <w:jc w:val="right"/>
        <w:rPr>
          <w:rFonts w:hint="eastAsia" w:ascii="仿宋" w:hAnsi="仿宋" w:eastAsia="仿宋" w:cs="仿宋"/>
          <w:color w:val="auto"/>
          <w:sz w:val="21"/>
          <w:szCs w:val="21"/>
          <w:highlight w:val="none"/>
        </w:rPr>
      </w:pPr>
    </w:p>
    <w:p w14:paraId="30E5E80F">
      <w:pPr>
        <w:pStyle w:val="24"/>
        <w:spacing w:line="48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4807D81F">
      <w:pPr>
        <w:pStyle w:val="24"/>
        <w:spacing w:line="48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70632E9A">
      <w:pPr>
        <w:pStyle w:val="24"/>
        <w:spacing w:line="48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0336545E">
      <w:pPr>
        <w:pStyle w:val="24"/>
        <w:rPr>
          <w:rFonts w:hint="eastAsia" w:ascii="仿宋" w:hAnsi="仿宋" w:eastAsia="仿宋" w:cs="仿宋"/>
          <w:color w:val="auto"/>
          <w:highlight w:val="none"/>
        </w:rPr>
      </w:pPr>
    </w:p>
    <w:p w14:paraId="446EA285">
      <w:pPr>
        <w:pStyle w:val="24"/>
        <w:rPr>
          <w:rFonts w:hint="eastAsia" w:ascii="仿宋" w:hAnsi="仿宋" w:eastAsia="仿宋" w:cs="仿宋"/>
          <w:color w:val="auto"/>
          <w:highlight w:val="none"/>
        </w:rPr>
      </w:pPr>
    </w:p>
    <w:p w14:paraId="4AD9D801">
      <w:pPr>
        <w:spacing w:line="440" w:lineRule="exact"/>
        <w:rPr>
          <w:rFonts w:hint="eastAsia" w:ascii="仿宋" w:hAnsi="仿宋" w:eastAsia="仿宋" w:cs="仿宋"/>
          <w:b/>
          <w:color w:val="auto"/>
          <w:sz w:val="24"/>
          <w:highlight w:val="none"/>
        </w:rPr>
      </w:pPr>
      <w:bookmarkStart w:id="524" w:name="_Toc152042361"/>
      <w:bookmarkStart w:id="525" w:name="_Toc246996227"/>
      <w:bookmarkStart w:id="526" w:name="_Toc247085742"/>
      <w:bookmarkStart w:id="527" w:name="_Toc152045584"/>
      <w:bookmarkStart w:id="528" w:name="_Toc179632602"/>
      <w:bookmarkStart w:id="529" w:name="_Toc246996970"/>
      <w:bookmarkStart w:id="530" w:name="_Toc144974551"/>
      <w:bookmarkStart w:id="531" w:name="_Toc179632603"/>
      <w:bookmarkStart w:id="532" w:name="_Toc152045585"/>
      <w:bookmarkStart w:id="533" w:name="_Toc144974552"/>
      <w:bookmarkStart w:id="534" w:name="_Toc247085743"/>
      <w:bookmarkStart w:id="535" w:name="_Toc246996228"/>
      <w:bookmarkStart w:id="536" w:name="_Toc246996971"/>
      <w:bookmarkStart w:id="537" w:name="_Toc152042362"/>
    </w:p>
    <w:p w14:paraId="2B73DDBA">
      <w:pPr>
        <w:spacing w:line="440" w:lineRule="exact"/>
        <w:rPr>
          <w:rFonts w:hint="eastAsia" w:ascii="仿宋" w:hAnsi="仿宋" w:eastAsia="仿宋" w:cs="仿宋"/>
          <w:b/>
          <w:color w:val="auto"/>
          <w:sz w:val="24"/>
          <w:highlight w:val="none"/>
        </w:rPr>
      </w:pPr>
    </w:p>
    <w:p w14:paraId="7D68F580">
      <w:pPr>
        <w:spacing w:line="440" w:lineRule="exact"/>
        <w:rPr>
          <w:rFonts w:hint="eastAsia" w:ascii="仿宋" w:hAnsi="仿宋" w:eastAsia="仿宋" w:cs="仿宋"/>
          <w:b/>
          <w:color w:val="auto"/>
          <w:sz w:val="24"/>
          <w:highlight w:val="none"/>
        </w:rPr>
      </w:pPr>
    </w:p>
    <w:p w14:paraId="504D6A46">
      <w:pPr>
        <w:spacing w:line="440" w:lineRule="exact"/>
        <w:rPr>
          <w:rFonts w:hint="eastAsia" w:ascii="仿宋" w:hAnsi="仿宋" w:eastAsia="仿宋" w:cs="仿宋"/>
          <w:b/>
          <w:color w:val="auto"/>
          <w:sz w:val="24"/>
          <w:highlight w:val="none"/>
        </w:rPr>
      </w:pPr>
    </w:p>
    <w:p w14:paraId="06F49AC3">
      <w:pPr>
        <w:spacing w:line="440" w:lineRule="exact"/>
        <w:rPr>
          <w:rFonts w:hint="eastAsia" w:ascii="仿宋" w:hAnsi="仿宋" w:eastAsia="仿宋" w:cs="仿宋"/>
          <w:b/>
          <w:color w:val="auto"/>
          <w:sz w:val="24"/>
          <w:highlight w:val="none"/>
        </w:rPr>
      </w:pPr>
    </w:p>
    <w:p w14:paraId="5184EEDA">
      <w:pPr>
        <w:spacing w:line="440" w:lineRule="exact"/>
        <w:rPr>
          <w:rFonts w:hint="eastAsia" w:ascii="仿宋" w:hAnsi="仿宋" w:eastAsia="仿宋" w:cs="仿宋"/>
          <w:b/>
          <w:color w:val="auto"/>
          <w:sz w:val="24"/>
          <w:highlight w:val="none"/>
        </w:rPr>
      </w:pPr>
    </w:p>
    <w:p w14:paraId="2D567446">
      <w:pPr>
        <w:spacing w:line="440" w:lineRule="exact"/>
        <w:rPr>
          <w:rFonts w:hint="eastAsia" w:ascii="仿宋" w:hAnsi="仿宋" w:eastAsia="仿宋" w:cs="仿宋"/>
          <w:b/>
          <w:color w:val="auto"/>
          <w:sz w:val="24"/>
          <w:highlight w:val="none"/>
        </w:rPr>
      </w:pPr>
    </w:p>
    <w:p w14:paraId="5C387033">
      <w:pPr>
        <w:spacing w:line="440" w:lineRule="exact"/>
        <w:rPr>
          <w:rFonts w:hint="eastAsia" w:ascii="仿宋" w:hAnsi="仿宋" w:eastAsia="仿宋" w:cs="仿宋"/>
          <w:b/>
          <w:color w:val="auto"/>
          <w:sz w:val="24"/>
          <w:highlight w:val="none"/>
        </w:rPr>
      </w:pPr>
    </w:p>
    <w:p w14:paraId="0029084A">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：中标通知书</w:t>
      </w:r>
      <w:bookmarkEnd w:id="524"/>
      <w:bookmarkEnd w:id="525"/>
      <w:bookmarkEnd w:id="526"/>
      <w:bookmarkEnd w:id="527"/>
      <w:bookmarkEnd w:id="528"/>
      <w:bookmarkEnd w:id="529"/>
      <w:bookmarkEnd w:id="530"/>
    </w:p>
    <w:p w14:paraId="5921F389">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中标通知书</w:t>
      </w:r>
    </w:p>
    <w:p w14:paraId="4FDAECAC">
      <w:pPr>
        <w:autoSpaceDE w:val="0"/>
        <w:autoSpaceDN w:val="0"/>
        <w:adjustRightIn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编号：</w:t>
      </w:r>
    </w:p>
    <w:tbl>
      <w:tblPr>
        <w:tblStyle w:val="18"/>
        <w:tblpPr w:leftFromText="180" w:rightFromText="180" w:vertAnchor="text" w:horzAnchor="margin"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224"/>
        <w:gridCol w:w="300"/>
        <w:gridCol w:w="966"/>
        <w:gridCol w:w="3524"/>
      </w:tblGrid>
      <w:tr w14:paraId="6DD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12837BBA">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采购项目编号</w:t>
            </w:r>
          </w:p>
        </w:tc>
        <w:tc>
          <w:tcPr>
            <w:tcW w:w="7014" w:type="dxa"/>
            <w:gridSpan w:val="4"/>
            <w:noWrap w:val="0"/>
            <w:vAlign w:val="center"/>
          </w:tcPr>
          <w:p w14:paraId="7F0C0200">
            <w:pPr>
              <w:jc w:val="center"/>
              <w:rPr>
                <w:rFonts w:hint="eastAsia" w:ascii="仿宋" w:hAnsi="仿宋" w:eastAsia="仿宋" w:cs="仿宋"/>
                <w:color w:val="auto"/>
                <w:szCs w:val="21"/>
                <w:highlight w:val="none"/>
              </w:rPr>
            </w:pPr>
          </w:p>
        </w:tc>
      </w:tr>
      <w:tr w14:paraId="117B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0DC92233">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中标单位名称</w:t>
            </w:r>
          </w:p>
        </w:tc>
        <w:tc>
          <w:tcPr>
            <w:tcW w:w="7014" w:type="dxa"/>
            <w:gridSpan w:val="4"/>
            <w:noWrap w:val="0"/>
            <w:vAlign w:val="center"/>
          </w:tcPr>
          <w:p w14:paraId="6077257C">
            <w:pPr>
              <w:jc w:val="center"/>
              <w:rPr>
                <w:rFonts w:hint="eastAsia" w:ascii="仿宋" w:hAnsi="仿宋" w:eastAsia="仿宋" w:cs="仿宋"/>
                <w:color w:val="auto"/>
                <w:szCs w:val="21"/>
                <w:highlight w:val="none"/>
              </w:rPr>
            </w:pPr>
          </w:p>
        </w:tc>
      </w:tr>
      <w:tr w14:paraId="51D7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07AAFAAD">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中标项目名称</w:t>
            </w:r>
          </w:p>
        </w:tc>
        <w:tc>
          <w:tcPr>
            <w:tcW w:w="7014" w:type="dxa"/>
            <w:gridSpan w:val="4"/>
            <w:noWrap w:val="0"/>
            <w:vAlign w:val="center"/>
          </w:tcPr>
          <w:p w14:paraId="03F4E553">
            <w:pPr>
              <w:jc w:val="center"/>
              <w:rPr>
                <w:rFonts w:hint="eastAsia" w:ascii="仿宋" w:hAnsi="仿宋" w:eastAsia="仿宋" w:cs="仿宋"/>
                <w:color w:val="auto"/>
                <w:szCs w:val="21"/>
                <w:highlight w:val="none"/>
              </w:rPr>
            </w:pPr>
          </w:p>
        </w:tc>
      </w:tr>
      <w:tr w14:paraId="3FAF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4BD023B7">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中标项目地点</w:t>
            </w:r>
          </w:p>
        </w:tc>
        <w:tc>
          <w:tcPr>
            <w:tcW w:w="2224" w:type="dxa"/>
            <w:noWrap w:val="0"/>
            <w:vAlign w:val="center"/>
          </w:tcPr>
          <w:p w14:paraId="5A607EFE">
            <w:pPr>
              <w:jc w:val="center"/>
              <w:rPr>
                <w:rFonts w:hint="eastAsia" w:ascii="仿宋" w:hAnsi="仿宋" w:eastAsia="仿宋" w:cs="仿宋"/>
                <w:color w:val="auto"/>
                <w:szCs w:val="21"/>
                <w:highlight w:val="none"/>
              </w:rPr>
            </w:pPr>
          </w:p>
        </w:tc>
        <w:tc>
          <w:tcPr>
            <w:tcW w:w="1266" w:type="dxa"/>
            <w:gridSpan w:val="2"/>
            <w:noWrap w:val="0"/>
            <w:vAlign w:val="center"/>
          </w:tcPr>
          <w:p w14:paraId="548E19A8">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3524" w:type="dxa"/>
            <w:noWrap w:val="0"/>
            <w:vAlign w:val="center"/>
          </w:tcPr>
          <w:p w14:paraId="7FD53B3F">
            <w:pPr>
              <w:jc w:val="center"/>
              <w:rPr>
                <w:rFonts w:hint="eastAsia" w:ascii="仿宋" w:hAnsi="仿宋" w:eastAsia="仿宋" w:cs="仿宋"/>
                <w:color w:val="auto"/>
                <w:szCs w:val="21"/>
                <w:highlight w:val="none"/>
              </w:rPr>
            </w:pPr>
          </w:p>
        </w:tc>
      </w:tr>
      <w:tr w14:paraId="1C29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2E085BA9">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 标 日 期</w:t>
            </w:r>
          </w:p>
        </w:tc>
        <w:tc>
          <w:tcPr>
            <w:tcW w:w="2224" w:type="dxa"/>
            <w:noWrap w:val="0"/>
            <w:vAlign w:val="center"/>
          </w:tcPr>
          <w:p w14:paraId="424FA363">
            <w:pPr>
              <w:jc w:val="center"/>
              <w:rPr>
                <w:rFonts w:hint="eastAsia" w:ascii="仿宋" w:hAnsi="仿宋" w:eastAsia="仿宋" w:cs="仿宋"/>
                <w:color w:val="auto"/>
                <w:szCs w:val="21"/>
                <w:highlight w:val="none"/>
              </w:rPr>
            </w:pPr>
          </w:p>
        </w:tc>
        <w:tc>
          <w:tcPr>
            <w:tcW w:w="1266" w:type="dxa"/>
            <w:gridSpan w:val="2"/>
            <w:noWrap w:val="0"/>
            <w:vAlign w:val="center"/>
          </w:tcPr>
          <w:p w14:paraId="05CC39CE">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w:t>
            </w:r>
          </w:p>
        </w:tc>
        <w:tc>
          <w:tcPr>
            <w:tcW w:w="3524" w:type="dxa"/>
            <w:noWrap w:val="0"/>
            <w:vAlign w:val="center"/>
          </w:tcPr>
          <w:p w14:paraId="0224A520">
            <w:pPr>
              <w:jc w:val="center"/>
              <w:rPr>
                <w:rFonts w:hint="eastAsia" w:ascii="仿宋" w:hAnsi="仿宋" w:eastAsia="仿宋" w:cs="仿宋"/>
                <w:color w:val="auto"/>
                <w:szCs w:val="21"/>
                <w:highlight w:val="none"/>
              </w:rPr>
            </w:pPr>
          </w:p>
        </w:tc>
      </w:tr>
      <w:tr w14:paraId="7C3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408DF2FD">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 标 价 格</w:t>
            </w:r>
          </w:p>
        </w:tc>
        <w:tc>
          <w:tcPr>
            <w:tcW w:w="7014" w:type="dxa"/>
            <w:gridSpan w:val="4"/>
            <w:noWrap w:val="0"/>
            <w:vAlign w:val="center"/>
          </w:tcPr>
          <w:p w14:paraId="7C9A38D4">
            <w:pPr>
              <w:rPr>
                <w:rFonts w:hint="eastAsia" w:ascii="仿宋" w:hAnsi="仿宋" w:eastAsia="仿宋" w:cs="仿宋"/>
                <w:color w:val="auto"/>
                <w:szCs w:val="21"/>
                <w:highlight w:val="none"/>
              </w:rPr>
            </w:pPr>
          </w:p>
        </w:tc>
      </w:tr>
      <w:tr w14:paraId="6591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4F1137BE">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合同履行期限</w:t>
            </w:r>
          </w:p>
        </w:tc>
        <w:tc>
          <w:tcPr>
            <w:tcW w:w="7014" w:type="dxa"/>
            <w:gridSpan w:val="4"/>
            <w:noWrap w:val="0"/>
            <w:vAlign w:val="center"/>
          </w:tcPr>
          <w:p w14:paraId="16DB2E99">
            <w:pPr>
              <w:rPr>
                <w:rFonts w:hint="eastAsia" w:ascii="仿宋" w:hAnsi="仿宋" w:eastAsia="仿宋" w:cs="仿宋"/>
                <w:color w:val="auto"/>
                <w:szCs w:val="21"/>
                <w:highlight w:val="none"/>
              </w:rPr>
            </w:pPr>
          </w:p>
        </w:tc>
      </w:tr>
      <w:tr w14:paraId="443C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65" w:type="dxa"/>
            <w:noWrap w:val="0"/>
            <w:vAlign w:val="center"/>
          </w:tcPr>
          <w:p w14:paraId="51170C9F">
            <w:pPr>
              <w:jc w:val="distribute"/>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tc>
        <w:tc>
          <w:tcPr>
            <w:tcW w:w="7014" w:type="dxa"/>
            <w:gridSpan w:val="4"/>
            <w:noWrap w:val="0"/>
            <w:vAlign w:val="center"/>
          </w:tcPr>
          <w:p w14:paraId="2ECCCB58">
            <w:pPr>
              <w:rPr>
                <w:rFonts w:hint="eastAsia" w:ascii="仿宋" w:hAnsi="仿宋" w:eastAsia="仿宋" w:cs="仿宋"/>
                <w:color w:val="auto"/>
                <w:szCs w:val="21"/>
                <w:highlight w:val="none"/>
              </w:rPr>
            </w:pPr>
          </w:p>
        </w:tc>
      </w:tr>
      <w:tr w14:paraId="0580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979" w:type="dxa"/>
            <w:gridSpan w:val="5"/>
            <w:noWrap w:val="0"/>
            <w:vAlign w:val="center"/>
          </w:tcPr>
          <w:p w14:paraId="0BC50483">
            <w:pPr>
              <w:ind w:firstLine="435"/>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请中标单位在投标有效期，自《中标通知书》发出之日起30日内，与采购人签订合同。</w:t>
            </w:r>
          </w:p>
        </w:tc>
      </w:tr>
      <w:tr w14:paraId="7B11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2" w:hRule="atLeast"/>
        </w:trPr>
        <w:tc>
          <w:tcPr>
            <w:tcW w:w="4489" w:type="dxa"/>
            <w:gridSpan w:val="3"/>
            <w:noWrap w:val="0"/>
            <w:vAlign w:val="center"/>
          </w:tcPr>
          <w:p w14:paraId="681DF27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采购人（公章）</w:t>
            </w:r>
          </w:p>
          <w:p w14:paraId="4FC480D8">
            <w:pPr>
              <w:rPr>
                <w:rFonts w:hint="eastAsia" w:ascii="仿宋" w:hAnsi="仿宋" w:eastAsia="仿宋" w:cs="仿宋"/>
                <w:color w:val="auto"/>
                <w:szCs w:val="21"/>
                <w:highlight w:val="none"/>
              </w:rPr>
            </w:pPr>
          </w:p>
          <w:p w14:paraId="02C7EAAA">
            <w:pPr>
              <w:rPr>
                <w:rFonts w:hint="eastAsia" w:ascii="仿宋" w:hAnsi="仿宋" w:eastAsia="仿宋" w:cs="仿宋"/>
                <w:color w:val="auto"/>
                <w:szCs w:val="21"/>
                <w:highlight w:val="none"/>
              </w:rPr>
            </w:pPr>
          </w:p>
          <w:p w14:paraId="0AA8A8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B99B7EE">
            <w:pPr>
              <w:rPr>
                <w:rFonts w:hint="eastAsia" w:ascii="仿宋" w:hAnsi="仿宋" w:eastAsia="仿宋" w:cs="仿宋"/>
                <w:color w:val="auto"/>
                <w:szCs w:val="21"/>
                <w:highlight w:val="none"/>
              </w:rPr>
            </w:pPr>
          </w:p>
          <w:p w14:paraId="41FEC39C">
            <w:pPr>
              <w:rPr>
                <w:rFonts w:hint="eastAsia" w:ascii="仿宋" w:hAnsi="仿宋" w:eastAsia="仿宋" w:cs="仿宋"/>
                <w:color w:val="auto"/>
                <w:szCs w:val="21"/>
                <w:highlight w:val="none"/>
              </w:rPr>
            </w:pPr>
          </w:p>
          <w:p w14:paraId="1ECFAB7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p w14:paraId="7B1164D1">
            <w:pPr>
              <w:rPr>
                <w:rFonts w:hint="eastAsia" w:ascii="仿宋" w:hAnsi="仿宋" w:eastAsia="仿宋" w:cs="仿宋"/>
                <w:color w:val="auto"/>
                <w:szCs w:val="21"/>
                <w:highlight w:val="none"/>
              </w:rPr>
            </w:pPr>
          </w:p>
          <w:p w14:paraId="0003CC66">
            <w:pPr>
              <w:rPr>
                <w:rFonts w:hint="eastAsia" w:ascii="仿宋" w:hAnsi="仿宋" w:eastAsia="仿宋" w:cs="仿宋"/>
                <w:color w:val="auto"/>
                <w:szCs w:val="21"/>
                <w:highlight w:val="none"/>
              </w:rPr>
            </w:pPr>
          </w:p>
          <w:p w14:paraId="4AD7E943">
            <w:pPr>
              <w:pStyle w:val="6"/>
              <w:ind w:left="1688"/>
              <w:rPr>
                <w:rFonts w:hint="eastAsia" w:ascii="仿宋" w:hAnsi="仿宋" w:eastAsia="仿宋" w:cs="仿宋"/>
                <w:color w:val="auto"/>
                <w:highlight w:val="none"/>
              </w:rPr>
            </w:pPr>
          </w:p>
          <w:p w14:paraId="0D9F0326">
            <w:pPr>
              <w:ind w:firstLine="840" w:firstLineChars="400"/>
              <w:rPr>
                <w:rFonts w:hint="eastAsia" w:ascii="仿宋" w:hAnsi="仿宋" w:eastAsia="仿宋" w:cs="仿宋"/>
                <w:color w:val="auto"/>
                <w:szCs w:val="21"/>
                <w:highlight w:val="none"/>
              </w:rPr>
            </w:pPr>
          </w:p>
          <w:p w14:paraId="5C31AA86">
            <w:pPr>
              <w:ind w:firstLine="1260" w:firstLineChars="6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c>
          <w:tcPr>
            <w:tcW w:w="4490" w:type="dxa"/>
            <w:gridSpan w:val="2"/>
            <w:noWrap w:val="0"/>
            <w:vAlign w:val="center"/>
          </w:tcPr>
          <w:p w14:paraId="2F1BB9B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采购代理机构（公章）</w:t>
            </w:r>
          </w:p>
          <w:p w14:paraId="695EF1C0">
            <w:pPr>
              <w:rPr>
                <w:rFonts w:hint="eastAsia" w:ascii="仿宋" w:hAnsi="仿宋" w:eastAsia="仿宋" w:cs="仿宋"/>
                <w:color w:val="auto"/>
                <w:szCs w:val="21"/>
                <w:highlight w:val="none"/>
              </w:rPr>
            </w:pPr>
          </w:p>
          <w:p w14:paraId="555F2661">
            <w:pPr>
              <w:rPr>
                <w:rFonts w:hint="eastAsia" w:ascii="仿宋" w:hAnsi="仿宋" w:eastAsia="仿宋" w:cs="仿宋"/>
                <w:color w:val="auto"/>
                <w:szCs w:val="21"/>
                <w:highlight w:val="none"/>
              </w:rPr>
            </w:pPr>
          </w:p>
          <w:p w14:paraId="7DE1D7FF">
            <w:pPr>
              <w:rPr>
                <w:rFonts w:hint="eastAsia" w:ascii="仿宋" w:hAnsi="仿宋" w:eastAsia="仿宋" w:cs="仿宋"/>
                <w:color w:val="auto"/>
                <w:szCs w:val="21"/>
                <w:highlight w:val="none"/>
              </w:rPr>
            </w:pPr>
          </w:p>
          <w:p w14:paraId="2BBEA196">
            <w:pPr>
              <w:rPr>
                <w:rFonts w:hint="eastAsia" w:ascii="仿宋" w:hAnsi="仿宋" w:eastAsia="仿宋" w:cs="仿宋"/>
                <w:color w:val="auto"/>
                <w:szCs w:val="21"/>
                <w:highlight w:val="none"/>
              </w:rPr>
            </w:pPr>
          </w:p>
          <w:p w14:paraId="757002FB">
            <w:pPr>
              <w:rPr>
                <w:rFonts w:hint="eastAsia" w:ascii="仿宋" w:hAnsi="仿宋" w:eastAsia="仿宋" w:cs="仿宋"/>
                <w:color w:val="auto"/>
                <w:szCs w:val="21"/>
                <w:highlight w:val="none"/>
              </w:rPr>
            </w:pPr>
          </w:p>
          <w:p w14:paraId="264F98A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p w14:paraId="6CB0EB09">
            <w:pPr>
              <w:rPr>
                <w:rFonts w:hint="eastAsia" w:ascii="仿宋" w:hAnsi="仿宋" w:eastAsia="仿宋" w:cs="仿宋"/>
                <w:color w:val="auto"/>
                <w:szCs w:val="21"/>
                <w:highlight w:val="none"/>
              </w:rPr>
            </w:pPr>
          </w:p>
          <w:p w14:paraId="50085975">
            <w:pPr>
              <w:pStyle w:val="6"/>
              <w:ind w:left="1688"/>
              <w:rPr>
                <w:rFonts w:hint="eastAsia" w:ascii="仿宋" w:hAnsi="仿宋" w:eastAsia="仿宋" w:cs="仿宋"/>
                <w:color w:val="auto"/>
                <w:highlight w:val="none"/>
              </w:rPr>
            </w:pPr>
          </w:p>
          <w:p w14:paraId="65D6F40D">
            <w:pPr>
              <w:ind w:firstLine="105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CEB0C2D">
            <w:pPr>
              <w:ind w:firstLine="1050" w:firstLineChars="500"/>
              <w:rPr>
                <w:rFonts w:hint="eastAsia" w:ascii="仿宋" w:hAnsi="仿宋" w:eastAsia="仿宋" w:cs="仿宋"/>
                <w:color w:val="auto"/>
                <w:szCs w:val="21"/>
                <w:highlight w:val="none"/>
              </w:rPr>
            </w:pPr>
          </w:p>
          <w:p w14:paraId="16A3BCF8">
            <w:pPr>
              <w:ind w:firstLine="1260" w:firstLineChars="6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14:paraId="47168462">
      <w:pPr>
        <w:rPr>
          <w:rFonts w:hint="eastAsia" w:ascii="仿宋" w:hAnsi="仿宋" w:eastAsia="仿宋" w:cs="仿宋"/>
          <w:color w:val="auto"/>
          <w:highlight w:val="none"/>
        </w:rPr>
      </w:pPr>
      <w:r>
        <w:rPr>
          <w:rFonts w:hint="eastAsia" w:ascii="仿宋" w:hAnsi="仿宋" w:eastAsia="仿宋" w:cs="仿宋"/>
          <w:color w:val="auto"/>
          <w:kern w:val="0"/>
          <w:szCs w:val="21"/>
          <w:highlight w:val="none"/>
        </w:rPr>
        <w:t>[注]此《中标通知书》一式五份，采购人二份，采购代理机构、监督人、中标单位各执一份备案。</w:t>
      </w:r>
      <w:bookmarkEnd w:id="531"/>
      <w:bookmarkEnd w:id="532"/>
      <w:bookmarkEnd w:id="533"/>
      <w:bookmarkEnd w:id="534"/>
      <w:bookmarkEnd w:id="535"/>
      <w:bookmarkEnd w:id="536"/>
      <w:bookmarkEnd w:id="537"/>
    </w:p>
    <w:p w14:paraId="7F9ECB6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：中标结果通知书</w:t>
      </w:r>
    </w:p>
    <w:p w14:paraId="311B0B25">
      <w:pPr>
        <w:spacing w:line="400" w:lineRule="exact"/>
        <w:rPr>
          <w:rFonts w:hint="eastAsia" w:ascii="仿宋" w:hAnsi="仿宋" w:eastAsia="仿宋" w:cs="仿宋"/>
          <w:color w:val="auto"/>
          <w:highlight w:val="none"/>
        </w:rPr>
      </w:pPr>
    </w:p>
    <w:p w14:paraId="7839F157">
      <w:pPr>
        <w:spacing w:before="312" w:beforeLines="100" w:after="312" w:afterLines="100"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中标结果通知书</w:t>
      </w:r>
    </w:p>
    <w:p w14:paraId="65AE6031">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（未中标人名称）：</w:t>
      </w:r>
    </w:p>
    <w:p w14:paraId="61A649D1">
      <w:pPr>
        <w:spacing w:line="480" w:lineRule="exact"/>
        <w:rPr>
          <w:rFonts w:hint="eastAsia" w:ascii="仿宋" w:hAnsi="仿宋" w:eastAsia="仿宋" w:cs="仿宋"/>
          <w:color w:val="auto"/>
          <w:highlight w:val="none"/>
        </w:rPr>
      </w:pPr>
    </w:p>
    <w:p w14:paraId="2BEE6214">
      <w:pPr>
        <w:spacing w:line="48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我方已接受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（中标人名称）于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（投标日期）所递交的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（项目名称）采购的投标文件，确定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（中标人名称）为中标人。</w:t>
      </w:r>
    </w:p>
    <w:p w14:paraId="7FF94D31">
      <w:pPr>
        <w:spacing w:line="480" w:lineRule="exact"/>
        <w:ind w:firstLine="420" w:firstLineChars="200"/>
        <w:rPr>
          <w:rFonts w:hint="eastAsia" w:ascii="仿宋" w:hAnsi="仿宋" w:eastAsia="仿宋" w:cs="仿宋"/>
          <w:color w:val="auto"/>
          <w:highlight w:val="none"/>
        </w:rPr>
      </w:pPr>
    </w:p>
    <w:p w14:paraId="66B958DA">
      <w:pPr>
        <w:spacing w:line="48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感谢你单位对我方工作的大力支持!</w:t>
      </w:r>
    </w:p>
    <w:p w14:paraId="17979CFD">
      <w:pPr>
        <w:spacing w:line="480" w:lineRule="exact"/>
        <w:ind w:firstLine="420" w:firstLineChars="200"/>
        <w:rPr>
          <w:rFonts w:hint="eastAsia" w:ascii="仿宋" w:hAnsi="仿宋" w:eastAsia="仿宋" w:cs="仿宋"/>
          <w:color w:val="auto"/>
          <w:highlight w:val="none"/>
        </w:rPr>
      </w:pPr>
    </w:p>
    <w:p w14:paraId="1473950A">
      <w:pPr>
        <w:spacing w:line="480" w:lineRule="exact"/>
        <w:ind w:firstLine="420" w:firstLineChars="200"/>
        <w:rPr>
          <w:rFonts w:hint="eastAsia" w:ascii="仿宋" w:hAnsi="仿宋" w:eastAsia="仿宋" w:cs="仿宋"/>
          <w:color w:val="auto"/>
          <w:highlight w:val="none"/>
        </w:rPr>
      </w:pPr>
    </w:p>
    <w:p w14:paraId="7212380E">
      <w:pPr>
        <w:spacing w:line="480" w:lineRule="exact"/>
        <w:ind w:firstLine="420" w:firstLineChars="200"/>
        <w:rPr>
          <w:rFonts w:hint="eastAsia" w:ascii="仿宋" w:hAnsi="仿宋" w:eastAsia="仿宋" w:cs="仿宋"/>
          <w:color w:val="auto"/>
          <w:highlight w:val="none"/>
        </w:rPr>
      </w:pPr>
    </w:p>
    <w:p w14:paraId="7CD36A91">
      <w:pPr>
        <w:spacing w:line="480" w:lineRule="exact"/>
        <w:ind w:firstLine="420" w:firstLineChars="200"/>
        <w:rPr>
          <w:rFonts w:hint="eastAsia" w:ascii="仿宋" w:hAnsi="仿宋" w:eastAsia="仿宋" w:cs="仿宋"/>
          <w:color w:val="auto"/>
          <w:highlight w:val="none"/>
        </w:rPr>
      </w:pPr>
    </w:p>
    <w:p w14:paraId="7BC74467">
      <w:pPr>
        <w:wordWrap w:val="0"/>
        <w:spacing w:line="480" w:lineRule="auto"/>
        <w:ind w:firstLine="420" w:firstLineChars="200"/>
        <w:jc w:val="right"/>
        <w:rPr>
          <w:rFonts w:hint="eastAsia" w:ascii="仿宋" w:hAnsi="仿宋" w:eastAsia="仿宋" w:cs="仿宋"/>
          <w:color w:val="auto"/>
          <w:highlight w:val="none"/>
        </w:rPr>
      </w:pPr>
      <w:r>
        <w:rPr>
          <w:rFonts w:hint="eastAsia" w:ascii="仿宋" w:hAnsi="仿宋" w:eastAsia="仿宋" w:cs="仿宋"/>
          <w:color w:val="auto"/>
          <w:highlight w:val="none"/>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（盖单位章）        </w:t>
      </w:r>
    </w:p>
    <w:p w14:paraId="40373B9C">
      <w:pPr>
        <w:wordWrap w:val="0"/>
        <w:spacing w:line="480" w:lineRule="auto"/>
        <w:ind w:firstLine="420" w:firstLineChars="20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085B636">
      <w:pPr>
        <w:spacing w:line="440" w:lineRule="exact"/>
        <w:ind w:firstLine="4620" w:firstLineChars="2200"/>
        <w:rPr>
          <w:rFonts w:hint="eastAsia" w:ascii="仿宋" w:hAnsi="仿宋" w:eastAsia="仿宋" w:cs="仿宋"/>
          <w:color w:val="auto"/>
          <w:szCs w:val="21"/>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6BB3A293">
      <w:pPr>
        <w:spacing w:line="400" w:lineRule="exact"/>
        <w:rPr>
          <w:rFonts w:hint="eastAsia" w:ascii="仿宋" w:hAnsi="仿宋" w:eastAsia="仿宋" w:cs="仿宋"/>
          <w:color w:val="auto"/>
          <w:highlight w:val="none"/>
        </w:rPr>
      </w:pPr>
    </w:p>
    <w:p w14:paraId="1B42AEDF">
      <w:pPr>
        <w:spacing w:line="400" w:lineRule="exact"/>
        <w:rPr>
          <w:rFonts w:hint="eastAsia" w:ascii="仿宋" w:hAnsi="仿宋" w:eastAsia="仿宋" w:cs="仿宋"/>
          <w:color w:val="auto"/>
          <w:highlight w:val="none"/>
        </w:rPr>
      </w:pPr>
    </w:p>
    <w:p w14:paraId="43F67E3A">
      <w:pPr>
        <w:spacing w:line="400" w:lineRule="exact"/>
        <w:rPr>
          <w:rFonts w:hint="eastAsia" w:ascii="仿宋" w:hAnsi="仿宋" w:eastAsia="仿宋" w:cs="仿宋"/>
          <w:color w:val="auto"/>
          <w:highlight w:val="none"/>
        </w:rPr>
      </w:pPr>
    </w:p>
    <w:p w14:paraId="3BCD6D9A">
      <w:pPr>
        <w:spacing w:line="400" w:lineRule="exact"/>
        <w:rPr>
          <w:rFonts w:hint="eastAsia" w:ascii="仿宋" w:hAnsi="仿宋" w:eastAsia="仿宋" w:cs="仿宋"/>
          <w:color w:val="auto"/>
          <w:highlight w:val="none"/>
        </w:rPr>
      </w:pPr>
    </w:p>
    <w:p w14:paraId="52BC14F7">
      <w:pPr>
        <w:spacing w:line="400" w:lineRule="exact"/>
        <w:rPr>
          <w:rFonts w:hint="eastAsia" w:ascii="仿宋" w:hAnsi="仿宋" w:eastAsia="仿宋" w:cs="仿宋"/>
          <w:color w:val="auto"/>
          <w:highlight w:val="none"/>
        </w:rPr>
      </w:pPr>
    </w:p>
    <w:p w14:paraId="7D3F3B97">
      <w:pPr>
        <w:spacing w:line="400" w:lineRule="exact"/>
        <w:rPr>
          <w:rFonts w:hint="eastAsia" w:ascii="仿宋" w:hAnsi="仿宋" w:eastAsia="仿宋" w:cs="仿宋"/>
          <w:color w:val="auto"/>
          <w:highlight w:val="none"/>
        </w:rPr>
      </w:pPr>
    </w:p>
    <w:p w14:paraId="44B735B7">
      <w:pPr>
        <w:spacing w:line="400" w:lineRule="exact"/>
        <w:rPr>
          <w:rFonts w:hint="eastAsia" w:ascii="仿宋" w:hAnsi="仿宋" w:eastAsia="仿宋" w:cs="仿宋"/>
          <w:color w:val="auto"/>
          <w:highlight w:val="none"/>
        </w:rPr>
      </w:pPr>
    </w:p>
    <w:p w14:paraId="3734B768">
      <w:pPr>
        <w:spacing w:line="400" w:lineRule="exact"/>
        <w:rPr>
          <w:rFonts w:hint="eastAsia" w:ascii="仿宋" w:hAnsi="仿宋" w:eastAsia="仿宋" w:cs="仿宋"/>
          <w:color w:val="auto"/>
          <w:highlight w:val="none"/>
        </w:rPr>
      </w:pPr>
    </w:p>
    <w:p w14:paraId="6C2633B8">
      <w:pPr>
        <w:spacing w:line="400" w:lineRule="exact"/>
        <w:rPr>
          <w:rFonts w:hint="eastAsia" w:ascii="仿宋" w:hAnsi="仿宋" w:eastAsia="仿宋" w:cs="仿宋"/>
          <w:color w:val="auto"/>
          <w:highlight w:val="none"/>
        </w:rPr>
      </w:pPr>
    </w:p>
    <w:p w14:paraId="7E153349">
      <w:pPr>
        <w:spacing w:line="400" w:lineRule="exact"/>
        <w:rPr>
          <w:rFonts w:hint="eastAsia" w:ascii="仿宋" w:hAnsi="仿宋" w:eastAsia="仿宋" w:cs="仿宋"/>
          <w:color w:val="auto"/>
          <w:highlight w:val="none"/>
        </w:rPr>
      </w:pPr>
    </w:p>
    <w:p w14:paraId="680EB225">
      <w:pPr>
        <w:pStyle w:val="6"/>
        <w:ind w:left="1688"/>
        <w:rPr>
          <w:rFonts w:hint="eastAsia" w:ascii="仿宋" w:hAnsi="仿宋" w:eastAsia="仿宋" w:cs="仿宋"/>
          <w:color w:val="auto"/>
          <w:highlight w:val="none"/>
        </w:rPr>
      </w:pPr>
    </w:p>
    <w:p w14:paraId="57E1E4E8">
      <w:pPr>
        <w:spacing w:line="400" w:lineRule="exact"/>
        <w:rPr>
          <w:rFonts w:hint="eastAsia" w:ascii="仿宋" w:hAnsi="仿宋" w:eastAsia="仿宋" w:cs="仿宋"/>
          <w:color w:val="auto"/>
          <w:highlight w:val="none"/>
        </w:rPr>
      </w:pPr>
    </w:p>
    <w:p w14:paraId="68294003">
      <w:pPr>
        <w:spacing w:line="400" w:lineRule="exact"/>
        <w:rPr>
          <w:rFonts w:hint="eastAsia" w:ascii="仿宋" w:hAnsi="仿宋" w:eastAsia="仿宋" w:cs="仿宋"/>
          <w:color w:val="auto"/>
          <w:highlight w:val="none"/>
        </w:rPr>
      </w:pPr>
    </w:p>
    <w:p w14:paraId="6394155B">
      <w:pPr>
        <w:rPr>
          <w:rFonts w:hint="eastAsia" w:ascii="仿宋" w:hAnsi="仿宋" w:eastAsia="仿宋" w:cs="仿宋"/>
          <w:b/>
          <w:color w:val="auto"/>
          <w:sz w:val="24"/>
          <w:highlight w:val="none"/>
        </w:rPr>
      </w:pPr>
      <w:bookmarkStart w:id="538" w:name="_Toc179632604"/>
      <w:bookmarkStart w:id="539" w:name="_Toc246996972"/>
      <w:bookmarkStart w:id="540" w:name="_Toc152042363"/>
      <w:bookmarkStart w:id="541" w:name="_Toc246996229"/>
      <w:bookmarkStart w:id="542" w:name="_Toc152045586"/>
      <w:bookmarkStart w:id="543" w:name="_Toc144974553"/>
      <w:bookmarkStart w:id="544" w:name="_Toc247085744"/>
    </w:p>
    <w:p w14:paraId="0B291721">
      <w:pPr>
        <w:rPr>
          <w:rFonts w:hint="eastAsia" w:ascii="仿宋" w:hAnsi="仿宋" w:eastAsia="仿宋" w:cs="仿宋"/>
          <w:b/>
          <w:color w:val="auto"/>
          <w:sz w:val="24"/>
          <w:highlight w:val="none"/>
        </w:rPr>
      </w:pPr>
    </w:p>
    <w:p w14:paraId="311A7C8C">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：确认通知</w:t>
      </w:r>
      <w:bookmarkEnd w:id="538"/>
      <w:bookmarkEnd w:id="539"/>
      <w:bookmarkEnd w:id="540"/>
      <w:bookmarkEnd w:id="541"/>
      <w:bookmarkEnd w:id="542"/>
      <w:bookmarkEnd w:id="543"/>
      <w:bookmarkEnd w:id="544"/>
    </w:p>
    <w:p w14:paraId="2215B1A2">
      <w:pPr>
        <w:spacing w:line="400" w:lineRule="exact"/>
        <w:rPr>
          <w:rFonts w:hint="eastAsia" w:ascii="仿宋" w:hAnsi="仿宋" w:eastAsia="仿宋" w:cs="仿宋"/>
          <w:color w:val="auto"/>
          <w:highlight w:val="none"/>
        </w:rPr>
      </w:pPr>
    </w:p>
    <w:p w14:paraId="57DC3F8D">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确认通知</w:t>
      </w:r>
    </w:p>
    <w:p w14:paraId="073BF64E">
      <w:pPr>
        <w:spacing w:line="400" w:lineRule="exact"/>
        <w:rPr>
          <w:rFonts w:hint="eastAsia" w:ascii="仿宋" w:hAnsi="仿宋" w:eastAsia="仿宋" w:cs="仿宋"/>
          <w:color w:val="auto"/>
          <w:highlight w:val="none"/>
        </w:rPr>
      </w:pPr>
    </w:p>
    <w:p w14:paraId="205E31D5">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（采购人名称）：</w:t>
      </w:r>
    </w:p>
    <w:p w14:paraId="536BC2A8">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14:paraId="25C35C8B">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你方于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日发出的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招标关于</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文件的澄清/修改</w:t>
      </w:r>
      <w:r>
        <w:rPr>
          <w:rFonts w:hint="eastAsia" w:ascii="仿宋" w:hAnsi="仿宋" w:eastAsia="仿宋" w:cs="仿宋"/>
          <w:color w:val="auto"/>
          <w:highlight w:val="none"/>
        </w:rPr>
        <w:t>的通知</w:t>
      </w:r>
      <w:r>
        <w:rPr>
          <w:rFonts w:hint="eastAsia" w:ascii="仿宋" w:hAnsi="仿宋" w:eastAsia="仿宋" w:cs="仿宋"/>
          <w:color w:val="auto"/>
          <w:szCs w:val="21"/>
          <w:highlight w:val="none"/>
        </w:rPr>
        <w:t>，我方已于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日收到。</w:t>
      </w:r>
    </w:p>
    <w:p w14:paraId="1B902D37">
      <w:pPr>
        <w:spacing w:line="440" w:lineRule="exact"/>
        <w:rPr>
          <w:rFonts w:hint="eastAsia" w:ascii="仿宋" w:hAnsi="仿宋" w:eastAsia="仿宋" w:cs="仿宋"/>
          <w:color w:val="auto"/>
          <w:szCs w:val="21"/>
          <w:highlight w:val="none"/>
        </w:rPr>
      </w:pPr>
    </w:p>
    <w:p w14:paraId="51054CBE">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特此确认。</w:t>
      </w:r>
    </w:p>
    <w:p w14:paraId="36CE08A9">
      <w:pPr>
        <w:spacing w:line="440" w:lineRule="exact"/>
        <w:rPr>
          <w:rFonts w:hint="eastAsia" w:ascii="仿宋" w:hAnsi="仿宋" w:eastAsia="仿宋" w:cs="仿宋"/>
          <w:color w:val="auto"/>
          <w:szCs w:val="21"/>
          <w:highlight w:val="none"/>
        </w:rPr>
      </w:pPr>
    </w:p>
    <w:p w14:paraId="7743EDFB">
      <w:pPr>
        <w:spacing w:line="440" w:lineRule="exact"/>
        <w:rPr>
          <w:rFonts w:hint="eastAsia" w:ascii="仿宋" w:hAnsi="仿宋" w:eastAsia="仿宋" w:cs="仿宋"/>
          <w:color w:val="auto"/>
          <w:szCs w:val="21"/>
          <w:highlight w:val="none"/>
        </w:rPr>
      </w:pPr>
    </w:p>
    <w:p w14:paraId="0B030AE5">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（盖单位章）</w:t>
      </w:r>
    </w:p>
    <w:p w14:paraId="7D93F936">
      <w:pPr>
        <w:spacing w:line="440" w:lineRule="exact"/>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p>
    <w:p w14:paraId="20C43643">
      <w:pPr>
        <w:spacing w:line="440" w:lineRule="exact"/>
        <w:ind w:firstLine="210" w:firstLineChars="100"/>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1B15D12">
      <w:pPr>
        <w:rPr>
          <w:rFonts w:hint="eastAsia" w:ascii="仿宋" w:hAnsi="仿宋" w:eastAsia="仿宋" w:cs="仿宋"/>
          <w:color w:val="auto"/>
          <w:highlight w:val="none"/>
        </w:rPr>
      </w:pPr>
    </w:p>
    <w:p w14:paraId="3C8B613E">
      <w:pPr>
        <w:rPr>
          <w:rFonts w:hint="eastAsia" w:ascii="仿宋" w:hAnsi="仿宋" w:eastAsia="仿宋" w:cs="仿宋"/>
          <w:color w:val="auto"/>
          <w:highlight w:val="none"/>
        </w:rPr>
      </w:pPr>
    </w:p>
    <w:p w14:paraId="238E8546">
      <w:pPr>
        <w:rPr>
          <w:rFonts w:hint="eastAsia" w:ascii="仿宋" w:hAnsi="仿宋" w:eastAsia="仿宋" w:cs="仿宋"/>
          <w:color w:val="auto"/>
          <w:highlight w:val="none"/>
        </w:rPr>
      </w:pPr>
    </w:p>
    <w:p w14:paraId="4A6A2427">
      <w:pPr>
        <w:rPr>
          <w:rFonts w:hint="eastAsia" w:ascii="仿宋" w:hAnsi="仿宋" w:eastAsia="仿宋" w:cs="仿宋"/>
          <w:color w:val="auto"/>
          <w:highlight w:val="none"/>
        </w:rPr>
      </w:pPr>
    </w:p>
    <w:p w14:paraId="628F15B3">
      <w:pPr>
        <w:rPr>
          <w:rFonts w:hint="eastAsia" w:ascii="仿宋" w:hAnsi="仿宋" w:eastAsia="仿宋" w:cs="仿宋"/>
          <w:color w:val="auto"/>
          <w:highlight w:val="none"/>
        </w:rPr>
      </w:pPr>
    </w:p>
    <w:p w14:paraId="7F73F48A">
      <w:pPr>
        <w:rPr>
          <w:rFonts w:hint="eastAsia" w:ascii="仿宋" w:hAnsi="仿宋" w:eastAsia="仿宋" w:cs="仿宋"/>
          <w:color w:val="auto"/>
          <w:highlight w:val="none"/>
        </w:rPr>
      </w:pPr>
    </w:p>
    <w:p w14:paraId="75740F2A">
      <w:pPr>
        <w:rPr>
          <w:rFonts w:hint="eastAsia" w:ascii="仿宋" w:hAnsi="仿宋" w:eastAsia="仿宋" w:cs="仿宋"/>
          <w:color w:val="auto"/>
          <w:highlight w:val="none"/>
        </w:rPr>
      </w:pPr>
    </w:p>
    <w:p w14:paraId="5B608E0F">
      <w:pPr>
        <w:pStyle w:val="2"/>
        <w:adjustRightInd w:val="0"/>
        <w:snapToGrid w:val="0"/>
        <w:spacing w:before="156" w:beforeLines="50" w:after="156" w:afterLines="50" w:line="240" w:lineRule="auto"/>
        <w:jc w:val="center"/>
        <w:rPr>
          <w:rFonts w:hint="eastAsia" w:ascii="仿宋" w:hAnsi="仿宋" w:eastAsia="仿宋" w:cs="仿宋"/>
          <w:color w:val="auto"/>
          <w:sz w:val="21"/>
          <w:szCs w:val="20"/>
          <w:highlight w:val="none"/>
        </w:rPr>
      </w:pPr>
      <w:r>
        <w:rPr>
          <w:rFonts w:hint="eastAsia" w:ascii="仿宋" w:hAnsi="仿宋" w:eastAsia="仿宋" w:cs="仿宋"/>
          <w:color w:val="auto"/>
          <w:highlight w:val="none"/>
        </w:rPr>
        <w:br w:type="page"/>
      </w:r>
      <w:bookmarkStart w:id="545" w:name="_Toc13074"/>
      <w:r>
        <w:rPr>
          <w:rFonts w:hint="eastAsia" w:ascii="仿宋" w:hAnsi="仿宋" w:eastAsia="仿宋" w:cs="仿宋"/>
          <w:color w:val="auto"/>
          <w:sz w:val="30"/>
          <w:szCs w:val="30"/>
          <w:highlight w:val="none"/>
        </w:rPr>
        <w:t>第三章 评标办法（综合评分法）</w:t>
      </w:r>
      <w:bookmarkEnd w:id="545"/>
    </w:p>
    <w:p w14:paraId="7EC3E9E9">
      <w:pPr>
        <w:spacing w:line="240" w:lineRule="auto"/>
        <w:jc w:val="center"/>
        <w:rPr>
          <w:rFonts w:hint="eastAsia" w:ascii="仿宋" w:hAnsi="仿宋" w:eastAsia="仿宋" w:cs="仿宋"/>
          <w:b/>
          <w:color w:val="auto"/>
          <w:sz w:val="28"/>
          <w:szCs w:val="21"/>
          <w:highlight w:val="none"/>
          <w:lang w:eastAsia="zh-CN"/>
        </w:rPr>
      </w:pPr>
      <w:bookmarkStart w:id="546" w:name="_Toc6213"/>
      <w:bookmarkStart w:id="547" w:name="_Toc13744"/>
      <w:r>
        <w:rPr>
          <w:rFonts w:hint="eastAsia" w:ascii="仿宋" w:hAnsi="仿宋" w:eastAsia="仿宋" w:cs="仿宋"/>
          <w:b/>
          <w:color w:val="auto"/>
          <w:sz w:val="28"/>
          <w:highlight w:val="none"/>
        </w:rPr>
        <w:t>初步评审记录表</w:t>
      </w:r>
      <w:bookmarkEnd w:id="546"/>
      <w:bookmarkEnd w:id="547"/>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lang w:val="en-US" w:eastAsia="zh-CN"/>
        </w:rPr>
        <w:t>一</w:t>
      </w:r>
      <w:r>
        <w:rPr>
          <w:rFonts w:hint="eastAsia" w:ascii="仿宋" w:hAnsi="仿宋" w:eastAsia="仿宋" w:cs="仿宋"/>
          <w:b/>
          <w:color w:val="auto"/>
          <w:sz w:val="28"/>
          <w:highlight w:val="none"/>
          <w:lang w:eastAsia="zh-CN"/>
        </w:rPr>
        <w:t>）</w:t>
      </w:r>
    </w:p>
    <w:tbl>
      <w:tblPr>
        <w:tblStyle w:val="18"/>
        <w:tblW w:w="95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902"/>
        <w:gridCol w:w="1708"/>
        <w:gridCol w:w="6269"/>
      </w:tblGrid>
      <w:tr w14:paraId="1F496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22" w:type="dxa"/>
            <w:gridSpan w:val="2"/>
            <w:tcBorders>
              <w:top w:val="single" w:color="auto" w:sz="4" w:space="0"/>
              <w:bottom w:val="single" w:color="auto" w:sz="4" w:space="0"/>
              <w:right w:val="single" w:color="auto" w:sz="4" w:space="0"/>
            </w:tcBorders>
            <w:noWrap w:val="0"/>
            <w:vAlign w:val="center"/>
          </w:tcPr>
          <w:p w14:paraId="4025C63D">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F5E4E1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2769C19B">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评审标准</w:t>
            </w:r>
          </w:p>
        </w:tc>
      </w:tr>
      <w:tr w14:paraId="0772B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trPr>
        <w:tc>
          <w:tcPr>
            <w:tcW w:w="720" w:type="dxa"/>
            <w:vMerge w:val="restart"/>
            <w:tcBorders>
              <w:top w:val="single" w:color="auto" w:sz="4" w:space="0"/>
              <w:right w:val="single" w:color="auto" w:sz="4" w:space="0"/>
            </w:tcBorders>
            <w:noWrap w:val="0"/>
            <w:vAlign w:val="center"/>
          </w:tcPr>
          <w:p w14:paraId="4573E269">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p>
        </w:tc>
        <w:tc>
          <w:tcPr>
            <w:tcW w:w="902" w:type="dxa"/>
            <w:vMerge w:val="restart"/>
            <w:tcBorders>
              <w:top w:val="single" w:color="auto" w:sz="4" w:space="0"/>
              <w:left w:val="single" w:color="auto" w:sz="4" w:space="0"/>
              <w:right w:val="single" w:color="auto" w:sz="4" w:space="0"/>
            </w:tcBorders>
            <w:noWrap w:val="0"/>
            <w:vAlign w:val="center"/>
          </w:tcPr>
          <w:p w14:paraId="2869252D">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BEB00A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75DC0923">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与营业执照、资质证书一致。</w:t>
            </w:r>
          </w:p>
        </w:tc>
      </w:tr>
      <w:tr w14:paraId="5ECA5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 w:hRule="atLeast"/>
        </w:trPr>
        <w:tc>
          <w:tcPr>
            <w:tcW w:w="720" w:type="dxa"/>
            <w:vMerge w:val="continue"/>
            <w:tcBorders>
              <w:right w:val="single" w:color="auto" w:sz="4" w:space="0"/>
            </w:tcBorders>
            <w:noWrap w:val="0"/>
            <w:vAlign w:val="center"/>
          </w:tcPr>
          <w:p w14:paraId="048DD803">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68A93054">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5CA295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E8D9804">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有法定代表人或其委托代理人签字并加盖单位</w:t>
            </w:r>
            <w:r>
              <w:rPr>
                <w:rFonts w:hint="eastAsia" w:ascii="仿宋" w:hAnsi="仿宋" w:eastAsia="仿宋" w:cs="仿宋"/>
                <w:color w:val="auto"/>
                <w:sz w:val="21"/>
                <w:szCs w:val="21"/>
                <w:highlight w:val="none"/>
              </w:rPr>
              <w:t>公</w:t>
            </w:r>
            <w:r>
              <w:rPr>
                <w:rFonts w:hint="eastAsia" w:ascii="仿宋" w:hAnsi="仿宋" w:eastAsia="仿宋" w:cs="仿宋"/>
                <w:bCs/>
                <w:color w:val="auto"/>
                <w:sz w:val="21"/>
                <w:szCs w:val="21"/>
                <w:highlight w:val="none"/>
                <w:lang w:val="zh-CN"/>
              </w:rPr>
              <w:t>章。</w:t>
            </w:r>
          </w:p>
        </w:tc>
      </w:tr>
      <w:tr w14:paraId="01A8B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atLeast"/>
        </w:trPr>
        <w:tc>
          <w:tcPr>
            <w:tcW w:w="720" w:type="dxa"/>
            <w:vMerge w:val="continue"/>
            <w:tcBorders>
              <w:right w:val="single" w:color="auto" w:sz="4" w:space="0"/>
            </w:tcBorders>
            <w:noWrap w:val="0"/>
            <w:vAlign w:val="center"/>
          </w:tcPr>
          <w:p w14:paraId="5F258CAE">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55A2682E">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653BF6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D593033">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符合第六章“投标文件格式”的要求。</w:t>
            </w:r>
          </w:p>
        </w:tc>
      </w:tr>
      <w:tr w14:paraId="666CB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720" w:type="dxa"/>
            <w:vMerge w:val="continue"/>
            <w:tcBorders>
              <w:right w:val="single" w:color="auto" w:sz="4" w:space="0"/>
            </w:tcBorders>
            <w:noWrap w:val="0"/>
            <w:vAlign w:val="center"/>
          </w:tcPr>
          <w:p w14:paraId="2F16B8F9">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01874921">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right w:val="single" w:color="auto" w:sz="4" w:space="0"/>
            </w:tcBorders>
            <w:noWrap w:val="0"/>
            <w:vAlign w:val="center"/>
          </w:tcPr>
          <w:p w14:paraId="3191A9D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报价唯一</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661EB97D">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w:t>
            </w:r>
          </w:p>
        </w:tc>
      </w:tr>
      <w:tr w14:paraId="66244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720" w:type="dxa"/>
            <w:vMerge w:val="restart"/>
            <w:tcBorders>
              <w:top w:val="single" w:color="auto" w:sz="4" w:space="0"/>
              <w:right w:val="single" w:color="auto" w:sz="4" w:space="0"/>
            </w:tcBorders>
            <w:noWrap w:val="0"/>
            <w:vAlign w:val="center"/>
          </w:tcPr>
          <w:p w14:paraId="5010EED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p>
        </w:tc>
        <w:tc>
          <w:tcPr>
            <w:tcW w:w="902" w:type="dxa"/>
            <w:vMerge w:val="restart"/>
            <w:tcBorders>
              <w:top w:val="single" w:color="auto" w:sz="4" w:space="0"/>
              <w:left w:val="single" w:color="auto" w:sz="4" w:space="0"/>
              <w:right w:val="single" w:color="auto" w:sz="4" w:space="0"/>
            </w:tcBorders>
            <w:noWrap w:val="0"/>
            <w:vAlign w:val="center"/>
          </w:tcPr>
          <w:p w14:paraId="335607FD">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w:t>
            </w:r>
          </w:p>
          <w:p w14:paraId="62CD72C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w:t>
            </w:r>
          </w:p>
          <w:p w14:paraId="34A7D931">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751DB98">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65F53476">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具备有效的营业执照</w:t>
            </w:r>
            <w:r>
              <w:rPr>
                <w:rFonts w:hint="eastAsia" w:ascii="仿宋" w:hAnsi="仿宋" w:eastAsia="仿宋" w:cs="仿宋"/>
                <w:color w:val="auto"/>
                <w:sz w:val="21"/>
                <w:szCs w:val="21"/>
                <w:highlight w:val="none"/>
                <w:lang w:eastAsia="zh-CN"/>
              </w:rPr>
              <w:t>。</w:t>
            </w:r>
          </w:p>
          <w:p w14:paraId="733D54EE">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val="0"/>
                <w:color w:val="auto"/>
                <w:sz w:val="21"/>
                <w:szCs w:val="21"/>
                <w:highlight w:val="none"/>
                <w:lang w:val="en-US" w:eastAsia="zh-CN"/>
              </w:rPr>
              <w:t>投标</w:t>
            </w:r>
            <w:r>
              <w:rPr>
                <w:rFonts w:hint="eastAsia" w:ascii="仿宋" w:hAnsi="仿宋" w:eastAsia="仿宋" w:cs="仿宋"/>
                <w:b/>
                <w:bCs w:val="0"/>
                <w:color w:val="auto"/>
                <w:sz w:val="21"/>
                <w:szCs w:val="21"/>
                <w:highlight w:val="none"/>
                <w:lang w:eastAsia="zh-CN"/>
              </w:rPr>
              <w:t>文件</w:t>
            </w:r>
            <w:r>
              <w:rPr>
                <w:rFonts w:hint="eastAsia" w:ascii="仿宋" w:hAnsi="仿宋" w:eastAsia="仿宋" w:cs="仿宋"/>
                <w:b/>
                <w:bCs w:val="0"/>
                <w:color w:val="auto"/>
                <w:sz w:val="21"/>
                <w:szCs w:val="21"/>
                <w:highlight w:val="none"/>
              </w:rPr>
              <w:t>内附</w:t>
            </w:r>
            <w:r>
              <w:rPr>
                <w:rFonts w:hint="eastAsia" w:ascii="仿宋" w:hAnsi="仿宋" w:eastAsia="仿宋" w:cs="仿宋"/>
                <w:b/>
                <w:bCs w:val="0"/>
                <w:color w:val="auto"/>
                <w:sz w:val="21"/>
                <w:szCs w:val="21"/>
                <w:highlight w:val="none"/>
                <w:lang w:val="zh-CN"/>
              </w:rPr>
              <w:t>营业执照（副本）</w:t>
            </w:r>
            <w:r>
              <w:rPr>
                <w:rFonts w:hint="eastAsia" w:ascii="仿宋" w:hAnsi="仿宋" w:eastAsia="仿宋" w:cs="仿宋"/>
                <w:b/>
                <w:bCs w:val="0"/>
                <w:color w:val="auto"/>
                <w:sz w:val="21"/>
                <w:szCs w:val="21"/>
                <w:highlight w:val="none"/>
              </w:rPr>
              <w:t>复印件加盖公章。</w:t>
            </w:r>
          </w:p>
        </w:tc>
      </w:tr>
      <w:tr w14:paraId="2553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720" w:type="dxa"/>
            <w:vMerge w:val="continue"/>
            <w:tcBorders>
              <w:right w:val="single" w:color="auto" w:sz="4" w:space="0"/>
            </w:tcBorders>
            <w:noWrap w:val="0"/>
            <w:vAlign w:val="center"/>
          </w:tcPr>
          <w:p w14:paraId="63AFF47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282CD08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8278035">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资质要求</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46667AA8">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具有行政主管部门颁发的工程测量、界线与不动产测绘乙级及以上资质。</w:t>
            </w:r>
          </w:p>
          <w:p w14:paraId="00EB662D">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b/>
                <w:bCs w:val="0"/>
                <w:color w:val="auto"/>
                <w:sz w:val="21"/>
                <w:szCs w:val="21"/>
                <w:highlight w:val="none"/>
                <w:lang w:val="en-US" w:eastAsia="zh-CN"/>
              </w:rPr>
              <w:t>投标</w:t>
            </w:r>
            <w:r>
              <w:rPr>
                <w:rFonts w:hint="eastAsia" w:ascii="仿宋" w:hAnsi="仿宋" w:eastAsia="仿宋" w:cs="仿宋"/>
                <w:b/>
                <w:bCs w:val="0"/>
                <w:color w:val="auto"/>
                <w:sz w:val="21"/>
                <w:szCs w:val="21"/>
                <w:highlight w:val="none"/>
                <w:lang w:eastAsia="zh-CN"/>
              </w:rPr>
              <w:t>文件</w:t>
            </w:r>
            <w:r>
              <w:rPr>
                <w:rFonts w:hint="eastAsia" w:ascii="仿宋" w:hAnsi="仿宋" w:eastAsia="仿宋" w:cs="仿宋"/>
                <w:b/>
                <w:bCs w:val="0"/>
                <w:color w:val="auto"/>
                <w:sz w:val="21"/>
                <w:szCs w:val="21"/>
                <w:highlight w:val="none"/>
              </w:rPr>
              <w:t>内附</w:t>
            </w:r>
            <w:r>
              <w:rPr>
                <w:rFonts w:hint="eastAsia" w:ascii="仿宋" w:hAnsi="仿宋" w:eastAsia="仿宋" w:cs="仿宋"/>
                <w:b/>
                <w:bCs w:val="0"/>
                <w:color w:val="auto"/>
                <w:sz w:val="21"/>
                <w:szCs w:val="21"/>
                <w:highlight w:val="none"/>
                <w:lang w:val="zh-CN"/>
              </w:rPr>
              <w:t>证书</w:t>
            </w:r>
            <w:r>
              <w:rPr>
                <w:rFonts w:hint="eastAsia" w:ascii="仿宋" w:hAnsi="仿宋" w:eastAsia="仿宋" w:cs="仿宋"/>
                <w:b/>
                <w:bCs w:val="0"/>
                <w:color w:val="auto"/>
                <w:sz w:val="21"/>
                <w:szCs w:val="21"/>
                <w:highlight w:val="none"/>
              </w:rPr>
              <w:t>复印件加盖公章。</w:t>
            </w:r>
          </w:p>
        </w:tc>
      </w:tr>
      <w:tr w14:paraId="3C7FB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9" w:hRule="atLeast"/>
        </w:trPr>
        <w:tc>
          <w:tcPr>
            <w:tcW w:w="720" w:type="dxa"/>
            <w:vMerge w:val="continue"/>
            <w:tcBorders>
              <w:right w:val="single" w:color="auto" w:sz="4" w:space="0"/>
            </w:tcBorders>
            <w:noWrap w:val="0"/>
            <w:vAlign w:val="center"/>
          </w:tcPr>
          <w:p w14:paraId="35F9837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483FFF94">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BC363F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财务要求</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001E4808">
            <w:pPr>
              <w:pStyle w:val="24"/>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具有良好的商业信誉和健全的财务会计制度，</w:t>
            </w:r>
            <w:r>
              <w:rPr>
                <w:rFonts w:hint="eastAsia" w:ascii="仿宋" w:hAnsi="仿宋" w:eastAsia="仿宋" w:cs="仿宋"/>
                <w:color w:val="auto"/>
                <w:sz w:val="21"/>
                <w:szCs w:val="21"/>
                <w:highlight w:val="none"/>
                <w:lang w:val="en-US" w:eastAsia="zh-CN"/>
              </w:rPr>
              <w:t>并具有</w:t>
            </w:r>
            <w:r>
              <w:rPr>
                <w:rFonts w:hint="eastAsia" w:ascii="仿宋" w:hAnsi="仿宋" w:eastAsia="仿宋" w:cs="仿宋"/>
                <w:color w:val="auto"/>
                <w:sz w:val="21"/>
                <w:szCs w:val="21"/>
                <w:highlight w:val="none"/>
              </w:rPr>
              <w:t>依法缴纳税收和社会保障资金的良好记录，</w:t>
            </w:r>
            <w:r>
              <w:rPr>
                <w:rFonts w:hint="eastAsia" w:ascii="仿宋" w:hAnsi="仿宋" w:eastAsia="仿宋" w:cs="仿宋"/>
                <w:color w:val="auto"/>
                <w:sz w:val="21"/>
                <w:szCs w:val="21"/>
                <w:highlight w:val="none"/>
                <w:lang w:val="en-US" w:eastAsia="zh-CN"/>
              </w:rPr>
              <w:t>参照</w:t>
            </w:r>
            <w:r>
              <w:rPr>
                <w:rFonts w:hint="eastAsia" w:ascii="仿宋" w:hAnsi="仿宋" w:eastAsia="仿宋" w:cs="仿宋"/>
                <w:color w:val="auto"/>
                <w:sz w:val="21"/>
                <w:szCs w:val="21"/>
                <w:highlight w:val="none"/>
              </w:rPr>
              <w:t>《关于加强政府采购信用体系建设简化供应商资格条件有关事项的通知》（长财采购[2022]2066号）</w:t>
            </w:r>
            <w:r>
              <w:rPr>
                <w:rFonts w:hint="eastAsia" w:ascii="仿宋" w:hAnsi="仿宋" w:eastAsia="仿宋" w:cs="仿宋"/>
                <w:color w:val="auto"/>
                <w:sz w:val="21"/>
                <w:szCs w:val="21"/>
                <w:highlight w:val="none"/>
                <w:lang w:val="en-US" w:eastAsia="zh-CN"/>
              </w:rPr>
              <w:t>文件要求，</w:t>
            </w:r>
            <w:r>
              <w:rPr>
                <w:rFonts w:hint="eastAsia" w:ascii="仿宋" w:hAnsi="仿宋" w:eastAsia="仿宋" w:cs="仿宋"/>
                <w:color w:val="auto"/>
                <w:sz w:val="21"/>
                <w:szCs w:val="21"/>
                <w:highlight w:val="none"/>
              </w:rPr>
              <w:t>提供资格条件承诺函</w:t>
            </w:r>
            <w:r>
              <w:rPr>
                <w:rFonts w:hint="eastAsia" w:ascii="仿宋" w:hAnsi="仿宋" w:eastAsia="仿宋" w:cs="仿宋"/>
                <w:bCs/>
                <w:color w:val="auto"/>
                <w:szCs w:val="21"/>
                <w:highlight w:val="none"/>
              </w:rPr>
              <w:t>。</w:t>
            </w:r>
          </w:p>
          <w:p w14:paraId="12AF9F94">
            <w:pPr>
              <w:pStyle w:val="9"/>
              <w:keepNext w:val="0"/>
              <w:keepLines w:val="0"/>
              <w:pageBreakBefore w:val="0"/>
              <w:widowControl w:val="0"/>
              <w:kinsoku/>
              <w:wordWrap/>
              <w:overflowPunct/>
              <w:topLinePunct w:val="0"/>
              <w:bidi w:val="0"/>
              <w:spacing w:line="280" w:lineRule="exact"/>
              <w:ind w:left="0" w:leftChars="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投标文件</w:t>
            </w:r>
            <w:r>
              <w:rPr>
                <w:rFonts w:hint="eastAsia" w:ascii="仿宋" w:hAnsi="仿宋" w:eastAsia="仿宋" w:cs="仿宋"/>
                <w:b/>
                <w:bCs/>
                <w:color w:val="auto"/>
                <w:sz w:val="21"/>
                <w:szCs w:val="21"/>
                <w:highlight w:val="none"/>
                <w:lang w:eastAsia="zh-CN"/>
              </w:rPr>
              <w:t>内附由法定代表人签字并加盖公章的资格条件承诺函。</w:t>
            </w:r>
          </w:p>
        </w:tc>
      </w:tr>
      <w:tr w14:paraId="21E0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atLeast"/>
        </w:trPr>
        <w:tc>
          <w:tcPr>
            <w:tcW w:w="720" w:type="dxa"/>
            <w:vMerge w:val="continue"/>
            <w:tcBorders>
              <w:right w:val="single" w:color="auto" w:sz="4" w:space="0"/>
            </w:tcBorders>
            <w:noWrap w:val="0"/>
            <w:vAlign w:val="center"/>
          </w:tcPr>
          <w:p w14:paraId="31B4D9C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445ED6C6">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2591D67">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bCs/>
                <w:color w:val="auto"/>
                <w:sz w:val="21"/>
                <w:szCs w:val="21"/>
                <w:highlight w:val="none"/>
                <w:lang w:val="zh-CN"/>
              </w:rPr>
              <w:t>法人授权委托书（如有）</w:t>
            </w:r>
          </w:p>
        </w:tc>
        <w:tc>
          <w:tcPr>
            <w:tcW w:w="6269" w:type="dxa"/>
            <w:tcBorders>
              <w:top w:val="single" w:color="auto" w:sz="4" w:space="0"/>
              <w:left w:val="single" w:color="auto" w:sz="4" w:space="0"/>
              <w:right w:val="single" w:color="auto" w:sz="4" w:space="0"/>
            </w:tcBorders>
            <w:noWrap w:val="0"/>
            <w:vAlign w:val="center"/>
          </w:tcPr>
          <w:p w14:paraId="55C2CE75">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bCs/>
                <w:color w:val="auto"/>
                <w:sz w:val="21"/>
                <w:szCs w:val="21"/>
                <w:highlight w:val="none"/>
                <w:lang w:val="zh-CN"/>
              </w:rPr>
              <w:t>由法定代表人及委托代理人签字并加盖公章。</w:t>
            </w:r>
          </w:p>
        </w:tc>
      </w:tr>
      <w:tr w14:paraId="508BC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4" w:hRule="atLeast"/>
        </w:trPr>
        <w:tc>
          <w:tcPr>
            <w:tcW w:w="720" w:type="dxa"/>
            <w:vMerge w:val="continue"/>
            <w:tcBorders>
              <w:right w:val="single" w:color="auto" w:sz="4" w:space="0"/>
            </w:tcBorders>
            <w:noWrap w:val="0"/>
            <w:vAlign w:val="center"/>
          </w:tcPr>
          <w:p w14:paraId="15BD64A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437C304F">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E6623A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信誉要求</w:t>
            </w:r>
          </w:p>
        </w:tc>
        <w:tc>
          <w:tcPr>
            <w:tcW w:w="6269" w:type="dxa"/>
            <w:tcBorders>
              <w:top w:val="single" w:color="auto" w:sz="4" w:space="0"/>
              <w:left w:val="single" w:color="auto" w:sz="4" w:space="0"/>
              <w:right w:val="single" w:color="auto" w:sz="4" w:space="0"/>
            </w:tcBorders>
            <w:noWrap w:val="0"/>
            <w:vAlign w:val="center"/>
          </w:tcPr>
          <w:p w14:paraId="4D7D3A3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Cs/>
                <w:color w:val="auto"/>
                <w:szCs w:val="21"/>
                <w:highlight w:val="none"/>
                <w:lang w:val="zh-CN"/>
              </w:rPr>
            </w:pPr>
            <w:r>
              <w:rPr>
                <w:rFonts w:hint="eastAsia" w:ascii="仿宋" w:hAnsi="仿宋" w:eastAsia="仿宋" w:cs="仿宋"/>
                <w:color w:val="auto"/>
                <w:kern w:val="0"/>
                <w:szCs w:val="21"/>
                <w:highlight w:val="none"/>
                <w:lang w:val="zh-CN"/>
              </w:rPr>
              <w:t>①不接受被政府列入取消投标资格期限内的企业或个人参加投标。参加政府采购活动前3年内在经营活动中没有重大违法记录；②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重大税收违法案件当事人名单、政府采购严重违法失信行为记录名单的</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kern w:val="0"/>
                <w:szCs w:val="21"/>
                <w:highlight w:val="none"/>
                <w:lang w:val="zh-CN"/>
              </w:rPr>
              <w:t>参与投标（详见财库[2016]125号文件）</w:t>
            </w:r>
            <w:r>
              <w:rPr>
                <w:rFonts w:hint="eastAsia" w:ascii="仿宋" w:hAnsi="仿宋" w:eastAsia="仿宋" w:cs="仿宋"/>
                <w:bCs/>
                <w:color w:val="auto"/>
                <w:szCs w:val="21"/>
                <w:highlight w:val="none"/>
                <w:lang w:val="zh-CN"/>
              </w:rPr>
              <w:t>。</w:t>
            </w:r>
          </w:p>
          <w:p w14:paraId="7338FB37">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b/>
                <w:bCs w:val="0"/>
                <w:color w:val="auto"/>
                <w:szCs w:val="21"/>
                <w:highlight w:val="none"/>
                <w:lang w:val="en-US" w:eastAsia="zh-CN"/>
              </w:rPr>
              <w:t>投标文件</w:t>
            </w:r>
            <w:r>
              <w:rPr>
                <w:rFonts w:hint="eastAsia" w:ascii="仿宋" w:hAnsi="仿宋" w:eastAsia="仿宋" w:cs="仿宋"/>
                <w:b/>
                <w:bCs w:val="0"/>
                <w:color w:val="auto"/>
                <w:szCs w:val="21"/>
                <w:highlight w:val="none"/>
                <w:lang w:val="zh-CN"/>
              </w:rPr>
              <w:t>内提供由法定代表人签字或盖章并加盖公章的承诺书。</w:t>
            </w:r>
          </w:p>
        </w:tc>
      </w:tr>
      <w:tr w14:paraId="5F71C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trPr>
        <w:tc>
          <w:tcPr>
            <w:tcW w:w="720" w:type="dxa"/>
            <w:vMerge w:val="continue"/>
            <w:tcBorders>
              <w:right w:val="single" w:color="auto" w:sz="4" w:space="0"/>
            </w:tcBorders>
            <w:noWrap w:val="0"/>
            <w:vAlign w:val="center"/>
          </w:tcPr>
          <w:p w14:paraId="3579CAF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55BC2CE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46A34B8">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投标人不参与涉黑涉恶承诺书</w:t>
            </w:r>
          </w:p>
        </w:tc>
        <w:tc>
          <w:tcPr>
            <w:tcW w:w="6269" w:type="dxa"/>
            <w:tcBorders>
              <w:top w:val="single" w:color="auto" w:sz="4" w:space="0"/>
              <w:left w:val="single" w:color="auto" w:sz="4" w:space="0"/>
              <w:right w:val="single" w:color="auto" w:sz="4" w:space="0"/>
            </w:tcBorders>
            <w:noWrap w:val="0"/>
            <w:vAlign w:val="center"/>
          </w:tcPr>
          <w:p w14:paraId="4F3E55C8">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eastAsia" w:ascii="仿宋" w:hAnsi="仿宋" w:eastAsia="仿宋" w:cs="仿宋"/>
                <w:bCs/>
                <w:color w:val="auto"/>
                <w:sz w:val="21"/>
                <w:szCs w:val="21"/>
                <w:highlight w:val="none"/>
                <w:lang w:val="zh-CN"/>
              </w:rPr>
            </w:pPr>
            <w:r>
              <w:rPr>
                <w:rFonts w:hint="eastAsia" w:ascii="仿宋" w:hAnsi="仿宋" w:eastAsia="仿宋" w:cs="仿宋"/>
                <w:b/>
                <w:bCs w:val="0"/>
                <w:color w:val="auto"/>
                <w:sz w:val="21"/>
                <w:szCs w:val="21"/>
                <w:highlight w:val="none"/>
                <w:lang w:val="en-US" w:eastAsia="zh-CN"/>
              </w:rPr>
              <w:t>投标文件</w:t>
            </w:r>
            <w:r>
              <w:rPr>
                <w:rFonts w:hint="eastAsia" w:ascii="仿宋" w:hAnsi="仿宋" w:eastAsia="仿宋" w:cs="仿宋"/>
                <w:b/>
                <w:bCs w:val="0"/>
                <w:color w:val="auto"/>
                <w:sz w:val="21"/>
                <w:szCs w:val="21"/>
                <w:highlight w:val="none"/>
                <w:lang w:val="zh-CN"/>
              </w:rPr>
              <w:t>内提供由法定代表人签字或盖章并加盖公章的《投标人不参与涉黑涉恶承诺书》。</w:t>
            </w:r>
          </w:p>
        </w:tc>
      </w:tr>
      <w:tr w14:paraId="1DBA1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trPr>
        <w:tc>
          <w:tcPr>
            <w:tcW w:w="720" w:type="dxa"/>
            <w:vMerge w:val="continue"/>
            <w:tcBorders>
              <w:bottom w:val="single" w:color="auto" w:sz="4" w:space="0"/>
              <w:right w:val="single" w:color="auto" w:sz="4" w:space="0"/>
            </w:tcBorders>
            <w:noWrap w:val="0"/>
            <w:vAlign w:val="center"/>
          </w:tcPr>
          <w:p w14:paraId="0B5ECD8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bottom w:val="single" w:color="auto" w:sz="4" w:space="0"/>
              <w:right w:val="single" w:color="auto" w:sz="4" w:space="0"/>
            </w:tcBorders>
            <w:noWrap w:val="0"/>
            <w:vAlign w:val="center"/>
          </w:tcPr>
          <w:p w14:paraId="7487D85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9158F3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中小企业声明函</w:t>
            </w:r>
          </w:p>
        </w:tc>
        <w:tc>
          <w:tcPr>
            <w:tcW w:w="6269" w:type="dxa"/>
            <w:tcBorders>
              <w:top w:val="single" w:color="auto" w:sz="4" w:space="0"/>
              <w:left w:val="single" w:color="auto" w:sz="4" w:space="0"/>
              <w:right w:val="single" w:color="auto" w:sz="4" w:space="0"/>
            </w:tcBorders>
            <w:noWrap w:val="0"/>
            <w:vAlign w:val="center"/>
          </w:tcPr>
          <w:p w14:paraId="3C3E1F9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w:t>
            </w:r>
            <w:r>
              <w:rPr>
                <w:rFonts w:hint="eastAsia" w:ascii="仿宋" w:hAnsi="仿宋" w:eastAsia="仿宋" w:cs="仿宋"/>
                <w:color w:val="auto"/>
                <w:kern w:val="0"/>
                <w:szCs w:val="21"/>
                <w:highlight w:val="none"/>
                <w:lang w:val="zh-CN"/>
              </w:rPr>
              <w:t>文件中提供有效的《中小企业声明函》。</w:t>
            </w:r>
          </w:p>
        </w:tc>
      </w:tr>
      <w:tr w14:paraId="09F7D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720" w:type="dxa"/>
            <w:vMerge w:val="restart"/>
            <w:tcBorders>
              <w:top w:val="single" w:color="auto" w:sz="4" w:space="0"/>
              <w:right w:val="single" w:color="auto" w:sz="4" w:space="0"/>
            </w:tcBorders>
            <w:noWrap w:val="0"/>
            <w:vAlign w:val="center"/>
          </w:tcPr>
          <w:p w14:paraId="0D24D06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w:t>
            </w:r>
          </w:p>
        </w:tc>
        <w:tc>
          <w:tcPr>
            <w:tcW w:w="902" w:type="dxa"/>
            <w:vMerge w:val="restart"/>
            <w:tcBorders>
              <w:top w:val="single" w:color="auto" w:sz="4" w:space="0"/>
              <w:left w:val="single" w:color="auto" w:sz="4" w:space="0"/>
              <w:right w:val="single" w:color="auto" w:sz="4" w:space="0"/>
            </w:tcBorders>
            <w:noWrap w:val="0"/>
            <w:vAlign w:val="center"/>
          </w:tcPr>
          <w:p w14:paraId="4E457D15">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p>
          <w:p w14:paraId="32694AF9">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w:t>
            </w:r>
          </w:p>
          <w:p w14:paraId="75673673">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w:t>
            </w:r>
          </w:p>
          <w:p w14:paraId="3E15572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w:t>
            </w:r>
          </w:p>
          <w:p w14:paraId="23C6A17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48BC92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5E7CC20">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符合第二章“投标人须知”第3.2.4项规定。</w:t>
            </w:r>
          </w:p>
        </w:tc>
      </w:tr>
      <w:tr w14:paraId="3815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trPr>
        <w:tc>
          <w:tcPr>
            <w:tcW w:w="720" w:type="dxa"/>
            <w:vMerge w:val="continue"/>
            <w:tcBorders>
              <w:right w:val="single" w:color="auto" w:sz="4" w:space="0"/>
            </w:tcBorders>
            <w:noWrap w:val="0"/>
            <w:vAlign w:val="center"/>
          </w:tcPr>
          <w:p w14:paraId="080A4FE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11A26263">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A6FDBD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05144CB4">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符合第二章“投标人须知”第1.3.1项规定</w:t>
            </w:r>
          </w:p>
        </w:tc>
      </w:tr>
      <w:tr w14:paraId="3B08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88" w:hRule="atLeast"/>
        </w:trPr>
        <w:tc>
          <w:tcPr>
            <w:tcW w:w="720" w:type="dxa"/>
            <w:vMerge w:val="continue"/>
            <w:tcBorders>
              <w:right w:val="single" w:color="auto" w:sz="4" w:space="0"/>
            </w:tcBorders>
            <w:noWrap w:val="0"/>
            <w:vAlign w:val="center"/>
          </w:tcPr>
          <w:p w14:paraId="3FABF4C6">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71163824">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CA47B55">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合同履行期限</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283D2BCB">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w:t>
            </w:r>
            <w:r>
              <w:rPr>
                <w:rFonts w:hint="eastAsia" w:ascii="仿宋" w:hAnsi="仿宋" w:eastAsia="仿宋" w:cs="仿宋"/>
                <w:i/>
                <w:color w:val="auto"/>
                <w:sz w:val="21"/>
                <w:szCs w:val="21"/>
                <w:highlight w:val="none"/>
              </w:rPr>
              <w:t>“</w:t>
            </w:r>
            <w:r>
              <w:rPr>
                <w:rFonts w:hint="eastAsia" w:ascii="仿宋" w:hAnsi="仿宋" w:eastAsia="仿宋" w:cs="仿宋"/>
                <w:color w:val="auto"/>
                <w:sz w:val="21"/>
                <w:szCs w:val="21"/>
                <w:highlight w:val="none"/>
              </w:rPr>
              <w:t>投标人须知</w:t>
            </w:r>
            <w:r>
              <w:rPr>
                <w:rFonts w:hint="eastAsia" w:ascii="仿宋" w:hAnsi="仿宋" w:eastAsia="仿宋" w:cs="仿宋"/>
                <w:i/>
                <w:color w:val="auto"/>
                <w:sz w:val="21"/>
                <w:szCs w:val="21"/>
                <w:highlight w:val="none"/>
              </w:rPr>
              <w:t>”</w:t>
            </w:r>
            <w:r>
              <w:rPr>
                <w:rFonts w:hint="eastAsia" w:ascii="仿宋" w:hAnsi="仿宋" w:eastAsia="仿宋" w:cs="仿宋"/>
                <w:color w:val="auto"/>
                <w:sz w:val="21"/>
                <w:szCs w:val="21"/>
                <w:highlight w:val="none"/>
              </w:rPr>
              <w:t>第1.3.2项规定。</w:t>
            </w:r>
          </w:p>
        </w:tc>
      </w:tr>
      <w:tr w14:paraId="757FA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20" w:type="dxa"/>
            <w:vMerge w:val="continue"/>
            <w:tcBorders>
              <w:right w:val="single" w:color="auto" w:sz="4" w:space="0"/>
            </w:tcBorders>
            <w:noWrap w:val="0"/>
            <w:vAlign w:val="center"/>
          </w:tcPr>
          <w:p w14:paraId="395369BD">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0A8810F5">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355710A">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服务标准</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710A0B45">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w:t>
            </w:r>
            <w:r>
              <w:rPr>
                <w:rFonts w:hint="eastAsia" w:ascii="仿宋" w:hAnsi="仿宋" w:eastAsia="仿宋" w:cs="仿宋"/>
                <w:i/>
                <w:color w:val="auto"/>
                <w:sz w:val="21"/>
                <w:szCs w:val="21"/>
                <w:highlight w:val="none"/>
              </w:rPr>
              <w:t>“</w:t>
            </w:r>
            <w:r>
              <w:rPr>
                <w:rFonts w:hint="eastAsia" w:ascii="仿宋" w:hAnsi="仿宋" w:eastAsia="仿宋" w:cs="仿宋"/>
                <w:color w:val="auto"/>
                <w:sz w:val="21"/>
                <w:szCs w:val="21"/>
                <w:highlight w:val="none"/>
              </w:rPr>
              <w:t>投标人须知</w:t>
            </w:r>
            <w:r>
              <w:rPr>
                <w:rFonts w:hint="eastAsia" w:ascii="仿宋" w:hAnsi="仿宋" w:eastAsia="仿宋" w:cs="仿宋"/>
                <w:i/>
                <w:color w:val="auto"/>
                <w:sz w:val="21"/>
                <w:szCs w:val="21"/>
                <w:highlight w:val="none"/>
              </w:rPr>
              <w:t>”</w:t>
            </w:r>
            <w:r>
              <w:rPr>
                <w:rFonts w:hint="eastAsia" w:ascii="仿宋" w:hAnsi="仿宋" w:eastAsia="仿宋" w:cs="仿宋"/>
                <w:color w:val="auto"/>
                <w:sz w:val="21"/>
                <w:szCs w:val="21"/>
                <w:highlight w:val="none"/>
              </w:rPr>
              <w:t>第1.3.3项规定。</w:t>
            </w:r>
          </w:p>
        </w:tc>
      </w:tr>
      <w:tr w14:paraId="6023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20" w:type="dxa"/>
            <w:vMerge w:val="continue"/>
            <w:tcBorders>
              <w:right w:val="single" w:color="auto" w:sz="4" w:space="0"/>
            </w:tcBorders>
            <w:noWrap w:val="0"/>
            <w:vAlign w:val="center"/>
          </w:tcPr>
          <w:p w14:paraId="0FBB575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24823541">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BE72A2F">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44B33786">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90天</w:t>
            </w:r>
          </w:p>
        </w:tc>
      </w:tr>
      <w:tr w14:paraId="662E5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20" w:type="dxa"/>
            <w:vMerge w:val="continue"/>
            <w:tcBorders>
              <w:right w:val="single" w:color="auto" w:sz="4" w:space="0"/>
            </w:tcBorders>
            <w:noWrap w:val="0"/>
            <w:vAlign w:val="center"/>
          </w:tcPr>
          <w:p w14:paraId="16781EF2">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right w:val="single" w:color="auto" w:sz="4" w:space="0"/>
            </w:tcBorders>
            <w:noWrap w:val="0"/>
            <w:vAlign w:val="center"/>
          </w:tcPr>
          <w:p w14:paraId="2943D296">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172E000">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服务方案及要求</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489C30E9">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符合第五章“服务方案及要求”规定</w:t>
            </w:r>
          </w:p>
        </w:tc>
      </w:tr>
      <w:tr w14:paraId="10B3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720" w:type="dxa"/>
            <w:vMerge w:val="continue"/>
            <w:tcBorders>
              <w:bottom w:val="single" w:color="auto" w:sz="4" w:space="0"/>
              <w:right w:val="single" w:color="auto" w:sz="4" w:space="0"/>
            </w:tcBorders>
            <w:noWrap w:val="0"/>
            <w:vAlign w:val="center"/>
          </w:tcPr>
          <w:p w14:paraId="46ADBCE3">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902" w:type="dxa"/>
            <w:vMerge w:val="continue"/>
            <w:tcBorders>
              <w:left w:val="single" w:color="auto" w:sz="4" w:space="0"/>
              <w:bottom w:val="single" w:color="auto" w:sz="4" w:space="0"/>
              <w:right w:val="single" w:color="auto" w:sz="4" w:space="0"/>
            </w:tcBorders>
            <w:noWrap w:val="0"/>
            <w:vAlign w:val="center"/>
          </w:tcPr>
          <w:p w14:paraId="2B2AB415">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0163397">
            <w:pPr>
              <w:keepNext w:val="0"/>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5CE50B0C">
            <w:pPr>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满足相关法律法规及</w:t>
            </w:r>
            <w:r>
              <w:rPr>
                <w:rFonts w:hint="eastAsia" w:ascii="仿宋" w:hAnsi="仿宋" w:eastAsia="仿宋" w:cs="仿宋"/>
                <w:bCs/>
                <w:color w:val="auto"/>
                <w:sz w:val="21"/>
                <w:szCs w:val="21"/>
                <w:highlight w:val="none"/>
                <w:lang w:val="zh-CN"/>
              </w:rPr>
              <w:t>采购</w:t>
            </w:r>
            <w:r>
              <w:rPr>
                <w:rFonts w:hint="eastAsia" w:ascii="仿宋" w:hAnsi="仿宋" w:eastAsia="仿宋" w:cs="仿宋"/>
                <w:color w:val="auto"/>
                <w:sz w:val="21"/>
                <w:szCs w:val="21"/>
                <w:highlight w:val="none"/>
              </w:rPr>
              <w:t>文件的其他实质性要求</w:t>
            </w:r>
          </w:p>
        </w:tc>
      </w:tr>
    </w:tbl>
    <w:p w14:paraId="0816A439">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注：1、上述表中要求提供的证书和相关证明文件等证件的复印件</w:t>
      </w:r>
      <w:r>
        <w:rPr>
          <w:rFonts w:hint="eastAsia" w:ascii="仿宋" w:hAnsi="仿宋" w:eastAsia="仿宋" w:cs="仿宋"/>
          <w:b/>
          <w:bCs/>
          <w:color w:val="auto"/>
          <w:sz w:val="21"/>
          <w:szCs w:val="21"/>
          <w:highlight w:val="none"/>
          <w:lang w:val="en-US" w:eastAsia="zh-CN"/>
        </w:rPr>
        <w:t>附</w:t>
      </w:r>
      <w:r>
        <w:rPr>
          <w:rFonts w:hint="eastAsia" w:ascii="仿宋" w:hAnsi="仿宋" w:eastAsia="仿宋" w:cs="仿宋"/>
          <w:b/>
          <w:bCs/>
          <w:color w:val="auto"/>
          <w:sz w:val="21"/>
          <w:szCs w:val="21"/>
          <w:highlight w:val="none"/>
          <w:lang w:val="zh-CN"/>
        </w:rPr>
        <w:t>在</w:t>
      </w:r>
      <w:r>
        <w:rPr>
          <w:rFonts w:hint="eastAsia" w:ascii="仿宋" w:hAnsi="仿宋" w:eastAsia="仿宋" w:cs="仿宋"/>
          <w:b/>
          <w:bCs/>
          <w:color w:val="auto"/>
          <w:sz w:val="21"/>
          <w:szCs w:val="21"/>
          <w:highlight w:val="none"/>
          <w:lang w:val="zh-CN" w:eastAsia="zh-CN"/>
        </w:rPr>
        <w:t>投标文件</w:t>
      </w:r>
      <w:r>
        <w:rPr>
          <w:rFonts w:hint="eastAsia" w:ascii="仿宋" w:hAnsi="仿宋" w:eastAsia="仿宋" w:cs="仿宋"/>
          <w:b/>
          <w:bCs/>
          <w:color w:val="auto"/>
          <w:sz w:val="21"/>
          <w:szCs w:val="21"/>
          <w:highlight w:val="none"/>
          <w:lang w:val="zh-CN"/>
        </w:rPr>
        <w:t>中。</w:t>
      </w:r>
    </w:p>
    <w:p w14:paraId="0506B78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lang w:val="zh-CN"/>
        </w:rPr>
        <w:t>、上述内容中如某一证件正在年检或换证，需年检或换证部门出具有效证明方可确认。</w:t>
      </w:r>
    </w:p>
    <w:p w14:paraId="18A5ACA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lang w:val="zh-CN"/>
        </w:rPr>
        <w:t>、上述要求</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lang w:val="zh-CN"/>
        </w:rPr>
        <w:t>有一项不合格的，视为未通过初步评审，将不再进入后续评审。</w:t>
      </w:r>
    </w:p>
    <w:p w14:paraId="5D64F427">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详细评审记录表</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82"/>
        <w:gridCol w:w="1560"/>
        <w:gridCol w:w="5830"/>
      </w:tblGrid>
      <w:tr w14:paraId="4528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58" w:type="dxa"/>
            <w:gridSpan w:val="2"/>
            <w:noWrap w:val="0"/>
            <w:vAlign w:val="center"/>
          </w:tcPr>
          <w:p w14:paraId="46340759">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1560" w:type="dxa"/>
            <w:noWrap w:val="0"/>
            <w:vAlign w:val="center"/>
          </w:tcPr>
          <w:p w14:paraId="1062A6F5">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830" w:type="dxa"/>
            <w:noWrap w:val="0"/>
            <w:vAlign w:val="center"/>
          </w:tcPr>
          <w:p w14:paraId="1EA1C172">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3AC9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58" w:type="dxa"/>
            <w:gridSpan w:val="2"/>
            <w:noWrap w:val="0"/>
            <w:vAlign w:val="center"/>
          </w:tcPr>
          <w:p w14:paraId="3CEB8050">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560" w:type="dxa"/>
            <w:noWrap w:val="0"/>
            <w:vAlign w:val="center"/>
          </w:tcPr>
          <w:p w14:paraId="78A8D8A4">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AA4AE32">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830" w:type="dxa"/>
            <w:noWrap w:val="0"/>
            <w:vAlign w:val="center"/>
          </w:tcPr>
          <w:p w14:paraId="68EBF120">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资信业绩部分：</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rPr>
              <w:t>分</w:t>
            </w:r>
          </w:p>
          <w:p w14:paraId="03BFDBF2">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服务方案部分：</w:t>
            </w:r>
            <w:r>
              <w:rPr>
                <w:rFonts w:hint="eastAsia" w:ascii="仿宋" w:hAnsi="仿宋" w:eastAsia="仿宋" w:cs="仿宋"/>
                <w:color w:val="auto"/>
                <w:szCs w:val="21"/>
                <w:highlight w:val="none"/>
                <w:u w:val="single"/>
                <w:lang w:val="en-US" w:eastAsia="zh-CN"/>
              </w:rPr>
              <w:t>75</w:t>
            </w:r>
            <w:r>
              <w:rPr>
                <w:rFonts w:hint="eastAsia" w:ascii="仿宋" w:hAnsi="仿宋" w:eastAsia="仿宋" w:cs="仿宋"/>
                <w:color w:val="auto"/>
                <w:szCs w:val="21"/>
                <w:highlight w:val="none"/>
              </w:rPr>
              <w:t>分</w:t>
            </w:r>
          </w:p>
          <w:p w14:paraId="7B7545C1">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投标报价部分：</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分</w:t>
            </w:r>
          </w:p>
          <w:p w14:paraId="118561CC">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其他评分因素：</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rPr>
              <w:t>分</w:t>
            </w:r>
          </w:p>
        </w:tc>
      </w:tr>
      <w:tr w14:paraId="42B6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58" w:type="dxa"/>
            <w:gridSpan w:val="2"/>
            <w:noWrap w:val="0"/>
            <w:vAlign w:val="center"/>
          </w:tcPr>
          <w:p w14:paraId="75FE41AE">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560" w:type="dxa"/>
            <w:noWrap w:val="0"/>
            <w:vAlign w:val="center"/>
          </w:tcPr>
          <w:p w14:paraId="5517C43B">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评标基准价计算方法</w:t>
            </w:r>
          </w:p>
        </w:tc>
        <w:tc>
          <w:tcPr>
            <w:tcW w:w="5830" w:type="dxa"/>
            <w:noWrap w:val="0"/>
            <w:vAlign w:val="center"/>
          </w:tcPr>
          <w:p w14:paraId="6D45D5BC">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取通过初步评审合格的有效投标报价最低价为评标基准价。</w:t>
            </w:r>
          </w:p>
        </w:tc>
      </w:tr>
      <w:tr w14:paraId="30D1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858" w:type="dxa"/>
            <w:gridSpan w:val="2"/>
            <w:noWrap w:val="0"/>
            <w:vAlign w:val="center"/>
          </w:tcPr>
          <w:p w14:paraId="1FA662AC">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1560" w:type="dxa"/>
            <w:noWrap w:val="0"/>
            <w:vAlign w:val="center"/>
          </w:tcPr>
          <w:p w14:paraId="6F9058ED">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5830" w:type="dxa"/>
            <w:noWrap w:val="0"/>
            <w:vAlign w:val="center"/>
          </w:tcPr>
          <w:p w14:paraId="3E878FE9">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14:paraId="714A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76" w:type="dxa"/>
            <w:vMerge w:val="restart"/>
            <w:noWrap w:val="0"/>
            <w:vAlign w:val="center"/>
          </w:tcPr>
          <w:p w14:paraId="30866D4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2.2.3（1）</w:t>
            </w:r>
          </w:p>
        </w:tc>
        <w:tc>
          <w:tcPr>
            <w:tcW w:w="1082" w:type="dxa"/>
            <w:vMerge w:val="restart"/>
            <w:noWrap w:val="0"/>
            <w:vAlign w:val="center"/>
          </w:tcPr>
          <w:p w14:paraId="6C16CF0E">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资信业绩评分标准</w:t>
            </w:r>
          </w:p>
          <w:p w14:paraId="0BE5C4A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1560" w:type="dxa"/>
            <w:noWrap w:val="0"/>
            <w:vAlign w:val="center"/>
          </w:tcPr>
          <w:p w14:paraId="607053BF">
            <w:pPr>
              <w:keepNext w:val="0"/>
              <w:keepLines w:val="0"/>
              <w:pageBreakBefore w:val="0"/>
              <w:widowControl/>
              <w:kinsoku/>
              <w:wordWrap/>
              <w:overflowPunct/>
              <w:topLinePunct w:val="0"/>
              <w:bidi w:val="0"/>
              <w:spacing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w:t>
            </w:r>
          </w:p>
        </w:tc>
        <w:tc>
          <w:tcPr>
            <w:tcW w:w="5830" w:type="dxa"/>
            <w:noWrap w:val="0"/>
            <w:vAlign w:val="center"/>
          </w:tcPr>
          <w:p w14:paraId="04248E96">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近三年（</w:t>
            </w:r>
            <w:r>
              <w:rPr>
                <w:rFonts w:hint="eastAsia" w:ascii="仿宋" w:hAnsi="仿宋" w:eastAsia="仿宋" w:cs="仿宋"/>
                <w:color w:val="auto"/>
                <w:szCs w:val="21"/>
                <w:highlight w:val="none"/>
                <w:u w:val="none"/>
              </w:rPr>
              <w:t>20</w:t>
            </w:r>
            <w:r>
              <w:rPr>
                <w:rFonts w:hint="eastAsia" w:ascii="仿宋" w:hAnsi="仿宋" w:eastAsia="仿宋" w:cs="仿宋"/>
                <w:color w:val="auto"/>
                <w:szCs w:val="21"/>
                <w:highlight w:val="none"/>
                <w:u w:val="none"/>
                <w:lang w:val="en-US" w:eastAsia="zh-CN"/>
              </w:rPr>
              <w:t>22</w:t>
            </w:r>
            <w:r>
              <w:rPr>
                <w:rFonts w:hint="eastAsia" w:ascii="仿宋" w:hAnsi="仿宋" w:eastAsia="仿宋" w:cs="仿宋"/>
                <w:color w:val="auto"/>
                <w:szCs w:val="21"/>
                <w:highlight w:val="none"/>
                <w:u w:val="none"/>
              </w:rPr>
              <w:t>年</w:t>
            </w:r>
            <w:r>
              <w:rPr>
                <w:rFonts w:hint="eastAsia" w:ascii="仿宋" w:hAnsi="仿宋" w:eastAsia="仿宋" w:cs="仿宋"/>
                <w:color w:val="auto"/>
                <w:szCs w:val="21"/>
                <w:highlight w:val="none"/>
                <w:u w:val="none"/>
                <w:lang w:val="en-US" w:eastAsia="zh-CN"/>
              </w:rPr>
              <w:t>1</w:t>
            </w:r>
            <w:r>
              <w:rPr>
                <w:rFonts w:hint="eastAsia" w:ascii="仿宋" w:hAnsi="仿宋" w:eastAsia="仿宋" w:cs="仿宋"/>
                <w:color w:val="auto"/>
                <w:szCs w:val="21"/>
                <w:highlight w:val="none"/>
                <w:u w:val="none"/>
              </w:rPr>
              <w:t>月1日</w:t>
            </w:r>
            <w:r>
              <w:rPr>
                <w:rFonts w:hint="eastAsia" w:ascii="仿宋" w:hAnsi="仿宋" w:eastAsia="仿宋" w:cs="仿宋"/>
                <w:color w:val="auto"/>
                <w:szCs w:val="21"/>
                <w:highlight w:val="none"/>
              </w:rPr>
              <w:t>起至</w:t>
            </w:r>
            <w:r>
              <w:rPr>
                <w:rFonts w:hint="eastAsia" w:ascii="仿宋" w:hAnsi="仿宋" w:eastAsia="仿宋" w:cs="仿宋"/>
                <w:color w:val="auto"/>
                <w:szCs w:val="21"/>
                <w:highlight w:val="none"/>
                <w:lang w:eastAsia="zh-CN"/>
              </w:rPr>
              <w:t>今</w:t>
            </w:r>
            <w:r>
              <w:rPr>
                <w:rFonts w:hint="eastAsia" w:ascii="仿宋" w:hAnsi="仿宋" w:eastAsia="仿宋" w:cs="仿宋"/>
                <w:color w:val="auto"/>
                <w:szCs w:val="21"/>
                <w:highlight w:val="none"/>
              </w:rPr>
              <w:t>）完成过类似项目的业绩，每有一项得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0C4C5E1B">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投标文件</w:t>
            </w:r>
            <w:r>
              <w:rPr>
                <w:rFonts w:hint="eastAsia" w:ascii="仿宋" w:hAnsi="仿宋" w:eastAsia="仿宋" w:cs="仿宋"/>
                <w:b/>
                <w:bCs/>
                <w:color w:val="auto"/>
                <w:szCs w:val="21"/>
                <w:highlight w:val="none"/>
              </w:rPr>
              <w:t>内</w:t>
            </w:r>
            <w:r>
              <w:rPr>
                <w:rFonts w:hint="eastAsia" w:ascii="仿宋" w:hAnsi="仿宋" w:eastAsia="仿宋" w:cs="仿宋"/>
                <w:b/>
                <w:bCs/>
                <w:color w:val="auto"/>
                <w:szCs w:val="21"/>
                <w:highlight w:val="none"/>
                <w:lang w:val="en-US" w:eastAsia="zh-CN"/>
              </w:rPr>
              <w:t>附</w:t>
            </w:r>
            <w:r>
              <w:rPr>
                <w:rFonts w:hint="eastAsia" w:ascii="仿宋" w:hAnsi="仿宋" w:eastAsia="仿宋" w:cs="仿宋"/>
                <w:b/>
                <w:bCs/>
                <w:color w:val="auto"/>
                <w:szCs w:val="21"/>
                <w:highlight w:val="none"/>
              </w:rPr>
              <w:t>中标通知书或合同复印件</w:t>
            </w:r>
            <w:r>
              <w:rPr>
                <w:rFonts w:hint="eastAsia" w:ascii="仿宋" w:hAnsi="仿宋" w:eastAsia="仿宋" w:cs="仿宋"/>
                <w:b/>
                <w:bCs/>
                <w:color w:val="auto"/>
                <w:szCs w:val="21"/>
                <w:highlight w:val="none"/>
                <w:lang w:val="en-US" w:eastAsia="zh-CN"/>
              </w:rPr>
              <w:t>并</w:t>
            </w:r>
            <w:r>
              <w:rPr>
                <w:rFonts w:hint="eastAsia" w:ascii="仿宋" w:hAnsi="仿宋" w:eastAsia="仿宋" w:cs="仿宋"/>
                <w:b/>
                <w:bCs/>
                <w:color w:val="auto"/>
                <w:szCs w:val="21"/>
                <w:highlight w:val="none"/>
              </w:rPr>
              <w:t>加盖公章。</w:t>
            </w:r>
          </w:p>
        </w:tc>
      </w:tr>
      <w:tr w14:paraId="6CD1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76" w:type="dxa"/>
            <w:vMerge w:val="continue"/>
            <w:noWrap w:val="0"/>
            <w:vAlign w:val="center"/>
          </w:tcPr>
          <w:p w14:paraId="5092AD7A">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13EE23AE">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570848E1">
            <w:pPr>
              <w:keepNext w:val="0"/>
              <w:keepLines w:val="0"/>
              <w:pageBreakBefore w:val="0"/>
              <w:tabs>
                <w:tab w:val="left" w:pos="0"/>
              </w:tabs>
              <w:kinsoku/>
              <w:wordWrap/>
              <w:overflowPunct/>
              <w:topLinePunct w:val="0"/>
              <w:autoSpaceDE w:val="0"/>
              <w:autoSpaceDN w:val="0"/>
              <w:bidi w:val="0"/>
              <w:adjustRightIn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项目团队能力</w:t>
            </w:r>
          </w:p>
          <w:p w14:paraId="1F914DA3">
            <w:pPr>
              <w:keepNext w:val="0"/>
              <w:keepLines w:val="0"/>
              <w:pageBreakBefore w:val="0"/>
              <w:tabs>
                <w:tab w:val="left" w:pos="0"/>
              </w:tabs>
              <w:kinsoku/>
              <w:wordWrap/>
              <w:overflowPunct/>
              <w:topLinePunct w:val="0"/>
              <w:autoSpaceDE w:val="0"/>
              <w:autoSpaceDN w:val="0"/>
              <w:bidi w:val="0"/>
              <w:adjustRightInd w:val="0"/>
              <w:spacing w:line="288"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5830" w:type="dxa"/>
            <w:noWrap w:val="0"/>
            <w:vAlign w:val="center"/>
          </w:tcPr>
          <w:p w14:paraId="6B503AD9">
            <w:pPr>
              <w:keepNext w:val="0"/>
              <w:keepLines w:val="0"/>
              <w:pageBreakBefore w:val="0"/>
              <w:kinsoku/>
              <w:wordWrap/>
              <w:overflowPunct/>
              <w:topLinePunct w:val="0"/>
              <w:autoSpaceDE w:val="0"/>
              <w:autoSpaceDN w:val="0"/>
              <w:bidi w:val="0"/>
              <w:adjustRightInd w:val="0"/>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项目组人员专业齐全、配备完善，科学合理得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分，基本合理、可行得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分，配备较少得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分，无不得分。</w:t>
            </w:r>
          </w:p>
          <w:p w14:paraId="5ABBF790">
            <w:pPr>
              <w:keepNext w:val="0"/>
              <w:keepLines w:val="0"/>
              <w:pageBreakBefore w:val="0"/>
              <w:kinsoku/>
              <w:wordWrap/>
              <w:overflowPunct/>
              <w:topLinePunct w:val="0"/>
              <w:autoSpaceDE w:val="0"/>
              <w:autoSpaceDN w:val="0"/>
              <w:bidi w:val="0"/>
              <w:adjustRightInd w:val="0"/>
              <w:spacing w:line="288" w:lineRule="auto"/>
              <w:jc w:val="left"/>
              <w:textAlignment w:val="auto"/>
              <w:rPr>
                <w:rFonts w:hint="eastAsia" w:ascii="仿宋" w:hAnsi="仿宋" w:eastAsia="仿宋" w:cs="仿宋"/>
                <w:color w:val="auto"/>
                <w:highlight w:val="none"/>
              </w:rPr>
            </w:pPr>
            <w:r>
              <w:rPr>
                <w:rFonts w:hint="eastAsia" w:ascii="仿宋" w:hAnsi="仿宋" w:eastAsia="仿宋" w:cs="仿宋"/>
                <w:b/>
                <w:bCs/>
                <w:color w:val="auto"/>
                <w:szCs w:val="21"/>
                <w:highlight w:val="none"/>
                <w:lang w:val="en-US" w:eastAsia="zh-CN"/>
              </w:rPr>
              <w:t>投标文件</w:t>
            </w:r>
            <w:r>
              <w:rPr>
                <w:rFonts w:hint="eastAsia" w:ascii="仿宋" w:hAnsi="仿宋" w:eastAsia="仿宋" w:cs="仿宋"/>
                <w:b/>
                <w:bCs/>
                <w:color w:val="auto"/>
                <w:szCs w:val="21"/>
                <w:highlight w:val="none"/>
              </w:rPr>
              <w:t>内附人员相关证书复印件加盖公章。</w:t>
            </w:r>
          </w:p>
        </w:tc>
      </w:tr>
      <w:tr w14:paraId="0634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6" w:type="dxa"/>
            <w:vMerge w:val="restart"/>
            <w:noWrap w:val="0"/>
            <w:vAlign w:val="center"/>
          </w:tcPr>
          <w:p w14:paraId="6C76620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2.2.3（2）</w:t>
            </w:r>
          </w:p>
        </w:tc>
        <w:tc>
          <w:tcPr>
            <w:tcW w:w="1082" w:type="dxa"/>
            <w:vMerge w:val="restart"/>
            <w:noWrap w:val="0"/>
            <w:vAlign w:val="center"/>
          </w:tcPr>
          <w:p w14:paraId="3F8EA8E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服务方案评分标准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rPr>
              <w:t>分）</w:t>
            </w:r>
          </w:p>
        </w:tc>
        <w:tc>
          <w:tcPr>
            <w:tcW w:w="1560" w:type="dxa"/>
            <w:noWrap w:val="0"/>
            <w:vAlign w:val="center"/>
          </w:tcPr>
          <w:p w14:paraId="103BA818">
            <w:pPr>
              <w:keepNext w:val="0"/>
              <w:keepLines w:val="0"/>
              <w:pageBreakBefore w:val="0"/>
              <w:widowControl/>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5220B1B6">
            <w:pPr>
              <w:keepNext w:val="0"/>
              <w:keepLines w:val="0"/>
              <w:pageBreakBefore w:val="0"/>
              <w:widowControl/>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5830" w:type="dxa"/>
            <w:noWrap w:val="0"/>
            <w:vAlign w:val="center"/>
          </w:tcPr>
          <w:p w14:paraId="384998DB">
            <w:pPr>
              <w:keepNext w:val="0"/>
              <w:keepLines w:val="0"/>
              <w:pageBreakBefore w:val="0"/>
              <w:widowControl/>
              <w:numPr>
                <w:ilvl w:val="0"/>
                <w:numId w:val="0"/>
              </w:numPr>
              <w:kinsoku/>
              <w:wordWrap/>
              <w:overflowPunct/>
              <w:topLinePunct w:val="0"/>
              <w:bidi w:val="0"/>
              <w:adjustRightInd/>
              <w:snapToGrid/>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kern w:val="2"/>
                <w:sz w:val="21"/>
                <w:highlight w:val="none"/>
                <w:lang w:val="en-US" w:eastAsia="zh-CN" w:bidi="ar-SA"/>
              </w:rPr>
              <w:t>1.</w:t>
            </w:r>
            <w:r>
              <w:rPr>
                <w:rFonts w:hint="eastAsia" w:ascii="仿宋" w:hAnsi="仿宋" w:eastAsia="仿宋" w:cs="仿宋"/>
                <w:color w:val="auto"/>
                <w:highlight w:val="none"/>
              </w:rPr>
              <w:t>结合项目特点，根据</w:t>
            </w:r>
            <w:r>
              <w:rPr>
                <w:rFonts w:hint="eastAsia" w:ascii="仿宋" w:hAnsi="仿宋" w:eastAsia="仿宋" w:cs="仿宋"/>
                <w:color w:val="auto"/>
                <w:spacing w:val="0"/>
                <w:w w:val="100"/>
                <w:sz w:val="21"/>
                <w:szCs w:val="21"/>
                <w:highlight w:val="none"/>
                <w:lang w:val="en-US" w:eastAsia="zh-CN"/>
              </w:rPr>
              <w:t>投标人测绘技术</w:t>
            </w:r>
            <w:r>
              <w:rPr>
                <w:rFonts w:hint="eastAsia" w:ascii="仿宋" w:hAnsi="仿宋" w:eastAsia="仿宋" w:cs="仿宋"/>
                <w:color w:val="auto"/>
                <w:highlight w:val="none"/>
              </w:rPr>
              <w:t>编制的内容，对项目特点和要求是否了解、分析透彻</w:t>
            </w:r>
            <w:r>
              <w:rPr>
                <w:rFonts w:hint="eastAsia" w:ascii="仿宋" w:hAnsi="仿宋" w:eastAsia="仿宋" w:cs="仿宋"/>
                <w:color w:val="auto"/>
                <w:highlight w:val="none"/>
                <w:lang w:eastAsia="zh-CN"/>
              </w:rPr>
              <w:t>：</w:t>
            </w:r>
          </w:p>
          <w:p w14:paraId="6083A7C3">
            <w:pPr>
              <w:keepNext w:val="0"/>
              <w:keepLines w:val="0"/>
              <w:pageBreakBefore w:val="0"/>
              <w:widowControl/>
              <w:numPr>
                <w:ilvl w:val="0"/>
                <w:numId w:val="0"/>
              </w:numPr>
              <w:kinsoku/>
              <w:wordWrap/>
              <w:overflowPunct/>
              <w:topLinePunct w:val="0"/>
              <w:bidi w:val="0"/>
              <w:adjustRightInd/>
              <w:snapToGrid/>
              <w:spacing w:line="288"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分析内容清晰、透彻、全面：得10分；</w:t>
            </w:r>
          </w:p>
          <w:p w14:paraId="4C77CB9E">
            <w:pPr>
              <w:keepNext w:val="0"/>
              <w:keepLines w:val="0"/>
              <w:pageBreakBefore w:val="0"/>
              <w:widowControl/>
              <w:numPr>
                <w:ilvl w:val="0"/>
                <w:numId w:val="0"/>
              </w:numPr>
              <w:kinsoku/>
              <w:wordWrap/>
              <w:overflowPunct/>
              <w:topLinePunct w:val="0"/>
              <w:bidi w:val="0"/>
              <w:adjustRightInd/>
              <w:snapToGrid/>
              <w:spacing w:line="288"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分析内容</w:t>
            </w:r>
            <w:r>
              <w:rPr>
                <w:rFonts w:hint="eastAsia" w:ascii="仿宋" w:hAnsi="仿宋" w:eastAsia="仿宋" w:cs="仿宋"/>
                <w:color w:val="auto"/>
                <w:highlight w:val="none"/>
              </w:rPr>
              <w:t>较为详细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得8分；</w:t>
            </w:r>
          </w:p>
          <w:p w14:paraId="024C5616">
            <w:pPr>
              <w:keepNext w:val="0"/>
              <w:keepLines w:val="0"/>
              <w:pageBreakBefore w:val="0"/>
              <w:widowControl/>
              <w:numPr>
                <w:ilvl w:val="0"/>
                <w:numId w:val="0"/>
              </w:numPr>
              <w:kinsoku/>
              <w:wordWrap/>
              <w:overflowPunct/>
              <w:topLinePunct w:val="0"/>
              <w:bidi w:val="0"/>
              <w:adjustRightInd/>
              <w:snapToGrid/>
              <w:spacing w:line="288"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分析不全面、了解不透彻：得6分；</w:t>
            </w:r>
          </w:p>
          <w:p w14:paraId="01ECC6F8">
            <w:pPr>
              <w:keepNext w:val="0"/>
              <w:keepLines w:val="0"/>
              <w:pageBreakBefore w:val="0"/>
              <w:widowControl/>
              <w:numPr>
                <w:ilvl w:val="0"/>
                <w:numId w:val="0"/>
              </w:numPr>
              <w:kinsoku/>
              <w:wordWrap/>
              <w:overflowPunct/>
              <w:topLinePunct w:val="0"/>
              <w:bidi w:val="0"/>
              <w:adjustRightInd/>
              <w:snapToGrid/>
              <w:spacing w:line="288" w:lineRule="auto"/>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w:t>
            </w:r>
            <w:r>
              <w:rPr>
                <w:rFonts w:hint="eastAsia" w:ascii="仿宋" w:hAnsi="仿宋" w:eastAsia="仿宋" w:cs="仿宋"/>
                <w:color w:val="auto"/>
                <w:highlight w:val="none"/>
              </w:rPr>
              <w:t>得分。</w:t>
            </w:r>
          </w:p>
          <w:p w14:paraId="48FDDCC7">
            <w:pPr>
              <w:keepNext w:val="0"/>
              <w:keepLines w:val="0"/>
              <w:pageBreakBefore w:val="0"/>
              <w:widowControl/>
              <w:numPr>
                <w:ilvl w:val="0"/>
                <w:numId w:val="0"/>
              </w:numPr>
              <w:kinsoku/>
              <w:wordWrap/>
              <w:overflowPunct/>
              <w:topLinePunct w:val="0"/>
              <w:bidi w:val="0"/>
              <w:adjustRightInd/>
              <w:snapToGrid/>
              <w:spacing w:line="288" w:lineRule="auto"/>
              <w:ind w:left="0" w:leftChars="0" w:firstLine="0" w:firstLine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kern w:val="2"/>
                <w:sz w:val="21"/>
                <w:highlight w:val="none"/>
                <w:lang w:val="en-US" w:eastAsia="zh-CN" w:bidi="ar-SA"/>
              </w:rPr>
              <w:t>2.</w:t>
            </w:r>
            <w:r>
              <w:rPr>
                <w:rFonts w:hint="eastAsia" w:ascii="仿宋" w:hAnsi="仿宋" w:eastAsia="仿宋" w:cs="仿宋"/>
                <w:color w:val="auto"/>
                <w:highlight w:val="none"/>
              </w:rPr>
              <w:t>从项目背景、必要性、绘制农田水系一张网，农田沟渠整治一张图</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实施计划等方面，对所有投标人进行综合比较</w:t>
            </w:r>
            <w:r>
              <w:rPr>
                <w:rFonts w:hint="eastAsia" w:ascii="仿宋" w:hAnsi="仿宋" w:eastAsia="仿宋" w:cs="仿宋"/>
                <w:color w:val="auto"/>
                <w:highlight w:val="none"/>
                <w:lang w:eastAsia="zh-CN"/>
              </w:rPr>
              <w:t>：</w:t>
            </w:r>
          </w:p>
          <w:p w14:paraId="653589EF">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rPr>
            </w:pPr>
            <w:r>
              <w:rPr>
                <w:rFonts w:hint="eastAsia" w:ascii="仿宋" w:hAnsi="仿宋" w:eastAsia="仿宋" w:cs="仿宋"/>
                <w:color w:val="auto"/>
                <w:spacing w:val="0"/>
                <w:w w:val="100"/>
                <w:sz w:val="21"/>
                <w:highlight w:val="none"/>
              </w:rPr>
              <w:t>组织实施方案详细、完善、合理：得</w:t>
            </w:r>
            <w:r>
              <w:rPr>
                <w:rFonts w:hint="eastAsia" w:ascii="仿宋" w:hAnsi="仿宋" w:eastAsia="仿宋" w:cs="仿宋"/>
                <w:color w:val="auto"/>
                <w:spacing w:val="0"/>
                <w:w w:val="100"/>
                <w:sz w:val="21"/>
                <w:highlight w:val="none"/>
                <w:lang w:val="en-US" w:eastAsia="zh-CN"/>
              </w:rPr>
              <w:t>5</w:t>
            </w:r>
            <w:r>
              <w:rPr>
                <w:rFonts w:hint="eastAsia" w:ascii="仿宋" w:hAnsi="仿宋" w:eastAsia="仿宋" w:cs="仿宋"/>
                <w:color w:val="auto"/>
                <w:spacing w:val="0"/>
                <w:w w:val="100"/>
                <w:sz w:val="21"/>
                <w:highlight w:val="none"/>
              </w:rPr>
              <w:t>分；</w:t>
            </w:r>
          </w:p>
          <w:p w14:paraId="02C7B6B4">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rPr>
            </w:pPr>
            <w:r>
              <w:rPr>
                <w:rFonts w:hint="eastAsia" w:ascii="仿宋" w:hAnsi="仿宋" w:eastAsia="仿宋" w:cs="仿宋"/>
                <w:color w:val="auto"/>
                <w:spacing w:val="0"/>
                <w:w w:val="100"/>
                <w:sz w:val="21"/>
                <w:highlight w:val="none"/>
              </w:rPr>
              <w:t>组织实施方案较为详细：得</w:t>
            </w:r>
            <w:r>
              <w:rPr>
                <w:rFonts w:hint="eastAsia" w:ascii="仿宋" w:hAnsi="仿宋" w:eastAsia="仿宋" w:cs="仿宋"/>
                <w:color w:val="auto"/>
                <w:spacing w:val="0"/>
                <w:w w:val="100"/>
                <w:sz w:val="21"/>
                <w:highlight w:val="none"/>
                <w:lang w:val="en-US" w:eastAsia="zh-CN"/>
              </w:rPr>
              <w:t>3</w:t>
            </w:r>
            <w:r>
              <w:rPr>
                <w:rFonts w:hint="eastAsia" w:ascii="仿宋" w:hAnsi="仿宋" w:eastAsia="仿宋" w:cs="仿宋"/>
                <w:color w:val="auto"/>
                <w:spacing w:val="0"/>
                <w:w w:val="100"/>
                <w:sz w:val="21"/>
                <w:highlight w:val="none"/>
              </w:rPr>
              <w:t>分；</w:t>
            </w:r>
          </w:p>
          <w:p w14:paraId="4D4DBC4F">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rPr>
            </w:pPr>
            <w:r>
              <w:rPr>
                <w:rFonts w:hint="eastAsia" w:ascii="仿宋" w:hAnsi="仿宋" w:eastAsia="仿宋" w:cs="仿宋"/>
                <w:color w:val="auto"/>
                <w:spacing w:val="0"/>
                <w:w w:val="100"/>
                <w:sz w:val="21"/>
                <w:highlight w:val="none"/>
              </w:rPr>
              <w:t>组织实施方案不完善或合理性一般：得</w:t>
            </w:r>
            <w:r>
              <w:rPr>
                <w:rFonts w:hint="eastAsia" w:ascii="仿宋" w:hAnsi="仿宋" w:eastAsia="仿宋" w:cs="仿宋"/>
                <w:color w:val="auto"/>
                <w:spacing w:val="0"/>
                <w:w w:val="100"/>
                <w:sz w:val="21"/>
                <w:highlight w:val="none"/>
                <w:lang w:val="en-US" w:eastAsia="zh-CN"/>
              </w:rPr>
              <w:t>1</w:t>
            </w:r>
            <w:r>
              <w:rPr>
                <w:rFonts w:hint="eastAsia" w:ascii="仿宋" w:hAnsi="仿宋" w:eastAsia="仿宋" w:cs="仿宋"/>
                <w:color w:val="auto"/>
                <w:spacing w:val="0"/>
                <w:w w:val="100"/>
                <w:sz w:val="21"/>
                <w:highlight w:val="none"/>
              </w:rPr>
              <w:t>分；</w:t>
            </w:r>
          </w:p>
          <w:p w14:paraId="3A3B0A5D">
            <w:pPr>
              <w:pStyle w:val="25"/>
              <w:keepNext w:val="0"/>
              <w:keepLines w:val="0"/>
              <w:pageBreakBefore w:val="0"/>
              <w:widowControl w:val="0"/>
              <w:kinsoku/>
              <w:wordWrap/>
              <w:overflowPunct/>
              <w:topLinePunct w:val="0"/>
              <w:autoSpaceDE w:val="0"/>
              <w:autoSpaceDN w:val="0"/>
              <w:bidi w:val="0"/>
              <w:adjustRightInd/>
              <w:snapToGrid/>
              <w:spacing w:line="288" w:lineRule="auto"/>
              <w:ind w:left="10" w:leftChars="0"/>
              <w:textAlignment w:val="auto"/>
              <w:rPr>
                <w:rFonts w:hint="eastAsia" w:ascii="仿宋" w:hAnsi="仿宋" w:eastAsia="仿宋" w:cs="仿宋"/>
                <w:color w:val="auto"/>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p>
        </w:tc>
      </w:tr>
      <w:tr w14:paraId="686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6" w:type="dxa"/>
            <w:vMerge w:val="continue"/>
            <w:noWrap w:val="0"/>
            <w:vAlign w:val="center"/>
          </w:tcPr>
          <w:p w14:paraId="74AACEB2">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6CBF10C4">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49713D7A">
            <w:pPr>
              <w:keepNext w:val="0"/>
              <w:keepLines w:val="0"/>
              <w:pageBreakBefore w:val="0"/>
              <w:widowControl/>
              <w:kinsoku/>
              <w:wordWrap/>
              <w:overflowPunct/>
              <w:topLinePunct w:val="0"/>
              <w:bidi w:val="0"/>
              <w:spacing w:line="288"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Cs w:val="21"/>
                <w:highlight w:val="none"/>
              </w:rPr>
              <w:t>质量目标及保证措施（</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830" w:type="dxa"/>
            <w:noWrap w:val="0"/>
            <w:vAlign w:val="center"/>
          </w:tcPr>
          <w:p w14:paraId="31F52F43">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rPr>
            </w:pPr>
            <w:r>
              <w:rPr>
                <w:rFonts w:hint="eastAsia" w:ascii="仿宋" w:hAnsi="仿宋" w:eastAsia="仿宋" w:cs="仿宋"/>
                <w:color w:val="auto"/>
                <w:spacing w:val="0"/>
                <w:w w:val="100"/>
                <w:sz w:val="21"/>
                <w:highlight w:val="none"/>
              </w:rPr>
              <w:t>对</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pacing w:val="0"/>
                <w:w w:val="100"/>
                <w:sz w:val="21"/>
                <w:highlight w:val="none"/>
              </w:rPr>
              <w:t>针对本项目的质量保证措施、完善程度等方面进行</w:t>
            </w:r>
            <w:r>
              <w:rPr>
                <w:rFonts w:hint="eastAsia" w:ascii="仿宋" w:hAnsi="仿宋" w:eastAsia="仿宋" w:cs="仿宋"/>
                <w:color w:val="auto"/>
                <w:spacing w:val="0"/>
                <w:w w:val="100"/>
                <w:sz w:val="21"/>
                <w:highlight w:val="none"/>
                <w:lang w:eastAsia="zh-CN"/>
              </w:rPr>
              <w:t>酌情打分</w:t>
            </w:r>
            <w:r>
              <w:rPr>
                <w:rFonts w:hint="eastAsia" w:ascii="仿宋" w:hAnsi="仿宋" w:eastAsia="仿宋" w:cs="仿宋"/>
                <w:color w:val="auto"/>
                <w:spacing w:val="0"/>
                <w:w w:val="100"/>
                <w:sz w:val="21"/>
                <w:highlight w:val="none"/>
              </w:rPr>
              <w:t>：</w:t>
            </w:r>
          </w:p>
          <w:p w14:paraId="6E904FF9">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方案详细、合理，方便快捷</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rPr>
              <w:t>得</w:t>
            </w:r>
            <w:r>
              <w:rPr>
                <w:rFonts w:hint="eastAsia" w:ascii="仿宋" w:hAnsi="仿宋" w:eastAsia="仿宋" w:cs="仿宋"/>
                <w:color w:val="auto"/>
                <w:spacing w:val="0"/>
                <w:w w:val="100"/>
                <w:sz w:val="21"/>
                <w:highlight w:val="none"/>
                <w:lang w:val="en-US" w:eastAsia="zh-CN"/>
              </w:rPr>
              <w:t>10</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33D44772">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方案较为合理，方便快捷，得</w:t>
            </w:r>
            <w:r>
              <w:rPr>
                <w:rFonts w:hint="eastAsia" w:ascii="仿宋" w:hAnsi="仿宋" w:eastAsia="仿宋" w:cs="仿宋"/>
                <w:color w:val="auto"/>
                <w:spacing w:val="0"/>
                <w:w w:val="100"/>
                <w:sz w:val="21"/>
                <w:highlight w:val="none"/>
                <w:lang w:val="en-US" w:eastAsia="zh-CN"/>
              </w:rPr>
              <w:t>8</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71685C85">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方案一般，服务及时性一般</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lang w:val="en-US" w:eastAsia="zh-CN"/>
              </w:rPr>
              <w:t>得6分</w:t>
            </w:r>
            <w:r>
              <w:rPr>
                <w:rFonts w:hint="eastAsia" w:ascii="仿宋" w:hAnsi="仿宋" w:eastAsia="仿宋" w:cs="仿宋"/>
                <w:color w:val="auto"/>
                <w:spacing w:val="0"/>
                <w:w w:val="100"/>
                <w:sz w:val="21"/>
                <w:highlight w:val="none"/>
                <w:lang w:eastAsia="zh-CN"/>
              </w:rPr>
              <w:t>；</w:t>
            </w:r>
          </w:p>
          <w:p w14:paraId="2356C773">
            <w:pPr>
              <w:pStyle w:val="25"/>
              <w:keepNext w:val="0"/>
              <w:keepLines w:val="0"/>
              <w:pageBreakBefore w:val="0"/>
              <w:widowControl w:val="0"/>
              <w:kinsoku/>
              <w:wordWrap/>
              <w:overflowPunct/>
              <w:topLinePunct w:val="0"/>
              <w:autoSpaceDE w:val="0"/>
              <w:autoSpaceDN w:val="0"/>
              <w:bidi w:val="0"/>
              <w:adjustRightInd/>
              <w:snapToGrid/>
              <w:spacing w:line="288" w:lineRule="auto"/>
              <w:ind w:left="10" w:left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p>
        </w:tc>
      </w:tr>
      <w:tr w14:paraId="20A9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6" w:type="dxa"/>
            <w:vMerge w:val="continue"/>
            <w:noWrap w:val="0"/>
            <w:vAlign w:val="center"/>
          </w:tcPr>
          <w:p w14:paraId="6EBFAA1A">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063DCDCA">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1B1DEB5A">
            <w:pPr>
              <w:keepNext w:val="0"/>
              <w:keepLines w:val="0"/>
              <w:pageBreakBefore w:val="0"/>
              <w:widowControl/>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人员岗位责任制度（</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830" w:type="dxa"/>
            <w:noWrap w:val="0"/>
            <w:vAlign w:val="center"/>
          </w:tcPr>
          <w:p w14:paraId="172A5D19">
            <w:pPr>
              <w:keepNext w:val="0"/>
              <w:keepLines w:val="0"/>
              <w:pageBreakBefore w:val="0"/>
              <w:widowControl/>
              <w:kinsoku/>
              <w:wordWrap/>
              <w:overflowPunct/>
              <w:topLinePunct w:val="0"/>
              <w:bidi w:val="0"/>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针对人员岗位责任制度进行综合评价</w:t>
            </w:r>
            <w:r>
              <w:rPr>
                <w:rFonts w:hint="eastAsia" w:ascii="仿宋" w:hAnsi="仿宋" w:eastAsia="仿宋" w:cs="仿宋"/>
                <w:color w:val="auto"/>
                <w:highlight w:val="none"/>
                <w:lang w:eastAsia="zh-CN"/>
              </w:rPr>
              <w:t>：</w:t>
            </w:r>
          </w:p>
          <w:p w14:paraId="79DB30D7">
            <w:pPr>
              <w:keepNext w:val="0"/>
              <w:keepLines w:val="0"/>
              <w:pageBreakBefore w:val="0"/>
              <w:widowControl/>
              <w:kinsoku/>
              <w:wordWrap/>
              <w:overflowPunct/>
              <w:topLinePunct w:val="0"/>
              <w:bidi w:val="0"/>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人员分工明确，岗位职责清晰：</w:t>
            </w:r>
            <w:r>
              <w:rPr>
                <w:rFonts w:hint="eastAsia" w:ascii="仿宋" w:hAnsi="仿宋" w:eastAsia="仿宋" w:cs="仿宋"/>
                <w:color w:val="auto"/>
                <w:highlight w:val="none"/>
                <w:lang w:val="zh-CN"/>
              </w:rPr>
              <w:t>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2A6B8528">
            <w:pPr>
              <w:keepNext w:val="0"/>
              <w:keepLines w:val="0"/>
              <w:pageBreakBefore w:val="0"/>
              <w:widowControl/>
              <w:kinsoku/>
              <w:wordWrap/>
              <w:overflowPunct/>
              <w:topLinePunct w:val="0"/>
              <w:bidi w:val="0"/>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人员分工、岗位职责划分较为合理：</w:t>
            </w:r>
            <w:r>
              <w:rPr>
                <w:rFonts w:hint="eastAsia" w:ascii="仿宋" w:hAnsi="仿宋" w:eastAsia="仿宋" w:cs="仿宋"/>
                <w:color w:val="auto"/>
                <w:highlight w:val="none"/>
                <w:lang w:val="zh-CN"/>
              </w:rPr>
              <w:t>得</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560EA379">
            <w:pPr>
              <w:keepNext w:val="0"/>
              <w:keepLines w:val="0"/>
              <w:pageBreakBefore w:val="0"/>
              <w:widowControl/>
              <w:kinsoku/>
              <w:wordWrap/>
              <w:overflowPunct/>
              <w:topLinePunct w:val="0"/>
              <w:bidi w:val="0"/>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人员分工、岗位职责划分合理性一般：</w:t>
            </w:r>
            <w:r>
              <w:rPr>
                <w:rFonts w:hint="eastAsia" w:ascii="仿宋" w:hAnsi="仿宋" w:eastAsia="仿宋" w:cs="仿宋"/>
                <w:color w:val="auto"/>
                <w:highlight w:val="none"/>
                <w:lang w:val="zh-CN"/>
              </w:rPr>
              <w:t>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65B155D5">
            <w:pPr>
              <w:pStyle w:val="7"/>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p>
        </w:tc>
      </w:tr>
      <w:tr w14:paraId="2F9D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6" w:type="dxa"/>
            <w:vMerge w:val="continue"/>
            <w:noWrap w:val="0"/>
            <w:vAlign w:val="center"/>
          </w:tcPr>
          <w:p w14:paraId="7CEEA119">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5FDD5356">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5F98FCC2">
            <w:pPr>
              <w:keepNext w:val="0"/>
              <w:keepLines w:val="0"/>
              <w:pageBreakBefore w:val="0"/>
              <w:widowControl/>
              <w:kinsoku/>
              <w:wordWrap/>
              <w:overflowPunct/>
              <w:topLinePunct w:val="0"/>
              <w:bidi w:val="0"/>
              <w:snapToGrid/>
              <w:spacing w:line="288"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进度保证措</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施（</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830" w:type="dxa"/>
            <w:noWrap w:val="0"/>
            <w:vAlign w:val="center"/>
          </w:tcPr>
          <w:p w14:paraId="050C140A">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针对供应商提供的进度保证措施</w:t>
            </w:r>
            <w:r>
              <w:rPr>
                <w:rFonts w:hint="eastAsia" w:ascii="仿宋" w:hAnsi="仿宋" w:eastAsia="仿宋" w:cs="仿宋"/>
                <w:color w:val="auto"/>
                <w:kern w:val="0"/>
                <w:sz w:val="21"/>
                <w:szCs w:val="24"/>
                <w:highlight w:val="none"/>
              </w:rPr>
              <w:t>合理性、可行性</w:t>
            </w:r>
            <w:r>
              <w:rPr>
                <w:rFonts w:hint="eastAsia" w:ascii="仿宋" w:hAnsi="仿宋" w:eastAsia="仿宋" w:cs="仿宋"/>
                <w:color w:val="auto"/>
                <w:sz w:val="21"/>
                <w:szCs w:val="24"/>
                <w:highlight w:val="none"/>
              </w:rPr>
              <w:t>进行综合评价：</w:t>
            </w:r>
          </w:p>
          <w:p w14:paraId="7D1EFEC5">
            <w:pPr>
              <w:pStyle w:val="25"/>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方案详细、合理</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rPr>
              <w:t>得</w:t>
            </w:r>
            <w:r>
              <w:rPr>
                <w:rFonts w:hint="eastAsia" w:ascii="仿宋" w:hAnsi="仿宋" w:eastAsia="仿宋" w:cs="仿宋"/>
                <w:color w:val="auto"/>
                <w:spacing w:val="0"/>
                <w:w w:val="100"/>
                <w:sz w:val="21"/>
                <w:highlight w:val="none"/>
                <w:lang w:val="en-US" w:eastAsia="zh-CN"/>
              </w:rPr>
              <w:t>10</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0575F4C9">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方案较为合理，得</w:t>
            </w:r>
            <w:r>
              <w:rPr>
                <w:rFonts w:hint="eastAsia" w:ascii="仿宋" w:hAnsi="仿宋" w:eastAsia="仿宋" w:cs="仿宋"/>
                <w:color w:val="auto"/>
                <w:spacing w:val="0"/>
                <w:w w:val="100"/>
                <w:sz w:val="21"/>
                <w:highlight w:val="none"/>
                <w:lang w:val="en-US" w:eastAsia="zh-CN"/>
              </w:rPr>
              <w:t>8</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39B6677E">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方案一般</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lang w:val="en-US" w:eastAsia="zh-CN"/>
              </w:rPr>
              <w:t>得6分</w:t>
            </w:r>
            <w:r>
              <w:rPr>
                <w:rFonts w:hint="eastAsia" w:ascii="仿宋" w:hAnsi="仿宋" w:eastAsia="仿宋" w:cs="仿宋"/>
                <w:color w:val="auto"/>
                <w:spacing w:val="0"/>
                <w:w w:val="100"/>
                <w:sz w:val="21"/>
                <w:highlight w:val="none"/>
                <w:lang w:eastAsia="zh-CN"/>
              </w:rPr>
              <w:t>；</w:t>
            </w:r>
          </w:p>
          <w:p w14:paraId="7CE20692">
            <w:pPr>
              <w:pStyle w:val="15"/>
              <w:keepNext w:val="0"/>
              <w:keepLines w:val="0"/>
              <w:pageBreakBefore w:val="0"/>
              <w:widowControl/>
              <w:suppressLineNumbers w:val="0"/>
              <w:kinsoku/>
              <w:wordWrap/>
              <w:overflowPunct/>
              <w:topLinePunct w:val="0"/>
              <w:bidi w:val="0"/>
              <w:spacing w:beforeAutospacing="0" w:after="0" w:afterAutospacing="0" w:line="288" w:lineRule="auto"/>
              <w:ind w:right="0" w:rightChars="0"/>
              <w:jc w:val="left"/>
              <w:textAlignment w:val="auto"/>
              <w:rPr>
                <w:rFonts w:hint="eastAsia" w:ascii="仿宋" w:hAnsi="仿宋" w:eastAsia="仿宋" w:cs="仿宋"/>
                <w:color w:val="auto"/>
                <w:kern w:val="0"/>
                <w:sz w:val="18"/>
                <w:szCs w:val="21"/>
                <w:highlight w:val="none"/>
                <w:lang w:val="en-US" w:eastAsia="zh-CN" w:bidi="ar-SA"/>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p>
        </w:tc>
      </w:tr>
      <w:tr w14:paraId="6460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76" w:type="dxa"/>
            <w:vMerge w:val="continue"/>
            <w:noWrap w:val="0"/>
            <w:vAlign w:val="center"/>
          </w:tcPr>
          <w:p w14:paraId="6B9B8879">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19217446">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6AC16A44">
            <w:pPr>
              <w:keepNext w:val="0"/>
              <w:keepLines w:val="0"/>
              <w:pageBreakBefore w:val="0"/>
              <w:widowControl/>
              <w:kinsoku/>
              <w:wordWrap/>
              <w:overflowPunct/>
              <w:topLinePunct w:val="0"/>
              <w:bidi w:val="0"/>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建立系统完整沟渠台账</w:t>
            </w:r>
          </w:p>
          <w:p w14:paraId="56B6A81F">
            <w:pPr>
              <w:keepNext w:val="0"/>
              <w:keepLines w:val="0"/>
              <w:pageBreakBefore w:val="0"/>
              <w:widowControl/>
              <w:kinsoku/>
              <w:wordWrap/>
              <w:overflowPunct/>
              <w:topLinePunct w:val="0"/>
              <w:bidi w:val="0"/>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10分</w:t>
            </w:r>
            <w:r>
              <w:rPr>
                <w:rFonts w:hint="eastAsia" w:ascii="仿宋" w:hAnsi="仿宋" w:eastAsia="仿宋" w:cs="仿宋"/>
                <w:color w:val="auto"/>
                <w:szCs w:val="21"/>
                <w:highlight w:val="none"/>
                <w:lang w:eastAsia="zh-CN"/>
              </w:rPr>
              <w:t>）</w:t>
            </w:r>
          </w:p>
        </w:tc>
        <w:tc>
          <w:tcPr>
            <w:tcW w:w="5830" w:type="dxa"/>
            <w:noWrap w:val="0"/>
            <w:vAlign w:val="center"/>
          </w:tcPr>
          <w:p w14:paraId="438543F4">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eastAsia="zh-CN"/>
              </w:rPr>
              <w:t>以市（县）、镇（乡）、村三级分别建立台账，建立台账</w:t>
            </w:r>
            <w:r>
              <w:rPr>
                <w:rFonts w:hint="eastAsia" w:ascii="仿宋" w:hAnsi="仿宋" w:eastAsia="仿宋" w:cs="仿宋"/>
                <w:color w:val="auto"/>
                <w:szCs w:val="21"/>
                <w:highlight w:val="none"/>
                <w:lang w:val="en-US" w:eastAsia="zh-CN"/>
              </w:rPr>
              <w:t>保证措施有效、可行</w:t>
            </w:r>
            <w:r>
              <w:rPr>
                <w:rFonts w:hint="eastAsia" w:ascii="仿宋" w:hAnsi="仿宋" w:eastAsia="仿宋" w:cs="仿宋"/>
                <w:color w:val="auto"/>
                <w:szCs w:val="21"/>
                <w:highlight w:val="none"/>
                <w:lang w:val="zh-CN"/>
              </w:rPr>
              <w:t>；内容表达清晰而全面，进行综合比较：</w:t>
            </w:r>
          </w:p>
          <w:p w14:paraId="0361E976">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方案详细、合理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3B937E85">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方案较为合理，得</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0FAAF1EF">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方案一般</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得6分</w:t>
            </w:r>
            <w:r>
              <w:rPr>
                <w:rFonts w:hint="eastAsia" w:ascii="仿宋" w:hAnsi="仿宋" w:eastAsia="仿宋" w:cs="仿宋"/>
                <w:color w:val="auto"/>
                <w:szCs w:val="21"/>
                <w:highlight w:val="none"/>
                <w:lang w:eastAsia="zh-CN"/>
              </w:rPr>
              <w:t>；</w:t>
            </w:r>
          </w:p>
          <w:p w14:paraId="2B798FE0">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未</w:t>
            </w:r>
            <w:r>
              <w:rPr>
                <w:rFonts w:hint="eastAsia" w:ascii="仿宋" w:hAnsi="仿宋" w:eastAsia="仿宋" w:cs="仿宋"/>
                <w:color w:val="auto"/>
                <w:szCs w:val="21"/>
                <w:highlight w:val="none"/>
              </w:rPr>
              <w:t>提供不得分。</w:t>
            </w:r>
          </w:p>
        </w:tc>
      </w:tr>
      <w:tr w14:paraId="05D8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76" w:type="dxa"/>
            <w:vMerge w:val="continue"/>
            <w:noWrap w:val="0"/>
            <w:vAlign w:val="center"/>
          </w:tcPr>
          <w:p w14:paraId="458A005B">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3C032861">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2D35B3C7">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安全管理体系与措施（</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830" w:type="dxa"/>
            <w:noWrap w:val="0"/>
            <w:vAlign w:val="center"/>
          </w:tcPr>
          <w:p w14:paraId="37A504EB">
            <w:pPr>
              <w:keepNext w:val="0"/>
              <w:keepLines w:val="0"/>
              <w:pageBreakBefore w:val="0"/>
              <w:widowControl/>
              <w:kinsoku/>
              <w:wordWrap/>
              <w:overflowPunct/>
              <w:topLinePunct w:val="0"/>
              <w:bidi w:val="0"/>
              <w:adjustRightInd/>
              <w:snapToGrid/>
              <w:spacing w:line="288" w:lineRule="auto"/>
              <w:jc w:val="lef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安全管理体系保证措施全面，有效且合理，现场的安全部署情况，安全意识宣传的措施等；内容表达清晰而全面；进行综合比较：</w:t>
            </w:r>
          </w:p>
          <w:p w14:paraId="2057F737">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方案详细、合理</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rPr>
              <w:t>得</w:t>
            </w:r>
            <w:r>
              <w:rPr>
                <w:rFonts w:hint="eastAsia" w:ascii="仿宋" w:hAnsi="仿宋" w:eastAsia="仿宋" w:cs="仿宋"/>
                <w:color w:val="auto"/>
                <w:spacing w:val="0"/>
                <w:w w:val="100"/>
                <w:sz w:val="21"/>
                <w:highlight w:val="none"/>
                <w:lang w:val="en-US" w:eastAsia="zh-CN"/>
              </w:rPr>
              <w:t>10</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090D10B3">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方案较为合理，得</w:t>
            </w:r>
            <w:r>
              <w:rPr>
                <w:rFonts w:hint="eastAsia" w:ascii="仿宋" w:hAnsi="仿宋" w:eastAsia="仿宋" w:cs="仿宋"/>
                <w:color w:val="auto"/>
                <w:spacing w:val="0"/>
                <w:w w:val="100"/>
                <w:sz w:val="21"/>
                <w:highlight w:val="none"/>
                <w:lang w:val="en-US" w:eastAsia="zh-CN"/>
              </w:rPr>
              <w:t>8</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6B75F897">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方案一般</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lang w:val="en-US" w:eastAsia="zh-CN"/>
              </w:rPr>
              <w:t>得6分</w:t>
            </w:r>
            <w:r>
              <w:rPr>
                <w:rFonts w:hint="eastAsia" w:ascii="仿宋" w:hAnsi="仿宋" w:eastAsia="仿宋" w:cs="仿宋"/>
                <w:color w:val="auto"/>
                <w:spacing w:val="0"/>
                <w:w w:val="100"/>
                <w:sz w:val="21"/>
                <w:highlight w:val="none"/>
                <w:lang w:eastAsia="zh-CN"/>
              </w:rPr>
              <w:t>；</w:t>
            </w:r>
          </w:p>
          <w:p w14:paraId="387C4922">
            <w:pPr>
              <w:keepNext w:val="0"/>
              <w:keepLines w:val="0"/>
              <w:pageBreakBefore w:val="0"/>
              <w:widowControl/>
              <w:kinsoku/>
              <w:wordWrap/>
              <w:overflowPunct/>
              <w:topLinePunct w:val="0"/>
              <w:bidi w:val="0"/>
              <w:adjustRightInd/>
              <w:snapToGrid/>
              <w:spacing w:line="288" w:lineRule="auto"/>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p>
        </w:tc>
      </w:tr>
      <w:tr w14:paraId="0CC6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76" w:type="dxa"/>
            <w:vMerge w:val="continue"/>
            <w:noWrap w:val="0"/>
            <w:vAlign w:val="center"/>
          </w:tcPr>
          <w:p w14:paraId="418171E3">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5166CDE2">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5302D533">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紧急情况处理措施（</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830" w:type="dxa"/>
            <w:noWrap w:val="0"/>
            <w:vAlign w:val="center"/>
          </w:tcPr>
          <w:p w14:paraId="2E4A15EF">
            <w:pPr>
              <w:keepNext w:val="0"/>
              <w:keepLines w:val="0"/>
              <w:pageBreakBefore w:val="0"/>
              <w:widowControl/>
              <w:kinsoku/>
              <w:wordWrap/>
              <w:overflowPunct/>
              <w:topLinePunct w:val="0"/>
              <w:bidi w:val="0"/>
              <w:adjustRightInd/>
              <w:snapToGrid/>
              <w:spacing w:line="288" w:lineRule="auto"/>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针对</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highlight w:val="none"/>
              </w:rPr>
              <w:t>提供的紧急情况下，面对突发恶劣天气及意外情况的处理措施进行综合评价</w:t>
            </w:r>
            <w:r>
              <w:rPr>
                <w:rFonts w:hint="eastAsia" w:ascii="仿宋" w:hAnsi="仿宋" w:eastAsia="仿宋" w:cs="仿宋"/>
                <w:color w:val="auto"/>
                <w:highlight w:val="none"/>
                <w:lang w:eastAsia="zh-CN"/>
              </w:rPr>
              <w:t>：</w:t>
            </w:r>
          </w:p>
          <w:p w14:paraId="020908C2">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方案详细、合理</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rPr>
              <w:t>得</w:t>
            </w:r>
            <w:r>
              <w:rPr>
                <w:rFonts w:hint="eastAsia" w:ascii="仿宋" w:hAnsi="仿宋" w:eastAsia="仿宋" w:cs="仿宋"/>
                <w:color w:val="auto"/>
                <w:spacing w:val="0"/>
                <w:w w:val="100"/>
                <w:sz w:val="21"/>
                <w:highlight w:val="none"/>
                <w:lang w:val="en-US" w:eastAsia="zh-CN"/>
              </w:rPr>
              <w:t>10</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77AE50FE">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方案较为合理，得</w:t>
            </w:r>
            <w:r>
              <w:rPr>
                <w:rFonts w:hint="eastAsia" w:ascii="仿宋" w:hAnsi="仿宋" w:eastAsia="仿宋" w:cs="仿宋"/>
                <w:color w:val="auto"/>
                <w:spacing w:val="0"/>
                <w:w w:val="100"/>
                <w:sz w:val="21"/>
                <w:highlight w:val="none"/>
                <w:lang w:val="en-US" w:eastAsia="zh-CN"/>
              </w:rPr>
              <w:t>8</w:t>
            </w:r>
            <w:r>
              <w:rPr>
                <w:rFonts w:hint="eastAsia" w:ascii="仿宋" w:hAnsi="仿宋" w:eastAsia="仿宋" w:cs="仿宋"/>
                <w:color w:val="auto"/>
                <w:spacing w:val="0"/>
                <w:w w:val="100"/>
                <w:sz w:val="21"/>
                <w:highlight w:val="none"/>
              </w:rPr>
              <w:t>分</w:t>
            </w:r>
            <w:r>
              <w:rPr>
                <w:rFonts w:hint="eastAsia" w:ascii="仿宋" w:hAnsi="仿宋" w:eastAsia="仿宋" w:cs="仿宋"/>
                <w:color w:val="auto"/>
                <w:spacing w:val="0"/>
                <w:w w:val="100"/>
                <w:sz w:val="21"/>
                <w:highlight w:val="none"/>
                <w:lang w:eastAsia="zh-CN"/>
              </w:rPr>
              <w:t>；</w:t>
            </w:r>
          </w:p>
          <w:p w14:paraId="45DDAE5A">
            <w:pPr>
              <w:pStyle w:val="25"/>
              <w:keepNext w:val="0"/>
              <w:keepLines w:val="0"/>
              <w:pageBreakBefore w:val="0"/>
              <w:widowControl w:val="0"/>
              <w:kinsoku/>
              <w:wordWrap/>
              <w:overflowPunct/>
              <w:topLinePunct w:val="0"/>
              <w:autoSpaceDE w:val="0"/>
              <w:autoSpaceDN w:val="0"/>
              <w:bidi w:val="0"/>
              <w:adjustRightInd/>
              <w:snapToGrid/>
              <w:spacing w:line="288" w:lineRule="auto"/>
              <w:ind w:left="10"/>
              <w:textAlignment w:val="auto"/>
              <w:rPr>
                <w:rFonts w:hint="eastAsia" w:ascii="仿宋" w:hAnsi="仿宋" w:eastAsia="仿宋" w:cs="仿宋"/>
                <w:color w:val="auto"/>
                <w:spacing w:val="0"/>
                <w:w w:val="100"/>
                <w:sz w:val="21"/>
                <w:highlight w:val="none"/>
                <w:lang w:eastAsia="zh-CN"/>
              </w:rPr>
            </w:pPr>
            <w:r>
              <w:rPr>
                <w:rFonts w:hint="eastAsia" w:ascii="仿宋" w:hAnsi="仿宋" w:eastAsia="仿宋" w:cs="仿宋"/>
                <w:color w:val="auto"/>
                <w:spacing w:val="0"/>
                <w:w w:val="100"/>
                <w:sz w:val="21"/>
                <w:highlight w:val="none"/>
              </w:rPr>
              <w:t>方案一般</w:t>
            </w:r>
            <w:r>
              <w:rPr>
                <w:rFonts w:hint="eastAsia" w:ascii="仿宋" w:hAnsi="仿宋" w:eastAsia="仿宋" w:cs="仿宋"/>
                <w:color w:val="auto"/>
                <w:spacing w:val="0"/>
                <w:w w:val="100"/>
                <w:sz w:val="21"/>
                <w:highlight w:val="none"/>
                <w:lang w:eastAsia="zh-CN"/>
              </w:rPr>
              <w:t>，</w:t>
            </w:r>
            <w:r>
              <w:rPr>
                <w:rFonts w:hint="eastAsia" w:ascii="仿宋" w:hAnsi="仿宋" w:eastAsia="仿宋" w:cs="仿宋"/>
                <w:color w:val="auto"/>
                <w:spacing w:val="0"/>
                <w:w w:val="100"/>
                <w:sz w:val="21"/>
                <w:highlight w:val="none"/>
                <w:lang w:val="en-US" w:eastAsia="zh-CN"/>
              </w:rPr>
              <w:t>得6分</w:t>
            </w:r>
            <w:r>
              <w:rPr>
                <w:rFonts w:hint="eastAsia" w:ascii="仿宋" w:hAnsi="仿宋" w:eastAsia="仿宋" w:cs="仿宋"/>
                <w:color w:val="auto"/>
                <w:spacing w:val="0"/>
                <w:w w:val="100"/>
                <w:sz w:val="21"/>
                <w:highlight w:val="none"/>
                <w:lang w:eastAsia="zh-CN"/>
              </w:rPr>
              <w:t>；</w:t>
            </w:r>
          </w:p>
          <w:p w14:paraId="271AE2D1">
            <w:pPr>
              <w:pStyle w:val="7"/>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r>
              <w:rPr>
                <w:rFonts w:hint="eastAsia" w:ascii="仿宋" w:hAnsi="仿宋" w:eastAsia="仿宋" w:cs="仿宋"/>
                <w:color w:val="auto"/>
                <w:spacing w:val="0"/>
                <w:w w:val="100"/>
                <w:sz w:val="21"/>
                <w:highlight w:val="none"/>
                <w:lang w:eastAsia="zh-CN"/>
              </w:rPr>
              <w:t>。</w:t>
            </w:r>
          </w:p>
        </w:tc>
      </w:tr>
      <w:tr w14:paraId="468C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6" w:type="dxa"/>
            <w:noWrap w:val="0"/>
            <w:vAlign w:val="center"/>
          </w:tcPr>
          <w:p w14:paraId="45BA481C">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2.2.3（3）</w:t>
            </w:r>
          </w:p>
        </w:tc>
        <w:tc>
          <w:tcPr>
            <w:tcW w:w="1082" w:type="dxa"/>
            <w:noWrap w:val="0"/>
            <w:vAlign w:val="center"/>
          </w:tcPr>
          <w:p w14:paraId="361D4811">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投标报价评分标准</w:t>
            </w:r>
          </w:p>
          <w:p w14:paraId="25F7ACE4">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1560" w:type="dxa"/>
            <w:noWrap w:val="0"/>
            <w:vAlign w:val="center"/>
          </w:tcPr>
          <w:p w14:paraId="7BDD69E8">
            <w:pPr>
              <w:keepNext w:val="0"/>
              <w:keepLines w:val="0"/>
              <w:pageBreakBefore w:val="0"/>
              <w:kinsoku/>
              <w:wordWrap/>
              <w:overflowPunct/>
              <w:topLinePunct w:val="0"/>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BFF6E12">
            <w:pPr>
              <w:keepNext w:val="0"/>
              <w:keepLines w:val="0"/>
              <w:pageBreakBefore w:val="0"/>
              <w:kinsoku/>
              <w:wordWrap/>
              <w:overflowPunct/>
              <w:topLinePunct w:val="0"/>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5830" w:type="dxa"/>
            <w:noWrap w:val="0"/>
            <w:vAlign w:val="center"/>
          </w:tcPr>
          <w:p w14:paraId="130FCD1F">
            <w:pPr>
              <w:keepNext w:val="0"/>
              <w:keepLines w:val="0"/>
              <w:pageBreakBefore w:val="0"/>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1、取通过初步评审合格的有效投标报价最低价为评标基准价，其价格分为满分</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分。其他投标人价格分按下列公式计算：投标报价得分=（评标基准价/投标报价）*价格权重*100</w:t>
            </w:r>
          </w:p>
          <w:p w14:paraId="3EDA57EB">
            <w:pPr>
              <w:keepNext w:val="0"/>
              <w:keepLines w:val="0"/>
              <w:pageBreakBefore w:val="0"/>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价格权重=</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p>
          <w:p w14:paraId="6A3B5C90">
            <w:pPr>
              <w:keepNext w:val="0"/>
              <w:keepLines w:val="0"/>
              <w:pageBreakBefore w:val="0"/>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2、对于纳入环境标志产品政府采购清单的投标产品，按其在总报价中所占的比例给予3%的价格加分。</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本项目不适用</w:t>
            </w:r>
            <w:r>
              <w:rPr>
                <w:rFonts w:hint="eastAsia" w:ascii="仿宋" w:hAnsi="仿宋" w:eastAsia="仿宋" w:cs="仿宋"/>
                <w:b/>
                <w:bCs/>
                <w:color w:val="auto"/>
                <w:szCs w:val="21"/>
                <w:highlight w:val="none"/>
                <w:lang w:eastAsia="zh-CN"/>
              </w:rPr>
              <w:t>）</w:t>
            </w:r>
          </w:p>
          <w:p w14:paraId="7AD905B1">
            <w:pPr>
              <w:keepNext w:val="0"/>
              <w:keepLines w:val="0"/>
              <w:pageBreakBefore w:val="0"/>
              <w:kinsoku/>
              <w:wordWrap/>
              <w:overflowPunct/>
              <w:topLinePunct w:val="0"/>
              <w:bidi w:val="0"/>
              <w:adjustRightInd/>
              <w:snapToGrid/>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3、对于纳入节能产品政府采购清单的投标产品，按其在总报价中所占的比例给予3%的价格加分。</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本项目不适用</w:t>
            </w:r>
            <w:r>
              <w:rPr>
                <w:rFonts w:hint="eastAsia" w:ascii="仿宋" w:hAnsi="仿宋" w:eastAsia="仿宋" w:cs="仿宋"/>
                <w:b/>
                <w:bCs/>
                <w:color w:val="auto"/>
                <w:szCs w:val="21"/>
                <w:highlight w:val="none"/>
                <w:lang w:eastAsia="zh-CN"/>
              </w:rPr>
              <w:t>）</w:t>
            </w:r>
          </w:p>
          <w:p w14:paraId="235CED37">
            <w:pPr>
              <w:keepNext w:val="0"/>
              <w:keepLines w:val="0"/>
              <w:pageBreakBefore w:val="0"/>
              <w:kinsoku/>
              <w:wordWrap/>
              <w:overflowPunct/>
              <w:topLinePunct w:val="0"/>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注：投标产品同时纳入节能产品政府采购清单、环境标志产品政府采购清单的，将上述规定的价格分加分比例分分别叠加后计算价格加分。（投标人须提供在有效期内的认证证书及相应证明材料）</w:t>
            </w:r>
          </w:p>
        </w:tc>
      </w:tr>
      <w:tr w14:paraId="4AB3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6" w:type="dxa"/>
            <w:vMerge w:val="restart"/>
            <w:noWrap w:val="0"/>
            <w:vAlign w:val="center"/>
          </w:tcPr>
          <w:p w14:paraId="7B0ED5B5">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2.2.3（4）</w:t>
            </w:r>
          </w:p>
        </w:tc>
        <w:tc>
          <w:tcPr>
            <w:tcW w:w="1082" w:type="dxa"/>
            <w:vMerge w:val="restart"/>
            <w:noWrap w:val="0"/>
            <w:vAlign w:val="center"/>
          </w:tcPr>
          <w:p w14:paraId="5168683C">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其他因素评分标准（</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1560" w:type="dxa"/>
            <w:noWrap w:val="0"/>
            <w:vAlign w:val="center"/>
          </w:tcPr>
          <w:p w14:paraId="67A8C9CE">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优惠条件</w:t>
            </w:r>
          </w:p>
          <w:p w14:paraId="6075A2F6">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5830" w:type="dxa"/>
            <w:noWrap w:val="0"/>
            <w:vAlign w:val="center"/>
          </w:tcPr>
          <w:p w14:paraId="60301CD3">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综合比较各</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zCs w:val="21"/>
                <w:highlight w:val="none"/>
              </w:rPr>
              <w:t>的优惠条件</w:t>
            </w:r>
            <w:r>
              <w:rPr>
                <w:rFonts w:hint="eastAsia" w:ascii="仿宋" w:hAnsi="仿宋" w:eastAsia="仿宋" w:cs="仿宋"/>
                <w:color w:val="auto"/>
                <w:szCs w:val="21"/>
                <w:highlight w:val="none"/>
                <w:lang w:eastAsia="zh-CN"/>
              </w:rPr>
              <w:t>：</w:t>
            </w:r>
          </w:p>
          <w:p w14:paraId="313277A4">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优惠条件全面详尽、科学合理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得5分</w:t>
            </w:r>
            <w:r>
              <w:rPr>
                <w:rFonts w:hint="eastAsia" w:ascii="仿宋" w:hAnsi="仿宋" w:eastAsia="仿宋" w:cs="仿宋"/>
                <w:color w:val="auto"/>
                <w:szCs w:val="21"/>
                <w:highlight w:val="none"/>
                <w:lang w:eastAsia="zh-CN"/>
              </w:rPr>
              <w:t>；</w:t>
            </w:r>
          </w:p>
          <w:p w14:paraId="25DCAD93">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基本合理、可行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得</w:t>
            </w:r>
            <w:r>
              <w:rPr>
                <w:rFonts w:hint="eastAsia" w:ascii="仿宋" w:hAnsi="仿宋" w:eastAsia="仿宋" w:cs="仿宋"/>
                <w:color w:val="auto"/>
                <w:szCs w:val="21"/>
                <w:highlight w:val="none"/>
              </w:rPr>
              <w:t>3分</w:t>
            </w:r>
            <w:r>
              <w:rPr>
                <w:rFonts w:hint="eastAsia" w:ascii="仿宋" w:hAnsi="仿宋" w:eastAsia="仿宋" w:cs="仿宋"/>
                <w:color w:val="auto"/>
                <w:szCs w:val="21"/>
                <w:highlight w:val="none"/>
                <w:lang w:eastAsia="zh-CN"/>
              </w:rPr>
              <w:t>；</w:t>
            </w:r>
          </w:p>
          <w:p w14:paraId="45F4FC27">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内容较少</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得1分</w:t>
            </w:r>
            <w:r>
              <w:rPr>
                <w:rFonts w:hint="eastAsia" w:ascii="仿宋" w:hAnsi="仿宋" w:eastAsia="仿宋" w:cs="仿宋"/>
                <w:color w:val="auto"/>
                <w:szCs w:val="21"/>
                <w:highlight w:val="none"/>
                <w:lang w:eastAsia="zh-CN"/>
              </w:rPr>
              <w:t>；</w:t>
            </w:r>
          </w:p>
          <w:p w14:paraId="4584B89A">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r>
              <w:rPr>
                <w:rFonts w:hint="eastAsia" w:ascii="仿宋" w:hAnsi="仿宋" w:eastAsia="仿宋" w:cs="仿宋"/>
                <w:color w:val="auto"/>
                <w:spacing w:val="0"/>
                <w:w w:val="100"/>
                <w:sz w:val="21"/>
                <w:highlight w:val="none"/>
                <w:lang w:eastAsia="zh-CN"/>
              </w:rPr>
              <w:t>。</w:t>
            </w:r>
          </w:p>
        </w:tc>
      </w:tr>
      <w:tr w14:paraId="0EED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6" w:type="dxa"/>
            <w:vMerge w:val="continue"/>
            <w:noWrap w:val="0"/>
            <w:vAlign w:val="center"/>
          </w:tcPr>
          <w:p w14:paraId="0A7D051B">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Cs w:val="21"/>
                <w:highlight w:val="none"/>
              </w:rPr>
            </w:pPr>
          </w:p>
        </w:tc>
        <w:tc>
          <w:tcPr>
            <w:tcW w:w="1082" w:type="dxa"/>
            <w:vMerge w:val="continue"/>
            <w:noWrap w:val="0"/>
            <w:vAlign w:val="center"/>
          </w:tcPr>
          <w:p w14:paraId="4C239EAF">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Cs w:val="21"/>
                <w:highlight w:val="none"/>
              </w:rPr>
            </w:pPr>
          </w:p>
        </w:tc>
        <w:tc>
          <w:tcPr>
            <w:tcW w:w="1560" w:type="dxa"/>
            <w:noWrap w:val="0"/>
            <w:vAlign w:val="center"/>
          </w:tcPr>
          <w:p w14:paraId="39C6B4BD">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服务承诺</w:t>
            </w:r>
          </w:p>
          <w:p w14:paraId="57CDD821">
            <w:pPr>
              <w:keepNext w:val="0"/>
              <w:keepLines w:val="0"/>
              <w:pageBreakBefore w:val="0"/>
              <w:widowControl/>
              <w:kinsoku/>
              <w:wordWrap/>
              <w:overflowPunct/>
              <w:topLinePunct w:val="0"/>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5830" w:type="dxa"/>
            <w:noWrap w:val="0"/>
            <w:vAlign w:val="center"/>
          </w:tcPr>
          <w:p w14:paraId="5DD2085F">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综合比较各</w:t>
            </w:r>
            <w:r>
              <w:rPr>
                <w:rFonts w:hint="eastAsia" w:ascii="仿宋" w:hAnsi="仿宋" w:eastAsia="仿宋" w:cs="仿宋"/>
                <w:color w:val="auto"/>
                <w:spacing w:val="0"/>
                <w:w w:val="100"/>
                <w:sz w:val="21"/>
                <w:szCs w:val="21"/>
                <w:highlight w:val="none"/>
                <w:lang w:val="en-US" w:eastAsia="zh-CN"/>
              </w:rPr>
              <w:t>投标人</w:t>
            </w:r>
            <w:r>
              <w:rPr>
                <w:rFonts w:hint="eastAsia" w:ascii="仿宋" w:hAnsi="仿宋" w:eastAsia="仿宋" w:cs="仿宋"/>
                <w:color w:val="auto"/>
                <w:szCs w:val="21"/>
                <w:highlight w:val="none"/>
              </w:rPr>
              <w:t>的服务承诺</w:t>
            </w:r>
            <w:r>
              <w:rPr>
                <w:rFonts w:hint="eastAsia" w:ascii="仿宋" w:hAnsi="仿宋" w:eastAsia="仿宋" w:cs="仿宋"/>
                <w:color w:val="auto"/>
                <w:szCs w:val="21"/>
                <w:highlight w:val="none"/>
                <w:lang w:eastAsia="zh-CN"/>
              </w:rPr>
              <w:t>：</w:t>
            </w:r>
          </w:p>
          <w:p w14:paraId="73B1544D">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服务承诺</w:t>
            </w:r>
            <w:r>
              <w:rPr>
                <w:rFonts w:hint="eastAsia" w:ascii="仿宋" w:hAnsi="仿宋" w:eastAsia="仿宋" w:cs="仿宋"/>
                <w:color w:val="auto"/>
                <w:szCs w:val="21"/>
                <w:highlight w:val="none"/>
              </w:rPr>
              <w:t>全面详尽、科学合理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得5分</w:t>
            </w:r>
            <w:r>
              <w:rPr>
                <w:rFonts w:hint="eastAsia" w:ascii="仿宋" w:hAnsi="仿宋" w:eastAsia="仿宋" w:cs="仿宋"/>
                <w:color w:val="auto"/>
                <w:szCs w:val="21"/>
                <w:highlight w:val="none"/>
                <w:lang w:eastAsia="zh-CN"/>
              </w:rPr>
              <w:t>；</w:t>
            </w:r>
          </w:p>
          <w:p w14:paraId="32BE78A4">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基本合理、可行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得</w:t>
            </w:r>
            <w:r>
              <w:rPr>
                <w:rFonts w:hint="eastAsia" w:ascii="仿宋" w:hAnsi="仿宋" w:eastAsia="仿宋" w:cs="仿宋"/>
                <w:color w:val="auto"/>
                <w:szCs w:val="21"/>
                <w:highlight w:val="none"/>
              </w:rPr>
              <w:t>3分</w:t>
            </w:r>
            <w:r>
              <w:rPr>
                <w:rFonts w:hint="eastAsia" w:ascii="仿宋" w:hAnsi="仿宋" w:eastAsia="仿宋" w:cs="仿宋"/>
                <w:color w:val="auto"/>
                <w:szCs w:val="21"/>
                <w:highlight w:val="none"/>
                <w:lang w:eastAsia="zh-CN"/>
              </w:rPr>
              <w:t>；</w:t>
            </w:r>
          </w:p>
          <w:p w14:paraId="7019CB51">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内容较少</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得1分</w:t>
            </w:r>
            <w:r>
              <w:rPr>
                <w:rFonts w:hint="eastAsia" w:ascii="仿宋" w:hAnsi="仿宋" w:eastAsia="仿宋" w:cs="仿宋"/>
                <w:color w:val="auto"/>
                <w:szCs w:val="21"/>
                <w:highlight w:val="none"/>
                <w:lang w:eastAsia="zh-CN"/>
              </w:rPr>
              <w:t>；</w:t>
            </w:r>
          </w:p>
          <w:p w14:paraId="33F99D77">
            <w:pPr>
              <w:keepNext w:val="0"/>
              <w:keepLines w:val="0"/>
              <w:pageBreakBefore w:val="0"/>
              <w:widowControl/>
              <w:kinsoku/>
              <w:wordWrap/>
              <w:overflowPunct/>
              <w:topLinePunct w:val="0"/>
              <w:bidi w:val="0"/>
              <w:adjustRightInd/>
              <w:snapToGrid/>
              <w:spacing w:line="288" w:lineRule="auto"/>
              <w:textAlignment w:val="auto"/>
              <w:rPr>
                <w:rFonts w:hint="eastAsia" w:ascii="仿宋" w:hAnsi="仿宋" w:eastAsia="仿宋" w:cs="仿宋"/>
                <w:color w:val="auto"/>
                <w:szCs w:val="21"/>
                <w:highlight w:val="none"/>
              </w:rPr>
            </w:pPr>
            <w:r>
              <w:rPr>
                <w:rFonts w:hint="eastAsia" w:ascii="仿宋" w:hAnsi="仿宋" w:eastAsia="仿宋" w:cs="仿宋"/>
                <w:color w:val="auto"/>
                <w:spacing w:val="0"/>
                <w:w w:val="100"/>
                <w:sz w:val="21"/>
                <w:highlight w:val="none"/>
                <w:lang w:eastAsia="zh-CN"/>
              </w:rPr>
              <w:t>未</w:t>
            </w:r>
            <w:r>
              <w:rPr>
                <w:rFonts w:hint="eastAsia" w:ascii="仿宋" w:hAnsi="仿宋" w:eastAsia="仿宋" w:cs="仿宋"/>
                <w:color w:val="auto"/>
                <w:spacing w:val="0"/>
                <w:w w:val="100"/>
                <w:sz w:val="21"/>
                <w:highlight w:val="none"/>
              </w:rPr>
              <w:t>提供不得分</w:t>
            </w:r>
            <w:r>
              <w:rPr>
                <w:rFonts w:hint="eastAsia" w:ascii="仿宋" w:hAnsi="仿宋" w:eastAsia="仿宋" w:cs="仿宋"/>
                <w:color w:val="auto"/>
                <w:spacing w:val="0"/>
                <w:w w:val="100"/>
                <w:sz w:val="21"/>
                <w:highlight w:val="none"/>
                <w:lang w:eastAsia="zh-CN"/>
              </w:rPr>
              <w:t>。</w:t>
            </w:r>
          </w:p>
        </w:tc>
      </w:tr>
    </w:tbl>
    <w:p w14:paraId="78F58B62">
      <w:pPr>
        <w:spacing w:line="288" w:lineRule="auto"/>
        <w:jc w:val="left"/>
        <w:rPr>
          <w:rFonts w:hint="eastAsia" w:ascii="仿宋" w:hAnsi="仿宋" w:eastAsia="仿宋" w:cs="仿宋"/>
          <w:color w:val="auto"/>
          <w:sz w:val="24"/>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1. 评标方法</w:t>
      </w:r>
    </w:p>
    <w:p w14:paraId="51F4B844">
      <w:pPr>
        <w:spacing w:line="288" w:lineRule="auto"/>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本次评标采用综合评分法。评标委员会对满足</w:t>
      </w:r>
      <w:r>
        <w:rPr>
          <w:rFonts w:hint="eastAsia" w:ascii="仿宋" w:hAnsi="仿宋" w:eastAsia="仿宋" w:cs="仿宋"/>
          <w:bCs/>
          <w:color w:val="auto"/>
          <w:szCs w:val="21"/>
          <w:highlight w:val="none"/>
        </w:rPr>
        <w:t>采购</w:t>
      </w:r>
      <w:r>
        <w:rPr>
          <w:rFonts w:hint="eastAsia" w:ascii="仿宋" w:hAnsi="仿宋" w:eastAsia="仿宋" w:cs="仿宋"/>
          <w:color w:val="auto"/>
          <w:szCs w:val="21"/>
          <w:highlight w:val="none"/>
        </w:rPr>
        <w:t>文件实质性要求的投标文件，按照本章第 2.2 款规定的评分标准进行打分，并按得分由高到低顺序推荐中标候选人，或根据</w:t>
      </w:r>
      <w:r>
        <w:rPr>
          <w:rFonts w:hint="eastAsia" w:ascii="仿宋" w:hAnsi="仿宋" w:eastAsia="仿宋" w:cs="仿宋"/>
          <w:bCs/>
          <w:color w:val="auto"/>
          <w:szCs w:val="21"/>
          <w:highlight w:val="none"/>
        </w:rPr>
        <w:t>采购</w:t>
      </w:r>
      <w:r>
        <w:rPr>
          <w:rFonts w:hint="eastAsia" w:ascii="仿宋" w:hAnsi="仿宋" w:eastAsia="仿宋" w:cs="仿宋"/>
          <w:color w:val="auto"/>
          <w:szCs w:val="21"/>
          <w:highlight w:val="none"/>
        </w:rPr>
        <w:t>人授权直接确定中标人，但投标报价低于其成本的除外。综合评分相等时，以投标报价低的优先；投标报价也相等的，以服务方案得分高的优先；如果服务方案得分也相等，以资信业绩得分高的优先；资信业绩得分也相等，以其他评分因素得分高的优先</w:t>
      </w:r>
      <w:r>
        <w:rPr>
          <w:rFonts w:hint="eastAsia" w:ascii="仿宋" w:hAnsi="仿宋" w:eastAsia="仿宋" w:cs="仿宋"/>
          <w:color w:val="auto"/>
          <w:szCs w:val="21"/>
          <w:highlight w:val="none"/>
          <w:lang w:eastAsia="zh-CN"/>
        </w:rPr>
        <w:t>。</w:t>
      </w:r>
    </w:p>
    <w:p w14:paraId="0C18C3D3">
      <w:pPr>
        <w:numPr>
          <w:ilvl w:val="0"/>
          <w:numId w:val="3"/>
        </w:numPr>
        <w:tabs>
          <w:tab w:val="left" w:pos="400"/>
          <w:tab w:val="clear" w:pos="720"/>
        </w:tabs>
        <w:overflowPunct w:val="0"/>
        <w:spacing w:line="288" w:lineRule="auto"/>
        <w:ind w:left="400" w:hanging="4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评审标准</w:t>
      </w:r>
    </w:p>
    <w:p w14:paraId="1086A8D4">
      <w:pPr>
        <w:tabs>
          <w:tab w:val="left" w:pos="620"/>
        </w:tabs>
        <w:overflowPunct w:val="0"/>
        <w:spacing w:line="288"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2.1 初步评审标准</w:t>
      </w:r>
    </w:p>
    <w:p w14:paraId="7E679E11">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 形式评审标准：见评标办法前附表。</w:t>
      </w:r>
    </w:p>
    <w:p w14:paraId="0EF3FCCD">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2.1.2资格评审标准：见评标办法前附表。</w:t>
      </w:r>
    </w:p>
    <w:p w14:paraId="3C5B7D31">
      <w:pPr>
        <w:spacing w:line="288"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2.1.3响应性评审标准：见评标办法前附表。</w:t>
      </w:r>
    </w:p>
    <w:p w14:paraId="1361582E">
      <w:pPr>
        <w:tabs>
          <w:tab w:val="left" w:pos="620"/>
        </w:tabs>
        <w:overflowPunct w:val="0"/>
        <w:spacing w:line="288"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2.2 分值构成与评分标准</w:t>
      </w:r>
    </w:p>
    <w:p w14:paraId="4687701D">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 分值构成</w:t>
      </w:r>
    </w:p>
    <w:p w14:paraId="1D798B18">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（1）资信业绩部分：见评标办法前附表；</w:t>
      </w:r>
    </w:p>
    <w:p w14:paraId="4F2AF208">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（2）服务方案部分：见评标办法前附表；</w:t>
      </w:r>
    </w:p>
    <w:p w14:paraId="19F8FC26">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（3）投标报价部分：见评标办法前附表；</w:t>
      </w:r>
    </w:p>
    <w:p w14:paraId="0ED3DCAD">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（4）其他评分因素：见评标办法前附表；</w:t>
      </w:r>
    </w:p>
    <w:p w14:paraId="48389161">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2.2.2评标基准价计算评标基准价计算方法：见评标办法前附表。</w:t>
      </w:r>
    </w:p>
    <w:p w14:paraId="7CEAFC43">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 评分标准</w:t>
      </w:r>
    </w:p>
    <w:p w14:paraId="517EA45D">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（1）资信业绩部分：见评标办法前附表；</w:t>
      </w:r>
    </w:p>
    <w:p w14:paraId="6F57232E">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（2）服务方案部分：见评标办法前附表；</w:t>
      </w:r>
    </w:p>
    <w:p w14:paraId="2CE49C83">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（3）投标报价部分：见评标办法前附表；</w:t>
      </w:r>
    </w:p>
    <w:p w14:paraId="37E91E34">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（4）其他评分因素：见评标办法前附表；</w:t>
      </w:r>
    </w:p>
    <w:p w14:paraId="2990FDC7">
      <w:pPr>
        <w:numPr>
          <w:ilvl w:val="0"/>
          <w:numId w:val="4"/>
        </w:numPr>
        <w:tabs>
          <w:tab w:val="left" w:pos="400"/>
          <w:tab w:val="clear" w:pos="720"/>
        </w:tabs>
        <w:overflowPunct w:val="0"/>
        <w:spacing w:line="288" w:lineRule="auto"/>
        <w:ind w:left="400" w:hanging="4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评标程序</w:t>
      </w:r>
    </w:p>
    <w:p w14:paraId="1390BC68">
      <w:pPr>
        <w:numPr>
          <w:ilvl w:val="1"/>
          <w:numId w:val="4"/>
        </w:numPr>
        <w:tabs>
          <w:tab w:val="left" w:pos="620"/>
        </w:tabs>
        <w:overflowPunct w:val="0"/>
        <w:spacing w:line="288" w:lineRule="auto"/>
        <w:ind w:left="620" w:hanging="483"/>
        <w:rPr>
          <w:rFonts w:hint="eastAsia" w:ascii="仿宋" w:hAnsi="仿宋" w:eastAsia="仿宋" w:cs="仿宋"/>
          <w:color w:val="auto"/>
          <w:sz w:val="28"/>
          <w:highlight w:val="none"/>
        </w:rPr>
      </w:pPr>
      <w:r>
        <w:rPr>
          <w:rFonts w:hint="eastAsia" w:ascii="仿宋" w:hAnsi="仿宋" w:eastAsia="仿宋" w:cs="仿宋"/>
          <w:color w:val="auto"/>
          <w:sz w:val="28"/>
          <w:highlight w:val="none"/>
        </w:rPr>
        <w:t>初步评审</w:t>
      </w:r>
    </w:p>
    <w:p w14:paraId="40B294A7">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78F051AC">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 投标人有以下情形之一的，评标委员会应当否决其投标：</w:t>
      </w:r>
    </w:p>
    <w:p w14:paraId="77EB6184">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（1）投标文件没有对采购文件的实质性要求和条件作出响应，或者对</w:t>
      </w:r>
      <w:r>
        <w:rPr>
          <w:rFonts w:hint="eastAsia" w:ascii="仿宋" w:hAnsi="仿宋" w:eastAsia="仿宋" w:cs="仿宋"/>
          <w:bCs/>
          <w:color w:val="auto"/>
          <w:szCs w:val="21"/>
          <w:highlight w:val="none"/>
        </w:rPr>
        <w:t>采购</w:t>
      </w:r>
      <w:r>
        <w:rPr>
          <w:rFonts w:hint="eastAsia" w:ascii="仿宋" w:hAnsi="仿宋" w:eastAsia="仿宋" w:cs="仿宋"/>
          <w:color w:val="auto"/>
          <w:szCs w:val="21"/>
          <w:highlight w:val="none"/>
        </w:rPr>
        <w:t>文件的偏差超出采购文件规定的偏差范围或最高项数；</w:t>
      </w:r>
    </w:p>
    <w:p w14:paraId="0004D142">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（2）有串通投标、弄虚作假、行贿等违法行为。</w:t>
      </w:r>
    </w:p>
    <w:p w14:paraId="554F98E0">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14:paraId="3E05E476">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（1）投标文件中的大写金额与小写金额不一致的，以大写金额为准；</w:t>
      </w:r>
    </w:p>
    <w:p w14:paraId="5B0EA579">
      <w:pPr>
        <w:spacing w:line="288" w:lineRule="auto"/>
        <w:ind w:firstLine="420" w:firstLineChars="200"/>
        <w:jc w:val="left"/>
        <w:rPr>
          <w:rFonts w:hint="eastAsia" w:ascii="仿宋" w:hAnsi="仿宋" w:eastAsia="仿宋" w:cs="仿宋"/>
          <w:color w:val="auto"/>
          <w:sz w:val="20"/>
          <w:highlight w:val="none"/>
        </w:rPr>
      </w:pPr>
      <w:r>
        <w:rPr>
          <w:rFonts w:hint="eastAsia" w:ascii="仿宋" w:hAnsi="仿宋" w:eastAsia="仿宋" w:cs="仿宋"/>
          <w:color w:val="auto"/>
          <w:szCs w:val="21"/>
          <w:highlight w:val="none"/>
        </w:rPr>
        <w:t>（2）总价金额与单价金额不一致的，以单价金额为准，但单价金额小数点有明显错误的除外。</w:t>
      </w:r>
    </w:p>
    <w:p w14:paraId="7B65537A">
      <w:pPr>
        <w:numPr>
          <w:ilvl w:val="0"/>
          <w:numId w:val="5"/>
        </w:numPr>
        <w:tabs>
          <w:tab w:val="left" w:pos="620"/>
          <w:tab w:val="clear" w:pos="720"/>
        </w:tabs>
        <w:overflowPunct w:val="0"/>
        <w:spacing w:line="288" w:lineRule="auto"/>
        <w:ind w:left="620" w:hanging="483"/>
        <w:rPr>
          <w:rFonts w:hint="eastAsia" w:ascii="仿宋" w:hAnsi="仿宋" w:eastAsia="仿宋" w:cs="仿宋"/>
          <w:color w:val="auto"/>
          <w:sz w:val="28"/>
          <w:highlight w:val="none"/>
        </w:rPr>
      </w:pPr>
      <w:r>
        <w:rPr>
          <w:rFonts w:hint="eastAsia" w:ascii="仿宋" w:hAnsi="仿宋" w:eastAsia="仿宋" w:cs="仿宋"/>
          <w:color w:val="auto"/>
          <w:sz w:val="28"/>
          <w:highlight w:val="none"/>
        </w:rPr>
        <w:t>详细评审</w:t>
      </w:r>
    </w:p>
    <w:p w14:paraId="0C9BEE06">
      <w:pPr>
        <w:tabs>
          <w:tab w:val="left" w:pos="946"/>
          <w:tab w:val="left" w:pos="1440"/>
        </w:tabs>
        <w:overflowPunct w:val="0"/>
        <w:spacing w:line="369" w:lineRule="auto"/>
        <w:ind w:left="420"/>
        <w:jc w:val="left"/>
        <w:rPr>
          <w:rFonts w:hint="eastAsia" w:ascii="仿宋" w:hAnsi="仿宋" w:eastAsia="仿宋" w:cs="仿宋"/>
          <w:color w:val="auto"/>
          <w:highlight w:val="none"/>
        </w:rPr>
      </w:pPr>
      <w:r>
        <w:rPr>
          <w:rFonts w:hint="eastAsia" w:ascii="仿宋" w:hAnsi="仿宋" w:eastAsia="仿宋" w:cs="仿宋"/>
          <w:color w:val="auto"/>
          <w:highlight w:val="none"/>
        </w:rPr>
        <w:t>3.2.1评标委员会按本章第 2.2 款规定的量化因素和分值进行打分，并计算出综合评估得分。（1）按本章第 2.2.3（1）目规定的评审因素和分值对资信业绩部分计算出得分 A；</w:t>
      </w:r>
    </w:p>
    <w:p w14:paraId="23142DFA">
      <w:pPr>
        <w:tabs>
          <w:tab w:val="left" w:pos="946"/>
        </w:tabs>
        <w:overflowPunct w:val="0"/>
        <w:spacing w:line="369" w:lineRule="auto"/>
        <w:ind w:left="417" w:leftChars="199"/>
        <w:jc w:val="left"/>
        <w:rPr>
          <w:rFonts w:hint="eastAsia" w:ascii="仿宋" w:hAnsi="仿宋" w:eastAsia="仿宋" w:cs="仿宋"/>
          <w:color w:val="auto"/>
          <w:highlight w:val="none"/>
        </w:rPr>
      </w:pPr>
      <w:r>
        <w:rPr>
          <w:rFonts w:hint="eastAsia" w:ascii="仿宋" w:hAnsi="仿宋" w:eastAsia="仿宋" w:cs="仿宋"/>
          <w:color w:val="auto"/>
          <w:highlight w:val="none"/>
        </w:rPr>
        <w:t>（2）按本章第 2.2.3（2）目规定的评审因素和分值对服务方案部分计算出得分 B；</w:t>
      </w:r>
    </w:p>
    <w:p w14:paraId="396935EC">
      <w:pPr>
        <w:tabs>
          <w:tab w:val="left" w:pos="946"/>
        </w:tabs>
        <w:overflowPunct w:val="0"/>
        <w:spacing w:line="369" w:lineRule="auto"/>
        <w:ind w:left="417" w:leftChars="199"/>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按本章第 2.2.3（3）目规定的评审因素和分值对投标报价计算出得分 C；</w:t>
      </w:r>
    </w:p>
    <w:p w14:paraId="0286757E">
      <w:pPr>
        <w:numPr>
          <w:ilvl w:val="0"/>
          <w:numId w:val="0"/>
        </w:numPr>
        <w:tabs>
          <w:tab w:val="left" w:pos="946"/>
        </w:tabs>
        <w:overflowPunct w:val="0"/>
        <w:spacing w:line="369" w:lineRule="auto"/>
        <w:ind w:left="420" w:leftChars="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按本章第 2.2.3（4）目规定的评审因素和分值对其他部分计算出得分 D。</w:t>
      </w:r>
    </w:p>
    <w:p w14:paraId="051AED83">
      <w:pPr>
        <w:spacing w:line="12" w:lineRule="exact"/>
        <w:jc w:val="left"/>
        <w:rPr>
          <w:rFonts w:hint="eastAsia" w:ascii="仿宋" w:hAnsi="仿宋" w:eastAsia="仿宋" w:cs="仿宋"/>
          <w:color w:val="auto"/>
          <w:highlight w:val="none"/>
        </w:rPr>
      </w:pPr>
    </w:p>
    <w:p w14:paraId="280B2516">
      <w:pPr>
        <w:tabs>
          <w:tab w:val="left" w:pos="940"/>
          <w:tab w:val="left" w:pos="1440"/>
        </w:tabs>
        <w:overflowPunct w:val="0"/>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3.2.2评分分值计算保留小数点后两位，小数点后第三位“四舍五入”。</w:t>
      </w:r>
    </w:p>
    <w:p w14:paraId="3480C98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3.2.3 得分汇总E</w:t>
      </w:r>
      <w:r>
        <w:rPr>
          <w:rFonts w:hint="eastAsia" w:ascii="仿宋" w:hAnsi="仿宋" w:eastAsia="仿宋" w:cs="仿宋"/>
          <w:color w:val="auto"/>
          <w:sz w:val="28"/>
          <w:szCs w:val="28"/>
          <w:highlight w:val="none"/>
          <w:vertAlign w:val="subscript"/>
          <w:lang w:val="en-US" w:eastAsia="zh-CN"/>
        </w:rPr>
        <w:t>n</w:t>
      </w:r>
      <w:r>
        <w:rPr>
          <w:rFonts w:hint="eastAsia" w:ascii="仿宋" w:hAnsi="仿宋" w:eastAsia="仿宋" w:cs="仿宋"/>
          <w:color w:val="auto"/>
          <w:highlight w:val="none"/>
        </w:rPr>
        <w:t>=A+B+C+D。</w:t>
      </w:r>
    </w:p>
    <w:p w14:paraId="6896CEF6">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3.2.4 投标人得分E=（</w:t>
      </w:r>
      <w:r>
        <w:rPr>
          <w:rFonts w:hint="eastAsia" w:ascii="仿宋" w:hAnsi="仿宋" w:eastAsia="仿宋" w:cs="仿宋"/>
          <w:color w:val="auto"/>
          <w:sz w:val="21"/>
          <w:szCs w:val="21"/>
          <w:highlight w:val="none"/>
          <w:vertAlign w:val="baseline"/>
        </w:rPr>
        <w:t>E</w:t>
      </w:r>
      <w:r>
        <w:rPr>
          <w:rFonts w:hint="eastAsia" w:ascii="仿宋" w:hAnsi="仿宋" w:eastAsia="仿宋" w:cs="仿宋"/>
          <w:b w:val="0"/>
          <w:bCs w:val="0"/>
          <w:color w:val="auto"/>
          <w:sz w:val="28"/>
          <w:szCs w:val="28"/>
          <w:highlight w:val="none"/>
          <w:vertAlign w:val="subscript"/>
        </w:rPr>
        <w:t>1</w:t>
      </w:r>
      <w:r>
        <w:rPr>
          <w:rFonts w:hint="eastAsia" w:ascii="仿宋" w:hAnsi="仿宋" w:eastAsia="仿宋" w:cs="仿宋"/>
          <w:color w:val="auto"/>
          <w:sz w:val="21"/>
          <w:szCs w:val="21"/>
          <w:highlight w:val="none"/>
          <w:vertAlign w:val="baseline"/>
        </w:rPr>
        <w:t>+E</w:t>
      </w:r>
      <w:r>
        <w:rPr>
          <w:rFonts w:hint="eastAsia" w:ascii="仿宋" w:hAnsi="仿宋" w:eastAsia="仿宋" w:cs="仿宋"/>
          <w:b w:val="0"/>
          <w:bCs w:val="0"/>
          <w:color w:val="auto"/>
          <w:sz w:val="28"/>
          <w:szCs w:val="28"/>
          <w:highlight w:val="none"/>
          <w:vertAlign w:val="subscript"/>
        </w:rPr>
        <w:t>2</w:t>
      </w:r>
      <w:r>
        <w:rPr>
          <w:rFonts w:hint="eastAsia" w:ascii="仿宋" w:hAnsi="仿宋" w:eastAsia="仿宋" w:cs="仿宋"/>
          <w:color w:val="auto"/>
          <w:sz w:val="21"/>
          <w:szCs w:val="21"/>
          <w:highlight w:val="none"/>
          <w:vertAlign w:val="baseline"/>
        </w:rPr>
        <w:t>+E</w:t>
      </w:r>
      <w:r>
        <w:rPr>
          <w:rFonts w:hint="eastAsia" w:ascii="仿宋" w:hAnsi="仿宋" w:eastAsia="仿宋" w:cs="仿宋"/>
          <w:b w:val="0"/>
          <w:bCs w:val="0"/>
          <w:color w:val="auto"/>
          <w:sz w:val="28"/>
          <w:szCs w:val="28"/>
          <w:highlight w:val="none"/>
          <w:vertAlign w:val="subscript"/>
        </w:rPr>
        <w:t>3</w:t>
      </w:r>
      <w:r>
        <w:rPr>
          <w:rFonts w:hint="eastAsia" w:ascii="仿宋" w:hAnsi="仿宋" w:eastAsia="仿宋" w:cs="仿宋"/>
          <w:color w:val="auto"/>
          <w:sz w:val="21"/>
          <w:szCs w:val="21"/>
          <w:highlight w:val="none"/>
          <w:vertAlign w:val="baseline"/>
        </w:rPr>
        <w:t>+E</w:t>
      </w:r>
      <w:r>
        <w:rPr>
          <w:rFonts w:hint="eastAsia" w:ascii="仿宋" w:hAnsi="仿宋" w:eastAsia="仿宋" w:cs="仿宋"/>
          <w:b w:val="0"/>
          <w:bCs w:val="0"/>
          <w:color w:val="auto"/>
          <w:sz w:val="28"/>
          <w:szCs w:val="28"/>
          <w:highlight w:val="none"/>
          <w:vertAlign w:val="subscript"/>
        </w:rPr>
        <w:t>4</w:t>
      </w:r>
      <w:r>
        <w:rPr>
          <w:rFonts w:hint="eastAsia" w:ascii="仿宋" w:hAnsi="仿宋" w:eastAsia="仿宋" w:cs="仿宋"/>
          <w:color w:val="auto"/>
          <w:sz w:val="21"/>
          <w:szCs w:val="21"/>
          <w:highlight w:val="none"/>
          <w:vertAlign w:val="baseline"/>
        </w:rPr>
        <w:t>+E</w:t>
      </w:r>
      <w:r>
        <w:rPr>
          <w:rFonts w:hint="eastAsia" w:ascii="仿宋" w:hAnsi="仿宋" w:eastAsia="仿宋" w:cs="仿宋"/>
          <w:b w:val="0"/>
          <w:bCs w:val="0"/>
          <w:color w:val="auto"/>
          <w:sz w:val="28"/>
          <w:szCs w:val="28"/>
          <w:highlight w:val="none"/>
          <w:vertAlign w:val="subscript"/>
        </w:rPr>
        <w:t>5</w:t>
      </w:r>
      <w:r>
        <w:rPr>
          <w:rFonts w:hint="eastAsia" w:ascii="仿宋" w:hAnsi="仿宋" w:eastAsia="仿宋" w:cs="仿宋"/>
          <w:color w:val="auto"/>
          <w:highlight w:val="none"/>
        </w:rPr>
        <w:t>）/5</w:t>
      </w:r>
    </w:p>
    <w:p w14:paraId="04303AC1">
      <w:pPr>
        <w:spacing w:line="288" w:lineRule="auto"/>
        <w:ind w:firstLine="420" w:firstLineChars="200"/>
        <w:jc w:val="left"/>
        <w:rPr>
          <w:rFonts w:hint="eastAsia" w:ascii="仿宋" w:hAnsi="仿宋" w:eastAsia="仿宋" w:cs="仿宋"/>
          <w:color w:val="auto"/>
          <w:sz w:val="20"/>
          <w:highlight w:val="none"/>
        </w:rPr>
      </w:pPr>
      <w:r>
        <w:rPr>
          <w:rFonts w:hint="eastAsia" w:ascii="仿宋" w:hAnsi="仿宋" w:eastAsia="仿宋" w:cs="仿宋"/>
          <w:color w:val="auto"/>
          <w:szCs w:val="21"/>
          <w:highlight w:val="none"/>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CC9470B">
      <w:pPr>
        <w:numPr>
          <w:ilvl w:val="0"/>
          <w:numId w:val="5"/>
        </w:numPr>
        <w:tabs>
          <w:tab w:val="left" w:pos="620"/>
          <w:tab w:val="clear" w:pos="720"/>
        </w:tabs>
        <w:overflowPunct w:val="0"/>
        <w:spacing w:line="288" w:lineRule="auto"/>
        <w:ind w:left="620" w:hanging="483"/>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投标文件的澄清</w:t>
      </w:r>
    </w:p>
    <w:p w14:paraId="778B554D">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A0F5160">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 澄清、说明或补正不得超出投标文件的范围且不得改变投标文件的实质性内容，并构成投标文件的组成部分。</w:t>
      </w:r>
    </w:p>
    <w:p w14:paraId="1AB8C775">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评标委员会对投标人提交的澄清、说明或补正有疑问的，可以要求投标人进一步澄清、说明或补正，直至满足评标委员会的要求。</w:t>
      </w:r>
    </w:p>
    <w:p w14:paraId="71A8687D">
      <w:pPr>
        <w:numPr>
          <w:ilvl w:val="0"/>
          <w:numId w:val="6"/>
        </w:numPr>
        <w:tabs>
          <w:tab w:val="left" w:pos="620"/>
          <w:tab w:val="clear" w:pos="720"/>
        </w:tabs>
        <w:overflowPunct w:val="0"/>
        <w:spacing w:line="288" w:lineRule="auto"/>
        <w:ind w:left="620" w:hanging="483"/>
        <w:rPr>
          <w:rFonts w:hint="eastAsia" w:ascii="仿宋" w:hAnsi="仿宋" w:eastAsia="仿宋" w:cs="仿宋"/>
          <w:color w:val="auto"/>
          <w:sz w:val="28"/>
          <w:highlight w:val="none"/>
        </w:rPr>
      </w:pPr>
      <w:r>
        <w:rPr>
          <w:rFonts w:hint="eastAsia" w:ascii="仿宋" w:hAnsi="仿宋" w:eastAsia="仿宋" w:cs="仿宋"/>
          <w:color w:val="auto"/>
          <w:sz w:val="28"/>
          <w:highlight w:val="none"/>
        </w:rPr>
        <w:t>评标结果</w:t>
      </w:r>
    </w:p>
    <w:p w14:paraId="691DBC72">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 除第二章“投标人须知”前附表授权直接确定中标人外，评标委员会按照得分由高到低的顺序推荐中标人。</w:t>
      </w:r>
    </w:p>
    <w:p w14:paraId="458D5574">
      <w:pPr>
        <w:spacing w:line="288"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 评标委员会完成评标后，应当向</w:t>
      </w:r>
      <w:r>
        <w:rPr>
          <w:rFonts w:hint="eastAsia" w:ascii="仿宋" w:hAnsi="仿宋" w:eastAsia="仿宋" w:cs="仿宋"/>
          <w:bCs/>
          <w:color w:val="auto"/>
          <w:szCs w:val="21"/>
          <w:highlight w:val="none"/>
        </w:rPr>
        <w:t>采购</w:t>
      </w:r>
      <w:r>
        <w:rPr>
          <w:rFonts w:hint="eastAsia" w:ascii="仿宋" w:hAnsi="仿宋" w:eastAsia="仿宋" w:cs="仿宋"/>
          <w:color w:val="auto"/>
          <w:szCs w:val="21"/>
          <w:highlight w:val="none"/>
        </w:rPr>
        <w:t>人提交书面评标报告和中标人名单。</w:t>
      </w:r>
    </w:p>
    <w:p w14:paraId="2EC6E4C7">
      <w:pPr>
        <w:pStyle w:val="6"/>
        <w:spacing w:line="288" w:lineRule="auto"/>
        <w:ind w:left="0" w:leftChars="0" w:firstLine="421"/>
        <w:rPr>
          <w:rFonts w:hint="eastAsia" w:ascii="仿宋" w:hAnsi="仿宋" w:eastAsia="仿宋" w:cs="仿宋"/>
          <w:color w:val="auto"/>
          <w:szCs w:val="21"/>
          <w:highlight w:val="none"/>
        </w:rPr>
      </w:pPr>
      <w:r>
        <w:rPr>
          <w:rFonts w:hint="eastAsia" w:ascii="仿宋" w:hAnsi="仿宋" w:eastAsia="仿宋" w:cs="仿宋"/>
          <w:color w:val="auto"/>
          <w:szCs w:val="21"/>
          <w:highlight w:val="none"/>
        </w:rPr>
        <w:t>3.4.3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26159F6E">
      <w:pPr>
        <w:spacing w:line="312" w:lineRule="auto"/>
        <w:rPr>
          <w:rFonts w:hint="eastAsia" w:ascii="仿宋" w:hAnsi="仿宋" w:eastAsia="仿宋" w:cs="仿宋"/>
          <w:color w:val="auto"/>
          <w:szCs w:val="21"/>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Cs w:val="21"/>
          <w:highlight w:val="none"/>
        </w:rPr>
        <w:t>附件：</w:t>
      </w:r>
    </w:p>
    <w:p w14:paraId="3CEB7569">
      <w:pPr>
        <w:jc w:val="center"/>
        <w:rPr>
          <w:rFonts w:hint="eastAsia"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财政部 司法部关于政府采购支持监狱企业发展有关问题的通知</w:t>
      </w:r>
    </w:p>
    <w:p w14:paraId="0E066116">
      <w:pPr>
        <w:spacing w:line="360" w:lineRule="auto"/>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(财库〔2014〕68号)</w:t>
      </w:r>
    </w:p>
    <w:p w14:paraId="6BF8EF05">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8D5235F">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652F11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9654C1E">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0407F0E4">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169D1B0">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01D454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仿宋" w:hAnsi="仿宋" w:eastAsia="仿宋" w:cs="仿宋"/>
          <w:color w:val="auto"/>
          <w:szCs w:val="21"/>
          <w:highlight w:val="none"/>
        </w:rPr>
        <w:sectPr>
          <w:footerReference r:id="rId15" w:type="first"/>
          <w:footerReference r:id="rId14" w:type="default"/>
          <w:pgSz w:w="11906" w:h="16838"/>
          <w:pgMar w:top="1417" w:right="1417" w:bottom="1417" w:left="1417" w:header="851" w:footer="992" w:gutter="0"/>
          <w:pgNumType w:fmt="decimal"/>
          <w:cols w:space="720" w:num="1"/>
          <w:titlePg/>
          <w:docGrid w:type="linesAndChars" w:linePitch="312" w:charSpace="200"/>
        </w:sectPr>
      </w:pPr>
      <w:r>
        <w:rPr>
          <w:rFonts w:hint="eastAsia" w:ascii="仿宋" w:hAnsi="仿宋" w:eastAsia="仿宋" w:cs="仿宋"/>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6FCA43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关于促进残疾人就业政府采购政策的通知</w:t>
      </w:r>
    </w:p>
    <w:p w14:paraId="1089633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1"/>
          <w:szCs w:val="21"/>
          <w:highlight w:val="none"/>
        </w:rPr>
      </w:pPr>
      <w:bookmarkStart w:id="548" w:name="sendNo"/>
      <w:r>
        <w:rPr>
          <w:rFonts w:hint="eastAsia" w:ascii="仿宋" w:hAnsi="仿宋" w:eastAsia="仿宋" w:cs="仿宋"/>
          <w:b/>
          <w:bCs/>
          <w:color w:val="auto"/>
          <w:sz w:val="21"/>
          <w:szCs w:val="21"/>
          <w:highlight w:val="none"/>
          <w:shd w:val="clear" w:color="auto" w:fill="FFFFFF"/>
        </w:rPr>
        <w:t>财库〔</w:t>
      </w:r>
      <w:bookmarkEnd w:id="548"/>
      <w:r>
        <w:rPr>
          <w:rFonts w:hint="eastAsia" w:ascii="仿宋" w:hAnsi="仿宋" w:eastAsia="仿宋" w:cs="仿宋"/>
          <w:b/>
          <w:bCs/>
          <w:color w:val="auto"/>
          <w:sz w:val="21"/>
          <w:szCs w:val="21"/>
          <w:highlight w:val="none"/>
          <w:shd w:val="clear" w:color="auto" w:fill="FFFFFF"/>
        </w:rPr>
        <w:t>2017〕141号</w:t>
      </w:r>
    </w:p>
    <w:p w14:paraId="43EABC00">
      <w:pPr>
        <w:pStyle w:val="15"/>
        <w:snapToGrid/>
        <w:spacing w:line="360" w:lineRule="auto"/>
        <w:ind w:firstLine="420" w:firstLineChars="200"/>
        <w:jc w:val="both"/>
        <w:rPr>
          <w:rFonts w:hint="eastAsia" w:ascii="仿宋" w:hAnsi="仿宋" w:eastAsia="仿宋" w:cs="仿宋"/>
          <w:color w:val="auto"/>
          <w:sz w:val="21"/>
          <w:szCs w:val="21"/>
          <w:highlight w:val="none"/>
        </w:rPr>
      </w:pPr>
      <w:bookmarkStart w:id="549" w:name="toDeptId"/>
      <w:r>
        <w:rPr>
          <w:rFonts w:hint="eastAsia" w:ascii="仿宋" w:hAnsi="仿宋" w:eastAsia="仿宋" w:cs="仿宋"/>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49"/>
      <w:r>
        <w:rPr>
          <w:rFonts w:hint="eastAsia" w:ascii="仿宋" w:hAnsi="仿宋" w:eastAsia="仿宋" w:cs="仿宋"/>
          <w:color w:val="auto"/>
          <w:sz w:val="21"/>
          <w:szCs w:val="21"/>
          <w:highlight w:val="none"/>
          <w:shd w:val="clear" w:color="auto" w:fill="FFFFFF"/>
        </w:rPr>
        <w:t>：</w:t>
      </w:r>
    </w:p>
    <w:p w14:paraId="2591E95D">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BCD7018">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一、享受政府采购支持政策的残疾人福利性单位应当同时满足以下条件：</w:t>
      </w:r>
    </w:p>
    <w:p w14:paraId="6BB3368E">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（一）安置的残疾人占本单位在职职工人数的比例不低于25%（含25%），并且安置的残疾人人数不少于10人（含10人）；</w:t>
      </w:r>
    </w:p>
    <w:p w14:paraId="2A93C1D0">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（二）依法与安置的每位残疾人签订了一年以上（含一年）的劳动合同或服务协议；</w:t>
      </w:r>
    </w:p>
    <w:p w14:paraId="1FB3D503">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（三）为安置的每位残疾人按月足额缴纳了基本养老保险、基本医疗保险、失业保险、工伤保险和生育保险等社会保险费；</w:t>
      </w:r>
    </w:p>
    <w:p w14:paraId="32BE1ECC">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3D218F9D">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7A08EDA0">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2DB75D">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A08F6E4">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中标、成交投标人为残疾人福利性单位的，采购人或者其委托的采购代理机构应当随中标、成交结果同时公告其《残疾人福利性单位声明函》，接受社会监督。</w:t>
      </w:r>
    </w:p>
    <w:p w14:paraId="09D0E6A0">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投标人提供的《残疾人福利性单位声明函》与事实不符的，依照《政府采购法》第七十七条第一款的规定追究法律责任。</w:t>
      </w:r>
    </w:p>
    <w:p w14:paraId="024D08E4">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788594B">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12B6EEAB">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F80C000">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25A8AA">
      <w:pPr>
        <w:pStyle w:val="15"/>
        <w:snapToGrid/>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七、本通知自2017年10月1日起执行。</w:t>
      </w:r>
    </w:p>
    <w:p w14:paraId="01DEBA1C">
      <w:pPr>
        <w:snapToGrid/>
        <w:spacing w:line="312" w:lineRule="auto"/>
        <w:jc w:val="center"/>
        <w:rPr>
          <w:rFonts w:hint="eastAsia" w:ascii="仿宋" w:hAnsi="仿宋" w:eastAsia="仿宋" w:cs="仿宋"/>
          <w:b/>
          <w:color w:val="auto"/>
          <w:kern w:val="0"/>
          <w:sz w:val="28"/>
          <w:szCs w:val="28"/>
          <w:highlight w:val="none"/>
          <w:lang w:bidi="ar"/>
        </w:rPr>
        <w:sectPr>
          <w:footerReference r:id="rId17" w:type="first"/>
          <w:footerReference r:id="rId16" w:type="default"/>
          <w:pgSz w:w="11906" w:h="16838"/>
          <w:pgMar w:top="1417" w:right="1417" w:bottom="1417" w:left="1417" w:header="851" w:footer="992" w:gutter="0"/>
          <w:pgNumType w:fmt="decimal"/>
          <w:cols w:space="720" w:num="1"/>
          <w:titlePg/>
          <w:docGrid w:type="linesAndChars" w:linePitch="312" w:charSpace="200"/>
        </w:sectPr>
      </w:pPr>
    </w:p>
    <w:p w14:paraId="2B8309E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国家统计局关于印发《统计上大中小微型企业划分办法（2017）》的通知</w:t>
      </w:r>
    </w:p>
    <w:p w14:paraId="15BB8EE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各省、自治区、直辖市统计局，新疆生产建设兵团统计局，国务院各有关部门，国家统计局各调查总队：</w:t>
      </w:r>
    </w:p>
    <w:p w14:paraId="524A961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46CB53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附件：《统计上大中小微型企业划分办法（2017）》修订说明</w:t>
      </w:r>
    </w:p>
    <w:p w14:paraId="14D030FD">
      <w:pPr>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国家统计局  </w:t>
      </w:r>
    </w:p>
    <w:p w14:paraId="66867B81">
      <w:pPr>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2017年12月28日</w:t>
      </w:r>
    </w:p>
    <w:p w14:paraId="462A8FE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统计上大中小微型企业划分办法（2017）</w:t>
      </w:r>
    </w:p>
    <w:p w14:paraId="4BCA0E3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C3A808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二、本办法适用对象为在中华人民共和国境内依法设立的各种组织形式的法人企业或单位。个体工商户参照本办法进行划分。</w:t>
      </w:r>
    </w:p>
    <w:p w14:paraId="7553DC1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835D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6AE2C18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五、企业划分由政府综合统计部门根据统计年报每年确定一次，定报统计原则上不进行调整。</w:t>
      </w:r>
    </w:p>
    <w:p w14:paraId="5A135B2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六、本办法自印发之日起执行，国家统计局2011年印发的《统计上大中小微型企业划分办法》（国统字〔2011〕75号）同时废止。</w:t>
      </w:r>
    </w:p>
    <w:p w14:paraId="6058F57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《统计上大中小微型企业划分办法（2017）》修订说明</w:t>
      </w:r>
    </w:p>
    <w:p w14:paraId="6C0D66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一、修订背景</w:t>
      </w:r>
    </w:p>
    <w:p w14:paraId="148C253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8F8F89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91718A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二、修订主要内容</w:t>
      </w:r>
    </w:p>
    <w:p w14:paraId="7AE0014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5F4BF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将交通运输业中包括的“装卸搬运和运输代理业”修改为“多式联运和运输代理业、装卸搬运”。</w:t>
      </w:r>
    </w:p>
    <w:p w14:paraId="49E27593">
      <w:pPr>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仓储业所包括的行业中类，根据《国民经济行业分类》（GB/T 4754—2017）调整为“通用仓储，低温仓储，危险品仓储，谷物、棉花等农产品仓储，中药材仓储和其他仓储业”</w:t>
      </w:r>
      <w:r>
        <w:rPr>
          <w:rFonts w:hint="eastAsia" w:ascii="仿宋" w:hAnsi="仿宋" w:eastAsia="仿宋" w:cs="仿宋"/>
          <w:color w:val="auto"/>
          <w:szCs w:val="21"/>
          <w:highlight w:val="none"/>
          <w:lang w:eastAsia="zh-CN"/>
        </w:rPr>
        <w:t>。</w:t>
      </w:r>
    </w:p>
    <w:p w14:paraId="472776BE">
      <w:pPr>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附表</w:t>
      </w:r>
    </w:p>
    <w:p w14:paraId="35C12387">
      <w:pPr>
        <w:ind w:firstLine="420" w:firstLineChars="20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统计上大中小微型企业划分标准</w:t>
      </w:r>
    </w:p>
    <w:tbl>
      <w:tblPr>
        <w:tblStyle w:val="1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296E24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1D3FB5D">
            <w:pPr>
              <w:widowControl/>
              <w:spacing w:line="240" w:lineRule="exact"/>
              <w:jc w:val="center"/>
              <w:rPr>
                <w:rFonts w:hint="eastAsia" w:ascii="仿宋" w:hAnsi="仿宋" w:eastAsia="仿宋" w:cs="仿宋"/>
                <w:b/>
                <w:bCs/>
                <w:color w:val="auto"/>
                <w:kern w:val="0"/>
                <w:sz w:val="18"/>
                <w:szCs w:val="21"/>
                <w:highlight w:val="none"/>
              </w:rPr>
            </w:pPr>
            <w:r>
              <w:rPr>
                <w:rFonts w:hint="eastAsia" w:ascii="仿宋" w:hAnsi="仿宋" w:eastAsia="仿宋" w:cs="仿宋"/>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77BC5FF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EC9DFCB">
            <w:pPr>
              <w:widowControl/>
              <w:jc w:val="center"/>
              <w:rPr>
                <w:rFonts w:hint="eastAsia" w:ascii="仿宋" w:hAnsi="仿宋" w:eastAsia="仿宋" w:cs="仿宋"/>
                <w:b/>
                <w:bCs/>
                <w:color w:val="auto"/>
                <w:kern w:val="0"/>
                <w:sz w:val="18"/>
                <w:szCs w:val="18"/>
                <w:highlight w:val="none"/>
                <w:lang w:eastAsia="zh-CN"/>
              </w:rPr>
            </w:pPr>
            <w:r>
              <w:rPr>
                <w:rFonts w:hint="eastAsia" w:ascii="仿宋" w:hAnsi="仿宋" w:eastAsia="仿宋" w:cs="仿宋"/>
                <w:b/>
                <w:bCs/>
                <w:color w:val="auto"/>
                <w:kern w:val="0"/>
                <w:sz w:val="18"/>
                <w:szCs w:val="18"/>
                <w:highlight w:val="none"/>
              </w:rPr>
              <w:t>计量</w:t>
            </w:r>
          </w:p>
          <w:p w14:paraId="7FFAECD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2B9C3C2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1BDB37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2415C51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1A1C64E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微型</w:t>
            </w:r>
          </w:p>
        </w:tc>
      </w:tr>
      <w:tr w14:paraId="073B59A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D44CB45">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09B5638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8CDAB9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2E0C08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0B6AB98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4051281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50≤Y＜500</w:t>
            </w:r>
          </w:p>
        </w:tc>
        <w:tc>
          <w:tcPr>
            <w:tcW w:w="992" w:type="dxa"/>
            <w:tcBorders>
              <w:top w:val="nil"/>
              <w:left w:val="nil"/>
              <w:bottom w:val="single" w:color="auto" w:sz="4" w:space="0"/>
              <w:right w:val="nil"/>
            </w:tcBorders>
            <w:noWrap w:val="0"/>
            <w:vAlign w:val="center"/>
          </w:tcPr>
          <w:p w14:paraId="6C1CAC3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ACDC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0B5D0A6">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14:paraId="3270122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A528FB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FDA8F7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6866325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619DA71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992" w:type="dxa"/>
            <w:tcBorders>
              <w:top w:val="nil"/>
              <w:left w:val="nil"/>
              <w:bottom w:val="nil"/>
              <w:right w:val="nil"/>
            </w:tcBorders>
            <w:noWrap w:val="0"/>
            <w:vAlign w:val="center"/>
          </w:tcPr>
          <w:p w14:paraId="095A249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69B09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0DBA032">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4144F27">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2A2240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210182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3A025E8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7F85259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14:paraId="3087DF6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0AE8D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205898D">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14:paraId="7009C8D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36C8D7E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41B943B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14:paraId="31AACF9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14:paraId="6CC622B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300≤Y＜6000</w:t>
            </w:r>
          </w:p>
        </w:tc>
        <w:tc>
          <w:tcPr>
            <w:tcW w:w="992" w:type="dxa"/>
            <w:tcBorders>
              <w:top w:val="nil"/>
              <w:left w:val="nil"/>
              <w:bottom w:val="nil"/>
              <w:right w:val="nil"/>
            </w:tcBorders>
            <w:noWrap w:val="0"/>
            <w:vAlign w:val="center"/>
          </w:tcPr>
          <w:p w14:paraId="7E31CD3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500511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68BF91C">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BAB53EB">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581C77F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04D8F8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33DB9B6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41C083A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394F2E0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3086E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7665371">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14:paraId="631FE76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9FF68A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926471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741A1A1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14:paraId="0B7EE7A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5≤X＜20</w:t>
            </w:r>
          </w:p>
        </w:tc>
        <w:tc>
          <w:tcPr>
            <w:tcW w:w="992" w:type="dxa"/>
            <w:tcBorders>
              <w:top w:val="nil"/>
              <w:left w:val="nil"/>
              <w:bottom w:val="nil"/>
              <w:right w:val="nil"/>
            </w:tcBorders>
            <w:noWrap w:val="0"/>
            <w:vAlign w:val="center"/>
          </w:tcPr>
          <w:p w14:paraId="0308283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254D772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BD0B6D5">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E88D220">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BFA19D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BC5DA3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36F6E05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14:paraId="35922377">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92" w:type="dxa"/>
            <w:tcBorders>
              <w:top w:val="nil"/>
              <w:left w:val="nil"/>
              <w:bottom w:val="single" w:color="auto" w:sz="4" w:space="0"/>
              <w:right w:val="nil"/>
            </w:tcBorders>
            <w:noWrap w:val="0"/>
            <w:vAlign w:val="center"/>
          </w:tcPr>
          <w:p w14:paraId="1C73677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22BAA5D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1E99143">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14:paraId="0B15EA8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60792ED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A59F23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06E441A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14:paraId="6030F150">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10≤X＜50 </w:t>
            </w:r>
          </w:p>
        </w:tc>
        <w:tc>
          <w:tcPr>
            <w:tcW w:w="992" w:type="dxa"/>
            <w:tcBorders>
              <w:top w:val="nil"/>
              <w:left w:val="nil"/>
              <w:bottom w:val="nil"/>
              <w:right w:val="nil"/>
            </w:tcBorders>
            <w:noWrap w:val="0"/>
            <w:vAlign w:val="center"/>
          </w:tcPr>
          <w:p w14:paraId="7FE986E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1B38D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702B0DA">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2924F33">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8AF73E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BF1A31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08B4625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554812DB">
            <w:pPr>
              <w:widowControl/>
              <w:ind w:left="-1" w:leftChars="-1" w:hanging="1"/>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100≤Y＜500 </w:t>
            </w:r>
          </w:p>
        </w:tc>
        <w:tc>
          <w:tcPr>
            <w:tcW w:w="992" w:type="dxa"/>
            <w:tcBorders>
              <w:top w:val="nil"/>
              <w:left w:val="nil"/>
              <w:bottom w:val="single" w:color="auto" w:sz="4" w:space="0"/>
              <w:right w:val="nil"/>
            </w:tcBorders>
            <w:noWrap w:val="0"/>
            <w:vAlign w:val="center"/>
          </w:tcPr>
          <w:p w14:paraId="065F3F2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6FE477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44FEF85">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69EFBCA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985354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581695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5E2D4AA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5823C47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992" w:type="dxa"/>
            <w:tcBorders>
              <w:top w:val="nil"/>
              <w:left w:val="nil"/>
              <w:bottom w:val="nil"/>
              <w:right w:val="nil"/>
            </w:tcBorders>
            <w:noWrap w:val="0"/>
            <w:vAlign w:val="center"/>
          </w:tcPr>
          <w:p w14:paraId="45DE918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1E51F4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3CC70D3">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F51E66C">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BA0ABC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C56BB0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F4417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59AB05A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14:paraId="3E2B506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776974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5FDD269">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14:paraId="2F3E932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6383E59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7DBE2F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707EC9BC">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14:paraId="6AC440F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20≤X＜100</w:t>
            </w:r>
          </w:p>
        </w:tc>
        <w:tc>
          <w:tcPr>
            <w:tcW w:w="992" w:type="dxa"/>
            <w:tcBorders>
              <w:top w:val="nil"/>
              <w:left w:val="nil"/>
              <w:bottom w:val="nil"/>
              <w:right w:val="nil"/>
            </w:tcBorders>
            <w:noWrap w:val="0"/>
            <w:vAlign w:val="center"/>
          </w:tcPr>
          <w:p w14:paraId="6FDE004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30DF9B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0FE46B0">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C0DC703">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8372E3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E0DC21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31FFC47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678C71E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28D3850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DBA9FC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758B39E">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14:paraId="0456195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23BD40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006788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10BE62C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CC6E55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992" w:type="dxa"/>
            <w:tcBorders>
              <w:top w:val="nil"/>
              <w:left w:val="nil"/>
              <w:bottom w:val="nil"/>
              <w:right w:val="nil"/>
            </w:tcBorders>
            <w:noWrap w:val="0"/>
            <w:vAlign w:val="center"/>
          </w:tcPr>
          <w:p w14:paraId="02DEEC3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698C7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979F5C1">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241ED84">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5F7B31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23EA0A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5B15CB6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3F87096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1E16CAF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52E50A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AFE4365">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14:paraId="4EC5B3E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2F1A840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A08B49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86D39B7">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65D0572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nil"/>
              <w:right w:val="nil"/>
            </w:tcBorders>
            <w:noWrap w:val="0"/>
            <w:vAlign w:val="center"/>
          </w:tcPr>
          <w:p w14:paraId="44364B2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423E9D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8A4ABEF">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F7F48A7">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18775B9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E19B67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0BA3B18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176DC66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0CF84DE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E343F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104E319">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14:paraId="1E070EC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3FE343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9D33C1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03DDF6A2">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67A4633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nil"/>
              <w:right w:val="nil"/>
            </w:tcBorders>
            <w:noWrap w:val="0"/>
            <w:vAlign w:val="center"/>
          </w:tcPr>
          <w:p w14:paraId="37A7206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E40D3B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62E71DD">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28CB75F">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131541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8E5086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D7BFF3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43B4633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5004D93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44ABF4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3C87650">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3C38224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4A5FCA3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14401E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X≥2000</w:t>
            </w:r>
          </w:p>
        </w:tc>
        <w:tc>
          <w:tcPr>
            <w:tcW w:w="1701" w:type="dxa"/>
            <w:tcBorders>
              <w:top w:val="nil"/>
              <w:left w:val="nil"/>
              <w:bottom w:val="nil"/>
              <w:right w:val="single" w:color="auto" w:sz="4" w:space="0"/>
            </w:tcBorders>
            <w:noWrap w:val="0"/>
            <w:vAlign w:val="center"/>
          </w:tcPr>
          <w:p w14:paraId="27984B3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14:paraId="3F3FE39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nil"/>
              <w:right w:val="nil"/>
            </w:tcBorders>
            <w:noWrap w:val="0"/>
            <w:vAlign w:val="center"/>
          </w:tcPr>
          <w:p w14:paraId="040357D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2C6CD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A7E1DBB">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8F62FA7">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5194BA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660922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02408B2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1918CF2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37B496B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ABFC8D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6002EE94">
            <w:pPr>
              <w:widowControl/>
              <w:spacing w:line="240" w:lineRule="exact"/>
              <w:jc w:val="left"/>
              <w:rPr>
                <w:rFonts w:hint="eastAsia" w:ascii="仿宋" w:hAnsi="仿宋" w:eastAsia="仿宋" w:cs="仿宋"/>
                <w:color w:val="auto"/>
                <w:spacing w:val="-12"/>
                <w:kern w:val="0"/>
                <w:sz w:val="18"/>
                <w:szCs w:val="18"/>
                <w:highlight w:val="none"/>
              </w:rPr>
            </w:pPr>
            <w:r>
              <w:rPr>
                <w:rFonts w:hint="eastAsia" w:ascii="仿宋" w:hAnsi="仿宋" w:eastAsia="仿宋" w:cs="仿宋"/>
                <w:color w:val="auto"/>
                <w:spacing w:val="-12"/>
                <w:kern w:val="0"/>
                <w:sz w:val="18"/>
                <w:szCs w:val="18"/>
                <w:highlight w:val="none"/>
              </w:rPr>
              <w:t>软件和信息技术服</w:t>
            </w:r>
            <w:r>
              <w:rPr>
                <w:rFonts w:hint="eastAsia" w:ascii="仿宋" w:hAnsi="仿宋" w:eastAsia="仿宋" w:cs="仿宋"/>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14:paraId="0F1AEFC2">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4DC8AB9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6133E92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40F6DD52">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5AC2E7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nil"/>
              <w:right w:val="nil"/>
            </w:tcBorders>
            <w:noWrap w:val="0"/>
            <w:vAlign w:val="center"/>
          </w:tcPr>
          <w:p w14:paraId="29E51DC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CD1C42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6CE1843B">
            <w:pPr>
              <w:widowControl/>
              <w:jc w:val="left"/>
              <w:rPr>
                <w:rFonts w:hint="eastAsia" w:ascii="仿宋" w:hAnsi="仿宋" w:eastAsia="仿宋" w:cs="仿宋"/>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B8DCD1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5C0191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2667A3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7B2AB69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334781A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50≤Y＜1000</w:t>
            </w:r>
          </w:p>
        </w:tc>
        <w:tc>
          <w:tcPr>
            <w:tcW w:w="992" w:type="dxa"/>
            <w:tcBorders>
              <w:top w:val="nil"/>
              <w:left w:val="nil"/>
              <w:bottom w:val="single" w:color="auto" w:sz="4" w:space="0"/>
              <w:right w:val="nil"/>
            </w:tcBorders>
            <w:noWrap w:val="0"/>
            <w:vAlign w:val="center"/>
          </w:tcPr>
          <w:p w14:paraId="5CC2305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6DF784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2B43632">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2E353A5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0BA1B56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6A7FEF5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14:paraId="37B9481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4D34F8C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992" w:type="dxa"/>
            <w:tcBorders>
              <w:top w:val="nil"/>
              <w:left w:val="nil"/>
              <w:bottom w:val="nil"/>
              <w:right w:val="nil"/>
            </w:tcBorders>
            <w:noWrap w:val="0"/>
            <w:vAlign w:val="center"/>
          </w:tcPr>
          <w:p w14:paraId="7C0BE97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69D26B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5A9C0E10">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40163E8">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112558D3">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1C5C03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719BC13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14:paraId="05A6B4D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2000≤Z＜5000   </w:t>
            </w:r>
          </w:p>
        </w:tc>
        <w:tc>
          <w:tcPr>
            <w:tcW w:w="992" w:type="dxa"/>
            <w:tcBorders>
              <w:top w:val="nil"/>
              <w:left w:val="nil"/>
              <w:bottom w:val="single" w:color="auto" w:sz="4" w:space="0"/>
              <w:right w:val="nil"/>
            </w:tcBorders>
            <w:noWrap w:val="0"/>
            <w:vAlign w:val="center"/>
          </w:tcPr>
          <w:p w14:paraId="59415B2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Z＜2000</w:t>
            </w:r>
          </w:p>
        </w:tc>
      </w:tr>
      <w:tr w14:paraId="74A971D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5D5CDF1">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14:paraId="057984F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2C48569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6976811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4F6AE22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7E7DFE9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992" w:type="dxa"/>
            <w:tcBorders>
              <w:top w:val="nil"/>
              <w:left w:val="nil"/>
              <w:bottom w:val="nil"/>
              <w:right w:val="nil"/>
            </w:tcBorders>
            <w:noWrap w:val="0"/>
            <w:vAlign w:val="center"/>
          </w:tcPr>
          <w:p w14:paraId="55A74477">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9354F6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322649F">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C40D56A">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D117A1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7F8406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14:paraId="62B07C0B">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6005526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500≤Y＜1000</w:t>
            </w:r>
          </w:p>
        </w:tc>
        <w:tc>
          <w:tcPr>
            <w:tcW w:w="992" w:type="dxa"/>
            <w:tcBorders>
              <w:top w:val="nil"/>
              <w:left w:val="nil"/>
              <w:bottom w:val="single" w:color="auto" w:sz="4" w:space="0"/>
              <w:right w:val="nil"/>
            </w:tcBorders>
            <w:noWrap w:val="0"/>
            <w:vAlign w:val="center"/>
          </w:tcPr>
          <w:p w14:paraId="383E0E5B">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2A7BBB6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A557C01">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773CBA1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44F272D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F813B15">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5775C315">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5472BC2C">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nil"/>
              <w:right w:val="nil"/>
            </w:tcBorders>
            <w:noWrap w:val="0"/>
            <w:vAlign w:val="center"/>
          </w:tcPr>
          <w:p w14:paraId="7EEA32E0">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39907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240991D">
            <w:pPr>
              <w:widowControl/>
              <w:jc w:val="left"/>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F1F51DE">
            <w:pPr>
              <w:widowControl/>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32F1BC4">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230D2AA">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6BA02E3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145D8DC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14:paraId="0DC6C4A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w:t>
            </w:r>
          </w:p>
        </w:tc>
      </w:tr>
      <w:tr w14:paraId="665C89D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D48A9D3">
            <w:pPr>
              <w:widowControl/>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14:paraId="561C4578">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14:paraId="5137377D">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14:paraId="420912F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14:paraId="5D539BD7">
            <w:pPr>
              <w:widowControl/>
              <w:ind w:left="1" w:leftChars="-51" w:hanging="108" w:hangingChars="6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7191F66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14:paraId="6785B98E">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7BEA48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594A4F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1.大型、中型和小型企业须同时满足所列指标的下限，否则下划一档；微型企业只须满足所列指标中的一项即可。</w:t>
      </w:r>
    </w:p>
    <w:p w14:paraId="56051D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00D1F3">
      <w:pPr>
        <w:snapToGrid/>
        <w:spacing w:line="312" w:lineRule="auto"/>
        <w:jc w:val="center"/>
        <w:rPr>
          <w:rFonts w:hint="eastAsia" w:ascii="仿宋" w:hAnsi="仿宋" w:eastAsia="仿宋" w:cs="仿宋"/>
          <w:b/>
          <w:color w:val="auto"/>
          <w:kern w:val="0"/>
          <w:sz w:val="28"/>
          <w:szCs w:val="28"/>
          <w:highlight w:val="none"/>
          <w:lang w:bidi="ar"/>
        </w:rPr>
      </w:pPr>
      <w:r>
        <w:rPr>
          <w:rFonts w:hint="eastAsia" w:ascii="仿宋" w:hAnsi="仿宋" w:eastAsia="仿宋" w:cs="仿宋"/>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仿宋" w:hAnsi="仿宋" w:eastAsia="仿宋" w:cs="仿宋"/>
          <w:b/>
          <w:color w:val="auto"/>
          <w:kern w:val="0"/>
          <w:sz w:val="28"/>
          <w:szCs w:val="28"/>
          <w:highlight w:val="none"/>
          <w:lang w:bidi="ar"/>
        </w:rPr>
        <w:br w:type="page"/>
      </w:r>
      <w:r>
        <w:rPr>
          <w:rFonts w:hint="eastAsia" w:ascii="仿宋" w:hAnsi="仿宋" w:eastAsia="仿宋" w:cs="仿宋"/>
          <w:b/>
          <w:color w:val="auto"/>
          <w:kern w:val="0"/>
          <w:sz w:val="28"/>
          <w:szCs w:val="28"/>
          <w:highlight w:val="none"/>
          <w:lang w:bidi="ar"/>
        </w:rPr>
        <w:t>财政部 发展改革委 生态环境部 市场监管总局</w:t>
      </w:r>
    </w:p>
    <w:p w14:paraId="5A342635">
      <w:pPr>
        <w:snapToGrid/>
        <w:spacing w:line="312" w:lineRule="auto"/>
        <w:jc w:val="center"/>
        <w:rPr>
          <w:rFonts w:hint="eastAsia"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关于调整优化节能产品、环境标志产品政府采购执行机制的通知</w:t>
      </w:r>
    </w:p>
    <w:p w14:paraId="3B377CF4">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财库〔2019〕9号</w:t>
      </w:r>
    </w:p>
    <w:p w14:paraId="0F4749B3">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53235AA9">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为落实“放管服”改革要求，完善政府绿色采购政策，简化节能（节水）产品、环境标志产品政府采购执行机制，优化投标人参与政府采购活动的市场环境，现就节能产品、环境标志产品政府采购有关事项通知如下：</w:t>
      </w:r>
    </w:p>
    <w:p w14:paraId="22CF6CB0">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1B1AEED">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2C356C1">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2A30AF8">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6387885">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9ECDF72">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742A253">
      <w:pPr>
        <w:jc w:val="center"/>
        <w:rPr>
          <w:rFonts w:hint="eastAsia" w:ascii="仿宋" w:hAnsi="仿宋" w:eastAsia="仿宋" w:cs="仿宋"/>
          <w:b/>
          <w:color w:val="auto"/>
          <w:sz w:val="28"/>
          <w:szCs w:val="28"/>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color w:val="auto"/>
          <w:sz w:val="28"/>
          <w:szCs w:val="28"/>
          <w:highlight w:val="none"/>
        </w:rPr>
        <w:t>政府采购促进中小企业发展管理办法</w:t>
      </w:r>
    </w:p>
    <w:p w14:paraId="336E1CA0">
      <w:pPr>
        <w:spacing w:line="312"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财库〔2020〕46号</w:t>
      </w:r>
    </w:p>
    <w:p w14:paraId="7416419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　</w:t>
      </w:r>
      <w:r>
        <w:rPr>
          <w:rFonts w:hint="eastAsia" w:ascii="仿宋" w:hAnsi="仿宋" w:eastAsia="仿宋" w:cs="仿宋"/>
          <w:color w:val="auto"/>
          <w:sz w:val="21"/>
          <w:szCs w:val="21"/>
          <w:highlight w:val="none"/>
        </w:rPr>
        <w:t>　第一条 为了发挥政府采购的政策功能，促进中小企业健康发展，根据《中华人民共和国政府采购法》、《中华人民共和国中小企业促进法》等有关法律法规，制定本办法。</w:t>
      </w:r>
    </w:p>
    <w:p w14:paraId="7246B1C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6BC59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7E7EEDD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第三条 采购人在政府采购活动中应当通过加强采购需求管理，落实预留采购份额、价格评审优惠、优先采购等措施，提高中小企业在政府采购中的份额，支持中小企业发展。</w:t>
      </w:r>
    </w:p>
    <w:p w14:paraId="736DA1F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第四条 在政府采购活动中，投标人提供的货物、工程或者服务符合下列情形的，享受本办法规定的中小企业扶持政策：</w:t>
      </w:r>
    </w:p>
    <w:p w14:paraId="6233BEE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（一）在货物采购项目中，货物由中小企业制造，即货物由中小企业生产且使用该中小企业商号或者注册商标；</w:t>
      </w:r>
    </w:p>
    <w:p w14:paraId="1B2B532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（二）在工程采购项目中，工程由中小企业承建，即工程施工单位为中小企业；</w:t>
      </w:r>
    </w:p>
    <w:p w14:paraId="1402D7E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（三）在服务采购项目中，服务由中小企业承接，即提供服务的人员为中小企业依照《中华人民共和国劳动合同法》订立劳动合同的从业人员。</w:t>
      </w:r>
    </w:p>
    <w:p w14:paraId="6E4D8FB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在货物采购项目中，投标人提供的货物既有中小企业制造货物，也有大型企业制造货物的，不享受本办法规定的中小企业扶持政策。</w:t>
      </w:r>
    </w:p>
    <w:p w14:paraId="41A3A87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以联合体形式参加政府采购活动，联合体各方均为中小企业的，联合体视同中小企业。其中，联合体各方均为小微企业的，联合体视同小微企业。</w:t>
      </w:r>
    </w:p>
    <w:p w14:paraId="6391380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7744DD3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0E5A29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符合下列情形之一的，可不专门面向中小企业预留采购份额：</w:t>
      </w:r>
    </w:p>
    <w:p w14:paraId="44D65DB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（一）法律法规和国家有关政策明确规定优先或者应当面向事业单位、社会组织等非企业主体采购的；</w:t>
      </w:r>
    </w:p>
    <w:p w14:paraId="6F7FE49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（二）因确需使用不可替代的专利、专有技术，基础设施限制，或者提供特定公共服务等原因，只能从中小企业之外的投标人处采购的；</w:t>
      </w:r>
    </w:p>
    <w:p w14:paraId="58FD744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（三）按照本办法规定预留采购份额无法确保充分供应、充分竞争，或者存在可能影响政府采购目标实现的情形；</w:t>
      </w:r>
    </w:p>
    <w:p w14:paraId="09D1529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（四）框架协议采购项目；</w:t>
      </w:r>
    </w:p>
    <w:p w14:paraId="5FF802D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（五）省级以上人民政府财政部门规定的其他情形。</w:t>
      </w:r>
    </w:p>
    <w:p w14:paraId="3BA06D4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除上述情形外，其他均为适宜由中小企业提供的情形。</w:t>
      </w:r>
    </w:p>
    <w:p w14:paraId="6440834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第七条 采购限额标准以上，200万元以下的货物和服务采购项目、400万元以下的工程采购项目，适宜由中小企业提供的，采购人应当专门面向中小企业采购。</w:t>
      </w:r>
    </w:p>
    <w:p w14:paraId="73BB8FB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24ED22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（一）将采购项目整体或者设置采购包专门面向中小企业采购；</w:t>
      </w:r>
    </w:p>
    <w:p w14:paraId="33C739B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（二）要求投标人以联合体形式参加采购活动，且联合体中中小企业承担的部分达到一定比例；</w:t>
      </w:r>
    </w:p>
    <w:p w14:paraId="3AA886B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（三）要求获得采购合同的投标人将采购项目中的一定比例分包给一家或者多家中小企业。</w:t>
      </w:r>
    </w:p>
    <w:p w14:paraId="05EC3DE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组成联合体或者接受分包合同的中小企业与联合体内其他企业、分包企业之间不得存在直接控股、管理关系。</w:t>
      </w:r>
    </w:p>
    <w:p w14:paraId="478C123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BA2F9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E5F14A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4E2792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3A258FA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2AB3B7D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第十二条 采购项目涉及中小企业采购的，采购文件应当明确以下内容：</w:t>
      </w:r>
    </w:p>
    <w:p w14:paraId="1E04E7C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（一）预留份额的采购项目或者采购包，明确该项目或相关采购包专门面向中小企业采购，以及相关标的及预算金额；</w:t>
      </w:r>
    </w:p>
    <w:p w14:paraId="29519ED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（二）要求以联合体形式参加或者合同分包的，明确联合协议或者分包意向协议中中小企业合同金额应当达到的比例，并作为投标人资格条件；</w:t>
      </w:r>
    </w:p>
    <w:p w14:paraId="16568DC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（三）非预留份额的采购项目或者采购包，明确有关价格扣除比例或者价格分加分比例；</w:t>
      </w:r>
    </w:p>
    <w:p w14:paraId="073F339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（四）规定依据本办法规定享受扶持政策获得政府采购合同的，小微企业不得将合同分包给大中型企业，中型企业不得将合同分包给大型企业；</w:t>
      </w:r>
    </w:p>
    <w:p w14:paraId="7F52858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（五）采购人认为具备相关条件的，明确对中小企业在资金支付期限、预付款比例等方面的优惠措施；</w:t>
      </w:r>
    </w:p>
    <w:p w14:paraId="0B72436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（六）明确采购标的对应的中小企业划分标准所属行业；</w:t>
      </w:r>
    </w:p>
    <w:p w14:paraId="1E297C2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（七）法律法规和省级以上人民政府财政部门规定的其他事项。</w:t>
      </w:r>
    </w:p>
    <w:p w14:paraId="6ECB580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第十三条 中标、成交投标人享受本办法规定的中小企业扶持政策的，采购人、采购代理机构应当随中标、成交结果公开中标、成交投标人的《中小企业声明函》。</w:t>
      </w:r>
    </w:p>
    <w:p w14:paraId="037D1B3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适用招标投标法的政府采购工程建设项目，应当在公示中标候选人时公开中标候选人的《中小企业声明函》。</w:t>
      </w:r>
    </w:p>
    <w:p w14:paraId="1E47D4B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669277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884E48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第十六条 政府采购监督检查、投诉处理及政府采购行政处罚中对中小企业的认定，由货物制造商或者工程、服务投标人注册登记所在地的县级以上人民政府中小企业主管部门负责。</w:t>
      </w:r>
    </w:p>
    <w:p w14:paraId="5C1028C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中小企业主管部门应当在收到财政部门或者有关招标投标行政监督部门关于协助开展中小企业认定函后 10 个工作日内做出书面答复。</w:t>
      </w:r>
    </w:p>
    <w:p w14:paraId="75A1667D">
      <w:pPr>
        <w:keepNext w:val="0"/>
        <w:keepLines w:val="0"/>
        <w:pageBreakBefore w:val="0"/>
        <w:widowControl w:val="0"/>
        <w:numPr>
          <w:ilvl w:val="0"/>
          <w:numId w:val="7"/>
        </w:numPr>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3D454BB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F6E607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C48440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第二十条 投标人按照本办法规定提供声明函内容不实的，属于提供虚假材料谋取中标、成交，依照《中华人民共和国政府采购法》等国家有关规定追究相应责任。</w:t>
      </w:r>
    </w:p>
    <w:p w14:paraId="4796FE9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适用招标投标法的政府采购工程建设项目，</w:t>
      </w:r>
      <w:r>
        <w:rPr>
          <w:rFonts w:hint="eastAsia" w:ascii="仿宋" w:hAnsi="仿宋" w:eastAsia="仿宋" w:cs="仿宋"/>
          <w:color w:val="auto"/>
          <w:kern w:val="0"/>
          <w:sz w:val="21"/>
          <w:szCs w:val="21"/>
          <w:highlight w:val="none"/>
        </w:rPr>
        <w:t>投标人</w:t>
      </w:r>
      <w:r>
        <w:rPr>
          <w:rFonts w:hint="eastAsia" w:ascii="仿宋" w:hAnsi="仿宋" w:eastAsia="仿宋" w:cs="仿宋"/>
          <w:color w:val="auto"/>
          <w:sz w:val="21"/>
          <w:szCs w:val="21"/>
          <w:highlight w:val="none"/>
        </w:rPr>
        <w:t>按照本办法规定提供声明函内容不实的，属于弄虚作假骗取中标，依照《中华人民共和国招标投标法》等国家有关规定追究相应责任。</w:t>
      </w:r>
    </w:p>
    <w:p w14:paraId="20CC2A9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"http://10.162.100.18:168/golaw?dbnm=gjfg&amp;flid=1129012015130679"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国监察法》、《中华人民共和国政府采购法实施条例》等国家</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有关规定追究相应责任；涉嫌犯罪的，依法移送有关国家机关处理。</w:t>
      </w:r>
    </w:p>
    <w:p w14:paraId="7C290C6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第二十二条 对外援助项目、国家相关资格或者资质管理制度另有规定的项目，不适用本办法。</w:t>
      </w:r>
    </w:p>
    <w:p w14:paraId="3C34CE3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第二十三条</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关于视同中小企业的其他主体的政府采购扶持政策，由财政部会同有关部门另行规定。</w:t>
      </w:r>
    </w:p>
    <w:p w14:paraId="1952974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第二十四条</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省级财政部门可以会同中小企业主管部门根据本办法的规定制定具体实施办法。</w:t>
      </w:r>
    </w:p>
    <w:p w14:paraId="0A5ACC0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第二十五条 本办法自2021年1月1日起施行。《财政部 工业和信息化部关于印发〈政府采购促进中小企业发展暂行办法〉的通知》（财库﹝2011﹞181 号）同时废止。</w:t>
      </w:r>
    </w:p>
    <w:p w14:paraId="4C747960">
      <w:pPr>
        <w:snapToGrid/>
        <w:spacing w:line="312"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吉林省强化政府采购政策支持中小企业发展落实举措</w:t>
      </w:r>
    </w:p>
    <w:p w14:paraId="223DB91E">
      <w:pPr>
        <w:jc w:val="center"/>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吉财采购〔2022〕478号</w:t>
      </w:r>
    </w:p>
    <w:p w14:paraId="339E7BED">
      <w:pP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C384B22">
      <w:pPr>
        <w:numPr>
          <w:ilvl w:val="0"/>
          <w:numId w:val="8"/>
        </w:numP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强化政策落实支持中小企业发展</w:t>
      </w:r>
    </w:p>
    <w:p w14:paraId="651FBE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各级预算单位要认真落实《政府采购促进中小企业发展管理办法》</w:t>
      </w:r>
      <w:r>
        <w:rPr>
          <w:rFonts w:hint="eastAsia" w:ascii="仿宋" w:hAnsi="仿宋" w:eastAsia="仿宋" w:cs="仿宋"/>
          <w:color w:val="auto"/>
          <w:szCs w:val="21"/>
          <w:highlight w:val="none"/>
          <w:shd w:val="clear" w:color="auto" w:fill="FFFFFF"/>
        </w:rPr>
        <w:t>（财库〔2020〕46号，以下简称《办法》）</w:t>
      </w:r>
      <w:r>
        <w:rPr>
          <w:rFonts w:hint="eastAsia" w:ascii="仿宋" w:hAnsi="仿宋" w:eastAsia="仿宋" w:cs="仿宋"/>
          <w:color w:val="auto"/>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7880DEBB">
      <w:pPr>
        <w:numPr>
          <w:ilvl w:val="0"/>
          <w:numId w:val="9"/>
        </w:numP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提高政府采购项目价格评审优惠幅度</w:t>
      </w:r>
    </w:p>
    <w:p w14:paraId="7A1E45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仿宋" w:hAnsi="仿宋" w:eastAsia="仿宋" w:cs="仿宋"/>
          <w:color w:val="auto"/>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4368A003">
      <w:pP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三、提高政府采购工程项目预留份额比例</w:t>
      </w:r>
    </w:p>
    <w:p w14:paraId="277D346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仿宋" w:hAnsi="仿宋" w:eastAsia="仿宋" w:cs="仿宋"/>
          <w:color w:val="auto"/>
          <w:szCs w:val="21"/>
          <w:highlight w:val="none"/>
        </w:rPr>
        <w:t>省财政厅将协调发改、工信、住建、交通、水利、商务等部门，</w:t>
      </w:r>
      <w:r>
        <w:rPr>
          <w:rFonts w:hint="eastAsia" w:ascii="仿宋" w:hAnsi="仿宋" w:eastAsia="仿宋" w:cs="仿宋"/>
          <w:color w:val="auto"/>
          <w:szCs w:val="21"/>
          <w:highlight w:val="none"/>
          <w:shd w:val="clear" w:color="auto" w:fill="FFFFFF"/>
        </w:rPr>
        <w:t>按照国家相关工程招投标行政监督部门对工程招投标领域落实政府采购支持中小企业的政策要求，</w:t>
      </w:r>
      <w:r>
        <w:rPr>
          <w:rFonts w:hint="eastAsia" w:ascii="仿宋" w:hAnsi="仿宋" w:eastAsia="仿宋" w:cs="仿宋"/>
          <w:color w:val="auto"/>
          <w:szCs w:val="21"/>
          <w:highlight w:val="none"/>
        </w:rPr>
        <w:t>及时调整完善工程招投标领域有关标准文本、评标制度等，支持督促各预算单位严格落实政府采购政策。</w:t>
      </w:r>
    </w:p>
    <w:p w14:paraId="43326E3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四、降低经营成本提高履约能力</w:t>
      </w:r>
    </w:p>
    <w:p w14:paraId="4FF7CC8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14909AE6">
      <w:pPr>
        <w:spacing w:line="360" w:lineRule="auto"/>
        <w:ind w:firstLine="420" w:firstLineChars="200"/>
        <w:jc w:val="both"/>
        <w:rPr>
          <w:rStyle w:val="21"/>
          <w:rFonts w:hint="eastAsia" w:ascii="仿宋" w:hAnsi="仿宋" w:eastAsia="仿宋" w:cs="仿宋"/>
          <w:b w:val="0"/>
          <w:bCs/>
          <w:color w:val="auto"/>
          <w:sz w:val="21"/>
          <w:szCs w:val="21"/>
          <w:highlight w:val="none"/>
          <w:shd w:val="clear" w:color="auto" w:fill="FFFFFF"/>
        </w:rPr>
      </w:pPr>
      <w:r>
        <w:rPr>
          <w:rFonts w:hint="eastAsia" w:ascii="仿宋" w:hAnsi="仿宋" w:eastAsia="仿宋" w:cs="仿宋"/>
          <w:bCs/>
          <w:color w:val="auto"/>
          <w:sz w:val="21"/>
          <w:szCs w:val="21"/>
          <w:highlight w:val="none"/>
        </w:rPr>
        <w:t>五、优化政府采购程序</w:t>
      </w:r>
      <w:r>
        <w:rPr>
          <w:rStyle w:val="21"/>
          <w:rFonts w:hint="eastAsia" w:ascii="仿宋" w:hAnsi="仿宋" w:eastAsia="仿宋" w:cs="仿宋"/>
          <w:b w:val="0"/>
          <w:bCs/>
          <w:color w:val="auto"/>
          <w:sz w:val="21"/>
          <w:szCs w:val="21"/>
          <w:highlight w:val="none"/>
          <w:shd w:val="clear" w:color="auto" w:fill="FFFFFF"/>
        </w:rPr>
        <w:t>推进全流程电子化</w:t>
      </w:r>
    </w:p>
    <w:p w14:paraId="66B463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1837CA75">
      <w:pPr>
        <w:spacing w:line="360" w:lineRule="auto"/>
        <w:ind w:firstLine="420" w:firstLineChars="200"/>
        <w:jc w:val="both"/>
        <w:rPr>
          <w:rStyle w:val="21"/>
          <w:rFonts w:hint="eastAsia" w:ascii="仿宋" w:hAnsi="仿宋" w:eastAsia="仿宋" w:cs="仿宋"/>
          <w:b w:val="0"/>
          <w:bCs/>
          <w:color w:val="auto"/>
          <w:sz w:val="21"/>
          <w:szCs w:val="21"/>
          <w:highlight w:val="none"/>
          <w:shd w:val="clear" w:color="auto" w:fill="FFFFFF"/>
        </w:rPr>
      </w:pPr>
      <w:r>
        <w:rPr>
          <w:rStyle w:val="21"/>
          <w:rFonts w:hint="eastAsia" w:ascii="仿宋" w:hAnsi="仿宋" w:eastAsia="仿宋" w:cs="仿宋"/>
          <w:b w:val="0"/>
          <w:bCs/>
          <w:color w:val="auto"/>
          <w:sz w:val="21"/>
          <w:szCs w:val="21"/>
          <w:highlight w:val="none"/>
          <w:shd w:val="clear" w:color="auto" w:fill="FFFFFF"/>
        </w:rPr>
        <w:t>六、加强项目执行管理提升政府采购透明度</w:t>
      </w:r>
    </w:p>
    <w:p w14:paraId="432ACF1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3867121">
      <w:pPr>
        <w:spacing w:line="312"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各级主管预算单位要加强对本部门、本系统政府采购项目的统筹把握，明确工作责任，周密安排部署，</w:t>
      </w:r>
      <w:r>
        <w:rPr>
          <w:rFonts w:hint="eastAsia" w:ascii="仿宋" w:hAnsi="仿宋" w:eastAsia="仿宋" w:cs="仿宋"/>
          <w:color w:val="auto"/>
          <w:kern w:val="2"/>
          <w:sz w:val="21"/>
          <w:szCs w:val="21"/>
          <w:highlight w:val="none"/>
        </w:rPr>
        <w:t>严格落实预留采购份额和价格评审优惠措施</w:t>
      </w:r>
      <w:r>
        <w:rPr>
          <w:rFonts w:hint="eastAsia" w:ascii="仿宋" w:hAnsi="仿宋" w:eastAsia="仿宋" w:cs="仿宋"/>
          <w:color w:val="auto"/>
          <w:sz w:val="21"/>
          <w:szCs w:val="21"/>
          <w:highlight w:val="none"/>
        </w:rPr>
        <w:t>支持中小企业发展</w:t>
      </w:r>
      <w:r>
        <w:rPr>
          <w:rFonts w:hint="eastAsia" w:ascii="仿宋" w:hAnsi="仿宋" w:eastAsia="仿宋" w:cs="仿宋"/>
          <w:color w:val="auto"/>
          <w:kern w:val="2"/>
          <w:sz w:val="21"/>
          <w:szCs w:val="21"/>
          <w:highlight w:val="none"/>
        </w:rPr>
        <w:t>。同时，</w:t>
      </w:r>
      <w:r>
        <w:rPr>
          <w:rFonts w:hint="eastAsia" w:ascii="仿宋" w:hAnsi="仿宋" w:eastAsia="仿宋" w:cs="仿宋"/>
          <w:color w:val="auto"/>
          <w:sz w:val="21"/>
          <w:szCs w:val="21"/>
          <w:highlight w:val="none"/>
        </w:rPr>
        <w:t>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BAB1042">
      <w:pPr>
        <w:pStyle w:val="2"/>
        <w:adjustRightInd w:val="0"/>
        <w:snapToGrid w:val="0"/>
        <w:spacing w:before="156" w:beforeLines="50" w:after="156" w:afterLines="50" w:line="240" w:lineRule="auto"/>
        <w:jc w:val="center"/>
        <w:rPr>
          <w:rFonts w:hint="eastAsia" w:ascii="仿宋" w:hAnsi="仿宋" w:eastAsia="仿宋" w:cs="仿宋"/>
          <w:color w:val="auto"/>
          <w:kern w:val="0"/>
          <w:highlight w:val="none"/>
        </w:rPr>
      </w:pPr>
      <w:r>
        <w:rPr>
          <w:rFonts w:hint="eastAsia" w:ascii="仿宋" w:hAnsi="仿宋" w:eastAsia="仿宋" w:cs="仿宋"/>
          <w:color w:val="auto"/>
          <w:kern w:val="0"/>
          <w:sz w:val="52"/>
          <w:highlight w:val="none"/>
        </w:rPr>
        <w:br w:type="page"/>
      </w:r>
      <w:bookmarkStart w:id="550" w:name="_Toc31534"/>
      <w:r>
        <w:rPr>
          <w:rFonts w:hint="eastAsia" w:ascii="仿宋" w:hAnsi="仿宋" w:eastAsia="仿宋" w:cs="仿宋"/>
          <w:color w:val="auto"/>
          <w:sz w:val="30"/>
          <w:szCs w:val="30"/>
          <w:highlight w:val="none"/>
        </w:rPr>
        <w:t>第四章 合同条款及格式</w:t>
      </w:r>
      <w:bookmarkEnd w:id="550"/>
    </w:p>
    <w:p w14:paraId="247D6749">
      <w:pPr>
        <w:spacing w:line="360" w:lineRule="auto"/>
        <w:rPr>
          <w:rFonts w:hint="eastAsia" w:ascii="仿宋" w:hAnsi="仿宋" w:eastAsia="仿宋" w:cs="仿宋"/>
          <w:color w:val="auto"/>
          <w:kern w:val="0"/>
          <w:highlight w:val="none"/>
        </w:rPr>
      </w:pPr>
    </w:p>
    <w:p w14:paraId="525EEA5C">
      <w:pPr>
        <w:numPr>
          <w:ilvl w:val="0"/>
          <w:numId w:val="0"/>
        </w:numPr>
        <w:spacing w:line="360" w:lineRule="auto"/>
        <w:ind w:left="422" w:left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w:t>
      </w:r>
      <w:r>
        <w:rPr>
          <w:rFonts w:hint="eastAsia" w:ascii="仿宋" w:hAnsi="仿宋" w:eastAsia="仿宋" w:cs="仿宋"/>
          <w:color w:val="auto"/>
          <w:kern w:val="0"/>
          <w:highlight w:val="none"/>
        </w:rPr>
        <w:t>合同付款方式：</w:t>
      </w:r>
      <w:r>
        <w:rPr>
          <w:rFonts w:hint="eastAsia" w:ascii="仿宋" w:hAnsi="仿宋" w:eastAsia="仿宋" w:cs="仿宋"/>
          <w:color w:val="auto"/>
          <w:sz w:val="21"/>
          <w:szCs w:val="21"/>
          <w:highlight w:val="none"/>
          <w:lang w:val="en-US" w:eastAsia="zh-CN"/>
        </w:rPr>
        <w:t>按照合同约定付款</w:t>
      </w:r>
      <w:r>
        <w:rPr>
          <w:rFonts w:hint="eastAsia" w:ascii="仿宋" w:hAnsi="仿宋" w:eastAsia="仿宋" w:cs="仿宋"/>
          <w:color w:val="auto"/>
          <w:kern w:val="0"/>
          <w:highlight w:val="none"/>
        </w:rPr>
        <w:t>。</w:t>
      </w:r>
    </w:p>
    <w:p w14:paraId="496EB8C6">
      <w:pPr>
        <w:rPr>
          <w:rFonts w:hint="eastAsia" w:ascii="仿宋" w:hAnsi="仿宋" w:eastAsia="仿宋" w:cs="仿宋"/>
          <w:color w:val="auto"/>
          <w:highlight w:val="none"/>
        </w:rPr>
      </w:pPr>
    </w:p>
    <w:p w14:paraId="1424955E">
      <w:pPr>
        <w:rPr>
          <w:rFonts w:hint="eastAsia" w:ascii="仿宋" w:hAnsi="仿宋" w:eastAsia="仿宋" w:cs="仿宋"/>
          <w:color w:val="auto"/>
          <w:kern w:val="0"/>
          <w:highlight w:val="none"/>
        </w:rPr>
      </w:pPr>
    </w:p>
    <w:p w14:paraId="627A587A">
      <w:pPr>
        <w:pStyle w:val="17"/>
        <w:ind w:left="422" w:firstLine="682"/>
        <w:rPr>
          <w:rFonts w:hint="eastAsia" w:ascii="仿宋" w:hAnsi="仿宋" w:eastAsia="仿宋" w:cs="仿宋"/>
          <w:color w:val="auto"/>
          <w:highlight w:val="none"/>
        </w:rPr>
      </w:pPr>
    </w:p>
    <w:p w14:paraId="63E58C58">
      <w:pPr>
        <w:pStyle w:val="17"/>
        <w:ind w:left="422" w:firstLine="682"/>
        <w:rPr>
          <w:rFonts w:hint="eastAsia" w:ascii="仿宋" w:hAnsi="仿宋" w:eastAsia="仿宋" w:cs="仿宋"/>
          <w:color w:val="auto"/>
          <w:highlight w:val="none"/>
        </w:rPr>
      </w:pPr>
    </w:p>
    <w:p w14:paraId="515E8EB6">
      <w:pPr>
        <w:pStyle w:val="17"/>
        <w:ind w:left="0" w:leftChars="0" w:firstLine="0" w:firstLineChars="0"/>
        <w:rPr>
          <w:rFonts w:hint="eastAsia" w:ascii="仿宋" w:hAnsi="仿宋" w:eastAsia="仿宋" w:cs="仿宋"/>
          <w:color w:val="auto"/>
          <w:sz w:val="21"/>
          <w:szCs w:val="15"/>
          <w:highlight w:val="none"/>
        </w:rPr>
      </w:pPr>
    </w:p>
    <w:p w14:paraId="5FE2BB6D">
      <w:pPr>
        <w:pStyle w:val="2"/>
        <w:numPr>
          <w:ilvl w:val="0"/>
          <w:numId w:val="0"/>
        </w:numPr>
        <w:adjustRightInd w:val="0"/>
        <w:snapToGrid w:val="0"/>
        <w:spacing w:before="156" w:beforeLines="50" w:after="156" w:afterLines="50" w:line="240" w:lineRule="auto"/>
        <w:jc w:val="center"/>
        <w:rPr>
          <w:rFonts w:hint="eastAsia" w:ascii="仿宋" w:hAnsi="仿宋" w:eastAsia="仿宋" w:cs="仿宋"/>
          <w:b/>
          <w:bCs/>
          <w:i w:val="0"/>
          <w:iCs w:val="0"/>
          <w:color w:val="auto"/>
          <w:kern w:val="0"/>
          <w:sz w:val="24"/>
          <w:szCs w:val="24"/>
          <w:highlight w:val="none"/>
          <w:u w:val="none"/>
          <w:lang w:val="en-US" w:eastAsia="zh-CN" w:bidi="ar"/>
        </w:rPr>
      </w:pPr>
      <w:bookmarkStart w:id="551" w:name="_Toc200435410"/>
      <w:bookmarkStart w:id="552" w:name="_Toc110133929"/>
      <w:bookmarkStart w:id="553" w:name="_Toc488589990"/>
      <w:r>
        <w:rPr>
          <w:rFonts w:hint="eastAsia" w:ascii="仿宋" w:hAnsi="仿宋" w:eastAsia="仿宋" w:cs="仿宋"/>
          <w:color w:val="auto"/>
          <w:sz w:val="30"/>
          <w:szCs w:val="30"/>
          <w:highlight w:val="none"/>
        </w:rPr>
        <w:br w:type="page"/>
      </w:r>
      <w:bookmarkStart w:id="554" w:name="_Toc28415"/>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章 服务方案及要求</w:t>
      </w:r>
      <w:bookmarkEnd w:id="554"/>
    </w:p>
    <w:bookmarkEnd w:id="551"/>
    <w:bookmarkEnd w:id="552"/>
    <w:bookmarkEnd w:id="553"/>
    <w:p w14:paraId="7FF8AB9C">
      <w:pPr>
        <w:spacing w:before="91" w:line="360" w:lineRule="auto"/>
        <w:outlineLvl w:val="0"/>
        <w:rPr>
          <w:rFonts w:hint="eastAsia" w:ascii="仿宋" w:hAnsi="仿宋" w:eastAsia="仿宋" w:cs="仿宋"/>
          <w:b/>
          <w:bCs/>
          <w:color w:val="auto"/>
          <w:spacing w:val="-5"/>
          <w:sz w:val="30"/>
          <w:szCs w:val="30"/>
          <w:highlight w:val="none"/>
        </w:rPr>
      </w:pPr>
      <w:r>
        <w:rPr>
          <w:rFonts w:hint="eastAsia" w:ascii="仿宋" w:hAnsi="仿宋" w:eastAsia="仿宋" w:cs="仿宋"/>
          <w:b/>
          <w:bCs/>
          <w:color w:val="auto"/>
          <w:spacing w:val="-5"/>
          <w:sz w:val="30"/>
          <w:szCs w:val="30"/>
          <w:highlight w:val="none"/>
        </w:rPr>
        <w:t>一、项目来源</w:t>
      </w:r>
    </w:p>
    <w:p w14:paraId="09E99EE5">
      <w:pPr>
        <w:spacing w:before="91" w:line="360" w:lineRule="auto"/>
        <w:ind w:firstLine="588" w:firstLineChars="200"/>
        <w:outlineLvl w:val="0"/>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2024年11月12日，国务院召开全国冬春农田水利暨高标准农田建设视频会议。中共中央政治局常委、国务院总理李强对推进农田水利和高标准农田建设工作作出重要批示。批示指出：农田水利和高标准农田建设是提高农业综合生产能力的重要举措，在有效应对旱涝灾害、夺取粮食丰收中发挥重要作用。当前，全国大部分地区进入冬春农田建设关键时期，各地区各有关部门要坚持以习近平新时代中国特色社会主义思想为指导，深入贯彻落实党中央决策部署，抓紧修复水毁灾毁农田设施，强化农田沟渠整治和平原涝区治理，着力完善水利基础设施体系，提高农业防灾减灾能力。大力推进高标准农田建设，完善建设、验收、管护机制，严格全周期质量管理，稳定投入保障，引导农民群众和社会力量积极参与，把更多符合条件的农田改造成高标准农田，为保障国家粮食安全奠定坚实基础。</w:t>
      </w:r>
    </w:p>
    <w:p w14:paraId="471FBAA6">
      <w:pPr>
        <w:spacing w:before="91" w:line="360" w:lineRule="auto"/>
        <w:outlineLvl w:val="0"/>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根据农业农村部和吉林省农业农村厅相关文件要求，各市（县）以乡镇为工作单位，绘制农田水系一张网，农田沟渠整治一张图</w:t>
      </w:r>
    </w:p>
    <w:p w14:paraId="242B7525">
      <w:pPr>
        <w:spacing w:before="91" w:line="360" w:lineRule="auto"/>
        <w:outlineLvl w:val="0"/>
        <w:rPr>
          <w:rFonts w:hint="eastAsia"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rPr>
        <w:t>二、设计目标</w:t>
      </w:r>
    </w:p>
    <w:p w14:paraId="59199492">
      <w:pPr>
        <w:pStyle w:val="7"/>
        <w:spacing w:line="360" w:lineRule="auto"/>
        <w:rPr>
          <w:rFonts w:hint="eastAsia" w:ascii="仿宋" w:hAnsi="仿宋" w:eastAsia="仿宋" w:cs="仿宋"/>
          <w:snapToGrid/>
          <w:color w:val="auto"/>
          <w:spacing w:val="7"/>
          <w:kern w:val="2"/>
          <w:sz w:val="16"/>
          <w:szCs w:val="16"/>
          <w:highlight w:val="none"/>
          <w:lang w:eastAsia="zh-CN"/>
        </w:rPr>
      </w:pPr>
    </w:p>
    <w:p w14:paraId="520201D9">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绘制全市农田水系一张网，农田沟渠整治一张图。以不同线型和图层区分排灌沟渠，灌溉与排水渠系按干、支、斗、农四级绘制，不足四级渠系的按实际绘制。</w:t>
      </w:r>
    </w:p>
    <w:p w14:paraId="67995DAE">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p>
    <w:p w14:paraId="518AC751">
      <w:pPr>
        <w:spacing w:before="91" w:line="360" w:lineRule="auto"/>
        <w:outlineLvl w:val="0"/>
        <w:rPr>
          <w:rFonts w:hint="eastAsia" w:ascii="仿宋" w:hAnsi="仿宋" w:eastAsia="仿宋" w:cs="仿宋"/>
          <w:b/>
          <w:bCs/>
          <w:color w:val="auto"/>
          <w:spacing w:val="-5"/>
          <w:sz w:val="30"/>
          <w:szCs w:val="30"/>
          <w:highlight w:val="none"/>
        </w:rPr>
      </w:pPr>
      <w:r>
        <w:rPr>
          <w:rFonts w:hint="eastAsia" w:ascii="仿宋" w:hAnsi="仿宋" w:eastAsia="仿宋" w:cs="仿宋"/>
          <w:b/>
          <w:bCs/>
          <w:color w:val="auto"/>
          <w:spacing w:val="-5"/>
          <w:sz w:val="30"/>
          <w:szCs w:val="30"/>
          <w:highlight w:val="none"/>
        </w:rPr>
        <w:t>三、设计要求</w:t>
      </w:r>
    </w:p>
    <w:p w14:paraId="7C2BFB2F">
      <w:pPr>
        <w:pStyle w:val="7"/>
        <w:spacing w:line="360" w:lineRule="auto"/>
        <w:rPr>
          <w:rFonts w:hint="eastAsia" w:ascii="仿宋" w:hAnsi="仿宋" w:eastAsia="仿宋" w:cs="仿宋"/>
          <w:snapToGrid/>
          <w:color w:val="auto"/>
          <w:spacing w:val="7"/>
          <w:kern w:val="2"/>
          <w:sz w:val="16"/>
          <w:szCs w:val="16"/>
          <w:highlight w:val="none"/>
          <w:lang w:eastAsia="zh-CN"/>
        </w:rPr>
      </w:pPr>
    </w:p>
    <w:p w14:paraId="706EBA04">
      <w:pPr>
        <w:pStyle w:val="7"/>
        <w:spacing w:line="360" w:lineRule="auto"/>
        <w:rPr>
          <w:rFonts w:hint="eastAsia" w:ascii="仿宋" w:hAnsi="仿宋" w:eastAsia="仿宋" w:cs="仿宋"/>
          <w:b/>
          <w:bCs/>
          <w:snapToGrid/>
          <w:color w:val="auto"/>
          <w:spacing w:val="7"/>
          <w:kern w:val="2"/>
          <w:sz w:val="28"/>
          <w:szCs w:val="28"/>
          <w:highlight w:val="none"/>
          <w:lang w:eastAsia="zh-CN"/>
        </w:rPr>
      </w:pPr>
      <w:r>
        <w:rPr>
          <w:rFonts w:hint="eastAsia" w:ascii="仿宋" w:hAnsi="仿宋" w:eastAsia="仿宋" w:cs="仿宋"/>
          <w:b/>
          <w:bCs/>
          <w:snapToGrid/>
          <w:color w:val="auto"/>
          <w:spacing w:val="7"/>
          <w:kern w:val="2"/>
          <w:sz w:val="28"/>
          <w:szCs w:val="28"/>
          <w:highlight w:val="none"/>
          <w:lang w:eastAsia="zh-CN"/>
        </w:rPr>
        <w:t>（一）比例尺要求</w:t>
      </w:r>
    </w:p>
    <w:p w14:paraId="173032D8">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比例尺：1：10000</w:t>
      </w:r>
    </w:p>
    <w:p w14:paraId="2DF32451">
      <w:pPr>
        <w:pStyle w:val="7"/>
        <w:spacing w:line="360" w:lineRule="auto"/>
        <w:rPr>
          <w:rFonts w:hint="eastAsia" w:ascii="仿宋" w:hAnsi="仿宋" w:eastAsia="仿宋" w:cs="仿宋"/>
          <w:b/>
          <w:bCs/>
          <w:snapToGrid/>
          <w:color w:val="auto"/>
          <w:spacing w:val="7"/>
          <w:kern w:val="2"/>
          <w:sz w:val="28"/>
          <w:szCs w:val="28"/>
          <w:highlight w:val="none"/>
          <w:lang w:eastAsia="zh-CN"/>
        </w:rPr>
      </w:pPr>
      <w:r>
        <w:rPr>
          <w:rFonts w:hint="eastAsia" w:ascii="仿宋" w:hAnsi="仿宋" w:eastAsia="仿宋" w:cs="仿宋"/>
          <w:b/>
          <w:bCs/>
          <w:snapToGrid/>
          <w:color w:val="auto"/>
          <w:spacing w:val="7"/>
          <w:kern w:val="2"/>
          <w:sz w:val="28"/>
          <w:szCs w:val="28"/>
          <w:highlight w:val="none"/>
          <w:lang w:eastAsia="zh-CN"/>
        </w:rPr>
        <w:t>（二）坐标要求</w:t>
      </w:r>
    </w:p>
    <w:p w14:paraId="31859FF2">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2000国家大地坐标系（CGCS2000）</w:t>
      </w:r>
    </w:p>
    <w:p w14:paraId="35FC85DB">
      <w:pPr>
        <w:pStyle w:val="7"/>
        <w:spacing w:line="360" w:lineRule="auto"/>
        <w:rPr>
          <w:rFonts w:hint="eastAsia" w:ascii="仿宋" w:hAnsi="仿宋" w:eastAsia="仿宋" w:cs="仿宋"/>
          <w:b/>
          <w:bCs/>
          <w:snapToGrid/>
          <w:color w:val="auto"/>
          <w:spacing w:val="7"/>
          <w:kern w:val="2"/>
          <w:sz w:val="28"/>
          <w:szCs w:val="28"/>
          <w:highlight w:val="none"/>
          <w:lang w:eastAsia="zh-CN"/>
        </w:rPr>
      </w:pPr>
      <w:r>
        <w:rPr>
          <w:rFonts w:hint="eastAsia" w:ascii="仿宋" w:hAnsi="仿宋" w:eastAsia="仿宋" w:cs="仿宋"/>
          <w:b/>
          <w:bCs/>
          <w:snapToGrid/>
          <w:color w:val="auto"/>
          <w:spacing w:val="7"/>
          <w:kern w:val="2"/>
          <w:sz w:val="28"/>
          <w:szCs w:val="28"/>
          <w:highlight w:val="none"/>
          <w:lang w:eastAsia="zh-CN"/>
        </w:rPr>
        <w:t>（三）线性、符号要求</w:t>
      </w:r>
    </w:p>
    <w:p w14:paraId="342A2FA6">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提交成果满足《水利空间要素图式与表达规范》（SL730-2015）的要求</w:t>
      </w:r>
    </w:p>
    <w:p w14:paraId="0B5F44B4">
      <w:pPr>
        <w:pStyle w:val="7"/>
        <w:spacing w:line="360" w:lineRule="auto"/>
        <w:rPr>
          <w:rFonts w:hint="eastAsia" w:ascii="仿宋" w:hAnsi="仿宋" w:eastAsia="仿宋" w:cs="仿宋"/>
          <w:b/>
          <w:bCs/>
          <w:snapToGrid/>
          <w:color w:val="auto"/>
          <w:spacing w:val="7"/>
          <w:kern w:val="2"/>
          <w:sz w:val="28"/>
          <w:szCs w:val="28"/>
          <w:highlight w:val="none"/>
          <w:lang w:eastAsia="zh-CN"/>
        </w:rPr>
      </w:pPr>
      <w:r>
        <w:rPr>
          <w:rFonts w:hint="eastAsia" w:ascii="仿宋" w:hAnsi="仿宋" w:eastAsia="仿宋" w:cs="仿宋"/>
          <w:b/>
          <w:bCs/>
          <w:snapToGrid/>
          <w:color w:val="auto"/>
          <w:spacing w:val="7"/>
          <w:kern w:val="2"/>
          <w:sz w:val="28"/>
          <w:szCs w:val="28"/>
          <w:highlight w:val="none"/>
          <w:lang w:eastAsia="zh-CN"/>
        </w:rPr>
        <w:t>（四）图层要求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3106"/>
        <w:gridCol w:w="3107"/>
      </w:tblGrid>
      <w:tr w14:paraId="486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3FD3EB1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255" w:type="dxa"/>
            <w:noWrap w:val="0"/>
            <w:vAlign w:val="center"/>
          </w:tcPr>
          <w:p w14:paraId="29BE4A2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图层组名</w:t>
            </w:r>
          </w:p>
        </w:tc>
        <w:tc>
          <w:tcPr>
            <w:tcW w:w="3256" w:type="dxa"/>
            <w:noWrap w:val="0"/>
            <w:vAlign w:val="center"/>
          </w:tcPr>
          <w:p w14:paraId="416300B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图层名</w:t>
            </w:r>
          </w:p>
        </w:tc>
      </w:tr>
      <w:tr w14:paraId="1C67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0C1CBE1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55" w:type="dxa"/>
            <w:vMerge w:val="restart"/>
            <w:noWrap w:val="0"/>
            <w:vAlign w:val="center"/>
          </w:tcPr>
          <w:p w14:paraId="00B72C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行政驻地（点）</w:t>
            </w:r>
          </w:p>
        </w:tc>
        <w:tc>
          <w:tcPr>
            <w:tcW w:w="3256" w:type="dxa"/>
            <w:noWrap w:val="0"/>
            <w:vAlign w:val="center"/>
          </w:tcPr>
          <w:p w14:paraId="796BD6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 （县）</w:t>
            </w:r>
          </w:p>
        </w:tc>
      </w:tr>
      <w:tr w14:paraId="2A6F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03B3FA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55" w:type="dxa"/>
            <w:vMerge w:val="continue"/>
            <w:noWrap w:val="0"/>
            <w:vAlign w:val="center"/>
          </w:tcPr>
          <w:p w14:paraId="1EB37039">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7FB772E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镇（乡）</w:t>
            </w:r>
          </w:p>
        </w:tc>
      </w:tr>
      <w:tr w14:paraId="0AD2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27F3A22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3255" w:type="dxa"/>
            <w:vMerge w:val="continue"/>
            <w:noWrap w:val="0"/>
            <w:vAlign w:val="center"/>
          </w:tcPr>
          <w:p w14:paraId="6A9C7E70">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00DDCE2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村</w:t>
            </w:r>
          </w:p>
        </w:tc>
      </w:tr>
      <w:tr w14:paraId="2FF5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7D41D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3255" w:type="dxa"/>
            <w:vMerge w:val="restart"/>
            <w:noWrap w:val="0"/>
            <w:vAlign w:val="center"/>
          </w:tcPr>
          <w:p w14:paraId="21EA3A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分界线</w:t>
            </w:r>
          </w:p>
        </w:tc>
        <w:tc>
          <w:tcPr>
            <w:tcW w:w="3256" w:type="dxa"/>
            <w:noWrap w:val="0"/>
            <w:vAlign w:val="center"/>
          </w:tcPr>
          <w:p w14:paraId="7CE8EA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 （县）界</w:t>
            </w:r>
          </w:p>
        </w:tc>
      </w:tr>
      <w:tr w14:paraId="6FA9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38E290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3255" w:type="dxa"/>
            <w:vMerge w:val="continue"/>
            <w:noWrap w:val="0"/>
            <w:vAlign w:val="center"/>
          </w:tcPr>
          <w:p w14:paraId="4D0D5C8D">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06D346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镇（乡）界</w:t>
            </w:r>
          </w:p>
        </w:tc>
      </w:tr>
      <w:tr w14:paraId="063C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7870FC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3255" w:type="dxa"/>
            <w:vMerge w:val="continue"/>
            <w:noWrap w:val="0"/>
            <w:vAlign w:val="center"/>
          </w:tcPr>
          <w:p w14:paraId="76EF3710">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2B133D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村界</w:t>
            </w:r>
          </w:p>
        </w:tc>
      </w:tr>
      <w:tr w14:paraId="04C9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115BD2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3255" w:type="dxa"/>
            <w:vMerge w:val="restart"/>
            <w:noWrap w:val="0"/>
            <w:vAlign w:val="center"/>
          </w:tcPr>
          <w:p w14:paraId="42D274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交通网</w:t>
            </w:r>
          </w:p>
        </w:tc>
        <w:tc>
          <w:tcPr>
            <w:tcW w:w="3256" w:type="dxa"/>
            <w:noWrap w:val="0"/>
            <w:vAlign w:val="center"/>
          </w:tcPr>
          <w:p w14:paraId="162B1F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铁路</w:t>
            </w:r>
          </w:p>
        </w:tc>
      </w:tr>
      <w:tr w14:paraId="5EF5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135FD0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3255" w:type="dxa"/>
            <w:vMerge w:val="continue"/>
            <w:noWrap w:val="0"/>
            <w:vAlign w:val="center"/>
          </w:tcPr>
          <w:p w14:paraId="73611E9B">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07BAD1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公路</w:t>
            </w:r>
          </w:p>
        </w:tc>
      </w:tr>
      <w:tr w14:paraId="119F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51796A4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3255" w:type="dxa"/>
            <w:vMerge w:val="restart"/>
            <w:noWrap w:val="0"/>
            <w:vAlign w:val="center"/>
          </w:tcPr>
          <w:p w14:paraId="7B213F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水系</w:t>
            </w:r>
          </w:p>
        </w:tc>
        <w:tc>
          <w:tcPr>
            <w:tcW w:w="3256" w:type="dxa"/>
            <w:noWrap w:val="0"/>
            <w:vAlign w:val="center"/>
          </w:tcPr>
          <w:p w14:paraId="1916FB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河流</w:t>
            </w:r>
          </w:p>
        </w:tc>
      </w:tr>
      <w:tr w14:paraId="5368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3EC219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3255" w:type="dxa"/>
            <w:vMerge w:val="continue"/>
            <w:noWrap w:val="0"/>
            <w:vAlign w:val="center"/>
          </w:tcPr>
          <w:p w14:paraId="672BDCE2">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201D32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湖泊</w:t>
            </w:r>
          </w:p>
        </w:tc>
      </w:tr>
      <w:tr w14:paraId="527D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18B921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3255" w:type="dxa"/>
            <w:vMerge w:val="continue"/>
            <w:noWrap w:val="0"/>
            <w:vAlign w:val="center"/>
          </w:tcPr>
          <w:p w14:paraId="1864AA42">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1A74CE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水库</w:t>
            </w:r>
          </w:p>
        </w:tc>
      </w:tr>
      <w:tr w14:paraId="4737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DB0CE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3255" w:type="dxa"/>
            <w:vMerge w:val="continue"/>
            <w:noWrap w:val="0"/>
            <w:vAlign w:val="center"/>
          </w:tcPr>
          <w:p w14:paraId="0C8CEF1D">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7C8233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塘坝</w:t>
            </w:r>
          </w:p>
        </w:tc>
      </w:tr>
      <w:tr w14:paraId="036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7697DF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3255" w:type="dxa"/>
            <w:vMerge w:val="restart"/>
            <w:noWrap w:val="0"/>
            <w:vAlign w:val="center"/>
          </w:tcPr>
          <w:p w14:paraId="243999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灌溉渠道</w:t>
            </w:r>
          </w:p>
        </w:tc>
        <w:tc>
          <w:tcPr>
            <w:tcW w:w="3256" w:type="dxa"/>
            <w:noWrap w:val="0"/>
            <w:vAlign w:val="center"/>
          </w:tcPr>
          <w:p w14:paraId="6C6380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干渠</w:t>
            </w:r>
          </w:p>
        </w:tc>
      </w:tr>
      <w:tr w14:paraId="5EC9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413A8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3255" w:type="dxa"/>
            <w:vMerge w:val="continue"/>
            <w:noWrap w:val="0"/>
            <w:vAlign w:val="center"/>
          </w:tcPr>
          <w:p w14:paraId="58826FF3">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5A5928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支渠</w:t>
            </w:r>
          </w:p>
        </w:tc>
      </w:tr>
      <w:tr w14:paraId="035E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561AD4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3255" w:type="dxa"/>
            <w:vMerge w:val="continue"/>
            <w:noWrap w:val="0"/>
            <w:vAlign w:val="center"/>
          </w:tcPr>
          <w:p w14:paraId="2016748E">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201C4B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斗渠</w:t>
            </w:r>
          </w:p>
        </w:tc>
      </w:tr>
      <w:tr w14:paraId="0385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22C8C8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3255" w:type="dxa"/>
            <w:vMerge w:val="continue"/>
            <w:noWrap w:val="0"/>
            <w:vAlign w:val="center"/>
          </w:tcPr>
          <w:p w14:paraId="1ADBEF1A">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3CC92D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农渠</w:t>
            </w:r>
          </w:p>
        </w:tc>
      </w:tr>
      <w:tr w14:paraId="5FD0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E354C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3255" w:type="dxa"/>
            <w:vMerge w:val="restart"/>
            <w:noWrap w:val="0"/>
            <w:vAlign w:val="center"/>
          </w:tcPr>
          <w:p w14:paraId="25264D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排水沟</w:t>
            </w:r>
          </w:p>
        </w:tc>
        <w:tc>
          <w:tcPr>
            <w:tcW w:w="3256" w:type="dxa"/>
            <w:noWrap w:val="0"/>
            <w:vAlign w:val="center"/>
          </w:tcPr>
          <w:p w14:paraId="383367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干沟</w:t>
            </w:r>
          </w:p>
        </w:tc>
      </w:tr>
      <w:tr w14:paraId="2E9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063C0D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3255" w:type="dxa"/>
            <w:vMerge w:val="continue"/>
            <w:noWrap w:val="0"/>
            <w:vAlign w:val="center"/>
          </w:tcPr>
          <w:p w14:paraId="1D924EAE">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0ED11D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支沟</w:t>
            </w:r>
          </w:p>
        </w:tc>
      </w:tr>
      <w:tr w14:paraId="5B96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55CBD0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3255" w:type="dxa"/>
            <w:vMerge w:val="continue"/>
            <w:noWrap w:val="0"/>
            <w:vAlign w:val="center"/>
          </w:tcPr>
          <w:p w14:paraId="422A8362">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3F64A0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斗沟</w:t>
            </w:r>
          </w:p>
        </w:tc>
      </w:tr>
      <w:tr w14:paraId="056C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130AB3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3255" w:type="dxa"/>
            <w:vMerge w:val="continue"/>
            <w:noWrap w:val="0"/>
            <w:vAlign w:val="center"/>
          </w:tcPr>
          <w:p w14:paraId="03A29B47">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4F71FE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农沟</w:t>
            </w:r>
          </w:p>
        </w:tc>
      </w:tr>
      <w:tr w14:paraId="6E85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10BD2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3255" w:type="dxa"/>
            <w:vMerge w:val="restart"/>
            <w:noWrap w:val="0"/>
            <w:vAlign w:val="center"/>
          </w:tcPr>
          <w:p w14:paraId="561AB89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灌溉与排水渠系建筑物</w:t>
            </w:r>
          </w:p>
        </w:tc>
        <w:tc>
          <w:tcPr>
            <w:tcW w:w="3256" w:type="dxa"/>
            <w:noWrap w:val="0"/>
            <w:vAlign w:val="center"/>
          </w:tcPr>
          <w:p w14:paraId="6D3511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水闸</w:t>
            </w:r>
          </w:p>
        </w:tc>
      </w:tr>
      <w:tr w14:paraId="1380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7D0FC03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3255" w:type="dxa"/>
            <w:vMerge w:val="continue"/>
            <w:noWrap w:val="0"/>
            <w:vAlign w:val="center"/>
          </w:tcPr>
          <w:p w14:paraId="1BB1933D">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242C2F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泵站</w:t>
            </w:r>
          </w:p>
        </w:tc>
      </w:tr>
      <w:tr w14:paraId="6AF5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29763A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3255" w:type="dxa"/>
            <w:vMerge w:val="continue"/>
            <w:noWrap w:val="0"/>
            <w:vAlign w:val="center"/>
          </w:tcPr>
          <w:p w14:paraId="0344BFEB">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2A5B113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渡槽</w:t>
            </w:r>
          </w:p>
        </w:tc>
      </w:tr>
      <w:tr w14:paraId="413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29172C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3255" w:type="dxa"/>
            <w:vMerge w:val="continue"/>
            <w:noWrap w:val="0"/>
            <w:vAlign w:val="center"/>
          </w:tcPr>
          <w:p w14:paraId="3019B51E">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502D1C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涵洞</w:t>
            </w:r>
          </w:p>
        </w:tc>
      </w:tr>
      <w:tr w14:paraId="10D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6281C0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3255" w:type="dxa"/>
            <w:vMerge w:val="continue"/>
            <w:noWrap w:val="0"/>
            <w:vAlign w:val="center"/>
          </w:tcPr>
          <w:p w14:paraId="798D8D0A">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6E5FA0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倒虹吸</w:t>
            </w:r>
          </w:p>
        </w:tc>
      </w:tr>
      <w:tr w14:paraId="0D99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333F70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3255" w:type="dxa"/>
            <w:vMerge w:val="continue"/>
            <w:noWrap w:val="0"/>
            <w:vAlign w:val="center"/>
          </w:tcPr>
          <w:p w14:paraId="1EA268AA">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05CA58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陡坡</w:t>
            </w:r>
          </w:p>
        </w:tc>
      </w:tr>
      <w:tr w14:paraId="217B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06C8DF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3255" w:type="dxa"/>
            <w:vMerge w:val="continue"/>
            <w:noWrap w:val="0"/>
            <w:vAlign w:val="center"/>
          </w:tcPr>
          <w:p w14:paraId="0ECD8CAE">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3BF27F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跌水</w:t>
            </w:r>
          </w:p>
        </w:tc>
      </w:tr>
      <w:tr w14:paraId="5C78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5" w:type="dxa"/>
            <w:noWrap w:val="0"/>
            <w:vAlign w:val="center"/>
          </w:tcPr>
          <w:p w14:paraId="498BD5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3255" w:type="dxa"/>
            <w:vMerge w:val="continue"/>
            <w:noWrap w:val="0"/>
            <w:vAlign w:val="center"/>
          </w:tcPr>
          <w:p w14:paraId="35F05C14">
            <w:pPr>
              <w:widowControl/>
              <w:jc w:val="center"/>
              <w:rPr>
                <w:rFonts w:hint="eastAsia" w:ascii="仿宋" w:hAnsi="仿宋" w:eastAsia="仿宋" w:cs="仿宋"/>
                <w:color w:val="auto"/>
                <w:kern w:val="0"/>
                <w:sz w:val="24"/>
                <w:szCs w:val="24"/>
                <w:highlight w:val="none"/>
              </w:rPr>
            </w:pPr>
          </w:p>
        </w:tc>
        <w:tc>
          <w:tcPr>
            <w:tcW w:w="3256" w:type="dxa"/>
            <w:noWrap w:val="0"/>
            <w:vAlign w:val="center"/>
          </w:tcPr>
          <w:p w14:paraId="52BF19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沉砂池</w:t>
            </w:r>
          </w:p>
        </w:tc>
      </w:tr>
    </w:tbl>
    <w:p w14:paraId="16BCB423">
      <w:pPr>
        <w:pStyle w:val="7"/>
        <w:spacing w:line="360" w:lineRule="auto"/>
        <w:rPr>
          <w:rFonts w:hint="eastAsia" w:ascii="仿宋" w:hAnsi="仿宋" w:eastAsia="仿宋" w:cs="仿宋"/>
          <w:snapToGrid/>
          <w:color w:val="auto"/>
          <w:spacing w:val="7"/>
          <w:kern w:val="2"/>
          <w:sz w:val="28"/>
          <w:szCs w:val="28"/>
          <w:highlight w:val="none"/>
          <w:lang w:eastAsia="zh-CN"/>
        </w:rPr>
      </w:pPr>
    </w:p>
    <w:p w14:paraId="215F384E">
      <w:pPr>
        <w:spacing w:before="91" w:line="360" w:lineRule="auto"/>
        <w:outlineLvl w:val="0"/>
        <w:rPr>
          <w:rFonts w:hint="eastAsia" w:ascii="仿宋" w:hAnsi="仿宋" w:eastAsia="仿宋" w:cs="仿宋"/>
          <w:b/>
          <w:bCs/>
          <w:color w:val="auto"/>
          <w:spacing w:val="-5"/>
          <w:sz w:val="30"/>
          <w:szCs w:val="30"/>
          <w:highlight w:val="none"/>
        </w:rPr>
      </w:pPr>
      <w:bookmarkStart w:id="555" w:name="_Toc6871"/>
      <w:r>
        <w:rPr>
          <w:rFonts w:hint="eastAsia" w:ascii="仿宋" w:hAnsi="仿宋" w:eastAsia="仿宋" w:cs="仿宋"/>
          <w:b/>
          <w:bCs/>
          <w:color w:val="auto"/>
          <w:spacing w:val="-5"/>
          <w:sz w:val="30"/>
          <w:szCs w:val="30"/>
          <w:highlight w:val="none"/>
        </w:rPr>
        <w:t>四、工作内容</w:t>
      </w:r>
      <w:bookmarkEnd w:id="555"/>
    </w:p>
    <w:p w14:paraId="35264F41">
      <w:pPr>
        <w:pStyle w:val="7"/>
        <w:spacing w:line="360" w:lineRule="auto"/>
        <w:rPr>
          <w:rFonts w:hint="eastAsia" w:ascii="仿宋" w:hAnsi="仿宋" w:eastAsia="仿宋" w:cs="仿宋"/>
          <w:snapToGrid/>
          <w:color w:val="auto"/>
          <w:spacing w:val="7"/>
          <w:kern w:val="2"/>
          <w:sz w:val="16"/>
          <w:szCs w:val="16"/>
          <w:highlight w:val="none"/>
          <w:lang w:eastAsia="zh-CN"/>
        </w:rPr>
      </w:pPr>
    </w:p>
    <w:p w14:paraId="47207547">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 xml:space="preserve">全面调查摸底双阳区域内农田水网情况，全面排查农田排灌渠系分布走向、覆盖范围、问题隐患等。充分走访并征求当地农民群众意见，明确所有田块对应的排灌路径、水源和承泄区位置。 </w:t>
      </w:r>
    </w:p>
    <w:p w14:paraId="33942E77">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 xml:space="preserve">对县域内排灌沟渠进行全面排查，确定沟渠坐标与长度，摸清沟渠现状，建立系统完整沟渠台账，同时绘制沟渠分布图，系统显示全域农田沟渠的分布及连通情况。已整治沟渠和未整治沟渠要以不同颜色进行标记。县、乡镇两级要分别建立台账、对沟渠进行系统分类编号，分别绘制沟渠分布图。 </w:t>
      </w:r>
    </w:p>
    <w:p w14:paraId="0CEB565F">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 xml:space="preserve">沟渠整治以沟渠通畅作为整治目标，做到有淤必清。重点排查农田排灌沟渠存在的堵点、漏点、断点。对淤堵不畅的部分沟渠开展疏浚、清淤和清障，对渗漏跑水部分沟渠开展维修、加固和防渗处理，对被拱占、侵蚀的“断头沟渠”进行开挖疏通，全面提升或恢复农田排灌功能，提高排灌能力。 </w:t>
      </w:r>
    </w:p>
    <w:p w14:paraId="2BB48CF4">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绘制沟渠分布图时，应对排查出的问题逐一进行登记记录， 建立问题台账，并对应提出治理措施，列表插入一张图内。</w:t>
      </w:r>
    </w:p>
    <w:p w14:paraId="2228FC26">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提供无线数据回传服务,满足现场数据及时上传，提供5张5G物联</w:t>
      </w:r>
    </w:p>
    <w:p w14:paraId="56B7F4C0">
      <w:pPr>
        <w:pStyle w:val="7"/>
        <w:spacing w:line="360" w:lineRule="auto"/>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网卡，每张卡每年不少于12G通用流量。</w:t>
      </w:r>
    </w:p>
    <w:p w14:paraId="024D048F">
      <w:pPr>
        <w:spacing w:before="91" w:line="360" w:lineRule="auto"/>
        <w:outlineLvl w:val="0"/>
        <w:rPr>
          <w:rFonts w:hint="eastAsia" w:ascii="仿宋" w:hAnsi="仿宋" w:eastAsia="仿宋" w:cs="仿宋"/>
          <w:b/>
          <w:bCs/>
          <w:color w:val="auto"/>
          <w:spacing w:val="-5"/>
          <w:sz w:val="30"/>
          <w:szCs w:val="30"/>
          <w:highlight w:val="none"/>
        </w:rPr>
      </w:pPr>
      <w:bookmarkStart w:id="556" w:name="bookmark19"/>
      <w:bookmarkEnd w:id="556"/>
      <w:bookmarkStart w:id="557" w:name="_Toc9324"/>
      <w:r>
        <w:rPr>
          <w:rFonts w:hint="eastAsia" w:ascii="仿宋" w:hAnsi="仿宋" w:eastAsia="仿宋" w:cs="仿宋"/>
          <w:b/>
          <w:bCs/>
          <w:color w:val="auto"/>
          <w:spacing w:val="-5"/>
          <w:sz w:val="30"/>
          <w:szCs w:val="30"/>
          <w:highlight w:val="none"/>
        </w:rPr>
        <w:t>五、设计方案</w:t>
      </w:r>
    </w:p>
    <w:p w14:paraId="2A93ABB5">
      <w:pPr>
        <w:pStyle w:val="7"/>
        <w:spacing w:line="360" w:lineRule="auto"/>
        <w:rPr>
          <w:rFonts w:hint="eastAsia" w:ascii="仿宋" w:hAnsi="仿宋" w:eastAsia="仿宋" w:cs="仿宋"/>
          <w:b/>
          <w:bCs/>
          <w:color w:val="auto"/>
          <w:spacing w:val="-5"/>
          <w:sz w:val="16"/>
          <w:szCs w:val="16"/>
          <w:highlight w:val="none"/>
          <w:lang w:eastAsia="zh-CN"/>
        </w:rPr>
      </w:pPr>
    </w:p>
    <w:p w14:paraId="12064E91">
      <w:pPr>
        <w:pStyle w:val="7"/>
        <w:spacing w:line="360" w:lineRule="auto"/>
        <w:rPr>
          <w:rFonts w:hint="eastAsia" w:ascii="仿宋" w:hAnsi="仿宋" w:eastAsia="仿宋" w:cs="仿宋"/>
          <w:b/>
          <w:bCs/>
          <w:snapToGrid/>
          <w:color w:val="auto"/>
          <w:spacing w:val="7"/>
          <w:kern w:val="2"/>
          <w:sz w:val="28"/>
          <w:szCs w:val="28"/>
          <w:highlight w:val="none"/>
          <w:lang w:eastAsia="zh-CN"/>
        </w:rPr>
      </w:pPr>
      <w:bookmarkStart w:id="558" w:name="_Toc62315026"/>
      <w:bookmarkStart w:id="559" w:name="_Toc66972373"/>
      <w:bookmarkStart w:id="560" w:name="_Toc62314716"/>
      <w:r>
        <w:rPr>
          <w:rFonts w:hint="eastAsia" w:ascii="仿宋" w:hAnsi="仿宋" w:eastAsia="仿宋" w:cs="仿宋"/>
          <w:b/>
          <w:bCs/>
          <w:snapToGrid/>
          <w:color w:val="auto"/>
          <w:spacing w:val="7"/>
          <w:kern w:val="2"/>
          <w:sz w:val="28"/>
          <w:szCs w:val="28"/>
          <w:highlight w:val="none"/>
          <w:lang w:eastAsia="zh-CN"/>
        </w:rPr>
        <w:t>（一）测量工作</w:t>
      </w:r>
    </w:p>
    <w:p w14:paraId="0572971D">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1、测量总则</w:t>
      </w:r>
      <w:bookmarkEnd w:id="558"/>
      <w:bookmarkEnd w:id="559"/>
      <w:bookmarkEnd w:id="560"/>
    </w:p>
    <w:p w14:paraId="5CF943E0">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（1）采用高清卫片成图和工程测量相结合的方法作业；</w:t>
      </w:r>
    </w:p>
    <w:p w14:paraId="4666C239">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（2）本项目测量技术要求，为满足各阶段设计需要，根据国家和行业有关标准而制定；</w:t>
      </w:r>
    </w:p>
    <w:p w14:paraId="4F7F61DE">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（3）测量前，测量单位根据技术要求和设计基础资料编制工程测量实施大纲。</w:t>
      </w:r>
    </w:p>
    <w:p w14:paraId="5EB551BE">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（4）测量中，必须采取切实可靠的措施，确保工作人员、车辆和测量工具的安全；做好防火、防盗工作。</w:t>
      </w:r>
    </w:p>
    <w:p w14:paraId="16B449AA">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bookmarkStart w:id="561" w:name="_Toc66972374"/>
      <w:bookmarkStart w:id="562" w:name="_Toc62314717"/>
      <w:bookmarkStart w:id="563" w:name="_Toc62315027"/>
      <w:r>
        <w:rPr>
          <w:rFonts w:hint="eastAsia" w:ascii="仿宋" w:hAnsi="仿宋" w:eastAsia="仿宋" w:cs="仿宋"/>
          <w:snapToGrid/>
          <w:color w:val="auto"/>
          <w:spacing w:val="7"/>
          <w:kern w:val="2"/>
          <w:sz w:val="28"/>
          <w:szCs w:val="28"/>
          <w:highlight w:val="none"/>
          <w:lang w:eastAsia="zh-CN"/>
        </w:rPr>
        <w:t>2、测量方法</w:t>
      </w:r>
      <w:bookmarkEnd w:id="561"/>
      <w:bookmarkEnd w:id="562"/>
      <w:bookmarkEnd w:id="563"/>
    </w:p>
    <w:p w14:paraId="113506F7">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以优于 0.8 米的光学卫星影像为主，以优于 5 米的公益 SAR 卫星影像为辅 ， 以优于 50 米国产公益光学卫星影像为高频次调查监测的补充数据源 。利用aicgis软件采集沟渠坐标与长度，摸清沟渠现状，对沟渠进行系统分类编号，分别绘制沟渠分布图建立系统完整沟渠台账，同时绘制沟渠分布图，全域农田沟渠的分布及连通情况。已整治沟渠和未整治沟渠要以不同颜色进行标记。</w:t>
      </w:r>
    </w:p>
    <w:p w14:paraId="0A45B58E">
      <w:pPr>
        <w:pStyle w:val="7"/>
        <w:spacing w:line="360" w:lineRule="auto"/>
        <w:rPr>
          <w:rFonts w:hint="eastAsia" w:ascii="仿宋" w:hAnsi="仿宋" w:eastAsia="仿宋" w:cs="仿宋"/>
          <w:b/>
          <w:bCs/>
          <w:snapToGrid/>
          <w:color w:val="auto"/>
          <w:spacing w:val="7"/>
          <w:kern w:val="2"/>
          <w:sz w:val="28"/>
          <w:szCs w:val="28"/>
          <w:highlight w:val="none"/>
          <w:lang w:eastAsia="zh-CN"/>
        </w:rPr>
      </w:pPr>
      <w:r>
        <w:rPr>
          <w:rFonts w:hint="eastAsia" w:ascii="仿宋" w:hAnsi="仿宋" w:eastAsia="仿宋" w:cs="仿宋"/>
          <w:b/>
          <w:bCs/>
          <w:snapToGrid/>
          <w:color w:val="auto"/>
          <w:spacing w:val="7"/>
          <w:kern w:val="2"/>
          <w:sz w:val="28"/>
          <w:szCs w:val="28"/>
          <w:highlight w:val="none"/>
          <w:lang w:eastAsia="zh-CN"/>
        </w:rPr>
        <w:t>（二）</w:t>
      </w:r>
      <w:bookmarkEnd w:id="557"/>
      <w:r>
        <w:rPr>
          <w:rFonts w:hint="eastAsia" w:ascii="仿宋" w:hAnsi="仿宋" w:eastAsia="仿宋" w:cs="仿宋"/>
          <w:b/>
          <w:bCs/>
          <w:snapToGrid/>
          <w:color w:val="auto"/>
          <w:spacing w:val="7"/>
          <w:kern w:val="2"/>
          <w:sz w:val="28"/>
          <w:szCs w:val="28"/>
          <w:highlight w:val="none"/>
          <w:lang w:eastAsia="zh-CN"/>
        </w:rPr>
        <w:t>现场调查</w:t>
      </w:r>
    </w:p>
    <w:p w14:paraId="61BCB4A0">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bookmarkStart w:id="564" w:name="_Toc14117"/>
      <w:r>
        <w:rPr>
          <w:rFonts w:hint="eastAsia" w:ascii="仿宋" w:hAnsi="仿宋" w:eastAsia="仿宋" w:cs="仿宋"/>
          <w:snapToGrid/>
          <w:color w:val="auto"/>
          <w:spacing w:val="7"/>
          <w:kern w:val="2"/>
          <w:sz w:val="28"/>
          <w:szCs w:val="28"/>
          <w:highlight w:val="none"/>
          <w:lang w:eastAsia="zh-CN"/>
        </w:rPr>
        <w:t>1、调查</w:t>
      </w:r>
      <w:bookmarkEnd w:id="564"/>
      <w:r>
        <w:rPr>
          <w:rFonts w:hint="eastAsia" w:ascii="仿宋" w:hAnsi="仿宋" w:eastAsia="仿宋" w:cs="仿宋"/>
          <w:snapToGrid/>
          <w:color w:val="auto"/>
          <w:spacing w:val="7"/>
          <w:kern w:val="2"/>
          <w:sz w:val="28"/>
          <w:szCs w:val="28"/>
          <w:highlight w:val="none"/>
          <w:lang w:eastAsia="zh-CN"/>
        </w:rPr>
        <w:t>目标</w:t>
      </w:r>
    </w:p>
    <w:p w14:paraId="69830479">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以国土“三调”和年度国土变更调查的双阳区边界为范围，调查农田水系、灌排沟渠和灌溉与排水渠系建筑物。</w:t>
      </w:r>
    </w:p>
    <w:p w14:paraId="68DEA7D5">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bookmarkStart w:id="565" w:name="_Toc2563"/>
      <w:r>
        <w:rPr>
          <w:rFonts w:hint="eastAsia" w:ascii="仿宋" w:hAnsi="仿宋" w:eastAsia="仿宋" w:cs="仿宋"/>
          <w:snapToGrid/>
          <w:color w:val="auto"/>
          <w:spacing w:val="7"/>
          <w:kern w:val="2"/>
          <w:sz w:val="28"/>
          <w:szCs w:val="28"/>
          <w:highlight w:val="none"/>
          <w:lang w:eastAsia="zh-CN"/>
        </w:rPr>
        <w:t>2</w:t>
      </w:r>
      <w:bookmarkEnd w:id="565"/>
      <w:r>
        <w:rPr>
          <w:rFonts w:hint="eastAsia" w:ascii="仿宋" w:hAnsi="仿宋" w:eastAsia="仿宋" w:cs="仿宋"/>
          <w:snapToGrid/>
          <w:color w:val="auto"/>
          <w:spacing w:val="7"/>
          <w:kern w:val="2"/>
          <w:sz w:val="28"/>
          <w:szCs w:val="28"/>
          <w:highlight w:val="none"/>
          <w:lang w:eastAsia="zh-CN"/>
        </w:rPr>
        <w:t>、现场工作</w:t>
      </w:r>
    </w:p>
    <w:p w14:paraId="7D8F9197">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我公司组织队伍现场走访，摸清沟渠现状及问题隐患等。充分走访并征求当地农民群众意见，沟渠整治以沟渠通畅作为整治目标，做到有淤必清。重点排查农田排灌沟渠存在的堵点、漏点、断点。对淤堵不畅的部分沟渠开展疏浚、清淤和清障，对渗漏跑水部分沟渠开展维修、加固和防渗处理，对被拱占、侵蚀的“断头沟渠”进行开挖疏通，全面提升或恢复农田排灌功能，提高排灌能力。明确所有田块对应的排灌路径、水源和承泄区位置都应在图片对应标注。</w:t>
      </w:r>
    </w:p>
    <w:p w14:paraId="3BF22C78">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3、建立台账</w:t>
      </w:r>
    </w:p>
    <w:p w14:paraId="12C3ED46">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以市（县）、镇（乡）、村三级分别建立台账，台账体现位置归属地、沟渠位置坐标、沟渠结构、长度、宽度等情况备注。</w:t>
      </w:r>
    </w:p>
    <w:p w14:paraId="7A1E1CD0">
      <w:pPr>
        <w:spacing w:before="91" w:line="360" w:lineRule="auto"/>
        <w:outlineLvl w:val="0"/>
        <w:rPr>
          <w:rFonts w:hint="eastAsia" w:ascii="仿宋" w:hAnsi="仿宋" w:eastAsia="仿宋" w:cs="仿宋"/>
          <w:b/>
          <w:bCs/>
          <w:color w:val="auto"/>
          <w:spacing w:val="-5"/>
          <w:sz w:val="30"/>
          <w:szCs w:val="30"/>
          <w:highlight w:val="none"/>
        </w:rPr>
      </w:pPr>
      <w:r>
        <w:rPr>
          <w:rFonts w:hint="eastAsia" w:ascii="仿宋" w:hAnsi="仿宋" w:eastAsia="仿宋" w:cs="仿宋"/>
          <w:b/>
          <w:bCs/>
          <w:color w:val="auto"/>
          <w:spacing w:val="-5"/>
          <w:sz w:val="30"/>
          <w:szCs w:val="30"/>
          <w:highlight w:val="none"/>
          <w:lang w:eastAsia="zh-CN"/>
        </w:rPr>
        <w:t>六、</w:t>
      </w:r>
      <w:r>
        <w:rPr>
          <w:rFonts w:hint="eastAsia" w:ascii="仿宋" w:hAnsi="仿宋" w:eastAsia="仿宋" w:cs="仿宋"/>
          <w:b/>
          <w:bCs/>
          <w:color w:val="auto"/>
          <w:spacing w:val="-5"/>
          <w:sz w:val="30"/>
          <w:szCs w:val="30"/>
          <w:highlight w:val="none"/>
        </w:rPr>
        <w:t>资金来源</w:t>
      </w:r>
    </w:p>
    <w:p w14:paraId="48841C18">
      <w:pPr>
        <w:pStyle w:val="7"/>
        <w:spacing w:line="360" w:lineRule="auto"/>
        <w:ind w:firstLine="588" w:firstLineChars="200"/>
        <w:rPr>
          <w:rFonts w:hint="eastAsia" w:ascii="仿宋" w:hAnsi="仿宋" w:eastAsia="仿宋" w:cs="仿宋"/>
          <w:snapToGrid/>
          <w:color w:val="auto"/>
          <w:spacing w:val="7"/>
          <w:kern w:val="2"/>
          <w:sz w:val="28"/>
          <w:szCs w:val="28"/>
          <w:highlight w:val="none"/>
          <w:lang w:eastAsia="zh-CN"/>
        </w:rPr>
      </w:pPr>
      <w:r>
        <w:rPr>
          <w:rFonts w:hint="eastAsia" w:ascii="仿宋" w:hAnsi="仿宋" w:eastAsia="仿宋" w:cs="仿宋"/>
          <w:snapToGrid/>
          <w:color w:val="auto"/>
          <w:spacing w:val="7"/>
          <w:kern w:val="2"/>
          <w:sz w:val="28"/>
          <w:szCs w:val="28"/>
          <w:highlight w:val="none"/>
          <w:lang w:eastAsia="zh-CN"/>
        </w:rPr>
        <w:t>全部为</w:t>
      </w:r>
      <w:r>
        <w:rPr>
          <w:rFonts w:hint="eastAsia" w:ascii="仿宋" w:hAnsi="仿宋" w:eastAsia="仿宋" w:cs="仿宋"/>
          <w:snapToGrid/>
          <w:color w:val="auto"/>
          <w:spacing w:val="7"/>
          <w:kern w:val="2"/>
          <w:sz w:val="28"/>
          <w:szCs w:val="28"/>
          <w:highlight w:val="none"/>
          <w:lang w:val="en-US" w:eastAsia="zh-CN"/>
        </w:rPr>
        <w:t>本级预算资金</w:t>
      </w:r>
      <w:r>
        <w:rPr>
          <w:rFonts w:hint="eastAsia" w:ascii="仿宋" w:hAnsi="仿宋" w:eastAsia="仿宋" w:cs="仿宋"/>
          <w:snapToGrid/>
          <w:color w:val="auto"/>
          <w:spacing w:val="7"/>
          <w:kern w:val="2"/>
          <w:sz w:val="28"/>
          <w:szCs w:val="28"/>
          <w:highlight w:val="none"/>
          <w:lang w:eastAsia="zh-CN"/>
        </w:rPr>
        <w:t>。</w:t>
      </w:r>
    </w:p>
    <w:p w14:paraId="14BA52F5">
      <w:pPr>
        <w:pStyle w:val="24"/>
        <w:numPr>
          <w:ilvl w:val="0"/>
          <w:numId w:val="0"/>
        </w:numPr>
        <w:rPr>
          <w:rFonts w:hint="eastAsia" w:ascii="仿宋" w:hAnsi="仿宋" w:eastAsia="仿宋" w:cs="仿宋"/>
          <w:color w:val="auto"/>
          <w:highlight w:val="none"/>
          <w:lang w:val="en-US" w:eastAsia="zh-CN"/>
        </w:rPr>
      </w:pPr>
    </w:p>
    <w:p w14:paraId="6A7F8CF7">
      <w:pPr>
        <w:pStyle w:val="2"/>
        <w:adjustRightInd w:val="0"/>
        <w:snapToGrid w:val="0"/>
        <w:spacing w:before="156" w:beforeLines="50" w:after="156" w:afterLines="50" w:line="24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bookmarkStart w:id="566" w:name="_Toc449"/>
      <w:r>
        <w:rPr>
          <w:rFonts w:hint="eastAsia" w:ascii="仿宋" w:hAnsi="仿宋" w:eastAsia="仿宋" w:cs="仿宋"/>
          <w:color w:val="auto"/>
          <w:sz w:val="30"/>
          <w:szCs w:val="30"/>
          <w:highlight w:val="none"/>
        </w:rPr>
        <w:t>第六章 投标文件格式</w:t>
      </w:r>
      <w:bookmarkEnd w:id="566"/>
    </w:p>
    <w:p w14:paraId="681D04D3">
      <w:pPr>
        <w:rPr>
          <w:rFonts w:hint="eastAsia" w:ascii="仿宋" w:hAnsi="仿宋" w:eastAsia="仿宋" w:cs="仿宋"/>
          <w:color w:val="auto"/>
          <w:szCs w:val="21"/>
          <w:highlight w:val="none"/>
        </w:rPr>
      </w:pPr>
    </w:p>
    <w:p w14:paraId="78D7AE8C">
      <w:pPr>
        <w:pStyle w:val="14"/>
        <w:spacing w:line="700" w:lineRule="exact"/>
        <w:ind w:firstLine="1246" w:firstLineChars="445"/>
        <w:rPr>
          <w:rFonts w:hint="eastAsia" w:ascii="仿宋" w:hAnsi="仿宋" w:eastAsia="仿宋" w:cs="仿宋"/>
          <w:b/>
          <w:color w:val="auto"/>
          <w:sz w:val="28"/>
          <w:szCs w:val="28"/>
          <w:highlight w:val="none"/>
          <w:u w:val="single"/>
        </w:rPr>
      </w:pPr>
    </w:p>
    <w:p w14:paraId="6462FBA7">
      <w:pPr>
        <w:pStyle w:val="14"/>
        <w:spacing w:line="700" w:lineRule="exact"/>
        <w:ind w:firstLine="1246" w:firstLineChars="445"/>
        <w:rPr>
          <w:rFonts w:hint="eastAsia" w:ascii="仿宋" w:hAnsi="仿宋" w:eastAsia="仿宋" w:cs="仿宋"/>
          <w:b/>
          <w:color w:val="auto"/>
          <w:sz w:val="28"/>
          <w:szCs w:val="28"/>
          <w:highlight w:val="none"/>
          <w:u w:val="single"/>
        </w:rPr>
      </w:pPr>
    </w:p>
    <w:p w14:paraId="25AE34F3">
      <w:pPr>
        <w:pStyle w:val="14"/>
        <w:spacing w:line="700" w:lineRule="exact"/>
        <w:ind w:firstLine="1246" w:firstLineChars="445"/>
        <w:rPr>
          <w:rFonts w:hint="eastAsia" w:ascii="仿宋" w:hAnsi="仿宋" w:eastAsia="仿宋" w:cs="仿宋"/>
          <w:b/>
          <w:color w:val="auto"/>
          <w:sz w:val="28"/>
          <w:szCs w:val="28"/>
          <w:highlight w:val="none"/>
          <w:u w:val="single"/>
        </w:rPr>
      </w:pPr>
    </w:p>
    <w:p w14:paraId="56048D91">
      <w:pPr>
        <w:pStyle w:val="14"/>
        <w:spacing w:line="700" w:lineRule="exact"/>
        <w:ind w:firstLine="1246" w:firstLineChars="445"/>
        <w:rPr>
          <w:rFonts w:hint="eastAsia" w:ascii="仿宋" w:hAnsi="仿宋" w:eastAsia="仿宋" w:cs="仿宋"/>
          <w:b/>
          <w:color w:val="auto"/>
          <w:sz w:val="28"/>
          <w:szCs w:val="28"/>
          <w:highlight w:val="none"/>
          <w:u w:val="single"/>
        </w:rPr>
      </w:pPr>
    </w:p>
    <w:p w14:paraId="4672AC82">
      <w:pPr>
        <w:pStyle w:val="14"/>
        <w:spacing w:line="700" w:lineRule="exact"/>
        <w:ind w:firstLine="1246" w:firstLineChars="445"/>
        <w:rPr>
          <w:rFonts w:hint="eastAsia" w:ascii="仿宋" w:hAnsi="仿宋" w:eastAsia="仿宋" w:cs="仿宋"/>
          <w:b/>
          <w:color w:val="auto"/>
          <w:sz w:val="28"/>
          <w:szCs w:val="28"/>
          <w:highlight w:val="none"/>
          <w:u w:val="single"/>
        </w:rPr>
      </w:pPr>
    </w:p>
    <w:p w14:paraId="4C8AD499">
      <w:pPr>
        <w:pStyle w:val="14"/>
        <w:spacing w:line="700" w:lineRule="exact"/>
        <w:ind w:firstLine="1246" w:firstLineChars="445"/>
        <w:rPr>
          <w:rFonts w:hint="eastAsia" w:ascii="仿宋" w:hAnsi="仿宋" w:eastAsia="仿宋" w:cs="仿宋"/>
          <w:b/>
          <w:color w:val="auto"/>
          <w:sz w:val="28"/>
          <w:szCs w:val="28"/>
          <w:highlight w:val="none"/>
          <w:u w:val="single"/>
        </w:rPr>
      </w:pPr>
    </w:p>
    <w:p w14:paraId="0E9A492E">
      <w:pPr>
        <w:pStyle w:val="14"/>
        <w:spacing w:line="700" w:lineRule="exact"/>
        <w:ind w:firstLine="1246" w:firstLineChars="445"/>
        <w:rPr>
          <w:rFonts w:hint="eastAsia" w:ascii="仿宋" w:hAnsi="仿宋" w:eastAsia="仿宋" w:cs="仿宋"/>
          <w:b/>
          <w:color w:val="auto"/>
          <w:sz w:val="28"/>
          <w:szCs w:val="28"/>
          <w:highlight w:val="none"/>
          <w:u w:val="single"/>
        </w:rPr>
      </w:pPr>
    </w:p>
    <w:p w14:paraId="1E5C6F7D">
      <w:pPr>
        <w:pStyle w:val="14"/>
        <w:spacing w:line="700" w:lineRule="exact"/>
        <w:ind w:firstLine="1246" w:firstLineChars="445"/>
        <w:rPr>
          <w:rFonts w:hint="eastAsia" w:ascii="仿宋" w:hAnsi="仿宋" w:eastAsia="仿宋" w:cs="仿宋"/>
          <w:b/>
          <w:color w:val="auto"/>
          <w:sz w:val="28"/>
          <w:szCs w:val="28"/>
          <w:highlight w:val="none"/>
          <w:u w:val="single"/>
        </w:rPr>
      </w:pPr>
    </w:p>
    <w:p w14:paraId="001DD515">
      <w:pPr>
        <w:pStyle w:val="14"/>
        <w:spacing w:line="700" w:lineRule="exact"/>
        <w:ind w:firstLine="1246" w:firstLineChars="445"/>
        <w:rPr>
          <w:rFonts w:hint="eastAsia" w:ascii="仿宋" w:hAnsi="仿宋" w:eastAsia="仿宋" w:cs="仿宋"/>
          <w:b/>
          <w:color w:val="auto"/>
          <w:sz w:val="28"/>
          <w:szCs w:val="28"/>
          <w:highlight w:val="none"/>
          <w:u w:val="single"/>
        </w:rPr>
      </w:pPr>
    </w:p>
    <w:p w14:paraId="4E98503D">
      <w:pPr>
        <w:pStyle w:val="14"/>
        <w:spacing w:line="700" w:lineRule="exact"/>
        <w:ind w:firstLine="1246" w:firstLineChars="445"/>
        <w:rPr>
          <w:rFonts w:hint="eastAsia" w:ascii="仿宋" w:hAnsi="仿宋" w:eastAsia="仿宋" w:cs="仿宋"/>
          <w:b/>
          <w:color w:val="auto"/>
          <w:sz w:val="28"/>
          <w:szCs w:val="28"/>
          <w:highlight w:val="none"/>
          <w:u w:val="single"/>
        </w:rPr>
      </w:pPr>
    </w:p>
    <w:p w14:paraId="64C3D1BD">
      <w:pPr>
        <w:pStyle w:val="14"/>
        <w:spacing w:line="700" w:lineRule="exact"/>
        <w:ind w:firstLine="1246" w:firstLineChars="445"/>
        <w:rPr>
          <w:rFonts w:hint="eastAsia" w:ascii="仿宋" w:hAnsi="仿宋" w:eastAsia="仿宋" w:cs="仿宋"/>
          <w:b/>
          <w:color w:val="auto"/>
          <w:sz w:val="28"/>
          <w:szCs w:val="28"/>
          <w:highlight w:val="none"/>
          <w:u w:val="single"/>
        </w:rPr>
      </w:pPr>
    </w:p>
    <w:p w14:paraId="7C44548A">
      <w:pPr>
        <w:pStyle w:val="14"/>
        <w:spacing w:line="700" w:lineRule="exact"/>
        <w:ind w:firstLine="1246" w:firstLineChars="445"/>
        <w:rPr>
          <w:rFonts w:hint="eastAsia" w:ascii="仿宋" w:hAnsi="仿宋" w:eastAsia="仿宋" w:cs="仿宋"/>
          <w:b/>
          <w:color w:val="auto"/>
          <w:sz w:val="28"/>
          <w:szCs w:val="28"/>
          <w:highlight w:val="none"/>
          <w:u w:val="single"/>
        </w:rPr>
      </w:pPr>
    </w:p>
    <w:p w14:paraId="66383B3C">
      <w:pPr>
        <w:pStyle w:val="14"/>
        <w:spacing w:line="700" w:lineRule="exact"/>
        <w:ind w:firstLine="1246" w:firstLineChars="445"/>
        <w:rPr>
          <w:rFonts w:hint="eastAsia" w:ascii="仿宋" w:hAnsi="仿宋" w:eastAsia="仿宋" w:cs="仿宋"/>
          <w:b/>
          <w:color w:val="auto"/>
          <w:sz w:val="28"/>
          <w:szCs w:val="28"/>
          <w:highlight w:val="none"/>
          <w:u w:val="single"/>
        </w:rPr>
      </w:pPr>
    </w:p>
    <w:p w14:paraId="0BC70CA4">
      <w:pPr>
        <w:pStyle w:val="14"/>
        <w:spacing w:line="700" w:lineRule="exact"/>
        <w:ind w:firstLine="1246" w:firstLineChars="445"/>
        <w:rPr>
          <w:rFonts w:hint="eastAsia" w:ascii="仿宋" w:hAnsi="仿宋" w:eastAsia="仿宋" w:cs="仿宋"/>
          <w:b/>
          <w:color w:val="auto"/>
          <w:sz w:val="28"/>
          <w:szCs w:val="28"/>
          <w:highlight w:val="none"/>
          <w:u w:val="single"/>
        </w:rPr>
      </w:pPr>
    </w:p>
    <w:p w14:paraId="53DD04FB">
      <w:pPr>
        <w:pStyle w:val="14"/>
        <w:spacing w:line="700" w:lineRule="exact"/>
        <w:ind w:firstLine="1246" w:firstLineChars="445"/>
        <w:rPr>
          <w:rFonts w:hint="eastAsia" w:ascii="仿宋" w:hAnsi="仿宋" w:eastAsia="仿宋" w:cs="仿宋"/>
          <w:b/>
          <w:color w:val="auto"/>
          <w:sz w:val="28"/>
          <w:szCs w:val="28"/>
          <w:highlight w:val="none"/>
          <w:u w:val="single"/>
        </w:rPr>
      </w:pPr>
    </w:p>
    <w:p w14:paraId="0977C27F">
      <w:pPr>
        <w:pStyle w:val="14"/>
        <w:spacing w:line="700" w:lineRule="exact"/>
        <w:ind w:firstLine="1246" w:firstLineChars="445"/>
        <w:rPr>
          <w:rFonts w:hint="eastAsia" w:ascii="仿宋" w:hAnsi="仿宋" w:eastAsia="仿宋" w:cs="仿宋"/>
          <w:b/>
          <w:color w:val="auto"/>
          <w:sz w:val="28"/>
          <w:szCs w:val="28"/>
          <w:highlight w:val="none"/>
          <w:u w:val="single"/>
        </w:rPr>
      </w:pPr>
    </w:p>
    <w:p w14:paraId="1CAC8EA7">
      <w:pPr>
        <w:pStyle w:val="14"/>
        <w:spacing w:line="700" w:lineRule="exact"/>
        <w:ind w:firstLine="1246" w:firstLineChars="445"/>
        <w:rPr>
          <w:rFonts w:hint="eastAsia" w:ascii="仿宋" w:hAnsi="仿宋" w:eastAsia="仿宋" w:cs="仿宋"/>
          <w:b/>
          <w:color w:val="auto"/>
          <w:sz w:val="28"/>
          <w:szCs w:val="28"/>
          <w:highlight w:val="none"/>
          <w:u w:val="single"/>
        </w:rPr>
      </w:pPr>
    </w:p>
    <w:p w14:paraId="4ABDF429">
      <w:pPr>
        <w:pStyle w:val="14"/>
        <w:spacing w:line="700" w:lineRule="exact"/>
        <w:ind w:firstLine="1246" w:firstLineChars="445"/>
        <w:rPr>
          <w:rFonts w:hint="eastAsia" w:ascii="仿宋" w:hAnsi="仿宋" w:eastAsia="仿宋" w:cs="仿宋"/>
          <w:b/>
          <w:color w:val="auto"/>
          <w:sz w:val="28"/>
          <w:szCs w:val="28"/>
          <w:highlight w:val="none"/>
          <w:u w:val="single"/>
        </w:rPr>
      </w:pPr>
    </w:p>
    <w:p w14:paraId="6B502137">
      <w:pPr>
        <w:spacing w:line="440" w:lineRule="exact"/>
        <w:jc w:val="center"/>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u w:val="single"/>
        </w:rPr>
        <w:t xml:space="preserve">                （项目名称）</w:t>
      </w:r>
    </w:p>
    <w:p w14:paraId="762D0059">
      <w:pPr>
        <w:spacing w:line="440" w:lineRule="exact"/>
        <w:jc w:val="center"/>
        <w:rPr>
          <w:rFonts w:hint="eastAsia" w:ascii="仿宋" w:hAnsi="仿宋" w:eastAsia="仿宋" w:cs="仿宋"/>
          <w:b/>
          <w:color w:val="auto"/>
          <w:sz w:val="28"/>
          <w:szCs w:val="28"/>
          <w:highlight w:val="none"/>
          <w:u w:val="single"/>
        </w:rPr>
      </w:pPr>
    </w:p>
    <w:p w14:paraId="1E5F992F">
      <w:pPr>
        <w:spacing w:line="440" w:lineRule="exact"/>
        <w:jc w:val="center"/>
        <w:rPr>
          <w:rFonts w:hint="eastAsia" w:ascii="仿宋" w:hAnsi="仿宋" w:eastAsia="仿宋" w:cs="仿宋"/>
          <w:b/>
          <w:color w:val="auto"/>
          <w:sz w:val="28"/>
          <w:szCs w:val="28"/>
          <w:highlight w:val="none"/>
          <w:u w:val="single"/>
        </w:rPr>
      </w:pPr>
    </w:p>
    <w:p w14:paraId="1E2E1235">
      <w:pPr>
        <w:spacing w:line="440" w:lineRule="exact"/>
        <w:jc w:val="center"/>
        <w:rPr>
          <w:rFonts w:hint="eastAsia" w:ascii="仿宋" w:hAnsi="仿宋" w:eastAsia="仿宋" w:cs="仿宋"/>
          <w:b/>
          <w:color w:val="auto"/>
          <w:sz w:val="28"/>
          <w:szCs w:val="28"/>
          <w:highlight w:val="none"/>
          <w:u w:val="single"/>
        </w:rPr>
      </w:pPr>
    </w:p>
    <w:p w14:paraId="5E71FB55">
      <w:pPr>
        <w:spacing w:line="440" w:lineRule="exact"/>
        <w:jc w:val="center"/>
        <w:rPr>
          <w:rFonts w:hint="eastAsia" w:ascii="仿宋" w:hAnsi="仿宋" w:eastAsia="仿宋" w:cs="仿宋"/>
          <w:b/>
          <w:color w:val="auto"/>
          <w:sz w:val="28"/>
          <w:szCs w:val="28"/>
          <w:highlight w:val="none"/>
          <w:u w:val="single"/>
        </w:rPr>
      </w:pPr>
    </w:p>
    <w:p w14:paraId="06054503">
      <w:pPr>
        <w:spacing w:line="440" w:lineRule="exact"/>
        <w:jc w:val="center"/>
        <w:rPr>
          <w:rFonts w:hint="eastAsia" w:ascii="仿宋" w:hAnsi="仿宋" w:eastAsia="仿宋" w:cs="仿宋"/>
          <w:b/>
          <w:color w:val="auto"/>
          <w:sz w:val="28"/>
          <w:szCs w:val="28"/>
          <w:highlight w:val="none"/>
          <w:u w:val="single"/>
        </w:rPr>
      </w:pPr>
    </w:p>
    <w:p w14:paraId="65068A96">
      <w:pPr>
        <w:spacing w:line="440" w:lineRule="exact"/>
        <w:jc w:val="center"/>
        <w:rPr>
          <w:rFonts w:hint="eastAsia" w:ascii="仿宋" w:hAnsi="仿宋" w:eastAsia="仿宋" w:cs="仿宋"/>
          <w:b/>
          <w:color w:val="auto"/>
          <w:sz w:val="28"/>
          <w:szCs w:val="28"/>
          <w:highlight w:val="none"/>
          <w:u w:val="single"/>
        </w:rPr>
      </w:pPr>
    </w:p>
    <w:p w14:paraId="462016E4">
      <w:pPr>
        <w:spacing w:line="440" w:lineRule="exact"/>
        <w:jc w:val="center"/>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u w:val="single"/>
        </w:rPr>
        <w:t>投  标  文  件</w:t>
      </w:r>
    </w:p>
    <w:p w14:paraId="49CA4749">
      <w:pPr>
        <w:spacing w:line="440" w:lineRule="exact"/>
        <w:jc w:val="center"/>
        <w:rPr>
          <w:rFonts w:hint="eastAsia" w:ascii="仿宋" w:hAnsi="仿宋" w:eastAsia="仿宋" w:cs="仿宋"/>
          <w:b/>
          <w:color w:val="auto"/>
          <w:sz w:val="28"/>
          <w:szCs w:val="28"/>
          <w:highlight w:val="none"/>
          <w:u w:val="single"/>
        </w:rPr>
      </w:pPr>
    </w:p>
    <w:p w14:paraId="05A58A05">
      <w:pPr>
        <w:spacing w:line="440" w:lineRule="exact"/>
        <w:jc w:val="center"/>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采购项目编号：</w:t>
      </w:r>
    </w:p>
    <w:p w14:paraId="4022B884">
      <w:pPr>
        <w:spacing w:line="440" w:lineRule="exact"/>
        <w:jc w:val="center"/>
        <w:rPr>
          <w:rFonts w:hint="eastAsia" w:ascii="仿宋" w:hAnsi="仿宋" w:eastAsia="仿宋" w:cs="仿宋"/>
          <w:b/>
          <w:color w:val="auto"/>
          <w:szCs w:val="21"/>
          <w:highlight w:val="none"/>
          <w:u w:val="single"/>
        </w:rPr>
      </w:pPr>
    </w:p>
    <w:p w14:paraId="155FB799">
      <w:pPr>
        <w:spacing w:line="440" w:lineRule="exact"/>
        <w:jc w:val="center"/>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正/副本</w:t>
      </w:r>
    </w:p>
    <w:p w14:paraId="78FF1DEA">
      <w:pPr>
        <w:spacing w:line="440" w:lineRule="exact"/>
        <w:jc w:val="center"/>
        <w:rPr>
          <w:rFonts w:hint="eastAsia" w:ascii="仿宋" w:hAnsi="仿宋" w:eastAsia="仿宋" w:cs="仿宋"/>
          <w:b/>
          <w:color w:val="auto"/>
          <w:sz w:val="28"/>
          <w:szCs w:val="28"/>
          <w:highlight w:val="none"/>
          <w:u w:val="single"/>
        </w:rPr>
      </w:pPr>
    </w:p>
    <w:p w14:paraId="38BD6E5C">
      <w:pPr>
        <w:spacing w:line="440" w:lineRule="exact"/>
        <w:jc w:val="center"/>
        <w:rPr>
          <w:rFonts w:hint="eastAsia" w:ascii="仿宋" w:hAnsi="仿宋" w:eastAsia="仿宋" w:cs="仿宋"/>
          <w:b/>
          <w:color w:val="auto"/>
          <w:sz w:val="28"/>
          <w:szCs w:val="28"/>
          <w:highlight w:val="none"/>
          <w:u w:val="single"/>
        </w:rPr>
      </w:pPr>
    </w:p>
    <w:p w14:paraId="1075FDEA">
      <w:pPr>
        <w:spacing w:line="440" w:lineRule="exact"/>
        <w:jc w:val="center"/>
        <w:rPr>
          <w:rFonts w:hint="eastAsia" w:ascii="仿宋" w:hAnsi="仿宋" w:eastAsia="仿宋" w:cs="仿宋"/>
          <w:b/>
          <w:color w:val="auto"/>
          <w:sz w:val="28"/>
          <w:szCs w:val="28"/>
          <w:highlight w:val="none"/>
          <w:u w:val="single"/>
        </w:rPr>
      </w:pPr>
    </w:p>
    <w:p w14:paraId="13D71E2C">
      <w:pPr>
        <w:spacing w:line="440" w:lineRule="exact"/>
        <w:jc w:val="center"/>
        <w:rPr>
          <w:rFonts w:hint="eastAsia" w:ascii="仿宋" w:hAnsi="仿宋" w:eastAsia="仿宋" w:cs="仿宋"/>
          <w:b/>
          <w:color w:val="auto"/>
          <w:sz w:val="28"/>
          <w:szCs w:val="28"/>
          <w:highlight w:val="none"/>
          <w:u w:val="single"/>
        </w:rPr>
      </w:pPr>
    </w:p>
    <w:p w14:paraId="5B816911">
      <w:pPr>
        <w:spacing w:line="440" w:lineRule="exact"/>
        <w:jc w:val="center"/>
        <w:rPr>
          <w:rFonts w:hint="eastAsia" w:ascii="仿宋" w:hAnsi="仿宋" w:eastAsia="仿宋" w:cs="仿宋"/>
          <w:b/>
          <w:color w:val="auto"/>
          <w:sz w:val="28"/>
          <w:szCs w:val="28"/>
          <w:highlight w:val="none"/>
          <w:u w:val="single"/>
        </w:rPr>
      </w:pPr>
    </w:p>
    <w:p w14:paraId="53D5DD50">
      <w:pPr>
        <w:spacing w:line="440" w:lineRule="exact"/>
        <w:jc w:val="center"/>
        <w:rPr>
          <w:rFonts w:hint="eastAsia" w:ascii="仿宋" w:hAnsi="仿宋" w:eastAsia="仿宋" w:cs="仿宋"/>
          <w:b/>
          <w:color w:val="auto"/>
          <w:sz w:val="28"/>
          <w:szCs w:val="28"/>
          <w:highlight w:val="none"/>
          <w:u w:val="single"/>
        </w:rPr>
      </w:pPr>
    </w:p>
    <w:p w14:paraId="7EC208DA">
      <w:pPr>
        <w:spacing w:line="360" w:lineRule="auto"/>
        <w:jc w:val="center"/>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u w:val="single"/>
        </w:rPr>
        <w:t>投标人：                              （盖单位章）</w:t>
      </w:r>
    </w:p>
    <w:p w14:paraId="7BF5DE6C">
      <w:pPr>
        <w:spacing w:line="360" w:lineRule="auto"/>
        <w:jc w:val="center"/>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u w:val="single"/>
        </w:rPr>
        <w:t>法定代表人或其委托代理人：                （签字）</w:t>
      </w:r>
    </w:p>
    <w:p w14:paraId="7AAF08F3">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u w:val="single"/>
        </w:rPr>
        <w:t xml:space="preserve">        年        月        日</w:t>
      </w:r>
    </w:p>
    <w:p w14:paraId="7D38E2D6">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目   录</w:t>
      </w:r>
    </w:p>
    <w:p w14:paraId="0D436D13">
      <w:pPr>
        <w:spacing w:line="200" w:lineRule="exact"/>
        <w:jc w:val="center"/>
        <w:rPr>
          <w:rFonts w:hint="eastAsia" w:ascii="仿宋" w:hAnsi="仿宋" w:eastAsia="仿宋" w:cs="仿宋"/>
          <w:color w:val="auto"/>
          <w:szCs w:val="21"/>
          <w:highlight w:val="none"/>
        </w:rPr>
      </w:pPr>
    </w:p>
    <w:p w14:paraId="57F48F53">
      <w:pPr>
        <w:autoSpaceDE w:val="0"/>
        <w:autoSpaceDN w:val="0"/>
        <w:adjustRightInd w:val="0"/>
        <w:snapToGrid w:val="0"/>
        <w:spacing w:line="360" w:lineRule="auto"/>
        <w:rPr>
          <w:rFonts w:hint="eastAsia" w:ascii="仿宋" w:hAnsi="仿宋" w:eastAsia="仿宋" w:cs="仿宋"/>
          <w:color w:val="auto"/>
          <w:kern w:val="0"/>
          <w:sz w:val="24"/>
          <w:highlight w:val="none"/>
        </w:rPr>
      </w:pPr>
    </w:p>
    <w:p w14:paraId="730D7406">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一、投标函及投标函附录</w:t>
      </w:r>
    </w:p>
    <w:p w14:paraId="420DF202">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二、法定代表人身份证明或附有法定代表人身份证明的授权委托书</w:t>
      </w:r>
    </w:p>
    <w:p w14:paraId="3F3725B1">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三、开标一览表</w:t>
      </w:r>
    </w:p>
    <w:p w14:paraId="332EA22A">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四、投标报价</w:t>
      </w:r>
    </w:p>
    <w:p w14:paraId="4CA1D060">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五、资格审查资料</w:t>
      </w:r>
    </w:p>
    <w:p w14:paraId="07028729">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w:t>
      </w:r>
      <w:r>
        <w:rPr>
          <w:rFonts w:hint="eastAsia" w:ascii="仿宋" w:hAnsi="仿宋" w:eastAsia="仿宋" w:cs="仿宋"/>
          <w:color w:val="auto"/>
          <w:szCs w:val="21"/>
          <w:highlight w:val="none"/>
          <w:lang w:val="zh-CN"/>
        </w:rPr>
        <w:t>服务方案</w:t>
      </w:r>
    </w:p>
    <w:p w14:paraId="5725DDD6">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七、其他材料</w:t>
      </w:r>
    </w:p>
    <w:p w14:paraId="429D582F">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八、投标人不参与涉黑涉恶承诺书</w:t>
      </w:r>
    </w:p>
    <w:p w14:paraId="3247D496">
      <w:pPr>
        <w:adjustRightInd w:val="0"/>
        <w:snapToGrid w:val="0"/>
        <w:spacing w:before="156" w:beforeLines="50" w:after="156" w:afterLines="50" w:line="360" w:lineRule="auto"/>
        <w:ind w:firstLine="525" w:firstLineChars="2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九、中小企业声明函</w:t>
      </w:r>
    </w:p>
    <w:p w14:paraId="636FE21A">
      <w:pPr>
        <w:pStyle w:val="17"/>
        <w:ind w:left="422" w:firstLine="682"/>
        <w:rPr>
          <w:rFonts w:hint="eastAsia" w:ascii="仿宋" w:hAnsi="仿宋" w:eastAsia="仿宋" w:cs="仿宋"/>
          <w:color w:val="auto"/>
          <w:szCs w:val="21"/>
          <w:highlight w:val="none"/>
          <w:lang w:val="zh-CN"/>
        </w:rPr>
      </w:pPr>
    </w:p>
    <w:p w14:paraId="16C680D9">
      <w:pPr>
        <w:pStyle w:val="17"/>
        <w:ind w:left="0" w:leftChars="0" w:firstLine="0" w:firstLineChars="0"/>
        <w:jc w:val="center"/>
        <w:rPr>
          <w:rFonts w:hint="eastAsia" w:ascii="仿宋" w:hAnsi="仿宋" w:eastAsia="仿宋" w:cs="仿宋"/>
          <w:color w:val="auto"/>
          <w:kern w:val="2"/>
          <w:sz w:val="21"/>
          <w:szCs w:val="21"/>
          <w:highlight w:val="none"/>
          <w:lang w:val="zh-CN"/>
        </w:rPr>
      </w:pPr>
    </w:p>
    <w:p w14:paraId="0C87D22F">
      <w:pPr>
        <w:pStyle w:val="17"/>
        <w:ind w:left="0" w:leftChars="0" w:firstLine="0" w:firstLineChars="0"/>
        <w:jc w:val="center"/>
        <w:rPr>
          <w:rFonts w:hint="eastAsia" w:ascii="仿宋" w:hAnsi="仿宋" w:eastAsia="仿宋" w:cs="仿宋"/>
          <w:color w:val="auto"/>
          <w:kern w:val="2"/>
          <w:sz w:val="21"/>
          <w:szCs w:val="21"/>
          <w:highlight w:val="none"/>
          <w:lang w:val="zh-CN"/>
        </w:rPr>
      </w:pPr>
      <w:r>
        <w:rPr>
          <w:rFonts w:hint="eastAsia" w:ascii="仿宋" w:hAnsi="仿宋" w:eastAsia="仿宋" w:cs="仿宋"/>
          <w:color w:val="auto"/>
          <w:kern w:val="2"/>
          <w:sz w:val="21"/>
          <w:szCs w:val="21"/>
          <w:highlight w:val="none"/>
          <w:lang w:val="zh-CN"/>
        </w:rPr>
        <w:t>需编制页码</w:t>
      </w:r>
    </w:p>
    <w:p w14:paraId="3A199A24">
      <w:pPr>
        <w:pStyle w:val="5"/>
        <w:spacing w:line="440" w:lineRule="exact"/>
        <w:rPr>
          <w:rFonts w:hint="eastAsia" w:ascii="仿宋" w:hAnsi="仿宋" w:eastAsia="仿宋" w:cs="仿宋"/>
          <w:color w:val="auto"/>
          <w:sz w:val="21"/>
          <w:szCs w:val="21"/>
          <w:highlight w:val="none"/>
        </w:rPr>
      </w:pPr>
    </w:p>
    <w:p w14:paraId="72ADA5EB">
      <w:pPr>
        <w:pStyle w:val="5"/>
        <w:spacing w:line="440" w:lineRule="exact"/>
        <w:rPr>
          <w:rFonts w:hint="eastAsia" w:ascii="仿宋" w:hAnsi="仿宋" w:eastAsia="仿宋" w:cs="仿宋"/>
          <w:color w:val="auto"/>
          <w:sz w:val="21"/>
          <w:szCs w:val="21"/>
          <w:highlight w:val="none"/>
        </w:rPr>
      </w:pPr>
    </w:p>
    <w:p w14:paraId="5F1EDA42">
      <w:pPr>
        <w:pStyle w:val="5"/>
        <w:spacing w:line="440" w:lineRule="exact"/>
        <w:rPr>
          <w:rFonts w:hint="eastAsia" w:ascii="仿宋" w:hAnsi="仿宋" w:eastAsia="仿宋" w:cs="仿宋"/>
          <w:color w:val="auto"/>
          <w:sz w:val="21"/>
          <w:szCs w:val="21"/>
          <w:highlight w:val="none"/>
        </w:rPr>
      </w:pPr>
    </w:p>
    <w:p w14:paraId="199FB062">
      <w:pPr>
        <w:pStyle w:val="5"/>
        <w:spacing w:line="440" w:lineRule="exact"/>
        <w:rPr>
          <w:rFonts w:hint="eastAsia" w:ascii="仿宋" w:hAnsi="仿宋" w:eastAsia="仿宋" w:cs="仿宋"/>
          <w:color w:val="auto"/>
          <w:sz w:val="21"/>
          <w:szCs w:val="21"/>
          <w:highlight w:val="none"/>
        </w:rPr>
      </w:pPr>
    </w:p>
    <w:p w14:paraId="4E59FF36">
      <w:pPr>
        <w:pStyle w:val="3"/>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567" w:name="_Toc25548"/>
      <w:r>
        <w:rPr>
          <w:rFonts w:hint="eastAsia" w:ascii="仿宋" w:hAnsi="仿宋" w:eastAsia="仿宋" w:cs="仿宋"/>
          <w:color w:val="auto"/>
          <w:highlight w:val="none"/>
        </w:rPr>
        <w:t>一、投标函及投标函附录</w:t>
      </w:r>
      <w:bookmarkEnd w:id="567"/>
    </w:p>
    <w:p w14:paraId="6A6885D0">
      <w:pPr>
        <w:autoSpaceDE w:val="0"/>
        <w:autoSpaceDN w:val="0"/>
        <w:adjustRightInd w:val="0"/>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（一）投标函</w:t>
      </w:r>
    </w:p>
    <w:p w14:paraId="0541C3D8">
      <w:pPr>
        <w:autoSpaceDE w:val="0"/>
        <w:autoSpaceDN w:val="0"/>
        <w:adjustRightInd w:val="0"/>
        <w:spacing w:line="50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(采购人名称)：</w:t>
      </w:r>
    </w:p>
    <w:p w14:paraId="65F1426B">
      <w:pPr>
        <w:autoSpaceDE w:val="0"/>
        <w:autoSpaceDN w:val="0"/>
        <w:adjustRightInd w:val="0"/>
        <w:spacing w:line="500" w:lineRule="exact"/>
        <w:ind w:left="210" w:leftChars="10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1.我方已仔细研究了</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采购文件的全部内容，</w:t>
      </w:r>
      <w:r>
        <w:rPr>
          <w:rFonts w:hint="eastAsia" w:ascii="仿宋" w:hAnsi="仿宋" w:eastAsia="仿宋" w:cs="仿宋"/>
          <w:color w:val="auto"/>
          <w:szCs w:val="21"/>
          <w:highlight w:val="none"/>
        </w:rPr>
        <w:t>愿意以</w:t>
      </w:r>
      <w:r>
        <w:rPr>
          <w:rFonts w:hint="eastAsia" w:ascii="仿宋" w:hAnsi="仿宋" w:eastAsia="仿宋" w:cs="仿宋"/>
          <w:color w:val="auto"/>
          <w:spacing w:val="-4"/>
          <w:highlight w:val="none"/>
        </w:rPr>
        <w:t>人民币（大写）</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pacing w:val="-5"/>
          <w:highlight w:val="none"/>
        </w:rPr>
        <w:t>）的投标总报价</w:t>
      </w:r>
      <w:r>
        <w:rPr>
          <w:rFonts w:hint="eastAsia" w:ascii="仿宋" w:hAnsi="仿宋" w:eastAsia="仿宋" w:cs="仿宋"/>
          <w:color w:val="auto"/>
          <w:kern w:val="0"/>
          <w:szCs w:val="21"/>
          <w:highlight w:val="none"/>
        </w:rPr>
        <w:t>，合同履行期限</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，按合同约定实施和完成上述采购项目。</w:t>
      </w:r>
    </w:p>
    <w:p w14:paraId="315F2EFE">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2.我方承诺在投标有效期</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天内不修改、撤销投标文件。</w:t>
      </w:r>
    </w:p>
    <w:p w14:paraId="33C64C1C">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3.如我方中标：</w:t>
      </w:r>
    </w:p>
    <w:p w14:paraId="07231382">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(1)我方承诺在收到中标通知书后，在中标通知书规定的期限内，与你方签订合同，并遵守合同中关于权利和义务的约定；</w:t>
      </w:r>
    </w:p>
    <w:p w14:paraId="7B738B31">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(2)我方承诺按照采购文件中规定的技术条件及要求在合同约定的期限内，完成并移交全部合同内容。</w:t>
      </w:r>
    </w:p>
    <w:p w14:paraId="2DFE5939">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4.我方在此声明，所递交的投标文件及有关资料内容完整、真实和准确。</w:t>
      </w:r>
    </w:p>
    <w:p w14:paraId="526342E5">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(其他补充说明)。</w:t>
      </w:r>
    </w:p>
    <w:p w14:paraId="0CE48CA5">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p>
    <w:p w14:paraId="7637B02D">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 标 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(盖单位章)</w:t>
      </w:r>
    </w:p>
    <w:p w14:paraId="5585BAC5">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法定代表人或其授权委托代理人：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(签字)</w:t>
      </w:r>
    </w:p>
    <w:p w14:paraId="4BCF319B">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u w:val="single"/>
        </w:rPr>
        <w:t xml:space="preserve">                                        </w:t>
      </w:r>
    </w:p>
    <w:p w14:paraId="7A312C3C">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网    址：</w:t>
      </w:r>
      <w:r>
        <w:rPr>
          <w:rFonts w:hint="eastAsia" w:ascii="仿宋" w:hAnsi="仿宋" w:eastAsia="仿宋" w:cs="仿宋"/>
          <w:color w:val="auto"/>
          <w:kern w:val="0"/>
          <w:szCs w:val="21"/>
          <w:highlight w:val="none"/>
          <w:u w:val="single"/>
        </w:rPr>
        <w:t xml:space="preserve">                                        </w:t>
      </w:r>
    </w:p>
    <w:p w14:paraId="7BE51A68">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    话：</w:t>
      </w:r>
      <w:r>
        <w:rPr>
          <w:rFonts w:hint="eastAsia" w:ascii="仿宋" w:hAnsi="仿宋" w:eastAsia="仿宋" w:cs="仿宋"/>
          <w:color w:val="auto"/>
          <w:kern w:val="0"/>
          <w:szCs w:val="21"/>
          <w:highlight w:val="none"/>
          <w:u w:val="single"/>
        </w:rPr>
        <w:t xml:space="preserve">                                        </w:t>
      </w:r>
    </w:p>
    <w:p w14:paraId="1C7FA638">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传    真：</w:t>
      </w:r>
      <w:r>
        <w:rPr>
          <w:rFonts w:hint="eastAsia" w:ascii="仿宋" w:hAnsi="仿宋" w:eastAsia="仿宋" w:cs="仿宋"/>
          <w:color w:val="auto"/>
          <w:kern w:val="0"/>
          <w:szCs w:val="21"/>
          <w:highlight w:val="none"/>
          <w:u w:val="single"/>
        </w:rPr>
        <w:t xml:space="preserve">                                        </w:t>
      </w:r>
    </w:p>
    <w:p w14:paraId="771AA2A7">
      <w:pPr>
        <w:autoSpaceDE w:val="0"/>
        <w:autoSpaceDN w:val="0"/>
        <w:adjustRightInd w:val="0"/>
        <w:spacing w:line="5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邮政编码：</w:t>
      </w:r>
      <w:r>
        <w:rPr>
          <w:rFonts w:hint="eastAsia" w:ascii="仿宋" w:hAnsi="仿宋" w:eastAsia="仿宋" w:cs="仿宋"/>
          <w:color w:val="auto"/>
          <w:kern w:val="0"/>
          <w:szCs w:val="21"/>
          <w:highlight w:val="none"/>
          <w:u w:val="single"/>
        </w:rPr>
        <w:t xml:space="preserve">                                        </w:t>
      </w:r>
    </w:p>
    <w:p w14:paraId="6B036270">
      <w:pPr>
        <w:spacing w:line="500" w:lineRule="exact"/>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43118889">
      <w:pPr>
        <w:autoSpaceDE w:val="0"/>
        <w:autoSpaceDN w:val="0"/>
        <w:adjustRightInd w:val="0"/>
        <w:spacing w:line="500" w:lineRule="exact"/>
        <w:jc w:val="left"/>
        <w:rPr>
          <w:rFonts w:hint="eastAsia" w:ascii="仿宋" w:hAnsi="仿宋" w:eastAsia="仿宋" w:cs="仿宋"/>
          <w:b/>
          <w:color w:val="auto"/>
          <w:szCs w:val="21"/>
          <w:highlight w:val="none"/>
          <w:lang w:val="zh-CN"/>
        </w:rPr>
      </w:pPr>
    </w:p>
    <w:p w14:paraId="108683BE">
      <w:pPr>
        <w:autoSpaceDE w:val="0"/>
        <w:autoSpaceDN w:val="0"/>
        <w:adjustRightInd w:val="0"/>
        <w:spacing w:line="500" w:lineRule="exact"/>
        <w:jc w:val="left"/>
        <w:rPr>
          <w:rFonts w:hint="eastAsia" w:ascii="仿宋" w:hAnsi="仿宋" w:eastAsia="仿宋" w:cs="仿宋"/>
          <w:b/>
          <w:color w:val="auto"/>
          <w:szCs w:val="21"/>
          <w:highlight w:val="none"/>
          <w:lang w:val="zh-CN"/>
        </w:rPr>
      </w:pPr>
    </w:p>
    <w:p w14:paraId="488ABD3A">
      <w:pPr>
        <w:autoSpaceDE w:val="0"/>
        <w:autoSpaceDN w:val="0"/>
        <w:adjustRightInd w:val="0"/>
        <w:spacing w:line="500" w:lineRule="exact"/>
        <w:jc w:val="center"/>
        <w:rPr>
          <w:rFonts w:hint="eastAsia" w:ascii="仿宋" w:hAnsi="仿宋" w:eastAsia="仿宋" w:cs="仿宋"/>
          <w:color w:val="auto"/>
          <w:highlight w:val="none"/>
        </w:rPr>
      </w:pPr>
      <w:bookmarkStart w:id="568" w:name="_Toc429345236"/>
      <w:bookmarkStart w:id="569" w:name="_Toc347385771"/>
      <w:bookmarkStart w:id="570" w:name="_Toc246996358"/>
      <w:bookmarkStart w:id="571" w:name="_Toc471822530"/>
      <w:bookmarkStart w:id="572" w:name="_Toc354066002"/>
      <w:bookmarkStart w:id="573" w:name="_Toc471822587"/>
      <w:bookmarkStart w:id="574" w:name="_Toc411773168"/>
      <w:bookmarkStart w:id="575" w:name="_Toc144974859"/>
      <w:bookmarkStart w:id="576" w:name="_Toc449519140"/>
      <w:bookmarkStart w:id="577" w:name="_Toc247085876"/>
      <w:bookmarkStart w:id="578" w:name="_Toc152045790"/>
      <w:bookmarkStart w:id="579" w:name="_Toc246997101"/>
      <w:bookmarkStart w:id="580" w:name="_Toc152042579"/>
      <w:bookmarkStart w:id="581" w:name="_Toc364364589"/>
      <w:bookmarkStart w:id="582" w:name="_Toc179632810"/>
      <w:bookmarkStart w:id="583" w:name="_Toc449518927"/>
      <w:r>
        <w:rPr>
          <w:rFonts w:hint="eastAsia" w:ascii="仿宋" w:hAnsi="仿宋" w:eastAsia="仿宋" w:cs="仿宋"/>
          <w:color w:val="auto"/>
          <w:highlight w:val="none"/>
        </w:rPr>
        <w:br w:type="page"/>
      </w:r>
      <w:bookmarkStart w:id="584" w:name="_Toc823"/>
      <w:r>
        <w:rPr>
          <w:rFonts w:hint="eastAsia" w:ascii="仿宋" w:hAnsi="仿宋" w:eastAsia="仿宋" w:cs="仿宋"/>
          <w:b/>
          <w:bCs/>
          <w:color w:val="auto"/>
          <w:kern w:val="0"/>
          <w:sz w:val="28"/>
          <w:szCs w:val="28"/>
          <w:highlight w:val="none"/>
        </w:rPr>
        <w:t>（二）投标函附录</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1D12FE43">
      <w:pPr>
        <w:spacing w:line="440" w:lineRule="exact"/>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p w14:paraId="0445C1EF">
      <w:pPr>
        <w:spacing w:line="440" w:lineRule="exact"/>
        <w:ind w:firstLine="105" w:firstLineChars="50"/>
        <w:rPr>
          <w:rFonts w:hint="eastAsia" w:ascii="仿宋" w:hAnsi="仿宋" w:eastAsia="仿宋" w:cs="仿宋"/>
          <w:color w:val="auto"/>
          <w:sz w:val="20"/>
          <w:highlight w:val="none"/>
        </w:rPr>
      </w:pPr>
      <w:r>
        <w:rPr>
          <w:rFonts w:hint="eastAsia" w:ascii="仿宋" w:hAnsi="仿宋" w:eastAsia="仿宋" w:cs="仿宋"/>
          <w:color w:val="auto"/>
          <w:szCs w:val="21"/>
          <w:highlight w:val="none"/>
        </w:rPr>
        <w:t>采购项目编号：</w:t>
      </w:r>
      <w:r>
        <w:rPr>
          <w:rFonts w:hint="eastAsia" w:ascii="仿宋" w:hAnsi="仿宋" w:eastAsia="仿宋" w:cs="仿宋"/>
          <w:color w:val="auto"/>
          <w:sz w:val="20"/>
          <w:highlight w:val="none"/>
        </w:rPr>
        <w:t xml:space="preserve">           </w:t>
      </w:r>
    </w:p>
    <w:tbl>
      <w:tblPr>
        <w:tblStyle w:val="18"/>
        <w:tblW w:w="9322" w:type="dxa"/>
        <w:tblInd w:w="0" w:type="dxa"/>
        <w:tblLayout w:type="fixed"/>
        <w:tblCellMar>
          <w:top w:w="0" w:type="dxa"/>
          <w:left w:w="108" w:type="dxa"/>
          <w:bottom w:w="0" w:type="dxa"/>
          <w:right w:w="108" w:type="dxa"/>
        </w:tblCellMar>
      </w:tblPr>
      <w:tblGrid>
        <w:gridCol w:w="846"/>
        <w:gridCol w:w="2215"/>
        <w:gridCol w:w="3887"/>
        <w:gridCol w:w="2374"/>
      </w:tblGrid>
      <w:tr w14:paraId="6851AAB5">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CA05B6A">
            <w:pPr>
              <w:autoSpaceDE w:val="0"/>
              <w:autoSpaceDN w:val="0"/>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768D4C9">
            <w:pPr>
              <w:autoSpaceDE w:val="0"/>
              <w:autoSpaceDN w:val="0"/>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78C593E5">
            <w:pPr>
              <w:autoSpaceDE w:val="0"/>
              <w:autoSpaceDN w:val="0"/>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约定内容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39BE414">
            <w:pPr>
              <w:autoSpaceDE w:val="0"/>
              <w:autoSpaceDN w:val="0"/>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是否响应</w:t>
            </w:r>
          </w:p>
        </w:tc>
      </w:tr>
      <w:tr w14:paraId="73864B15">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216C2DD">
            <w:pPr>
              <w:autoSpaceDE w:val="0"/>
              <w:autoSpaceDN w:val="0"/>
              <w:adjustRightInd w:val="0"/>
              <w:spacing w:line="240" w:lineRule="exact"/>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5B5B187">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9880434">
            <w:pPr>
              <w:autoSpaceDE w:val="0"/>
              <w:autoSpaceDN w:val="0"/>
              <w:adjustRightInd w:val="0"/>
              <w:spacing w:line="240" w:lineRule="exact"/>
              <w:rPr>
                <w:rFonts w:hint="eastAsia" w:ascii="仿宋" w:hAnsi="仿宋" w:eastAsia="仿宋" w:cs="仿宋"/>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580257B3">
            <w:pPr>
              <w:autoSpaceDE w:val="0"/>
              <w:autoSpaceDN w:val="0"/>
              <w:adjustRightInd w:val="0"/>
              <w:ind w:firstLine="480"/>
              <w:jc w:val="center"/>
              <w:rPr>
                <w:rFonts w:hint="eastAsia" w:ascii="仿宋" w:hAnsi="仿宋" w:eastAsia="仿宋" w:cs="仿宋"/>
                <w:color w:val="auto"/>
                <w:kern w:val="0"/>
                <w:szCs w:val="21"/>
                <w:highlight w:val="none"/>
              </w:rPr>
            </w:pPr>
          </w:p>
        </w:tc>
      </w:tr>
      <w:tr w14:paraId="5D69EFFF">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CD1A564">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6973A3B">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A03A51B">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投标截止之日起90日</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1E15E3E">
            <w:pPr>
              <w:autoSpaceDE w:val="0"/>
              <w:autoSpaceDN w:val="0"/>
              <w:adjustRightInd w:val="0"/>
              <w:ind w:firstLine="480"/>
              <w:jc w:val="center"/>
              <w:rPr>
                <w:rFonts w:hint="eastAsia" w:ascii="仿宋" w:hAnsi="仿宋" w:eastAsia="仿宋" w:cs="仿宋"/>
                <w:color w:val="auto"/>
                <w:kern w:val="0"/>
                <w:szCs w:val="21"/>
                <w:highlight w:val="none"/>
              </w:rPr>
            </w:pPr>
          </w:p>
        </w:tc>
      </w:tr>
      <w:tr w14:paraId="2CC6FCCE">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23537B9">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AB55B49">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7CA40019">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w:t>
            </w:r>
            <w:r>
              <w:rPr>
                <w:rFonts w:hint="eastAsia" w:ascii="仿宋" w:hAnsi="仿宋" w:eastAsia="仿宋" w:cs="仿宋"/>
                <w:color w:val="auto"/>
                <w:kern w:val="0"/>
                <w:szCs w:val="21"/>
                <w:highlight w:val="none"/>
                <w:lang w:val="en-US" w:eastAsia="zh-CN"/>
              </w:rPr>
              <w:t>四</w:t>
            </w:r>
            <w:r>
              <w:rPr>
                <w:rFonts w:hint="eastAsia" w:ascii="仿宋" w:hAnsi="仿宋" w:eastAsia="仿宋" w:cs="仿宋"/>
                <w:color w:val="auto"/>
                <w:kern w:val="0"/>
                <w:szCs w:val="21"/>
                <w:highlight w:val="none"/>
              </w:rPr>
              <w:t>章“合同条款“规定</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56844587">
            <w:pPr>
              <w:autoSpaceDE w:val="0"/>
              <w:autoSpaceDN w:val="0"/>
              <w:adjustRightInd w:val="0"/>
              <w:ind w:firstLine="480"/>
              <w:jc w:val="center"/>
              <w:rPr>
                <w:rFonts w:hint="eastAsia" w:ascii="仿宋" w:hAnsi="仿宋" w:eastAsia="仿宋" w:cs="仿宋"/>
                <w:color w:val="auto"/>
                <w:kern w:val="0"/>
                <w:szCs w:val="21"/>
                <w:highlight w:val="none"/>
              </w:rPr>
            </w:pPr>
          </w:p>
        </w:tc>
      </w:tr>
      <w:tr w14:paraId="5733910B">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124865F">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5651395">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服务方案及要求</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5B82B66">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符合第五章“服务方案及要求“规定</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618BCE96">
            <w:pPr>
              <w:autoSpaceDE w:val="0"/>
              <w:autoSpaceDN w:val="0"/>
              <w:adjustRightInd w:val="0"/>
              <w:ind w:firstLine="480"/>
              <w:jc w:val="center"/>
              <w:rPr>
                <w:rFonts w:hint="eastAsia" w:ascii="仿宋" w:hAnsi="仿宋" w:eastAsia="仿宋" w:cs="仿宋"/>
                <w:color w:val="auto"/>
                <w:kern w:val="0"/>
                <w:szCs w:val="21"/>
                <w:highlight w:val="none"/>
              </w:rPr>
            </w:pPr>
          </w:p>
        </w:tc>
      </w:tr>
      <w:tr w14:paraId="4BC061C9">
        <w:tblPrEx>
          <w:tblCellMar>
            <w:top w:w="0" w:type="dxa"/>
            <w:left w:w="108" w:type="dxa"/>
            <w:bottom w:w="0" w:type="dxa"/>
            <w:right w:w="108" w:type="dxa"/>
          </w:tblCellMar>
        </w:tblPrEx>
        <w:trPr>
          <w:trHeight w:val="56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4B512D7">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3A32B5A">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0682F64A">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符合国家及相关行业规定的合格标准</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67261177">
            <w:pPr>
              <w:ind w:firstLine="480"/>
              <w:rPr>
                <w:rFonts w:hint="eastAsia" w:ascii="仿宋" w:hAnsi="仿宋" w:eastAsia="仿宋" w:cs="仿宋"/>
                <w:color w:val="auto"/>
                <w:szCs w:val="21"/>
                <w:highlight w:val="none"/>
              </w:rPr>
            </w:pPr>
          </w:p>
        </w:tc>
      </w:tr>
      <w:tr w14:paraId="0C20AB58">
        <w:tblPrEx>
          <w:tblCellMar>
            <w:top w:w="0" w:type="dxa"/>
            <w:left w:w="108" w:type="dxa"/>
            <w:bottom w:w="0" w:type="dxa"/>
            <w:right w:w="108" w:type="dxa"/>
          </w:tblCellMar>
        </w:tblPrEx>
        <w:trPr>
          <w:trHeight w:val="411"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DC77EBE">
            <w:pPr>
              <w:autoSpaceDE w:val="0"/>
              <w:autoSpaceDN w:val="0"/>
              <w:adjustRightInd w:val="0"/>
              <w:spacing w:line="24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5F65BA8">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02D7F23A">
            <w:pPr>
              <w:spacing w:line="240" w:lineRule="exact"/>
              <w:jc w:val="center"/>
              <w:rPr>
                <w:rFonts w:hint="eastAsia" w:ascii="仿宋" w:hAnsi="仿宋" w:eastAsia="仿宋" w:cs="仿宋"/>
                <w:color w:val="auto"/>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5AF3605D">
            <w:pPr>
              <w:ind w:firstLine="480"/>
              <w:rPr>
                <w:rFonts w:hint="eastAsia" w:ascii="仿宋" w:hAnsi="仿宋" w:eastAsia="仿宋" w:cs="仿宋"/>
                <w:color w:val="auto"/>
                <w:szCs w:val="21"/>
                <w:highlight w:val="none"/>
              </w:rPr>
            </w:pPr>
          </w:p>
        </w:tc>
      </w:tr>
      <w:tr w14:paraId="24A2ACE9">
        <w:tblPrEx>
          <w:tblCellMar>
            <w:top w:w="0" w:type="dxa"/>
            <w:left w:w="108" w:type="dxa"/>
            <w:bottom w:w="0" w:type="dxa"/>
            <w:right w:w="108" w:type="dxa"/>
          </w:tblCellMar>
        </w:tblPrEx>
        <w:trPr>
          <w:trHeight w:val="61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24C8626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备注：投标人在响应采购文件中规定的实质性要求和条件的基础上，可做出其他有利于采购人的承诺。此类承诺可在本表中予以补充填写。</w:t>
            </w:r>
          </w:p>
        </w:tc>
      </w:tr>
    </w:tbl>
    <w:p w14:paraId="465493A7">
      <w:pPr>
        <w:spacing w:line="440" w:lineRule="exact"/>
        <w:ind w:left="840" w:leftChars="400" w:firstLine="2200" w:firstLineChars="1100"/>
        <w:rPr>
          <w:rFonts w:hint="eastAsia" w:ascii="仿宋" w:hAnsi="仿宋" w:eastAsia="仿宋" w:cs="仿宋"/>
          <w:color w:val="auto"/>
          <w:sz w:val="20"/>
          <w:highlight w:val="none"/>
        </w:rPr>
      </w:pPr>
    </w:p>
    <w:p w14:paraId="5307E256">
      <w:pPr>
        <w:autoSpaceDE w:val="0"/>
        <w:autoSpaceDN w:val="0"/>
        <w:adjustRightInd w:val="0"/>
        <w:spacing w:line="500" w:lineRule="exact"/>
        <w:rPr>
          <w:rFonts w:hint="eastAsia" w:ascii="仿宋" w:hAnsi="仿宋" w:eastAsia="仿宋" w:cs="仿宋"/>
          <w:color w:val="auto"/>
          <w:kern w:val="0"/>
          <w:sz w:val="24"/>
          <w:highlight w:val="none"/>
        </w:rPr>
      </w:pPr>
    </w:p>
    <w:p w14:paraId="4E76017B">
      <w:pPr>
        <w:pStyle w:val="3"/>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24"/>
          <w:highlight w:val="none"/>
        </w:rPr>
        <w:br w:type="page"/>
      </w:r>
      <w:bookmarkStart w:id="585" w:name="_Toc32739"/>
      <w:r>
        <w:rPr>
          <w:rFonts w:hint="eastAsia" w:ascii="仿宋" w:hAnsi="仿宋" w:eastAsia="仿宋" w:cs="仿宋"/>
          <w:color w:val="auto"/>
          <w:highlight w:val="none"/>
        </w:rPr>
        <w:t>二、法定代表人身份证明或附有法定代表人身份证明的授权委托书</w:t>
      </w:r>
      <w:bookmarkEnd w:id="585"/>
    </w:p>
    <w:p w14:paraId="065DE817">
      <w:pPr>
        <w:autoSpaceDE w:val="0"/>
        <w:autoSpaceDN w:val="0"/>
        <w:adjustRightInd w:val="0"/>
        <w:spacing w:line="500" w:lineRule="exact"/>
        <w:jc w:val="center"/>
        <w:rPr>
          <w:rFonts w:hint="eastAsia" w:ascii="仿宋" w:hAnsi="仿宋" w:eastAsia="仿宋" w:cs="仿宋"/>
          <w:color w:val="auto"/>
          <w:kern w:val="0"/>
          <w:szCs w:val="21"/>
          <w:highlight w:val="none"/>
        </w:rPr>
      </w:pPr>
    </w:p>
    <w:p w14:paraId="26FA7311">
      <w:pPr>
        <w:autoSpaceDE w:val="0"/>
        <w:autoSpaceDN w:val="0"/>
        <w:adjustRightInd w:val="0"/>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（一）法定代表人身份证明</w:t>
      </w:r>
    </w:p>
    <w:p w14:paraId="14488483">
      <w:pPr>
        <w:autoSpaceDE w:val="0"/>
        <w:autoSpaceDN w:val="0"/>
        <w:adjustRightInd w:val="0"/>
        <w:spacing w:line="500" w:lineRule="exact"/>
        <w:ind w:left="718" w:leftChars="342"/>
        <w:jc w:val="left"/>
        <w:rPr>
          <w:rFonts w:hint="eastAsia" w:ascii="仿宋" w:hAnsi="仿宋" w:eastAsia="仿宋" w:cs="仿宋"/>
          <w:color w:val="auto"/>
          <w:kern w:val="0"/>
          <w:szCs w:val="21"/>
          <w:highlight w:val="none"/>
        </w:rPr>
      </w:pPr>
    </w:p>
    <w:p w14:paraId="65C24414">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投标人名称：</w:t>
      </w:r>
      <w:r>
        <w:rPr>
          <w:rFonts w:hint="eastAsia" w:ascii="仿宋" w:hAnsi="仿宋" w:eastAsia="仿宋" w:cs="仿宋"/>
          <w:color w:val="auto"/>
          <w:kern w:val="0"/>
          <w:szCs w:val="21"/>
          <w:highlight w:val="none"/>
          <w:u w:val="single"/>
        </w:rPr>
        <w:t xml:space="preserve">                                </w:t>
      </w:r>
    </w:p>
    <w:p w14:paraId="1B45BBDE">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rPr>
        <w:t xml:space="preserve">                                  </w:t>
      </w:r>
    </w:p>
    <w:p w14:paraId="0CC7B62F">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地址：</w:t>
      </w:r>
      <w:r>
        <w:rPr>
          <w:rFonts w:hint="eastAsia" w:ascii="仿宋" w:hAnsi="仿宋" w:eastAsia="仿宋" w:cs="仿宋"/>
          <w:color w:val="auto"/>
          <w:kern w:val="0"/>
          <w:szCs w:val="21"/>
          <w:highlight w:val="none"/>
          <w:u w:val="single"/>
        </w:rPr>
        <w:t xml:space="preserve">                                      </w:t>
      </w:r>
    </w:p>
    <w:p w14:paraId="5CE86641">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3AAB0D2A">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 xml:space="preserve">经营期限： </w:t>
      </w:r>
      <w:r>
        <w:rPr>
          <w:rFonts w:hint="eastAsia" w:ascii="仿宋" w:hAnsi="仿宋" w:eastAsia="仿宋" w:cs="仿宋"/>
          <w:color w:val="auto"/>
          <w:kern w:val="0"/>
          <w:szCs w:val="21"/>
          <w:highlight w:val="none"/>
          <w:u w:val="single"/>
        </w:rPr>
        <w:t xml:space="preserve">                                 </w:t>
      </w:r>
    </w:p>
    <w:p w14:paraId="5C166C9E">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姓名：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性别：</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职务：</w:t>
      </w:r>
      <w:r>
        <w:rPr>
          <w:rFonts w:hint="eastAsia" w:ascii="仿宋" w:hAnsi="仿宋" w:eastAsia="仿宋" w:cs="仿宋"/>
          <w:color w:val="auto"/>
          <w:kern w:val="0"/>
          <w:szCs w:val="21"/>
          <w:highlight w:val="none"/>
          <w:u w:val="single"/>
        </w:rPr>
        <w:t xml:space="preserve">    </w:t>
      </w:r>
    </w:p>
    <w:p w14:paraId="7E99CBF8">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(投标人名称)       </w:t>
      </w:r>
      <w:r>
        <w:rPr>
          <w:rFonts w:hint="eastAsia" w:ascii="仿宋" w:hAnsi="仿宋" w:eastAsia="仿宋" w:cs="仿宋"/>
          <w:color w:val="auto"/>
          <w:kern w:val="0"/>
          <w:szCs w:val="21"/>
          <w:highlight w:val="none"/>
        </w:rPr>
        <w:t>的法定代表人。</w:t>
      </w:r>
    </w:p>
    <w:p w14:paraId="434B8DF1">
      <w:pPr>
        <w:autoSpaceDE w:val="0"/>
        <w:autoSpaceDN w:val="0"/>
        <w:adjustRightInd w:val="0"/>
        <w:spacing w:line="600" w:lineRule="exact"/>
        <w:ind w:left="718" w:leftChars="342"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特此证明。</w:t>
      </w:r>
    </w:p>
    <w:p w14:paraId="2D8706AD">
      <w:pPr>
        <w:spacing w:line="600" w:lineRule="exact"/>
        <w:ind w:firstLine="735" w:firstLineChars="35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附：法定代表人身份证复印件</w:t>
      </w:r>
    </w:p>
    <w:p w14:paraId="07D46C5D">
      <w:pPr>
        <w:autoSpaceDE w:val="0"/>
        <w:autoSpaceDN w:val="0"/>
        <w:adjustRightInd w:val="0"/>
        <w:spacing w:line="600" w:lineRule="exact"/>
        <w:ind w:left="718" w:leftChars="342"/>
        <w:jc w:val="left"/>
        <w:rPr>
          <w:rFonts w:hint="eastAsia" w:ascii="仿宋" w:hAnsi="仿宋" w:eastAsia="仿宋" w:cs="仿宋"/>
          <w:color w:val="auto"/>
          <w:kern w:val="0"/>
          <w:szCs w:val="21"/>
          <w:highlight w:val="none"/>
        </w:rPr>
      </w:pPr>
    </w:p>
    <w:p w14:paraId="5AB8E3BD">
      <w:pPr>
        <w:autoSpaceDE w:val="0"/>
        <w:autoSpaceDN w:val="0"/>
        <w:adjustRightInd w:val="0"/>
        <w:spacing w:line="600" w:lineRule="exact"/>
        <w:ind w:left="718" w:leftChars="342"/>
        <w:jc w:val="right"/>
        <w:rPr>
          <w:rFonts w:hint="eastAsia" w:ascii="仿宋" w:hAnsi="仿宋" w:eastAsia="仿宋" w:cs="仿宋"/>
          <w:color w:val="auto"/>
          <w:kern w:val="0"/>
          <w:szCs w:val="21"/>
          <w:highlight w:val="none"/>
        </w:rPr>
      </w:pPr>
    </w:p>
    <w:p w14:paraId="1CCAC4D0">
      <w:pPr>
        <w:autoSpaceDE w:val="0"/>
        <w:autoSpaceDN w:val="0"/>
        <w:adjustRightInd w:val="0"/>
        <w:spacing w:line="600" w:lineRule="exact"/>
        <w:ind w:left="718" w:leftChars="342"/>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(盖单位章)</w:t>
      </w:r>
    </w:p>
    <w:p w14:paraId="059B53BD">
      <w:pPr>
        <w:spacing w:line="600" w:lineRule="exact"/>
        <w:ind w:firstLine="2520" w:firstLineChars="120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6BA1F972">
      <w:pPr>
        <w:spacing w:line="500" w:lineRule="exact"/>
        <w:ind w:firstLine="2520" w:firstLineChars="1200"/>
        <w:jc w:val="right"/>
        <w:rPr>
          <w:rFonts w:hint="eastAsia" w:ascii="仿宋" w:hAnsi="仿宋" w:eastAsia="仿宋" w:cs="仿宋"/>
          <w:color w:val="auto"/>
          <w:kern w:val="0"/>
          <w:szCs w:val="21"/>
          <w:highlight w:val="none"/>
        </w:rPr>
      </w:pPr>
    </w:p>
    <w:p w14:paraId="6C0F8CE9">
      <w:pPr>
        <w:autoSpaceDE w:val="0"/>
        <w:autoSpaceDN w:val="0"/>
        <w:adjustRightInd w:val="0"/>
        <w:spacing w:line="500" w:lineRule="exact"/>
        <w:rPr>
          <w:rFonts w:hint="eastAsia" w:ascii="仿宋" w:hAnsi="仿宋" w:eastAsia="仿宋" w:cs="仿宋"/>
          <w:color w:val="auto"/>
          <w:kern w:val="0"/>
          <w:szCs w:val="21"/>
          <w:highlight w:val="none"/>
        </w:rPr>
      </w:pPr>
    </w:p>
    <w:p w14:paraId="39528153">
      <w:pPr>
        <w:autoSpaceDE w:val="0"/>
        <w:autoSpaceDN w:val="0"/>
        <w:adjustRightInd w:val="0"/>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(二)授权委托书</w:t>
      </w:r>
    </w:p>
    <w:p w14:paraId="62641AB7">
      <w:pPr>
        <w:autoSpaceDE w:val="0"/>
        <w:autoSpaceDN w:val="0"/>
        <w:adjustRightInd w:val="0"/>
        <w:spacing w:line="500" w:lineRule="exact"/>
        <w:jc w:val="left"/>
        <w:rPr>
          <w:rFonts w:hint="eastAsia" w:ascii="仿宋" w:hAnsi="仿宋" w:eastAsia="仿宋" w:cs="仿宋"/>
          <w:color w:val="auto"/>
          <w:kern w:val="0"/>
          <w:szCs w:val="21"/>
          <w:highlight w:val="none"/>
        </w:rPr>
      </w:pPr>
    </w:p>
    <w:p w14:paraId="7FCFF51D">
      <w:pPr>
        <w:autoSpaceDE w:val="0"/>
        <w:autoSpaceDN w:val="0"/>
        <w:adjustRightInd w:val="0"/>
        <w:spacing w:line="6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u w:val="single"/>
        </w:rPr>
        <w:t xml:space="preserve">  (姓名)   </w:t>
      </w: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(投标人名称)    </w:t>
      </w:r>
      <w:r>
        <w:rPr>
          <w:rFonts w:hint="eastAsia" w:ascii="仿宋" w:hAnsi="仿宋" w:eastAsia="仿宋" w:cs="仿宋"/>
          <w:color w:val="auto"/>
          <w:kern w:val="0"/>
          <w:szCs w:val="21"/>
          <w:highlight w:val="none"/>
        </w:rPr>
        <w:t>的法定代表人，现委托</w:t>
      </w:r>
      <w:r>
        <w:rPr>
          <w:rFonts w:hint="eastAsia" w:ascii="仿宋" w:hAnsi="仿宋" w:eastAsia="仿宋" w:cs="仿宋"/>
          <w:color w:val="auto"/>
          <w:kern w:val="0"/>
          <w:szCs w:val="21"/>
          <w:highlight w:val="none"/>
          <w:u w:val="single"/>
        </w:rPr>
        <w:t xml:space="preserve">   (姓名)  </w:t>
      </w:r>
      <w:r>
        <w:rPr>
          <w:rFonts w:hint="eastAsia" w:ascii="仿宋" w:hAnsi="仿宋" w:eastAsia="仿宋" w:cs="仿宋"/>
          <w:color w:val="auto"/>
          <w:kern w:val="0"/>
          <w:szCs w:val="21"/>
          <w:highlight w:val="none"/>
        </w:rPr>
        <w:t>为我方代理人。代理人根据授权，以我方名义签署、澄清、说明、补正、递交、撤回、修改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投标文件、签订合同和处理有关事宜，其法律后果由我方承担。</w:t>
      </w:r>
    </w:p>
    <w:p w14:paraId="51578564">
      <w:pPr>
        <w:autoSpaceDE w:val="0"/>
        <w:autoSpaceDN w:val="0"/>
        <w:adjustRightInd w:val="0"/>
        <w:spacing w:line="6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24460143">
      <w:pPr>
        <w:autoSpaceDE w:val="0"/>
        <w:autoSpaceDN w:val="0"/>
        <w:adjustRightInd w:val="0"/>
        <w:spacing w:line="6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代理人无转委托权。</w:t>
      </w:r>
    </w:p>
    <w:p w14:paraId="0D0E6D90">
      <w:pPr>
        <w:spacing w:line="6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附：法人身份证及被授权人身份证复印件</w:t>
      </w:r>
    </w:p>
    <w:p w14:paraId="2416B364">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p>
    <w:p w14:paraId="17986574">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p>
    <w:p w14:paraId="4DB05EE2">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  标  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(盖单位章)</w:t>
      </w:r>
    </w:p>
    <w:p w14:paraId="57780E2D">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(签字)</w:t>
      </w:r>
    </w:p>
    <w:p w14:paraId="67E4DB15">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身份证号码：</w:t>
      </w:r>
      <w:r>
        <w:rPr>
          <w:rFonts w:hint="eastAsia" w:ascii="仿宋" w:hAnsi="仿宋" w:eastAsia="仿宋" w:cs="仿宋"/>
          <w:color w:val="auto"/>
          <w:kern w:val="0"/>
          <w:szCs w:val="21"/>
          <w:highlight w:val="none"/>
          <w:u w:val="single"/>
        </w:rPr>
        <w:t xml:space="preserve">                                </w:t>
      </w:r>
    </w:p>
    <w:p w14:paraId="21A7B756">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委托代理人：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(签字)</w:t>
      </w:r>
    </w:p>
    <w:p w14:paraId="6D988D23">
      <w:pPr>
        <w:autoSpaceDE w:val="0"/>
        <w:autoSpaceDN w:val="0"/>
        <w:adjustRightInd w:val="0"/>
        <w:spacing w:line="600" w:lineRule="exact"/>
        <w:ind w:left="539" w:leftChars="25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身份证号码：</w:t>
      </w:r>
      <w:r>
        <w:rPr>
          <w:rFonts w:hint="eastAsia" w:ascii="仿宋" w:hAnsi="仿宋" w:eastAsia="仿宋" w:cs="仿宋"/>
          <w:color w:val="auto"/>
          <w:kern w:val="0"/>
          <w:szCs w:val="21"/>
          <w:highlight w:val="none"/>
          <w:u w:val="single"/>
        </w:rPr>
        <w:t xml:space="preserve">                                </w:t>
      </w:r>
    </w:p>
    <w:p w14:paraId="6472A724">
      <w:pPr>
        <w:spacing w:line="600" w:lineRule="exact"/>
        <w:ind w:firstLine="1890" w:firstLineChars="900"/>
        <w:jc w:val="right"/>
        <w:rPr>
          <w:rFonts w:hint="eastAsia" w:ascii="仿宋" w:hAnsi="仿宋" w:eastAsia="仿宋" w:cs="仿宋"/>
          <w:color w:val="auto"/>
          <w:kern w:val="0"/>
          <w:szCs w:val="21"/>
          <w:highlight w:val="none"/>
          <w:u w:val="single"/>
        </w:rPr>
      </w:pPr>
    </w:p>
    <w:p w14:paraId="5FDD514E">
      <w:pPr>
        <w:spacing w:line="600" w:lineRule="exact"/>
        <w:ind w:firstLine="1890" w:firstLineChars="90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183B47C1">
      <w:pPr>
        <w:spacing w:line="500" w:lineRule="exact"/>
        <w:ind w:left="539" w:leftChars="257" w:firstLine="1680" w:firstLineChars="800"/>
        <w:jc w:val="left"/>
        <w:rPr>
          <w:rFonts w:hint="eastAsia" w:ascii="仿宋" w:hAnsi="仿宋" w:eastAsia="仿宋" w:cs="仿宋"/>
          <w:color w:val="auto"/>
          <w:kern w:val="0"/>
          <w:szCs w:val="21"/>
          <w:highlight w:val="none"/>
        </w:rPr>
      </w:pPr>
    </w:p>
    <w:p w14:paraId="5EDDBDD4">
      <w:pPr>
        <w:spacing w:line="500" w:lineRule="exact"/>
        <w:ind w:left="539" w:leftChars="257" w:firstLine="1680" w:firstLineChars="800"/>
        <w:jc w:val="left"/>
        <w:rPr>
          <w:rFonts w:hint="eastAsia" w:ascii="仿宋" w:hAnsi="仿宋" w:eastAsia="仿宋" w:cs="仿宋"/>
          <w:color w:val="auto"/>
          <w:kern w:val="0"/>
          <w:szCs w:val="21"/>
          <w:highlight w:val="none"/>
        </w:rPr>
      </w:pPr>
    </w:p>
    <w:p w14:paraId="33F86D84">
      <w:pPr>
        <w:rPr>
          <w:rFonts w:hint="eastAsia" w:ascii="仿宋" w:hAnsi="仿宋" w:eastAsia="仿宋" w:cs="仿宋"/>
          <w:color w:val="auto"/>
          <w:highlight w:val="none"/>
        </w:rPr>
      </w:pPr>
    </w:p>
    <w:p w14:paraId="2C591209">
      <w:pPr>
        <w:pStyle w:val="3"/>
        <w:numPr>
          <w:ilvl w:val="0"/>
          <w:numId w:val="9"/>
        </w:numPr>
        <w:ind w:left="0" w:leftChars="0" w:firstLine="560" w:firstLineChars="200"/>
        <w:jc w:val="center"/>
        <w:rPr>
          <w:rFonts w:hint="eastAsia" w:ascii="仿宋" w:hAnsi="仿宋" w:eastAsia="仿宋" w:cs="仿宋"/>
          <w:b/>
          <w:bCs/>
          <w:color w:val="auto"/>
          <w:highlight w:val="none"/>
        </w:rPr>
      </w:pPr>
      <w:r>
        <w:rPr>
          <w:rFonts w:hint="eastAsia" w:ascii="仿宋" w:hAnsi="仿宋" w:eastAsia="仿宋" w:cs="仿宋"/>
          <w:color w:val="auto"/>
          <w:highlight w:val="none"/>
        </w:rPr>
        <w:br w:type="page"/>
      </w:r>
      <w:bookmarkStart w:id="586" w:name="_Toc29029"/>
      <w:r>
        <w:rPr>
          <w:rFonts w:hint="eastAsia" w:ascii="仿宋" w:hAnsi="仿宋" w:eastAsia="仿宋" w:cs="仿宋"/>
          <w:b/>
          <w:bCs/>
          <w:color w:val="auto"/>
          <w:highlight w:val="none"/>
        </w:rPr>
        <w:t>开标一览表</w:t>
      </w:r>
      <w:bookmarkEnd w:id="586"/>
    </w:p>
    <w:p w14:paraId="5CEC5605">
      <w:pPr>
        <w:numPr>
          <w:ilvl w:val="0"/>
          <w:numId w:val="0"/>
        </w:numPr>
        <w:ind w:leftChars="200"/>
        <w:jc w:val="center"/>
        <w:rPr>
          <w:rFonts w:hint="eastAsia"/>
          <w:highlight w:val="none"/>
        </w:rPr>
      </w:pPr>
      <w:r>
        <w:rPr>
          <w:rFonts w:hint="eastAsia"/>
          <w:highlight w:val="none"/>
          <w:lang w:val="en-US" w:eastAsia="zh-CN"/>
        </w:rPr>
        <w:t>以系统给定格式为准。</w:t>
      </w:r>
    </w:p>
    <w:p w14:paraId="2F29F2C9">
      <w:pPr>
        <w:pStyle w:val="3"/>
        <w:jc w:val="center"/>
        <w:rPr>
          <w:rFonts w:hint="eastAsia" w:ascii="仿宋" w:hAnsi="仿宋" w:eastAsia="仿宋" w:cs="仿宋"/>
          <w:b/>
          <w:bCs/>
          <w:color w:val="auto"/>
          <w:highlight w:val="none"/>
          <w:lang w:eastAsia="zh-CN"/>
        </w:rPr>
        <w:sectPr>
          <w:footerReference r:id="rId19" w:type="first"/>
          <w:footerReference r:id="rId18" w:type="default"/>
          <w:pgSz w:w="11906" w:h="16838"/>
          <w:pgMar w:top="1417" w:right="1417" w:bottom="1417" w:left="1417" w:header="851" w:footer="992" w:gutter="0"/>
          <w:pgNumType w:fmt="decimal"/>
          <w:cols w:space="720" w:num="1"/>
          <w:titlePg/>
          <w:docGrid w:type="linesAndChars" w:linePitch="312" w:charSpace="200"/>
        </w:sectPr>
      </w:pPr>
      <w:bookmarkStart w:id="587" w:name="_Toc26171"/>
      <w:bookmarkStart w:id="588" w:name="_Toc311404687"/>
      <w:bookmarkStart w:id="589" w:name="_Toc373389068"/>
      <w:bookmarkStart w:id="590" w:name="_Toc311404524"/>
      <w:bookmarkStart w:id="591" w:name="_Toc457839499"/>
      <w:bookmarkStart w:id="592" w:name="_Toc420417636"/>
    </w:p>
    <w:p w14:paraId="56863555">
      <w:pPr>
        <w:pStyle w:val="3"/>
        <w:jc w:val="center"/>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四</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投标报价</w:t>
      </w:r>
      <w:bookmarkEnd w:id="587"/>
    </w:p>
    <w:p w14:paraId="651FE85D">
      <w:pPr>
        <w:tabs>
          <w:tab w:val="left" w:pos="1040"/>
        </w:tabs>
        <w:spacing w:line="360" w:lineRule="auto"/>
        <w:ind w:firstLine="210" w:firstLineChars="100"/>
        <w:rPr>
          <w:rFonts w:hint="eastAsia" w:ascii="仿宋" w:hAnsi="仿宋" w:eastAsia="仿宋" w:cs="仿宋"/>
          <w:color w:val="auto"/>
          <w:sz w:val="21"/>
          <w:highlight w:val="none"/>
        </w:rPr>
      </w:pPr>
      <w:bookmarkStart w:id="593" w:name="_Toc21372"/>
      <w:r>
        <w:rPr>
          <w:rFonts w:hint="eastAsia" w:ascii="仿宋" w:hAnsi="仿宋" w:eastAsia="仿宋" w:cs="仿宋"/>
          <w:color w:val="auto"/>
          <w:sz w:val="21"/>
          <w:highlight w:val="none"/>
        </w:rPr>
        <w:t>1、</w:t>
      </w:r>
      <w:r>
        <w:rPr>
          <w:rFonts w:hint="eastAsia" w:ascii="仿宋" w:hAnsi="仿宋" w:eastAsia="仿宋" w:cs="仿宋"/>
          <w:color w:val="auto"/>
          <w:sz w:val="21"/>
          <w:highlight w:val="none"/>
          <w:lang w:eastAsia="zh-CN"/>
        </w:rPr>
        <w:t>投标报价</w:t>
      </w:r>
      <w:r>
        <w:rPr>
          <w:rFonts w:hint="eastAsia" w:ascii="仿宋" w:hAnsi="仿宋" w:eastAsia="仿宋" w:cs="仿宋"/>
          <w:color w:val="auto"/>
          <w:sz w:val="21"/>
          <w:highlight w:val="none"/>
        </w:rPr>
        <w:t>说明</w:t>
      </w:r>
    </w:p>
    <w:p w14:paraId="70F1EC6D">
      <w:pPr>
        <w:spacing w:line="360" w:lineRule="auto"/>
        <w:rPr>
          <w:rFonts w:hint="eastAsia" w:ascii="仿宋" w:hAnsi="仿宋" w:eastAsia="仿宋" w:cs="仿宋"/>
          <w:color w:val="auto"/>
          <w:szCs w:val="22"/>
          <w:highlight w:val="none"/>
        </w:rPr>
      </w:pPr>
    </w:p>
    <w:p w14:paraId="1759D59A">
      <w:pPr>
        <w:spacing w:line="360" w:lineRule="auto"/>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注：投标报价应包括承担本采购项目的全部费用，包括劳务、防护人员工资、福利、保险、成本、利润、税金及风险等全部费用；报价若有遗漏，视为免费提供，采购人不再另行支付。</w:t>
      </w:r>
    </w:p>
    <w:p w14:paraId="69DB8D5E">
      <w:pPr>
        <w:pStyle w:val="3"/>
        <w:jc w:val="center"/>
        <w:rPr>
          <w:rFonts w:hint="eastAsia" w:ascii="仿宋" w:hAnsi="仿宋" w:eastAsia="仿宋" w:cs="仿宋"/>
          <w:color w:val="auto"/>
          <w:highlight w:val="none"/>
        </w:rPr>
      </w:pPr>
      <w:r>
        <w:rPr>
          <w:rFonts w:hint="eastAsia" w:ascii="仿宋" w:hAnsi="仿宋" w:eastAsia="仿宋" w:cs="仿宋"/>
          <w:color w:val="auto"/>
          <w:kern w:val="2"/>
          <w:sz w:val="21"/>
          <w:highlight w:val="none"/>
        </w:rPr>
        <w:br w:type="page"/>
      </w:r>
      <w:bookmarkStart w:id="594" w:name="_Toc7064"/>
      <w:r>
        <w:rPr>
          <w:rFonts w:hint="eastAsia" w:ascii="仿宋" w:hAnsi="仿宋" w:eastAsia="仿宋" w:cs="仿宋"/>
          <w:color w:val="auto"/>
          <w:highlight w:val="none"/>
        </w:rPr>
        <w:t>五、资格审查资料</w:t>
      </w:r>
      <w:bookmarkEnd w:id="588"/>
      <w:bookmarkEnd w:id="589"/>
      <w:bookmarkEnd w:id="590"/>
      <w:bookmarkEnd w:id="591"/>
      <w:bookmarkEnd w:id="592"/>
      <w:bookmarkEnd w:id="593"/>
      <w:bookmarkEnd w:id="594"/>
    </w:p>
    <w:p w14:paraId="1500E058">
      <w:pPr>
        <w:ind w:left="1128" w:hanging="1120" w:hangingChars="4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(一)投标人基本情况表</w:t>
      </w:r>
    </w:p>
    <w:p w14:paraId="27DE1802">
      <w:pPr>
        <w:rPr>
          <w:rFonts w:hint="eastAsia" w:ascii="仿宋" w:hAnsi="仿宋" w:eastAsia="仿宋" w:cs="仿宋"/>
          <w:color w:val="auto"/>
          <w:kern w:val="0"/>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4377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194" w:type="dxa"/>
            <w:noWrap w:val="0"/>
            <w:vAlign w:val="center"/>
          </w:tcPr>
          <w:p w14:paraId="1F16D321">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投标人全称</w:t>
            </w:r>
          </w:p>
        </w:tc>
        <w:tc>
          <w:tcPr>
            <w:tcW w:w="6859" w:type="dxa"/>
            <w:gridSpan w:val="3"/>
            <w:noWrap w:val="0"/>
            <w:vAlign w:val="center"/>
          </w:tcPr>
          <w:p w14:paraId="7ABB8B4E">
            <w:pPr>
              <w:ind w:firstLine="480"/>
              <w:rPr>
                <w:rFonts w:hint="eastAsia" w:ascii="仿宋" w:hAnsi="仿宋" w:eastAsia="仿宋" w:cs="仿宋"/>
                <w:color w:val="auto"/>
                <w:highlight w:val="none"/>
              </w:rPr>
            </w:pPr>
          </w:p>
        </w:tc>
      </w:tr>
      <w:tr w14:paraId="5C37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7B8E7C46">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投标方式</w:t>
            </w:r>
          </w:p>
        </w:tc>
        <w:tc>
          <w:tcPr>
            <w:tcW w:w="2160" w:type="dxa"/>
            <w:noWrap w:val="0"/>
            <w:vAlign w:val="center"/>
          </w:tcPr>
          <w:p w14:paraId="4A9A1CA2">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（独立）</w:t>
            </w:r>
          </w:p>
        </w:tc>
        <w:tc>
          <w:tcPr>
            <w:tcW w:w="2160" w:type="dxa"/>
            <w:noWrap w:val="0"/>
            <w:vAlign w:val="center"/>
          </w:tcPr>
          <w:p w14:paraId="271A76F7">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主要业务</w:t>
            </w:r>
          </w:p>
        </w:tc>
        <w:tc>
          <w:tcPr>
            <w:tcW w:w="2539" w:type="dxa"/>
            <w:noWrap w:val="0"/>
            <w:vAlign w:val="center"/>
          </w:tcPr>
          <w:p w14:paraId="62B83FDD">
            <w:pPr>
              <w:ind w:firstLine="480"/>
              <w:jc w:val="center"/>
              <w:rPr>
                <w:rFonts w:hint="eastAsia" w:ascii="仿宋" w:hAnsi="仿宋" w:eastAsia="仿宋" w:cs="仿宋"/>
                <w:color w:val="auto"/>
                <w:highlight w:val="none"/>
              </w:rPr>
            </w:pPr>
          </w:p>
        </w:tc>
      </w:tr>
      <w:tr w14:paraId="2004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94" w:type="dxa"/>
            <w:noWrap w:val="0"/>
            <w:vAlign w:val="center"/>
          </w:tcPr>
          <w:p w14:paraId="52EB13DA">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资质标准</w:t>
            </w:r>
          </w:p>
        </w:tc>
        <w:tc>
          <w:tcPr>
            <w:tcW w:w="2160" w:type="dxa"/>
            <w:noWrap w:val="0"/>
            <w:vAlign w:val="center"/>
          </w:tcPr>
          <w:p w14:paraId="6CDFFE55">
            <w:pPr>
              <w:ind w:firstLine="480"/>
              <w:jc w:val="center"/>
              <w:rPr>
                <w:rFonts w:hint="eastAsia" w:ascii="仿宋" w:hAnsi="仿宋" w:eastAsia="仿宋" w:cs="仿宋"/>
                <w:color w:val="auto"/>
                <w:highlight w:val="none"/>
              </w:rPr>
            </w:pPr>
          </w:p>
        </w:tc>
        <w:tc>
          <w:tcPr>
            <w:tcW w:w="2160" w:type="dxa"/>
            <w:noWrap w:val="0"/>
            <w:vAlign w:val="center"/>
          </w:tcPr>
          <w:p w14:paraId="47E76B05">
            <w:pPr>
              <w:ind w:firstLine="480"/>
              <w:rPr>
                <w:rFonts w:hint="eastAsia" w:ascii="仿宋" w:hAnsi="仿宋" w:eastAsia="仿宋" w:cs="仿宋"/>
                <w:color w:val="auto"/>
                <w:highlight w:val="none"/>
              </w:rPr>
            </w:pPr>
            <w:r>
              <w:rPr>
                <w:rFonts w:hint="eastAsia" w:ascii="仿宋" w:hAnsi="仿宋" w:eastAsia="仿宋" w:cs="仿宋"/>
                <w:color w:val="auto"/>
                <w:highlight w:val="none"/>
              </w:rPr>
              <w:t>企业规模</w:t>
            </w:r>
          </w:p>
        </w:tc>
        <w:tc>
          <w:tcPr>
            <w:tcW w:w="2539" w:type="dxa"/>
            <w:noWrap w:val="0"/>
            <w:vAlign w:val="center"/>
          </w:tcPr>
          <w:p w14:paraId="39AA2EBA">
            <w:pPr>
              <w:ind w:firstLine="480"/>
              <w:rPr>
                <w:rFonts w:hint="eastAsia" w:ascii="仿宋" w:hAnsi="仿宋" w:eastAsia="仿宋" w:cs="仿宋"/>
                <w:color w:val="auto"/>
                <w:highlight w:val="none"/>
              </w:rPr>
            </w:pPr>
          </w:p>
        </w:tc>
      </w:tr>
      <w:tr w14:paraId="09AA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23856828">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营业执照编号</w:t>
            </w:r>
          </w:p>
        </w:tc>
        <w:tc>
          <w:tcPr>
            <w:tcW w:w="2160" w:type="dxa"/>
            <w:noWrap w:val="0"/>
            <w:vAlign w:val="center"/>
          </w:tcPr>
          <w:p w14:paraId="33A7D181">
            <w:pPr>
              <w:ind w:firstLine="480"/>
              <w:jc w:val="center"/>
              <w:rPr>
                <w:rFonts w:hint="eastAsia" w:ascii="仿宋" w:hAnsi="仿宋" w:eastAsia="仿宋" w:cs="仿宋"/>
                <w:color w:val="auto"/>
                <w:highlight w:val="none"/>
              </w:rPr>
            </w:pPr>
          </w:p>
        </w:tc>
        <w:tc>
          <w:tcPr>
            <w:tcW w:w="2160" w:type="dxa"/>
            <w:noWrap w:val="0"/>
            <w:vAlign w:val="center"/>
          </w:tcPr>
          <w:p w14:paraId="392F90CF">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成立日期</w:t>
            </w:r>
          </w:p>
        </w:tc>
        <w:tc>
          <w:tcPr>
            <w:tcW w:w="2539" w:type="dxa"/>
            <w:noWrap w:val="0"/>
            <w:vAlign w:val="center"/>
          </w:tcPr>
          <w:p w14:paraId="7BF2BC3B">
            <w:pPr>
              <w:ind w:firstLine="480"/>
              <w:jc w:val="center"/>
              <w:rPr>
                <w:rFonts w:hint="eastAsia" w:ascii="仿宋" w:hAnsi="仿宋" w:eastAsia="仿宋" w:cs="仿宋"/>
                <w:color w:val="auto"/>
                <w:highlight w:val="none"/>
              </w:rPr>
            </w:pPr>
          </w:p>
        </w:tc>
      </w:tr>
      <w:tr w14:paraId="3E78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359FAD42">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公司总人数</w:t>
            </w:r>
          </w:p>
        </w:tc>
        <w:tc>
          <w:tcPr>
            <w:tcW w:w="2160" w:type="dxa"/>
            <w:noWrap w:val="0"/>
            <w:vAlign w:val="center"/>
          </w:tcPr>
          <w:p w14:paraId="7878E69C">
            <w:pPr>
              <w:ind w:firstLine="480"/>
              <w:jc w:val="center"/>
              <w:rPr>
                <w:rFonts w:hint="eastAsia" w:ascii="仿宋" w:hAnsi="仿宋" w:eastAsia="仿宋" w:cs="仿宋"/>
                <w:color w:val="auto"/>
                <w:highlight w:val="none"/>
              </w:rPr>
            </w:pPr>
          </w:p>
        </w:tc>
        <w:tc>
          <w:tcPr>
            <w:tcW w:w="2160" w:type="dxa"/>
            <w:noWrap w:val="0"/>
            <w:vAlign w:val="center"/>
          </w:tcPr>
          <w:p w14:paraId="0F64BB7F">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资产净值（万元）</w:t>
            </w:r>
          </w:p>
        </w:tc>
        <w:tc>
          <w:tcPr>
            <w:tcW w:w="2539" w:type="dxa"/>
            <w:noWrap w:val="0"/>
            <w:vAlign w:val="center"/>
          </w:tcPr>
          <w:p w14:paraId="607BB0F6">
            <w:pPr>
              <w:ind w:firstLine="480"/>
              <w:jc w:val="center"/>
              <w:rPr>
                <w:rFonts w:hint="eastAsia" w:ascii="仿宋" w:hAnsi="仿宋" w:eastAsia="仿宋" w:cs="仿宋"/>
                <w:color w:val="auto"/>
                <w:highlight w:val="none"/>
              </w:rPr>
            </w:pPr>
          </w:p>
        </w:tc>
      </w:tr>
      <w:tr w14:paraId="0F61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50415819">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负责人</w:t>
            </w:r>
          </w:p>
        </w:tc>
        <w:tc>
          <w:tcPr>
            <w:tcW w:w="6859" w:type="dxa"/>
            <w:gridSpan w:val="3"/>
            <w:noWrap w:val="0"/>
            <w:vAlign w:val="center"/>
          </w:tcPr>
          <w:p w14:paraId="7E2E114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1．姓名：          2.职务：         3.职称：</w:t>
            </w:r>
          </w:p>
        </w:tc>
      </w:tr>
      <w:tr w14:paraId="1A01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2144202A">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联系方式</w:t>
            </w:r>
          </w:p>
        </w:tc>
        <w:tc>
          <w:tcPr>
            <w:tcW w:w="6859" w:type="dxa"/>
            <w:gridSpan w:val="3"/>
            <w:noWrap w:val="0"/>
            <w:vAlign w:val="center"/>
          </w:tcPr>
          <w:p w14:paraId="635A115E">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1．地址：          2. 邮编：         3. 电话：</w:t>
            </w:r>
          </w:p>
          <w:p w14:paraId="5BBB980E">
            <w:pPr>
              <w:ind w:firstLine="480"/>
              <w:rPr>
                <w:rFonts w:hint="eastAsia" w:ascii="仿宋" w:hAnsi="仿宋" w:eastAsia="仿宋" w:cs="仿宋"/>
                <w:color w:val="auto"/>
                <w:kern w:val="0"/>
                <w:highlight w:val="none"/>
              </w:rPr>
            </w:pPr>
          </w:p>
          <w:p w14:paraId="7C0ABF32">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 传真：          5. E-mail           6. 联系人：</w:t>
            </w:r>
          </w:p>
        </w:tc>
      </w:tr>
      <w:tr w14:paraId="3F1E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2D83B10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开户银行</w:t>
            </w:r>
          </w:p>
        </w:tc>
        <w:tc>
          <w:tcPr>
            <w:tcW w:w="6859" w:type="dxa"/>
            <w:gridSpan w:val="3"/>
            <w:noWrap w:val="0"/>
            <w:vAlign w:val="center"/>
          </w:tcPr>
          <w:p w14:paraId="2D81A3A7">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1．户名：          2.开户行：        3.账号</w:t>
            </w:r>
          </w:p>
        </w:tc>
      </w:tr>
    </w:tbl>
    <w:p w14:paraId="4F556083">
      <w:pPr>
        <w:spacing w:before="156" w:beforeLines="50" w:after="156" w:afterLines="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注：在本表后应附投标人营业执照</w:t>
      </w:r>
      <w:r>
        <w:rPr>
          <w:rFonts w:hint="eastAsia" w:ascii="仿宋" w:hAnsi="仿宋" w:eastAsia="仿宋" w:cs="仿宋"/>
          <w:color w:val="auto"/>
          <w:highlight w:val="none"/>
        </w:rPr>
        <w:t>等材料。</w:t>
      </w:r>
    </w:p>
    <w:p w14:paraId="63A4C26F">
      <w:pPr>
        <w:spacing w:before="156" w:beforeLines="50" w:after="156" w:afterLines="50"/>
        <w:rPr>
          <w:rFonts w:hint="eastAsia" w:ascii="仿宋" w:hAnsi="仿宋" w:eastAsia="仿宋" w:cs="仿宋"/>
          <w:color w:val="auto"/>
          <w:kern w:val="0"/>
          <w:szCs w:val="21"/>
          <w:highlight w:val="none"/>
        </w:rPr>
      </w:pPr>
    </w:p>
    <w:p w14:paraId="612014DE">
      <w:pPr>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30"/>
          <w:szCs w:val="30"/>
          <w:highlight w:val="none"/>
        </w:rPr>
        <w:br w:type="page"/>
      </w:r>
      <w:r>
        <w:rPr>
          <w:rFonts w:hint="eastAsia" w:ascii="仿宋" w:hAnsi="仿宋" w:eastAsia="仿宋" w:cs="仿宋"/>
          <w:b/>
          <w:bCs/>
          <w:color w:val="auto"/>
          <w:kern w:val="0"/>
          <w:sz w:val="28"/>
          <w:szCs w:val="28"/>
          <w:highlight w:val="none"/>
        </w:rPr>
        <w:t>(二)投标人已完成类似项目情况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14:paraId="4C88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noWrap w:val="0"/>
            <w:vAlign w:val="center"/>
          </w:tcPr>
          <w:p w14:paraId="3EB10CE8">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1145" w:type="dxa"/>
            <w:noWrap w:val="0"/>
            <w:vAlign w:val="center"/>
          </w:tcPr>
          <w:p w14:paraId="382D66B1">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起止时间</w:t>
            </w:r>
          </w:p>
        </w:tc>
        <w:tc>
          <w:tcPr>
            <w:tcW w:w="2500" w:type="dxa"/>
            <w:noWrap w:val="0"/>
            <w:vAlign w:val="center"/>
          </w:tcPr>
          <w:p w14:paraId="73BF7283">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项目概况</w:t>
            </w:r>
          </w:p>
        </w:tc>
        <w:tc>
          <w:tcPr>
            <w:tcW w:w="2500" w:type="dxa"/>
            <w:noWrap w:val="0"/>
            <w:vAlign w:val="center"/>
          </w:tcPr>
          <w:p w14:paraId="11B346D9">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业主单位</w:t>
            </w:r>
          </w:p>
        </w:tc>
        <w:tc>
          <w:tcPr>
            <w:tcW w:w="1142" w:type="dxa"/>
            <w:noWrap w:val="0"/>
            <w:vAlign w:val="center"/>
          </w:tcPr>
          <w:p w14:paraId="1576D21B">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完成情况</w:t>
            </w:r>
          </w:p>
        </w:tc>
        <w:tc>
          <w:tcPr>
            <w:tcW w:w="880" w:type="dxa"/>
            <w:noWrap w:val="0"/>
            <w:vAlign w:val="center"/>
          </w:tcPr>
          <w:p w14:paraId="24589815">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备注</w:t>
            </w:r>
          </w:p>
        </w:tc>
      </w:tr>
      <w:tr w14:paraId="0FFC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5EFE67C3">
            <w:pPr>
              <w:ind w:firstLine="480"/>
              <w:jc w:val="center"/>
              <w:rPr>
                <w:rFonts w:hint="eastAsia" w:ascii="仿宋" w:hAnsi="仿宋" w:eastAsia="仿宋" w:cs="仿宋"/>
                <w:color w:val="auto"/>
                <w:highlight w:val="none"/>
              </w:rPr>
            </w:pPr>
          </w:p>
        </w:tc>
        <w:tc>
          <w:tcPr>
            <w:tcW w:w="1145" w:type="dxa"/>
            <w:noWrap w:val="0"/>
            <w:vAlign w:val="center"/>
          </w:tcPr>
          <w:p w14:paraId="45B084DD">
            <w:pPr>
              <w:ind w:firstLine="480"/>
              <w:jc w:val="center"/>
              <w:rPr>
                <w:rFonts w:hint="eastAsia" w:ascii="仿宋" w:hAnsi="仿宋" w:eastAsia="仿宋" w:cs="仿宋"/>
                <w:color w:val="auto"/>
                <w:highlight w:val="none"/>
              </w:rPr>
            </w:pPr>
          </w:p>
        </w:tc>
        <w:tc>
          <w:tcPr>
            <w:tcW w:w="2500" w:type="dxa"/>
            <w:noWrap w:val="0"/>
            <w:vAlign w:val="center"/>
          </w:tcPr>
          <w:p w14:paraId="083A0759">
            <w:pPr>
              <w:ind w:firstLine="480"/>
              <w:jc w:val="center"/>
              <w:rPr>
                <w:rFonts w:hint="eastAsia" w:ascii="仿宋" w:hAnsi="仿宋" w:eastAsia="仿宋" w:cs="仿宋"/>
                <w:color w:val="auto"/>
                <w:highlight w:val="none"/>
              </w:rPr>
            </w:pPr>
          </w:p>
        </w:tc>
        <w:tc>
          <w:tcPr>
            <w:tcW w:w="2500" w:type="dxa"/>
            <w:noWrap w:val="0"/>
            <w:vAlign w:val="center"/>
          </w:tcPr>
          <w:p w14:paraId="2A6FD702">
            <w:pPr>
              <w:ind w:firstLine="480"/>
              <w:jc w:val="center"/>
              <w:rPr>
                <w:rFonts w:hint="eastAsia" w:ascii="仿宋" w:hAnsi="仿宋" w:eastAsia="仿宋" w:cs="仿宋"/>
                <w:color w:val="auto"/>
                <w:highlight w:val="none"/>
              </w:rPr>
            </w:pPr>
          </w:p>
        </w:tc>
        <w:tc>
          <w:tcPr>
            <w:tcW w:w="1142" w:type="dxa"/>
            <w:noWrap w:val="0"/>
            <w:vAlign w:val="center"/>
          </w:tcPr>
          <w:p w14:paraId="0A356E3D">
            <w:pPr>
              <w:ind w:firstLine="480"/>
              <w:jc w:val="center"/>
              <w:rPr>
                <w:rFonts w:hint="eastAsia" w:ascii="仿宋" w:hAnsi="仿宋" w:eastAsia="仿宋" w:cs="仿宋"/>
                <w:color w:val="auto"/>
                <w:highlight w:val="none"/>
              </w:rPr>
            </w:pPr>
          </w:p>
        </w:tc>
        <w:tc>
          <w:tcPr>
            <w:tcW w:w="880" w:type="dxa"/>
            <w:noWrap w:val="0"/>
            <w:vAlign w:val="center"/>
          </w:tcPr>
          <w:p w14:paraId="131C8465">
            <w:pPr>
              <w:ind w:firstLine="480"/>
              <w:jc w:val="center"/>
              <w:rPr>
                <w:rFonts w:hint="eastAsia" w:ascii="仿宋" w:hAnsi="仿宋" w:eastAsia="仿宋" w:cs="仿宋"/>
                <w:color w:val="auto"/>
                <w:highlight w:val="none"/>
              </w:rPr>
            </w:pPr>
          </w:p>
        </w:tc>
      </w:tr>
      <w:tr w14:paraId="35F5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09C23998">
            <w:pPr>
              <w:ind w:firstLine="480"/>
              <w:jc w:val="center"/>
              <w:rPr>
                <w:rFonts w:hint="eastAsia" w:ascii="仿宋" w:hAnsi="仿宋" w:eastAsia="仿宋" w:cs="仿宋"/>
                <w:color w:val="auto"/>
                <w:highlight w:val="none"/>
              </w:rPr>
            </w:pPr>
          </w:p>
        </w:tc>
        <w:tc>
          <w:tcPr>
            <w:tcW w:w="1145" w:type="dxa"/>
            <w:noWrap w:val="0"/>
            <w:vAlign w:val="center"/>
          </w:tcPr>
          <w:p w14:paraId="19586582">
            <w:pPr>
              <w:ind w:firstLine="480"/>
              <w:jc w:val="center"/>
              <w:rPr>
                <w:rFonts w:hint="eastAsia" w:ascii="仿宋" w:hAnsi="仿宋" w:eastAsia="仿宋" w:cs="仿宋"/>
                <w:color w:val="auto"/>
                <w:highlight w:val="none"/>
              </w:rPr>
            </w:pPr>
          </w:p>
        </w:tc>
        <w:tc>
          <w:tcPr>
            <w:tcW w:w="2500" w:type="dxa"/>
            <w:noWrap w:val="0"/>
            <w:vAlign w:val="center"/>
          </w:tcPr>
          <w:p w14:paraId="110081A0">
            <w:pPr>
              <w:ind w:firstLine="480"/>
              <w:jc w:val="center"/>
              <w:rPr>
                <w:rFonts w:hint="eastAsia" w:ascii="仿宋" w:hAnsi="仿宋" w:eastAsia="仿宋" w:cs="仿宋"/>
                <w:color w:val="auto"/>
                <w:highlight w:val="none"/>
              </w:rPr>
            </w:pPr>
          </w:p>
        </w:tc>
        <w:tc>
          <w:tcPr>
            <w:tcW w:w="2500" w:type="dxa"/>
            <w:noWrap w:val="0"/>
            <w:vAlign w:val="center"/>
          </w:tcPr>
          <w:p w14:paraId="5B549ABA">
            <w:pPr>
              <w:ind w:firstLine="480"/>
              <w:jc w:val="center"/>
              <w:rPr>
                <w:rFonts w:hint="eastAsia" w:ascii="仿宋" w:hAnsi="仿宋" w:eastAsia="仿宋" w:cs="仿宋"/>
                <w:color w:val="auto"/>
                <w:highlight w:val="none"/>
              </w:rPr>
            </w:pPr>
          </w:p>
        </w:tc>
        <w:tc>
          <w:tcPr>
            <w:tcW w:w="1142" w:type="dxa"/>
            <w:noWrap w:val="0"/>
            <w:vAlign w:val="center"/>
          </w:tcPr>
          <w:p w14:paraId="0149A131">
            <w:pPr>
              <w:ind w:firstLine="480"/>
              <w:jc w:val="center"/>
              <w:rPr>
                <w:rFonts w:hint="eastAsia" w:ascii="仿宋" w:hAnsi="仿宋" w:eastAsia="仿宋" w:cs="仿宋"/>
                <w:color w:val="auto"/>
                <w:highlight w:val="none"/>
              </w:rPr>
            </w:pPr>
          </w:p>
        </w:tc>
        <w:tc>
          <w:tcPr>
            <w:tcW w:w="880" w:type="dxa"/>
            <w:noWrap w:val="0"/>
            <w:vAlign w:val="center"/>
          </w:tcPr>
          <w:p w14:paraId="7A404B34">
            <w:pPr>
              <w:ind w:firstLine="480"/>
              <w:jc w:val="center"/>
              <w:rPr>
                <w:rFonts w:hint="eastAsia" w:ascii="仿宋" w:hAnsi="仿宋" w:eastAsia="仿宋" w:cs="仿宋"/>
                <w:color w:val="auto"/>
                <w:highlight w:val="none"/>
              </w:rPr>
            </w:pPr>
          </w:p>
        </w:tc>
      </w:tr>
      <w:tr w14:paraId="3595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5E1450AD">
            <w:pPr>
              <w:ind w:firstLine="480"/>
              <w:jc w:val="center"/>
              <w:rPr>
                <w:rFonts w:hint="eastAsia" w:ascii="仿宋" w:hAnsi="仿宋" w:eastAsia="仿宋" w:cs="仿宋"/>
                <w:color w:val="auto"/>
                <w:highlight w:val="none"/>
              </w:rPr>
            </w:pPr>
          </w:p>
        </w:tc>
        <w:tc>
          <w:tcPr>
            <w:tcW w:w="1145" w:type="dxa"/>
            <w:noWrap w:val="0"/>
            <w:vAlign w:val="center"/>
          </w:tcPr>
          <w:p w14:paraId="01AAB2A2">
            <w:pPr>
              <w:ind w:firstLine="480"/>
              <w:jc w:val="center"/>
              <w:rPr>
                <w:rFonts w:hint="eastAsia" w:ascii="仿宋" w:hAnsi="仿宋" w:eastAsia="仿宋" w:cs="仿宋"/>
                <w:color w:val="auto"/>
                <w:highlight w:val="none"/>
              </w:rPr>
            </w:pPr>
          </w:p>
        </w:tc>
        <w:tc>
          <w:tcPr>
            <w:tcW w:w="2500" w:type="dxa"/>
            <w:noWrap w:val="0"/>
            <w:vAlign w:val="center"/>
          </w:tcPr>
          <w:p w14:paraId="75D13C23">
            <w:pPr>
              <w:ind w:firstLine="480"/>
              <w:jc w:val="center"/>
              <w:rPr>
                <w:rFonts w:hint="eastAsia" w:ascii="仿宋" w:hAnsi="仿宋" w:eastAsia="仿宋" w:cs="仿宋"/>
                <w:color w:val="auto"/>
                <w:highlight w:val="none"/>
              </w:rPr>
            </w:pPr>
          </w:p>
        </w:tc>
        <w:tc>
          <w:tcPr>
            <w:tcW w:w="2500" w:type="dxa"/>
            <w:noWrap w:val="0"/>
            <w:vAlign w:val="center"/>
          </w:tcPr>
          <w:p w14:paraId="01944131">
            <w:pPr>
              <w:ind w:firstLine="480"/>
              <w:jc w:val="center"/>
              <w:rPr>
                <w:rFonts w:hint="eastAsia" w:ascii="仿宋" w:hAnsi="仿宋" w:eastAsia="仿宋" w:cs="仿宋"/>
                <w:color w:val="auto"/>
                <w:highlight w:val="none"/>
              </w:rPr>
            </w:pPr>
          </w:p>
        </w:tc>
        <w:tc>
          <w:tcPr>
            <w:tcW w:w="1142" w:type="dxa"/>
            <w:noWrap w:val="0"/>
            <w:vAlign w:val="center"/>
          </w:tcPr>
          <w:p w14:paraId="5106C868">
            <w:pPr>
              <w:ind w:firstLine="480"/>
              <w:jc w:val="center"/>
              <w:rPr>
                <w:rFonts w:hint="eastAsia" w:ascii="仿宋" w:hAnsi="仿宋" w:eastAsia="仿宋" w:cs="仿宋"/>
                <w:color w:val="auto"/>
                <w:highlight w:val="none"/>
              </w:rPr>
            </w:pPr>
          </w:p>
        </w:tc>
        <w:tc>
          <w:tcPr>
            <w:tcW w:w="880" w:type="dxa"/>
            <w:noWrap w:val="0"/>
            <w:vAlign w:val="center"/>
          </w:tcPr>
          <w:p w14:paraId="54FA10D5">
            <w:pPr>
              <w:ind w:firstLine="480"/>
              <w:jc w:val="center"/>
              <w:rPr>
                <w:rFonts w:hint="eastAsia" w:ascii="仿宋" w:hAnsi="仿宋" w:eastAsia="仿宋" w:cs="仿宋"/>
                <w:color w:val="auto"/>
                <w:highlight w:val="none"/>
              </w:rPr>
            </w:pPr>
          </w:p>
        </w:tc>
      </w:tr>
      <w:tr w14:paraId="5154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18DAE77A">
            <w:pPr>
              <w:ind w:firstLine="480"/>
              <w:jc w:val="center"/>
              <w:rPr>
                <w:rFonts w:hint="eastAsia" w:ascii="仿宋" w:hAnsi="仿宋" w:eastAsia="仿宋" w:cs="仿宋"/>
                <w:color w:val="auto"/>
                <w:highlight w:val="none"/>
              </w:rPr>
            </w:pPr>
          </w:p>
        </w:tc>
        <w:tc>
          <w:tcPr>
            <w:tcW w:w="1145" w:type="dxa"/>
            <w:noWrap w:val="0"/>
            <w:vAlign w:val="center"/>
          </w:tcPr>
          <w:p w14:paraId="3FC3C9CC">
            <w:pPr>
              <w:ind w:firstLine="480"/>
              <w:jc w:val="center"/>
              <w:rPr>
                <w:rFonts w:hint="eastAsia" w:ascii="仿宋" w:hAnsi="仿宋" w:eastAsia="仿宋" w:cs="仿宋"/>
                <w:color w:val="auto"/>
                <w:highlight w:val="none"/>
              </w:rPr>
            </w:pPr>
          </w:p>
        </w:tc>
        <w:tc>
          <w:tcPr>
            <w:tcW w:w="2500" w:type="dxa"/>
            <w:noWrap w:val="0"/>
            <w:vAlign w:val="center"/>
          </w:tcPr>
          <w:p w14:paraId="31BED7C5">
            <w:pPr>
              <w:ind w:firstLine="480"/>
              <w:jc w:val="center"/>
              <w:rPr>
                <w:rFonts w:hint="eastAsia" w:ascii="仿宋" w:hAnsi="仿宋" w:eastAsia="仿宋" w:cs="仿宋"/>
                <w:color w:val="auto"/>
                <w:highlight w:val="none"/>
              </w:rPr>
            </w:pPr>
          </w:p>
        </w:tc>
        <w:tc>
          <w:tcPr>
            <w:tcW w:w="2500" w:type="dxa"/>
            <w:noWrap w:val="0"/>
            <w:vAlign w:val="center"/>
          </w:tcPr>
          <w:p w14:paraId="46D5B04F">
            <w:pPr>
              <w:ind w:firstLine="480"/>
              <w:jc w:val="center"/>
              <w:rPr>
                <w:rFonts w:hint="eastAsia" w:ascii="仿宋" w:hAnsi="仿宋" w:eastAsia="仿宋" w:cs="仿宋"/>
                <w:color w:val="auto"/>
                <w:highlight w:val="none"/>
              </w:rPr>
            </w:pPr>
          </w:p>
        </w:tc>
        <w:tc>
          <w:tcPr>
            <w:tcW w:w="1142" w:type="dxa"/>
            <w:noWrap w:val="0"/>
            <w:vAlign w:val="center"/>
          </w:tcPr>
          <w:p w14:paraId="24402164">
            <w:pPr>
              <w:ind w:firstLine="480"/>
              <w:jc w:val="center"/>
              <w:rPr>
                <w:rFonts w:hint="eastAsia" w:ascii="仿宋" w:hAnsi="仿宋" w:eastAsia="仿宋" w:cs="仿宋"/>
                <w:color w:val="auto"/>
                <w:highlight w:val="none"/>
              </w:rPr>
            </w:pPr>
          </w:p>
        </w:tc>
        <w:tc>
          <w:tcPr>
            <w:tcW w:w="880" w:type="dxa"/>
            <w:noWrap w:val="0"/>
            <w:vAlign w:val="center"/>
          </w:tcPr>
          <w:p w14:paraId="6DD4F41B">
            <w:pPr>
              <w:ind w:firstLine="480"/>
              <w:jc w:val="center"/>
              <w:rPr>
                <w:rFonts w:hint="eastAsia" w:ascii="仿宋" w:hAnsi="仿宋" w:eastAsia="仿宋" w:cs="仿宋"/>
                <w:color w:val="auto"/>
                <w:highlight w:val="none"/>
              </w:rPr>
            </w:pPr>
          </w:p>
        </w:tc>
      </w:tr>
      <w:tr w14:paraId="03D1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64762790">
            <w:pPr>
              <w:ind w:firstLine="480"/>
              <w:jc w:val="center"/>
              <w:rPr>
                <w:rFonts w:hint="eastAsia" w:ascii="仿宋" w:hAnsi="仿宋" w:eastAsia="仿宋" w:cs="仿宋"/>
                <w:color w:val="auto"/>
                <w:highlight w:val="none"/>
              </w:rPr>
            </w:pPr>
          </w:p>
        </w:tc>
        <w:tc>
          <w:tcPr>
            <w:tcW w:w="1145" w:type="dxa"/>
            <w:noWrap w:val="0"/>
            <w:vAlign w:val="center"/>
          </w:tcPr>
          <w:p w14:paraId="0FD590A9">
            <w:pPr>
              <w:ind w:firstLine="480"/>
              <w:jc w:val="center"/>
              <w:rPr>
                <w:rFonts w:hint="eastAsia" w:ascii="仿宋" w:hAnsi="仿宋" w:eastAsia="仿宋" w:cs="仿宋"/>
                <w:color w:val="auto"/>
                <w:highlight w:val="none"/>
              </w:rPr>
            </w:pPr>
          </w:p>
        </w:tc>
        <w:tc>
          <w:tcPr>
            <w:tcW w:w="2500" w:type="dxa"/>
            <w:noWrap w:val="0"/>
            <w:vAlign w:val="center"/>
          </w:tcPr>
          <w:p w14:paraId="66221B96">
            <w:pPr>
              <w:ind w:firstLine="480"/>
              <w:jc w:val="center"/>
              <w:rPr>
                <w:rFonts w:hint="eastAsia" w:ascii="仿宋" w:hAnsi="仿宋" w:eastAsia="仿宋" w:cs="仿宋"/>
                <w:color w:val="auto"/>
                <w:highlight w:val="none"/>
              </w:rPr>
            </w:pPr>
          </w:p>
        </w:tc>
        <w:tc>
          <w:tcPr>
            <w:tcW w:w="2500" w:type="dxa"/>
            <w:noWrap w:val="0"/>
            <w:vAlign w:val="center"/>
          </w:tcPr>
          <w:p w14:paraId="13B8A094">
            <w:pPr>
              <w:ind w:firstLine="480"/>
              <w:jc w:val="center"/>
              <w:rPr>
                <w:rFonts w:hint="eastAsia" w:ascii="仿宋" w:hAnsi="仿宋" w:eastAsia="仿宋" w:cs="仿宋"/>
                <w:color w:val="auto"/>
                <w:highlight w:val="none"/>
              </w:rPr>
            </w:pPr>
          </w:p>
        </w:tc>
        <w:tc>
          <w:tcPr>
            <w:tcW w:w="1142" w:type="dxa"/>
            <w:noWrap w:val="0"/>
            <w:vAlign w:val="center"/>
          </w:tcPr>
          <w:p w14:paraId="25EA5481">
            <w:pPr>
              <w:ind w:firstLine="480"/>
              <w:jc w:val="center"/>
              <w:rPr>
                <w:rFonts w:hint="eastAsia" w:ascii="仿宋" w:hAnsi="仿宋" w:eastAsia="仿宋" w:cs="仿宋"/>
                <w:color w:val="auto"/>
                <w:highlight w:val="none"/>
              </w:rPr>
            </w:pPr>
          </w:p>
        </w:tc>
        <w:tc>
          <w:tcPr>
            <w:tcW w:w="880" w:type="dxa"/>
            <w:noWrap w:val="0"/>
            <w:vAlign w:val="center"/>
          </w:tcPr>
          <w:p w14:paraId="530A3822">
            <w:pPr>
              <w:ind w:firstLine="480"/>
              <w:jc w:val="center"/>
              <w:rPr>
                <w:rFonts w:hint="eastAsia" w:ascii="仿宋" w:hAnsi="仿宋" w:eastAsia="仿宋" w:cs="仿宋"/>
                <w:color w:val="auto"/>
                <w:highlight w:val="none"/>
              </w:rPr>
            </w:pPr>
          </w:p>
        </w:tc>
      </w:tr>
      <w:tr w14:paraId="4796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7245B287">
            <w:pPr>
              <w:ind w:firstLine="480"/>
              <w:jc w:val="center"/>
              <w:rPr>
                <w:rFonts w:hint="eastAsia" w:ascii="仿宋" w:hAnsi="仿宋" w:eastAsia="仿宋" w:cs="仿宋"/>
                <w:color w:val="auto"/>
                <w:highlight w:val="none"/>
              </w:rPr>
            </w:pPr>
          </w:p>
        </w:tc>
        <w:tc>
          <w:tcPr>
            <w:tcW w:w="1145" w:type="dxa"/>
            <w:noWrap w:val="0"/>
            <w:vAlign w:val="center"/>
          </w:tcPr>
          <w:p w14:paraId="60196F73">
            <w:pPr>
              <w:ind w:firstLine="480"/>
              <w:jc w:val="center"/>
              <w:rPr>
                <w:rFonts w:hint="eastAsia" w:ascii="仿宋" w:hAnsi="仿宋" w:eastAsia="仿宋" w:cs="仿宋"/>
                <w:color w:val="auto"/>
                <w:highlight w:val="none"/>
              </w:rPr>
            </w:pPr>
          </w:p>
        </w:tc>
        <w:tc>
          <w:tcPr>
            <w:tcW w:w="2500" w:type="dxa"/>
            <w:noWrap w:val="0"/>
            <w:vAlign w:val="center"/>
          </w:tcPr>
          <w:p w14:paraId="2F33F207">
            <w:pPr>
              <w:ind w:firstLine="480"/>
              <w:jc w:val="center"/>
              <w:rPr>
                <w:rFonts w:hint="eastAsia" w:ascii="仿宋" w:hAnsi="仿宋" w:eastAsia="仿宋" w:cs="仿宋"/>
                <w:color w:val="auto"/>
                <w:highlight w:val="none"/>
              </w:rPr>
            </w:pPr>
          </w:p>
        </w:tc>
        <w:tc>
          <w:tcPr>
            <w:tcW w:w="2500" w:type="dxa"/>
            <w:noWrap w:val="0"/>
            <w:vAlign w:val="center"/>
          </w:tcPr>
          <w:p w14:paraId="0512E079">
            <w:pPr>
              <w:ind w:firstLine="480"/>
              <w:jc w:val="center"/>
              <w:rPr>
                <w:rFonts w:hint="eastAsia" w:ascii="仿宋" w:hAnsi="仿宋" w:eastAsia="仿宋" w:cs="仿宋"/>
                <w:color w:val="auto"/>
                <w:highlight w:val="none"/>
              </w:rPr>
            </w:pPr>
          </w:p>
        </w:tc>
        <w:tc>
          <w:tcPr>
            <w:tcW w:w="1142" w:type="dxa"/>
            <w:noWrap w:val="0"/>
            <w:vAlign w:val="center"/>
          </w:tcPr>
          <w:p w14:paraId="7C47D42B">
            <w:pPr>
              <w:ind w:firstLine="480"/>
              <w:jc w:val="center"/>
              <w:rPr>
                <w:rFonts w:hint="eastAsia" w:ascii="仿宋" w:hAnsi="仿宋" w:eastAsia="仿宋" w:cs="仿宋"/>
                <w:color w:val="auto"/>
                <w:highlight w:val="none"/>
              </w:rPr>
            </w:pPr>
          </w:p>
        </w:tc>
        <w:tc>
          <w:tcPr>
            <w:tcW w:w="880" w:type="dxa"/>
            <w:noWrap w:val="0"/>
            <w:vAlign w:val="center"/>
          </w:tcPr>
          <w:p w14:paraId="3C3A6468">
            <w:pPr>
              <w:ind w:firstLine="480"/>
              <w:jc w:val="center"/>
              <w:rPr>
                <w:rFonts w:hint="eastAsia" w:ascii="仿宋" w:hAnsi="仿宋" w:eastAsia="仿宋" w:cs="仿宋"/>
                <w:color w:val="auto"/>
                <w:highlight w:val="none"/>
              </w:rPr>
            </w:pPr>
          </w:p>
        </w:tc>
      </w:tr>
      <w:tr w14:paraId="7E70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6D98E38A">
            <w:pPr>
              <w:ind w:firstLine="480"/>
              <w:jc w:val="center"/>
              <w:rPr>
                <w:rFonts w:hint="eastAsia" w:ascii="仿宋" w:hAnsi="仿宋" w:eastAsia="仿宋" w:cs="仿宋"/>
                <w:color w:val="auto"/>
                <w:highlight w:val="none"/>
              </w:rPr>
            </w:pPr>
          </w:p>
        </w:tc>
        <w:tc>
          <w:tcPr>
            <w:tcW w:w="1145" w:type="dxa"/>
            <w:noWrap w:val="0"/>
            <w:vAlign w:val="center"/>
          </w:tcPr>
          <w:p w14:paraId="120AC2D5">
            <w:pPr>
              <w:ind w:firstLine="480"/>
              <w:jc w:val="center"/>
              <w:rPr>
                <w:rFonts w:hint="eastAsia" w:ascii="仿宋" w:hAnsi="仿宋" w:eastAsia="仿宋" w:cs="仿宋"/>
                <w:color w:val="auto"/>
                <w:highlight w:val="none"/>
              </w:rPr>
            </w:pPr>
          </w:p>
        </w:tc>
        <w:tc>
          <w:tcPr>
            <w:tcW w:w="2500" w:type="dxa"/>
            <w:noWrap w:val="0"/>
            <w:vAlign w:val="center"/>
          </w:tcPr>
          <w:p w14:paraId="009298B6">
            <w:pPr>
              <w:ind w:firstLine="480"/>
              <w:jc w:val="center"/>
              <w:rPr>
                <w:rFonts w:hint="eastAsia" w:ascii="仿宋" w:hAnsi="仿宋" w:eastAsia="仿宋" w:cs="仿宋"/>
                <w:color w:val="auto"/>
                <w:highlight w:val="none"/>
              </w:rPr>
            </w:pPr>
          </w:p>
        </w:tc>
        <w:tc>
          <w:tcPr>
            <w:tcW w:w="2500" w:type="dxa"/>
            <w:noWrap w:val="0"/>
            <w:vAlign w:val="center"/>
          </w:tcPr>
          <w:p w14:paraId="3C1351A5">
            <w:pPr>
              <w:ind w:firstLine="480"/>
              <w:jc w:val="center"/>
              <w:rPr>
                <w:rFonts w:hint="eastAsia" w:ascii="仿宋" w:hAnsi="仿宋" w:eastAsia="仿宋" w:cs="仿宋"/>
                <w:color w:val="auto"/>
                <w:highlight w:val="none"/>
              </w:rPr>
            </w:pPr>
          </w:p>
        </w:tc>
        <w:tc>
          <w:tcPr>
            <w:tcW w:w="1142" w:type="dxa"/>
            <w:noWrap w:val="0"/>
            <w:vAlign w:val="center"/>
          </w:tcPr>
          <w:p w14:paraId="6D802B6F">
            <w:pPr>
              <w:ind w:firstLine="480"/>
              <w:jc w:val="center"/>
              <w:rPr>
                <w:rFonts w:hint="eastAsia" w:ascii="仿宋" w:hAnsi="仿宋" w:eastAsia="仿宋" w:cs="仿宋"/>
                <w:color w:val="auto"/>
                <w:highlight w:val="none"/>
              </w:rPr>
            </w:pPr>
          </w:p>
        </w:tc>
        <w:tc>
          <w:tcPr>
            <w:tcW w:w="880" w:type="dxa"/>
            <w:noWrap w:val="0"/>
            <w:vAlign w:val="center"/>
          </w:tcPr>
          <w:p w14:paraId="5D8097A4">
            <w:pPr>
              <w:ind w:firstLine="480"/>
              <w:jc w:val="center"/>
              <w:rPr>
                <w:rFonts w:hint="eastAsia" w:ascii="仿宋" w:hAnsi="仿宋" w:eastAsia="仿宋" w:cs="仿宋"/>
                <w:color w:val="auto"/>
                <w:highlight w:val="none"/>
              </w:rPr>
            </w:pPr>
          </w:p>
        </w:tc>
      </w:tr>
      <w:tr w14:paraId="1739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2AD8DECA">
            <w:pPr>
              <w:ind w:firstLine="480"/>
              <w:jc w:val="center"/>
              <w:rPr>
                <w:rFonts w:hint="eastAsia" w:ascii="仿宋" w:hAnsi="仿宋" w:eastAsia="仿宋" w:cs="仿宋"/>
                <w:color w:val="auto"/>
                <w:highlight w:val="none"/>
              </w:rPr>
            </w:pPr>
          </w:p>
        </w:tc>
        <w:tc>
          <w:tcPr>
            <w:tcW w:w="1145" w:type="dxa"/>
            <w:noWrap w:val="0"/>
            <w:vAlign w:val="center"/>
          </w:tcPr>
          <w:p w14:paraId="057BAD34">
            <w:pPr>
              <w:ind w:firstLine="480"/>
              <w:jc w:val="center"/>
              <w:rPr>
                <w:rFonts w:hint="eastAsia" w:ascii="仿宋" w:hAnsi="仿宋" w:eastAsia="仿宋" w:cs="仿宋"/>
                <w:color w:val="auto"/>
                <w:highlight w:val="none"/>
              </w:rPr>
            </w:pPr>
          </w:p>
        </w:tc>
        <w:tc>
          <w:tcPr>
            <w:tcW w:w="2500" w:type="dxa"/>
            <w:noWrap w:val="0"/>
            <w:vAlign w:val="center"/>
          </w:tcPr>
          <w:p w14:paraId="2CEB554D">
            <w:pPr>
              <w:ind w:firstLine="480"/>
              <w:jc w:val="center"/>
              <w:rPr>
                <w:rFonts w:hint="eastAsia" w:ascii="仿宋" w:hAnsi="仿宋" w:eastAsia="仿宋" w:cs="仿宋"/>
                <w:color w:val="auto"/>
                <w:highlight w:val="none"/>
              </w:rPr>
            </w:pPr>
          </w:p>
        </w:tc>
        <w:tc>
          <w:tcPr>
            <w:tcW w:w="2500" w:type="dxa"/>
            <w:noWrap w:val="0"/>
            <w:vAlign w:val="center"/>
          </w:tcPr>
          <w:p w14:paraId="6726AC87">
            <w:pPr>
              <w:ind w:firstLine="480"/>
              <w:jc w:val="center"/>
              <w:rPr>
                <w:rFonts w:hint="eastAsia" w:ascii="仿宋" w:hAnsi="仿宋" w:eastAsia="仿宋" w:cs="仿宋"/>
                <w:color w:val="auto"/>
                <w:highlight w:val="none"/>
              </w:rPr>
            </w:pPr>
          </w:p>
        </w:tc>
        <w:tc>
          <w:tcPr>
            <w:tcW w:w="1142" w:type="dxa"/>
            <w:noWrap w:val="0"/>
            <w:vAlign w:val="center"/>
          </w:tcPr>
          <w:p w14:paraId="43EAB650">
            <w:pPr>
              <w:ind w:firstLine="480"/>
              <w:jc w:val="center"/>
              <w:rPr>
                <w:rFonts w:hint="eastAsia" w:ascii="仿宋" w:hAnsi="仿宋" w:eastAsia="仿宋" w:cs="仿宋"/>
                <w:color w:val="auto"/>
                <w:highlight w:val="none"/>
              </w:rPr>
            </w:pPr>
          </w:p>
        </w:tc>
        <w:tc>
          <w:tcPr>
            <w:tcW w:w="880" w:type="dxa"/>
            <w:noWrap w:val="0"/>
            <w:vAlign w:val="center"/>
          </w:tcPr>
          <w:p w14:paraId="184214B2">
            <w:pPr>
              <w:ind w:firstLine="480"/>
              <w:jc w:val="center"/>
              <w:rPr>
                <w:rFonts w:hint="eastAsia" w:ascii="仿宋" w:hAnsi="仿宋" w:eastAsia="仿宋" w:cs="仿宋"/>
                <w:color w:val="auto"/>
                <w:highlight w:val="none"/>
              </w:rPr>
            </w:pPr>
          </w:p>
        </w:tc>
      </w:tr>
    </w:tbl>
    <w:p w14:paraId="04A243AC">
      <w:pPr>
        <w:spacing w:before="156" w:beforeLines="50" w:after="156" w:afterLines="5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注：1、投标人应已完成的类似项目情况填入本表中。</w:t>
      </w:r>
    </w:p>
    <w:p w14:paraId="0A9EEB73">
      <w:pPr>
        <w:spacing w:before="156" w:beforeLines="50" w:after="156" w:afterLines="5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2、项目概况包括：项目名称、项目规模、金额、服务期限、负责人。</w:t>
      </w:r>
    </w:p>
    <w:p w14:paraId="73D040D9">
      <w:pPr>
        <w:spacing w:before="156" w:beforeLines="50" w:after="156" w:afterLines="5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3、投标人应在本表后附所填项目的中标通知书或合同协议。</w:t>
      </w:r>
    </w:p>
    <w:p w14:paraId="012328DA">
      <w:pPr>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30"/>
          <w:szCs w:val="30"/>
          <w:highlight w:val="none"/>
        </w:rPr>
        <w:br w:type="page"/>
      </w:r>
      <w:r>
        <w:rPr>
          <w:rFonts w:hint="eastAsia" w:ascii="仿宋" w:hAnsi="仿宋" w:eastAsia="仿宋" w:cs="仿宋"/>
          <w:b/>
          <w:bCs/>
          <w:color w:val="auto"/>
          <w:kern w:val="0"/>
          <w:sz w:val="28"/>
          <w:szCs w:val="28"/>
          <w:highlight w:val="none"/>
        </w:rPr>
        <w:t>(三)投标人正在承担的类似项目情况</w:t>
      </w:r>
    </w:p>
    <w:p w14:paraId="37385E3A">
      <w:pPr>
        <w:rPr>
          <w:rFonts w:hint="eastAsia" w:ascii="仿宋" w:hAnsi="仿宋" w:eastAsia="仿宋" w:cs="仿宋"/>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42"/>
        <w:gridCol w:w="2495"/>
        <w:gridCol w:w="2050"/>
        <w:gridCol w:w="1585"/>
        <w:gridCol w:w="879"/>
      </w:tblGrid>
      <w:tr w14:paraId="5829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center"/>
          </w:tcPr>
          <w:p w14:paraId="1006610D">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1142" w:type="dxa"/>
            <w:noWrap w:val="0"/>
            <w:vAlign w:val="center"/>
          </w:tcPr>
          <w:p w14:paraId="726559E8">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起止</w:t>
            </w:r>
          </w:p>
          <w:p w14:paraId="50FC9A3B">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时间</w:t>
            </w:r>
          </w:p>
        </w:tc>
        <w:tc>
          <w:tcPr>
            <w:tcW w:w="2495" w:type="dxa"/>
            <w:noWrap w:val="0"/>
            <w:vAlign w:val="center"/>
          </w:tcPr>
          <w:p w14:paraId="65C75FF1">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项目概况</w:t>
            </w:r>
          </w:p>
        </w:tc>
        <w:tc>
          <w:tcPr>
            <w:tcW w:w="2050" w:type="dxa"/>
            <w:noWrap w:val="0"/>
            <w:vAlign w:val="center"/>
          </w:tcPr>
          <w:p w14:paraId="4763E387">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业主单位</w:t>
            </w:r>
          </w:p>
        </w:tc>
        <w:tc>
          <w:tcPr>
            <w:tcW w:w="1585" w:type="dxa"/>
            <w:noWrap w:val="0"/>
            <w:vAlign w:val="center"/>
          </w:tcPr>
          <w:p w14:paraId="1508C1AE">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完成</w:t>
            </w:r>
          </w:p>
          <w:p w14:paraId="4473FEB8">
            <w:pP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情况</w:t>
            </w:r>
          </w:p>
        </w:tc>
        <w:tc>
          <w:tcPr>
            <w:tcW w:w="879" w:type="dxa"/>
            <w:noWrap w:val="0"/>
            <w:vAlign w:val="center"/>
          </w:tcPr>
          <w:p w14:paraId="22065AF0">
            <w:pPr>
              <w:jc w:val="center"/>
              <w:rPr>
                <w:rFonts w:hint="eastAsia" w:ascii="仿宋" w:hAnsi="仿宋" w:eastAsia="仿宋" w:cs="仿宋"/>
                <w:color w:val="auto"/>
                <w:highlight w:val="none"/>
              </w:rPr>
            </w:pPr>
            <w:r>
              <w:rPr>
                <w:rFonts w:hint="eastAsia" w:ascii="仿宋" w:hAnsi="仿宋" w:eastAsia="仿宋" w:cs="仿宋"/>
                <w:color w:val="auto"/>
                <w:kern w:val="0"/>
                <w:highlight w:val="none"/>
              </w:rPr>
              <w:t>备注</w:t>
            </w: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14:paraId="6A9FAB12">
            <w:pPr>
              <w:ind w:firstLine="480"/>
              <w:jc w:val="center"/>
              <w:rPr>
                <w:rFonts w:hint="eastAsia" w:ascii="仿宋" w:hAnsi="仿宋" w:eastAsia="仿宋" w:cs="仿宋"/>
                <w:color w:val="auto"/>
                <w:highlight w:val="none"/>
              </w:rPr>
            </w:pPr>
          </w:p>
        </w:tc>
        <w:tc>
          <w:tcPr>
            <w:tcW w:w="1142" w:type="dxa"/>
            <w:noWrap w:val="0"/>
            <w:vAlign w:val="center"/>
          </w:tcPr>
          <w:p w14:paraId="05377382">
            <w:pPr>
              <w:ind w:firstLine="480"/>
              <w:jc w:val="center"/>
              <w:rPr>
                <w:rFonts w:hint="eastAsia" w:ascii="仿宋" w:hAnsi="仿宋" w:eastAsia="仿宋" w:cs="仿宋"/>
                <w:color w:val="auto"/>
                <w:highlight w:val="none"/>
              </w:rPr>
            </w:pPr>
          </w:p>
        </w:tc>
        <w:tc>
          <w:tcPr>
            <w:tcW w:w="2495" w:type="dxa"/>
            <w:noWrap w:val="0"/>
            <w:vAlign w:val="center"/>
          </w:tcPr>
          <w:p w14:paraId="6D402DD3">
            <w:pPr>
              <w:ind w:firstLine="480"/>
              <w:jc w:val="center"/>
              <w:rPr>
                <w:rFonts w:hint="eastAsia" w:ascii="仿宋" w:hAnsi="仿宋" w:eastAsia="仿宋" w:cs="仿宋"/>
                <w:color w:val="auto"/>
                <w:highlight w:val="none"/>
              </w:rPr>
            </w:pPr>
          </w:p>
        </w:tc>
        <w:tc>
          <w:tcPr>
            <w:tcW w:w="2050" w:type="dxa"/>
            <w:noWrap w:val="0"/>
            <w:vAlign w:val="center"/>
          </w:tcPr>
          <w:p w14:paraId="66E614E5">
            <w:pPr>
              <w:ind w:firstLine="480"/>
              <w:jc w:val="center"/>
              <w:rPr>
                <w:rFonts w:hint="eastAsia" w:ascii="仿宋" w:hAnsi="仿宋" w:eastAsia="仿宋" w:cs="仿宋"/>
                <w:color w:val="auto"/>
                <w:highlight w:val="none"/>
              </w:rPr>
            </w:pPr>
          </w:p>
        </w:tc>
        <w:tc>
          <w:tcPr>
            <w:tcW w:w="1585" w:type="dxa"/>
            <w:noWrap w:val="0"/>
            <w:vAlign w:val="center"/>
          </w:tcPr>
          <w:p w14:paraId="2EA45A05">
            <w:pPr>
              <w:ind w:firstLine="480"/>
              <w:jc w:val="center"/>
              <w:rPr>
                <w:rFonts w:hint="eastAsia" w:ascii="仿宋" w:hAnsi="仿宋" w:eastAsia="仿宋" w:cs="仿宋"/>
                <w:color w:val="auto"/>
                <w:highlight w:val="none"/>
              </w:rPr>
            </w:pPr>
          </w:p>
        </w:tc>
        <w:tc>
          <w:tcPr>
            <w:tcW w:w="879" w:type="dxa"/>
            <w:noWrap w:val="0"/>
            <w:vAlign w:val="center"/>
          </w:tcPr>
          <w:p w14:paraId="3EA65904">
            <w:pPr>
              <w:ind w:firstLine="480"/>
              <w:jc w:val="center"/>
              <w:rPr>
                <w:rFonts w:hint="eastAsia" w:ascii="仿宋" w:hAnsi="仿宋" w:eastAsia="仿宋" w:cs="仿宋"/>
                <w:color w:val="auto"/>
                <w:highlight w:val="none"/>
              </w:rPr>
            </w:pPr>
          </w:p>
        </w:tc>
      </w:tr>
      <w:tr w14:paraId="0206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top"/>
          </w:tcPr>
          <w:p w14:paraId="7CD98570">
            <w:pPr>
              <w:ind w:firstLine="480"/>
              <w:jc w:val="center"/>
              <w:rPr>
                <w:rFonts w:hint="eastAsia" w:ascii="仿宋" w:hAnsi="仿宋" w:eastAsia="仿宋" w:cs="仿宋"/>
                <w:color w:val="auto"/>
                <w:highlight w:val="none"/>
              </w:rPr>
            </w:pPr>
          </w:p>
        </w:tc>
        <w:tc>
          <w:tcPr>
            <w:tcW w:w="1142" w:type="dxa"/>
            <w:noWrap w:val="0"/>
            <w:vAlign w:val="center"/>
          </w:tcPr>
          <w:p w14:paraId="013D9178">
            <w:pPr>
              <w:ind w:firstLine="480"/>
              <w:jc w:val="center"/>
              <w:rPr>
                <w:rFonts w:hint="eastAsia" w:ascii="仿宋" w:hAnsi="仿宋" w:eastAsia="仿宋" w:cs="仿宋"/>
                <w:color w:val="auto"/>
                <w:highlight w:val="none"/>
              </w:rPr>
            </w:pPr>
          </w:p>
        </w:tc>
        <w:tc>
          <w:tcPr>
            <w:tcW w:w="2495" w:type="dxa"/>
            <w:noWrap w:val="0"/>
            <w:vAlign w:val="center"/>
          </w:tcPr>
          <w:p w14:paraId="1652D792">
            <w:pPr>
              <w:ind w:firstLine="480"/>
              <w:jc w:val="center"/>
              <w:rPr>
                <w:rFonts w:hint="eastAsia" w:ascii="仿宋" w:hAnsi="仿宋" w:eastAsia="仿宋" w:cs="仿宋"/>
                <w:color w:val="auto"/>
                <w:highlight w:val="none"/>
              </w:rPr>
            </w:pPr>
          </w:p>
        </w:tc>
        <w:tc>
          <w:tcPr>
            <w:tcW w:w="2050" w:type="dxa"/>
            <w:noWrap w:val="0"/>
            <w:vAlign w:val="center"/>
          </w:tcPr>
          <w:p w14:paraId="535A130E">
            <w:pPr>
              <w:ind w:firstLine="480"/>
              <w:jc w:val="center"/>
              <w:rPr>
                <w:rFonts w:hint="eastAsia" w:ascii="仿宋" w:hAnsi="仿宋" w:eastAsia="仿宋" w:cs="仿宋"/>
                <w:color w:val="auto"/>
                <w:highlight w:val="none"/>
              </w:rPr>
            </w:pPr>
          </w:p>
        </w:tc>
        <w:tc>
          <w:tcPr>
            <w:tcW w:w="1585" w:type="dxa"/>
            <w:noWrap w:val="0"/>
            <w:vAlign w:val="center"/>
          </w:tcPr>
          <w:p w14:paraId="541B6DF1">
            <w:pPr>
              <w:ind w:firstLine="480"/>
              <w:jc w:val="center"/>
              <w:rPr>
                <w:rFonts w:hint="eastAsia" w:ascii="仿宋" w:hAnsi="仿宋" w:eastAsia="仿宋" w:cs="仿宋"/>
                <w:color w:val="auto"/>
                <w:highlight w:val="none"/>
              </w:rPr>
            </w:pPr>
          </w:p>
        </w:tc>
        <w:tc>
          <w:tcPr>
            <w:tcW w:w="879" w:type="dxa"/>
            <w:noWrap w:val="0"/>
            <w:vAlign w:val="center"/>
          </w:tcPr>
          <w:p w14:paraId="474A231F">
            <w:pPr>
              <w:ind w:firstLine="480"/>
              <w:jc w:val="center"/>
              <w:rPr>
                <w:rFonts w:hint="eastAsia" w:ascii="仿宋" w:hAnsi="仿宋" w:eastAsia="仿宋" w:cs="仿宋"/>
                <w:color w:val="auto"/>
                <w:highlight w:val="none"/>
              </w:rPr>
            </w:pPr>
          </w:p>
        </w:tc>
      </w:tr>
      <w:tr w14:paraId="71A5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14:paraId="73FEF1B3">
            <w:pPr>
              <w:ind w:firstLine="480"/>
              <w:jc w:val="center"/>
              <w:rPr>
                <w:rFonts w:hint="eastAsia" w:ascii="仿宋" w:hAnsi="仿宋" w:eastAsia="仿宋" w:cs="仿宋"/>
                <w:color w:val="auto"/>
                <w:highlight w:val="none"/>
              </w:rPr>
            </w:pPr>
          </w:p>
        </w:tc>
        <w:tc>
          <w:tcPr>
            <w:tcW w:w="1142" w:type="dxa"/>
            <w:noWrap w:val="0"/>
            <w:vAlign w:val="center"/>
          </w:tcPr>
          <w:p w14:paraId="2A6EB54A">
            <w:pPr>
              <w:ind w:firstLine="480"/>
              <w:jc w:val="center"/>
              <w:rPr>
                <w:rFonts w:hint="eastAsia" w:ascii="仿宋" w:hAnsi="仿宋" w:eastAsia="仿宋" w:cs="仿宋"/>
                <w:color w:val="auto"/>
                <w:highlight w:val="none"/>
              </w:rPr>
            </w:pPr>
          </w:p>
        </w:tc>
        <w:tc>
          <w:tcPr>
            <w:tcW w:w="2495" w:type="dxa"/>
            <w:noWrap w:val="0"/>
            <w:vAlign w:val="center"/>
          </w:tcPr>
          <w:p w14:paraId="141CF976">
            <w:pPr>
              <w:ind w:firstLine="480"/>
              <w:jc w:val="center"/>
              <w:rPr>
                <w:rFonts w:hint="eastAsia" w:ascii="仿宋" w:hAnsi="仿宋" w:eastAsia="仿宋" w:cs="仿宋"/>
                <w:color w:val="auto"/>
                <w:highlight w:val="none"/>
              </w:rPr>
            </w:pPr>
          </w:p>
        </w:tc>
        <w:tc>
          <w:tcPr>
            <w:tcW w:w="2050" w:type="dxa"/>
            <w:noWrap w:val="0"/>
            <w:vAlign w:val="center"/>
          </w:tcPr>
          <w:p w14:paraId="51F2A759">
            <w:pPr>
              <w:ind w:firstLine="480"/>
              <w:jc w:val="center"/>
              <w:rPr>
                <w:rFonts w:hint="eastAsia" w:ascii="仿宋" w:hAnsi="仿宋" w:eastAsia="仿宋" w:cs="仿宋"/>
                <w:color w:val="auto"/>
                <w:highlight w:val="none"/>
              </w:rPr>
            </w:pPr>
          </w:p>
        </w:tc>
        <w:tc>
          <w:tcPr>
            <w:tcW w:w="1585" w:type="dxa"/>
            <w:noWrap w:val="0"/>
            <w:vAlign w:val="center"/>
          </w:tcPr>
          <w:p w14:paraId="278F8498">
            <w:pPr>
              <w:ind w:firstLine="480"/>
              <w:jc w:val="center"/>
              <w:rPr>
                <w:rFonts w:hint="eastAsia" w:ascii="仿宋" w:hAnsi="仿宋" w:eastAsia="仿宋" w:cs="仿宋"/>
                <w:color w:val="auto"/>
                <w:highlight w:val="none"/>
              </w:rPr>
            </w:pPr>
          </w:p>
        </w:tc>
        <w:tc>
          <w:tcPr>
            <w:tcW w:w="879" w:type="dxa"/>
            <w:noWrap w:val="0"/>
            <w:vAlign w:val="center"/>
          </w:tcPr>
          <w:p w14:paraId="54EC1744">
            <w:pPr>
              <w:ind w:firstLine="480"/>
              <w:jc w:val="center"/>
              <w:rPr>
                <w:rFonts w:hint="eastAsia" w:ascii="仿宋" w:hAnsi="仿宋" w:eastAsia="仿宋" w:cs="仿宋"/>
                <w:color w:val="auto"/>
                <w:highlight w:val="none"/>
              </w:rPr>
            </w:pPr>
          </w:p>
        </w:tc>
      </w:tr>
      <w:tr w14:paraId="479C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35" w:type="dxa"/>
            <w:noWrap w:val="0"/>
            <w:vAlign w:val="top"/>
          </w:tcPr>
          <w:p w14:paraId="3ABF3D34">
            <w:pPr>
              <w:ind w:firstLine="480"/>
              <w:jc w:val="center"/>
              <w:rPr>
                <w:rFonts w:hint="eastAsia" w:ascii="仿宋" w:hAnsi="仿宋" w:eastAsia="仿宋" w:cs="仿宋"/>
                <w:color w:val="auto"/>
                <w:highlight w:val="none"/>
              </w:rPr>
            </w:pPr>
          </w:p>
        </w:tc>
        <w:tc>
          <w:tcPr>
            <w:tcW w:w="1142" w:type="dxa"/>
            <w:noWrap w:val="0"/>
            <w:vAlign w:val="center"/>
          </w:tcPr>
          <w:p w14:paraId="5332C55D">
            <w:pPr>
              <w:ind w:firstLine="480"/>
              <w:jc w:val="center"/>
              <w:rPr>
                <w:rFonts w:hint="eastAsia" w:ascii="仿宋" w:hAnsi="仿宋" w:eastAsia="仿宋" w:cs="仿宋"/>
                <w:color w:val="auto"/>
                <w:highlight w:val="none"/>
              </w:rPr>
            </w:pPr>
          </w:p>
        </w:tc>
        <w:tc>
          <w:tcPr>
            <w:tcW w:w="2495" w:type="dxa"/>
            <w:noWrap w:val="0"/>
            <w:vAlign w:val="center"/>
          </w:tcPr>
          <w:p w14:paraId="56FADC1A">
            <w:pPr>
              <w:ind w:firstLine="480"/>
              <w:jc w:val="center"/>
              <w:rPr>
                <w:rFonts w:hint="eastAsia" w:ascii="仿宋" w:hAnsi="仿宋" w:eastAsia="仿宋" w:cs="仿宋"/>
                <w:color w:val="auto"/>
                <w:highlight w:val="none"/>
              </w:rPr>
            </w:pPr>
          </w:p>
        </w:tc>
        <w:tc>
          <w:tcPr>
            <w:tcW w:w="2050" w:type="dxa"/>
            <w:noWrap w:val="0"/>
            <w:vAlign w:val="center"/>
          </w:tcPr>
          <w:p w14:paraId="6C8AB594">
            <w:pPr>
              <w:ind w:firstLine="480"/>
              <w:jc w:val="center"/>
              <w:rPr>
                <w:rFonts w:hint="eastAsia" w:ascii="仿宋" w:hAnsi="仿宋" w:eastAsia="仿宋" w:cs="仿宋"/>
                <w:color w:val="auto"/>
                <w:highlight w:val="none"/>
              </w:rPr>
            </w:pPr>
          </w:p>
        </w:tc>
        <w:tc>
          <w:tcPr>
            <w:tcW w:w="1585" w:type="dxa"/>
            <w:noWrap w:val="0"/>
            <w:vAlign w:val="center"/>
          </w:tcPr>
          <w:p w14:paraId="02FDA19B">
            <w:pPr>
              <w:ind w:firstLine="480"/>
              <w:jc w:val="center"/>
              <w:rPr>
                <w:rFonts w:hint="eastAsia" w:ascii="仿宋" w:hAnsi="仿宋" w:eastAsia="仿宋" w:cs="仿宋"/>
                <w:color w:val="auto"/>
                <w:highlight w:val="none"/>
              </w:rPr>
            </w:pPr>
          </w:p>
        </w:tc>
        <w:tc>
          <w:tcPr>
            <w:tcW w:w="879" w:type="dxa"/>
            <w:noWrap w:val="0"/>
            <w:vAlign w:val="center"/>
          </w:tcPr>
          <w:p w14:paraId="48D848D3">
            <w:pPr>
              <w:ind w:firstLine="480"/>
              <w:jc w:val="center"/>
              <w:rPr>
                <w:rFonts w:hint="eastAsia" w:ascii="仿宋" w:hAnsi="仿宋" w:eastAsia="仿宋" w:cs="仿宋"/>
                <w:color w:val="auto"/>
                <w:highlight w:val="none"/>
              </w:rPr>
            </w:pPr>
          </w:p>
        </w:tc>
      </w:tr>
      <w:tr w14:paraId="04EB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14:paraId="3E42775E">
            <w:pPr>
              <w:ind w:firstLine="480"/>
              <w:jc w:val="center"/>
              <w:rPr>
                <w:rFonts w:hint="eastAsia" w:ascii="仿宋" w:hAnsi="仿宋" w:eastAsia="仿宋" w:cs="仿宋"/>
                <w:color w:val="auto"/>
                <w:highlight w:val="none"/>
              </w:rPr>
            </w:pPr>
          </w:p>
        </w:tc>
        <w:tc>
          <w:tcPr>
            <w:tcW w:w="1142" w:type="dxa"/>
            <w:noWrap w:val="0"/>
            <w:vAlign w:val="center"/>
          </w:tcPr>
          <w:p w14:paraId="6D8F2A32">
            <w:pPr>
              <w:ind w:firstLine="480"/>
              <w:jc w:val="center"/>
              <w:rPr>
                <w:rFonts w:hint="eastAsia" w:ascii="仿宋" w:hAnsi="仿宋" w:eastAsia="仿宋" w:cs="仿宋"/>
                <w:color w:val="auto"/>
                <w:highlight w:val="none"/>
              </w:rPr>
            </w:pPr>
          </w:p>
        </w:tc>
        <w:tc>
          <w:tcPr>
            <w:tcW w:w="2495" w:type="dxa"/>
            <w:noWrap w:val="0"/>
            <w:vAlign w:val="center"/>
          </w:tcPr>
          <w:p w14:paraId="457A965B">
            <w:pPr>
              <w:ind w:firstLine="480"/>
              <w:jc w:val="center"/>
              <w:rPr>
                <w:rFonts w:hint="eastAsia" w:ascii="仿宋" w:hAnsi="仿宋" w:eastAsia="仿宋" w:cs="仿宋"/>
                <w:color w:val="auto"/>
                <w:highlight w:val="none"/>
              </w:rPr>
            </w:pPr>
          </w:p>
        </w:tc>
        <w:tc>
          <w:tcPr>
            <w:tcW w:w="2050" w:type="dxa"/>
            <w:noWrap w:val="0"/>
            <w:vAlign w:val="center"/>
          </w:tcPr>
          <w:p w14:paraId="286CD378">
            <w:pPr>
              <w:ind w:firstLine="480"/>
              <w:jc w:val="center"/>
              <w:rPr>
                <w:rFonts w:hint="eastAsia" w:ascii="仿宋" w:hAnsi="仿宋" w:eastAsia="仿宋" w:cs="仿宋"/>
                <w:color w:val="auto"/>
                <w:highlight w:val="none"/>
              </w:rPr>
            </w:pPr>
          </w:p>
        </w:tc>
        <w:tc>
          <w:tcPr>
            <w:tcW w:w="1585" w:type="dxa"/>
            <w:noWrap w:val="0"/>
            <w:vAlign w:val="center"/>
          </w:tcPr>
          <w:p w14:paraId="5840254E">
            <w:pPr>
              <w:ind w:firstLine="480"/>
              <w:jc w:val="center"/>
              <w:rPr>
                <w:rFonts w:hint="eastAsia" w:ascii="仿宋" w:hAnsi="仿宋" w:eastAsia="仿宋" w:cs="仿宋"/>
                <w:color w:val="auto"/>
                <w:highlight w:val="none"/>
              </w:rPr>
            </w:pPr>
          </w:p>
        </w:tc>
        <w:tc>
          <w:tcPr>
            <w:tcW w:w="879" w:type="dxa"/>
            <w:noWrap w:val="0"/>
            <w:vAlign w:val="center"/>
          </w:tcPr>
          <w:p w14:paraId="3B2F8530">
            <w:pPr>
              <w:ind w:firstLine="480"/>
              <w:jc w:val="center"/>
              <w:rPr>
                <w:rFonts w:hint="eastAsia" w:ascii="仿宋" w:hAnsi="仿宋" w:eastAsia="仿宋" w:cs="仿宋"/>
                <w:color w:val="auto"/>
                <w:highlight w:val="none"/>
              </w:rPr>
            </w:pPr>
          </w:p>
        </w:tc>
      </w:tr>
      <w:tr w14:paraId="228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35" w:type="dxa"/>
            <w:noWrap w:val="0"/>
            <w:vAlign w:val="top"/>
          </w:tcPr>
          <w:p w14:paraId="0F71DEAB">
            <w:pPr>
              <w:ind w:firstLine="480"/>
              <w:jc w:val="center"/>
              <w:rPr>
                <w:rFonts w:hint="eastAsia" w:ascii="仿宋" w:hAnsi="仿宋" w:eastAsia="仿宋" w:cs="仿宋"/>
                <w:color w:val="auto"/>
                <w:highlight w:val="none"/>
              </w:rPr>
            </w:pPr>
          </w:p>
        </w:tc>
        <w:tc>
          <w:tcPr>
            <w:tcW w:w="1142" w:type="dxa"/>
            <w:noWrap w:val="0"/>
            <w:vAlign w:val="center"/>
          </w:tcPr>
          <w:p w14:paraId="69839D75">
            <w:pPr>
              <w:ind w:firstLine="480"/>
              <w:jc w:val="center"/>
              <w:rPr>
                <w:rFonts w:hint="eastAsia" w:ascii="仿宋" w:hAnsi="仿宋" w:eastAsia="仿宋" w:cs="仿宋"/>
                <w:color w:val="auto"/>
                <w:highlight w:val="none"/>
              </w:rPr>
            </w:pPr>
          </w:p>
        </w:tc>
        <w:tc>
          <w:tcPr>
            <w:tcW w:w="2495" w:type="dxa"/>
            <w:noWrap w:val="0"/>
            <w:vAlign w:val="center"/>
          </w:tcPr>
          <w:p w14:paraId="0909F87E">
            <w:pPr>
              <w:ind w:firstLine="480"/>
              <w:jc w:val="center"/>
              <w:rPr>
                <w:rFonts w:hint="eastAsia" w:ascii="仿宋" w:hAnsi="仿宋" w:eastAsia="仿宋" w:cs="仿宋"/>
                <w:color w:val="auto"/>
                <w:highlight w:val="none"/>
              </w:rPr>
            </w:pPr>
          </w:p>
        </w:tc>
        <w:tc>
          <w:tcPr>
            <w:tcW w:w="2050" w:type="dxa"/>
            <w:noWrap w:val="0"/>
            <w:vAlign w:val="center"/>
          </w:tcPr>
          <w:p w14:paraId="62B8E9CE">
            <w:pPr>
              <w:ind w:firstLine="480"/>
              <w:jc w:val="center"/>
              <w:rPr>
                <w:rFonts w:hint="eastAsia" w:ascii="仿宋" w:hAnsi="仿宋" w:eastAsia="仿宋" w:cs="仿宋"/>
                <w:color w:val="auto"/>
                <w:highlight w:val="none"/>
              </w:rPr>
            </w:pPr>
          </w:p>
        </w:tc>
        <w:tc>
          <w:tcPr>
            <w:tcW w:w="1585" w:type="dxa"/>
            <w:noWrap w:val="0"/>
            <w:vAlign w:val="center"/>
          </w:tcPr>
          <w:p w14:paraId="1375BDF5">
            <w:pPr>
              <w:ind w:firstLine="480"/>
              <w:jc w:val="center"/>
              <w:rPr>
                <w:rFonts w:hint="eastAsia" w:ascii="仿宋" w:hAnsi="仿宋" w:eastAsia="仿宋" w:cs="仿宋"/>
                <w:color w:val="auto"/>
                <w:highlight w:val="none"/>
              </w:rPr>
            </w:pPr>
          </w:p>
        </w:tc>
        <w:tc>
          <w:tcPr>
            <w:tcW w:w="879" w:type="dxa"/>
            <w:noWrap w:val="0"/>
            <w:vAlign w:val="center"/>
          </w:tcPr>
          <w:p w14:paraId="2C2A8BEA">
            <w:pPr>
              <w:ind w:firstLine="480"/>
              <w:jc w:val="center"/>
              <w:rPr>
                <w:rFonts w:hint="eastAsia" w:ascii="仿宋" w:hAnsi="仿宋" w:eastAsia="仿宋" w:cs="仿宋"/>
                <w:color w:val="auto"/>
                <w:highlight w:val="none"/>
              </w:rPr>
            </w:pPr>
          </w:p>
        </w:tc>
      </w:tr>
    </w:tbl>
    <w:p w14:paraId="2F600415">
      <w:pPr>
        <w:spacing w:before="156" w:beforeLines="50" w:after="156" w:afterLines="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注：1、投标人应如实将已中标还未签订合同（包括已签订合同但尚未开始）的主要项目情况填入本表中。</w:t>
      </w:r>
    </w:p>
    <w:p w14:paraId="00D528A2">
      <w:pPr>
        <w:spacing w:before="156" w:beforeLines="50" w:after="156" w:afterLines="5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2、项目概况包括：项目名称、项目规模、金额、服务期限、负责人。</w:t>
      </w:r>
    </w:p>
    <w:p w14:paraId="4509D719">
      <w:pPr>
        <w:ind w:right="-417" w:rightChars="-199" w:firstLine="435"/>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3、投标人应在本表后附所填项目的中标通知书或合同协议。</w:t>
      </w:r>
    </w:p>
    <w:p w14:paraId="7BFB3FB1">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rPr>
        <w:br w:type="page"/>
      </w:r>
      <w:r>
        <w:rPr>
          <w:rFonts w:hint="eastAsia" w:ascii="仿宋" w:hAnsi="仿宋" w:eastAsia="仿宋" w:cs="仿宋"/>
          <w:b/>
          <w:bCs/>
          <w:color w:val="auto"/>
          <w:kern w:val="0"/>
          <w:sz w:val="28"/>
          <w:szCs w:val="28"/>
          <w:highlight w:val="none"/>
        </w:rPr>
        <w:t>(四)</w:t>
      </w:r>
      <w:r>
        <w:rPr>
          <w:rFonts w:hint="eastAsia" w:ascii="仿宋" w:hAnsi="仿宋" w:eastAsia="仿宋" w:cs="仿宋"/>
          <w:b/>
          <w:bCs/>
          <w:color w:val="auto"/>
          <w:sz w:val="28"/>
          <w:szCs w:val="28"/>
          <w:highlight w:val="none"/>
          <w:lang w:val="en-US" w:eastAsia="zh-CN"/>
        </w:rPr>
        <w:t>资格条件承诺函</w:t>
      </w:r>
    </w:p>
    <w:p w14:paraId="0C889BA8">
      <w:pPr>
        <w:keepNext w:val="0"/>
        <w:keepLines w:val="0"/>
        <w:widowControl/>
        <w:suppressLineNumbers w:val="0"/>
        <w:jc w:val="left"/>
        <w:rPr>
          <w:rFonts w:hint="eastAsia" w:ascii="仿宋" w:hAnsi="仿宋" w:eastAsia="仿宋" w:cs="仿宋"/>
          <w:color w:val="auto"/>
          <w:kern w:val="0"/>
          <w:sz w:val="31"/>
          <w:szCs w:val="31"/>
          <w:highlight w:val="none"/>
          <w:lang w:val="en-US" w:eastAsia="zh-CN" w:bidi="ar"/>
        </w:rPr>
      </w:pPr>
    </w:p>
    <w:p w14:paraId="589EBA9B">
      <w:pPr>
        <w:keepNext w:val="0"/>
        <w:keepLines w:val="0"/>
        <w:widowControl/>
        <w:suppressLineNumbers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致： （采购人、采购代理机构） ： </w:t>
      </w:r>
    </w:p>
    <w:p w14:paraId="66E5C985">
      <w:pPr>
        <w:keepNext w:val="0"/>
        <w:keepLines w:val="0"/>
        <w:widowControl/>
        <w:suppressLineNumbers w:val="0"/>
        <w:spacing w:line="360" w:lineRule="auto"/>
        <w:jc w:val="left"/>
        <w:rPr>
          <w:rFonts w:hint="eastAsia" w:ascii="仿宋" w:hAnsi="仿宋" w:eastAsia="仿宋" w:cs="仿宋"/>
          <w:color w:val="auto"/>
          <w:kern w:val="0"/>
          <w:sz w:val="21"/>
          <w:szCs w:val="21"/>
          <w:highlight w:val="none"/>
          <w:lang w:val="en-US" w:eastAsia="zh-CN" w:bidi="ar"/>
        </w:rPr>
      </w:pPr>
    </w:p>
    <w:p w14:paraId="4DCEAFCC">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我单位（公司）参与 （采购项目名称 项目编号）采购项目的政府采购活动，现承诺如下： </w:t>
      </w:r>
    </w:p>
    <w:p w14:paraId="19FD5356">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1. 具有良好的商业信誉和健全的财务会计制度； </w:t>
      </w:r>
    </w:p>
    <w:p w14:paraId="22F68AFA">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2. 具有依法缴纳税收的良好记录； </w:t>
      </w:r>
    </w:p>
    <w:p w14:paraId="0145150D">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3.具有依法缴纳社会保障金的良好记录。 </w:t>
      </w:r>
    </w:p>
    <w:p w14:paraId="37E196D2">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4E2F2866">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我单位（公司）对上述承诺的真实性负责。如有虚假，将依法承担相应责任。 </w:t>
      </w:r>
    </w:p>
    <w:p w14:paraId="166C104D">
      <w:pPr>
        <w:keepNext w:val="0"/>
        <w:keepLines w:val="0"/>
        <w:widowControl/>
        <w:suppressLineNumbers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特此承诺。 </w:t>
      </w:r>
    </w:p>
    <w:p w14:paraId="47E94BC7">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kern w:val="0"/>
          <w:sz w:val="21"/>
          <w:szCs w:val="21"/>
          <w:highlight w:val="none"/>
          <w:lang w:val="en-US" w:eastAsia="zh-CN" w:bidi="ar"/>
        </w:rPr>
      </w:pPr>
    </w:p>
    <w:p w14:paraId="1DD89E4D">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kern w:val="0"/>
          <w:sz w:val="21"/>
          <w:szCs w:val="21"/>
          <w:highlight w:val="none"/>
          <w:lang w:val="en-US" w:eastAsia="zh-CN" w:bidi="ar"/>
        </w:rPr>
      </w:pPr>
    </w:p>
    <w:p w14:paraId="2400550F">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kern w:val="0"/>
          <w:sz w:val="21"/>
          <w:szCs w:val="21"/>
          <w:highlight w:val="none"/>
          <w:lang w:val="en-US" w:eastAsia="zh-CN" w:bidi="ar"/>
        </w:rPr>
      </w:pPr>
    </w:p>
    <w:p w14:paraId="59E16D5E">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kern w:val="0"/>
          <w:sz w:val="21"/>
          <w:szCs w:val="21"/>
          <w:highlight w:val="none"/>
          <w:lang w:val="en-US" w:eastAsia="zh-CN" w:bidi="ar"/>
        </w:rPr>
      </w:pPr>
    </w:p>
    <w:p w14:paraId="15807323">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盖章： </w:t>
      </w:r>
    </w:p>
    <w:p w14:paraId="42264411">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签字： </w:t>
      </w:r>
    </w:p>
    <w:p w14:paraId="1DAB808E">
      <w:pPr>
        <w:keepNext w:val="0"/>
        <w:keepLines w:val="0"/>
        <w:pageBreakBefore w:val="0"/>
        <w:kinsoku/>
        <w:wordWrap/>
        <w:overflowPunct/>
        <w:topLinePunct w:val="0"/>
        <w:autoSpaceDE/>
        <w:autoSpaceDN/>
        <w:bidi w:val="0"/>
        <w:adjustRightInd/>
        <w:snapToGrid/>
        <w:spacing w:line="360" w:lineRule="auto"/>
        <w:ind w:firstLine="4200" w:firstLineChars="2000"/>
        <w:jc w:val="both"/>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1"/>
          <w:szCs w:val="21"/>
          <w:highlight w:val="none"/>
          <w:lang w:val="en-US" w:eastAsia="zh-CN" w:bidi="ar"/>
        </w:rPr>
        <w:t>日期：</w:t>
      </w:r>
    </w:p>
    <w:p w14:paraId="689EEF99">
      <w:pPr>
        <w:topLinePunct/>
        <w:spacing w:line="440" w:lineRule="exact"/>
        <w:rPr>
          <w:rFonts w:hint="eastAsia" w:ascii="仿宋" w:hAnsi="仿宋" w:eastAsia="仿宋" w:cs="仿宋"/>
          <w:color w:val="auto"/>
          <w:highlight w:val="none"/>
        </w:rPr>
      </w:pPr>
    </w:p>
    <w:p w14:paraId="42397273">
      <w:pPr>
        <w:topLinePunct/>
        <w:spacing w:line="440" w:lineRule="exact"/>
        <w:rPr>
          <w:rFonts w:hint="eastAsia" w:ascii="仿宋" w:hAnsi="仿宋" w:eastAsia="仿宋" w:cs="仿宋"/>
          <w:color w:val="auto"/>
          <w:highlight w:val="none"/>
        </w:rPr>
      </w:pPr>
    </w:p>
    <w:p w14:paraId="63784EAD">
      <w:pPr>
        <w:topLinePunct/>
        <w:spacing w:line="440" w:lineRule="exact"/>
        <w:rPr>
          <w:rFonts w:hint="eastAsia" w:ascii="仿宋" w:hAnsi="仿宋" w:eastAsia="仿宋" w:cs="仿宋"/>
          <w:color w:val="auto"/>
          <w:highlight w:val="none"/>
        </w:rPr>
      </w:pPr>
    </w:p>
    <w:p w14:paraId="5D789FA9">
      <w:pPr>
        <w:topLinePunct/>
        <w:spacing w:line="440" w:lineRule="exact"/>
        <w:rPr>
          <w:rFonts w:hint="eastAsia" w:ascii="仿宋" w:hAnsi="仿宋" w:eastAsia="仿宋" w:cs="仿宋"/>
          <w:color w:val="auto"/>
          <w:highlight w:val="none"/>
        </w:rPr>
      </w:pPr>
    </w:p>
    <w:p w14:paraId="450A9F48">
      <w:pPr>
        <w:topLinePunct/>
        <w:spacing w:line="440" w:lineRule="exact"/>
        <w:rPr>
          <w:rFonts w:hint="eastAsia" w:ascii="仿宋" w:hAnsi="仿宋" w:eastAsia="仿宋" w:cs="仿宋"/>
          <w:color w:val="auto"/>
          <w:highlight w:val="none"/>
        </w:rPr>
      </w:pPr>
    </w:p>
    <w:p w14:paraId="327F596C">
      <w:pPr>
        <w:topLinePunct/>
        <w:spacing w:line="440" w:lineRule="exact"/>
        <w:rPr>
          <w:rFonts w:hint="eastAsia" w:ascii="仿宋" w:hAnsi="仿宋" w:eastAsia="仿宋" w:cs="仿宋"/>
          <w:color w:val="auto"/>
          <w:highlight w:val="none"/>
        </w:rPr>
      </w:pPr>
    </w:p>
    <w:p w14:paraId="559C5348">
      <w:pPr>
        <w:topLinePunct/>
        <w:spacing w:line="440" w:lineRule="exact"/>
        <w:rPr>
          <w:rFonts w:hint="eastAsia" w:ascii="仿宋" w:hAnsi="仿宋" w:eastAsia="仿宋" w:cs="仿宋"/>
          <w:color w:val="auto"/>
          <w:highlight w:val="none"/>
        </w:rPr>
      </w:pPr>
    </w:p>
    <w:p w14:paraId="10CE5D7A">
      <w:pPr>
        <w:topLinePunct/>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备注：</w:t>
      </w:r>
      <w:r>
        <w:rPr>
          <w:rFonts w:hint="eastAsia" w:ascii="仿宋" w:hAnsi="仿宋" w:eastAsia="仿宋" w:cs="仿宋"/>
          <w:color w:val="auto"/>
          <w:highlight w:val="none"/>
          <w:lang w:val="en-US" w:eastAsia="zh-CN"/>
        </w:rPr>
        <w:t>投标人须</w:t>
      </w:r>
      <w:r>
        <w:rPr>
          <w:rFonts w:hint="eastAsia" w:ascii="仿宋" w:hAnsi="仿宋" w:eastAsia="仿宋" w:cs="仿宋"/>
          <w:color w:val="auto"/>
          <w:highlight w:val="none"/>
        </w:rPr>
        <w:t>具有良好的商业信誉和健全的财务会计制度，依法缴纳税收和社会保障资金的良好记录，根据《关于加强政府采购信用体系建设简化供应商资格条件有关事项的通知》（长财采购[2022]2066号）提供资格条件承诺函。</w:t>
      </w:r>
    </w:p>
    <w:p w14:paraId="686E1DE5">
      <w:pPr>
        <w:jc w:val="center"/>
        <w:rPr>
          <w:rFonts w:hint="eastAsia" w:ascii="仿宋" w:hAnsi="仿宋" w:eastAsia="仿宋" w:cs="仿宋"/>
          <w:color w:val="auto"/>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（五）拟投入人员基本情况表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14:paraId="3503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center"/>
          </w:tcPr>
          <w:p w14:paraId="091769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136" w:type="dxa"/>
            <w:noWrap w:val="0"/>
            <w:vAlign w:val="center"/>
          </w:tcPr>
          <w:p w14:paraId="717A89C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137" w:type="dxa"/>
            <w:noWrap w:val="0"/>
            <w:vAlign w:val="center"/>
          </w:tcPr>
          <w:p w14:paraId="0D3393A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137" w:type="dxa"/>
            <w:noWrap w:val="0"/>
            <w:vAlign w:val="center"/>
          </w:tcPr>
          <w:p w14:paraId="52B65D9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137" w:type="dxa"/>
            <w:noWrap w:val="0"/>
            <w:vAlign w:val="center"/>
          </w:tcPr>
          <w:p w14:paraId="575431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1138" w:type="dxa"/>
            <w:noWrap w:val="0"/>
            <w:vAlign w:val="center"/>
          </w:tcPr>
          <w:p w14:paraId="6EBDDD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执业资格</w:t>
            </w:r>
          </w:p>
        </w:tc>
        <w:tc>
          <w:tcPr>
            <w:tcW w:w="1947" w:type="dxa"/>
            <w:noWrap w:val="0"/>
            <w:vAlign w:val="center"/>
          </w:tcPr>
          <w:p w14:paraId="434924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从事专业工作年限</w:t>
            </w:r>
          </w:p>
        </w:tc>
      </w:tr>
      <w:tr w14:paraId="368A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055F3006">
            <w:pPr>
              <w:rPr>
                <w:rFonts w:hint="eastAsia" w:ascii="仿宋" w:hAnsi="仿宋" w:eastAsia="仿宋" w:cs="仿宋"/>
                <w:color w:val="auto"/>
                <w:szCs w:val="21"/>
                <w:highlight w:val="none"/>
              </w:rPr>
            </w:pPr>
          </w:p>
        </w:tc>
        <w:tc>
          <w:tcPr>
            <w:tcW w:w="1136" w:type="dxa"/>
            <w:noWrap w:val="0"/>
            <w:vAlign w:val="top"/>
          </w:tcPr>
          <w:p w14:paraId="48EA0625">
            <w:pPr>
              <w:rPr>
                <w:rFonts w:hint="eastAsia" w:ascii="仿宋" w:hAnsi="仿宋" w:eastAsia="仿宋" w:cs="仿宋"/>
                <w:color w:val="auto"/>
                <w:szCs w:val="21"/>
                <w:highlight w:val="none"/>
              </w:rPr>
            </w:pPr>
          </w:p>
          <w:p w14:paraId="5C7C14F3">
            <w:pPr>
              <w:rPr>
                <w:rFonts w:hint="eastAsia" w:ascii="仿宋" w:hAnsi="仿宋" w:eastAsia="仿宋" w:cs="仿宋"/>
                <w:color w:val="auto"/>
                <w:szCs w:val="21"/>
                <w:highlight w:val="none"/>
              </w:rPr>
            </w:pPr>
          </w:p>
        </w:tc>
        <w:tc>
          <w:tcPr>
            <w:tcW w:w="1137" w:type="dxa"/>
            <w:noWrap w:val="0"/>
            <w:vAlign w:val="top"/>
          </w:tcPr>
          <w:p w14:paraId="4D8E4BF6">
            <w:pPr>
              <w:rPr>
                <w:rFonts w:hint="eastAsia" w:ascii="仿宋" w:hAnsi="仿宋" w:eastAsia="仿宋" w:cs="仿宋"/>
                <w:color w:val="auto"/>
                <w:szCs w:val="21"/>
                <w:highlight w:val="none"/>
              </w:rPr>
            </w:pPr>
          </w:p>
        </w:tc>
        <w:tc>
          <w:tcPr>
            <w:tcW w:w="1137" w:type="dxa"/>
            <w:noWrap w:val="0"/>
            <w:vAlign w:val="top"/>
          </w:tcPr>
          <w:p w14:paraId="21A84066">
            <w:pPr>
              <w:rPr>
                <w:rFonts w:hint="eastAsia" w:ascii="仿宋" w:hAnsi="仿宋" w:eastAsia="仿宋" w:cs="仿宋"/>
                <w:color w:val="auto"/>
                <w:szCs w:val="21"/>
                <w:highlight w:val="none"/>
              </w:rPr>
            </w:pPr>
          </w:p>
        </w:tc>
        <w:tc>
          <w:tcPr>
            <w:tcW w:w="1137" w:type="dxa"/>
            <w:noWrap w:val="0"/>
            <w:vAlign w:val="top"/>
          </w:tcPr>
          <w:p w14:paraId="7D2E9170">
            <w:pPr>
              <w:rPr>
                <w:rFonts w:hint="eastAsia" w:ascii="仿宋" w:hAnsi="仿宋" w:eastAsia="仿宋" w:cs="仿宋"/>
                <w:color w:val="auto"/>
                <w:szCs w:val="21"/>
                <w:highlight w:val="none"/>
              </w:rPr>
            </w:pPr>
          </w:p>
        </w:tc>
        <w:tc>
          <w:tcPr>
            <w:tcW w:w="1138" w:type="dxa"/>
            <w:noWrap w:val="0"/>
            <w:vAlign w:val="top"/>
          </w:tcPr>
          <w:p w14:paraId="1CFC1176">
            <w:pPr>
              <w:rPr>
                <w:rFonts w:hint="eastAsia" w:ascii="仿宋" w:hAnsi="仿宋" w:eastAsia="仿宋" w:cs="仿宋"/>
                <w:color w:val="auto"/>
                <w:szCs w:val="21"/>
                <w:highlight w:val="none"/>
              </w:rPr>
            </w:pPr>
          </w:p>
        </w:tc>
        <w:tc>
          <w:tcPr>
            <w:tcW w:w="1947" w:type="dxa"/>
            <w:noWrap w:val="0"/>
            <w:vAlign w:val="top"/>
          </w:tcPr>
          <w:p w14:paraId="38AE0185">
            <w:pPr>
              <w:rPr>
                <w:rFonts w:hint="eastAsia" w:ascii="仿宋" w:hAnsi="仿宋" w:eastAsia="仿宋" w:cs="仿宋"/>
                <w:color w:val="auto"/>
                <w:szCs w:val="21"/>
                <w:highlight w:val="none"/>
              </w:rPr>
            </w:pPr>
          </w:p>
        </w:tc>
      </w:tr>
      <w:tr w14:paraId="4B80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5A43B28C">
            <w:pPr>
              <w:rPr>
                <w:rFonts w:hint="eastAsia" w:ascii="仿宋" w:hAnsi="仿宋" w:eastAsia="仿宋" w:cs="仿宋"/>
                <w:color w:val="auto"/>
                <w:szCs w:val="21"/>
                <w:highlight w:val="none"/>
              </w:rPr>
            </w:pPr>
          </w:p>
        </w:tc>
        <w:tc>
          <w:tcPr>
            <w:tcW w:w="1136" w:type="dxa"/>
            <w:noWrap w:val="0"/>
            <w:vAlign w:val="top"/>
          </w:tcPr>
          <w:p w14:paraId="548EB290">
            <w:pPr>
              <w:rPr>
                <w:rFonts w:hint="eastAsia" w:ascii="仿宋" w:hAnsi="仿宋" w:eastAsia="仿宋" w:cs="仿宋"/>
                <w:color w:val="auto"/>
                <w:szCs w:val="21"/>
                <w:highlight w:val="none"/>
              </w:rPr>
            </w:pPr>
          </w:p>
          <w:p w14:paraId="6EC1AD17">
            <w:pPr>
              <w:rPr>
                <w:rFonts w:hint="eastAsia" w:ascii="仿宋" w:hAnsi="仿宋" w:eastAsia="仿宋" w:cs="仿宋"/>
                <w:color w:val="auto"/>
                <w:szCs w:val="21"/>
                <w:highlight w:val="none"/>
              </w:rPr>
            </w:pPr>
          </w:p>
        </w:tc>
        <w:tc>
          <w:tcPr>
            <w:tcW w:w="1137" w:type="dxa"/>
            <w:noWrap w:val="0"/>
            <w:vAlign w:val="top"/>
          </w:tcPr>
          <w:p w14:paraId="41F0C672">
            <w:pPr>
              <w:rPr>
                <w:rFonts w:hint="eastAsia" w:ascii="仿宋" w:hAnsi="仿宋" w:eastAsia="仿宋" w:cs="仿宋"/>
                <w:color w:val="auto"/>
                <w:szCs w:val="21"/>
                <w:highlight w:val="none"/>
              </w:rPr>
            </w:pPr>
          </w:p>
        </w:tc>
        <w:tc>
          <w:tcPr>
            <w:tcW w:w="1137" w:type="dxa"/>
            <w:noWrap w:val="0"/>
            <w:vAlign w:val="top"/>
          </w:tcPr>
          <w:p w14:paraId="39544A38">
            <w:pPr>
              <w:rPr>
                <w:rFonts w:hint="eastAsia" w:ascii="仿宋" w:hAnsi="仿宋" w:eastAsia="仿宋" w:cs="仿宋"/>
                <w:color w:val="auto"/>
                <w:szCs w:val="21"/>
                <w:highlight w:val="none"/>
              </w:rPr>
            </w:pPr>
          </w:p>
        </w:tc>
        <w:tc>
          <w:tcPr>
            <w:tcW w:w="1137" w:type="dxa"/>
            <w:noWrap w:val="0"/>
            <w:vAlign w:val="top"/>
          </w:tcPr>
          <w:p w14:paraId="6A9A8DB2">
            <w:pPr>
              <w:rPr>
                <w:rFonts w:hint="eastAsia" w:ascii="仿宋" w:hAnsi="仿宋" w:eastAsia="仿宋" w:cs="仿宋"/>
                <w:color w:val="auto"/>
                <w:szCs w:val="21"/>
                <w:highlight w:val="none"/>
              </w:rPr>
            </w:pPr>
          </w:p>
        </w:tc>
        <w:tc>
          <w:tcPr>
            <w:tcW w:w="1138" w:type="dxa"/>
            <w:noWrap w:val="0"/>
            <w:vAlign w:val="top"/>
          </w:tcPr>
          <w:p w14:paraId="7E264487">
            <w:pPr>
              <w:rPr>
                <w:rFonts w:hint="eastAsia" w:ascii="仿宋" w:hAnsi="仿宋" w:eastAsia="仿宋" w:cs="仿宋"/>
                <w:color w:val="auto"/>
                <w:szCs w:val="21"/>
                <w:highlight w:val="none"/>
              </w:rPr>
            </w:pPr>
          </w:p>
        </w:tc>
        <w:tc>
          <w:tcPr>
            <w:tcW w:w="1947" w:type="dxa"/>
            <w:noWrap w:val="0"/>
            <w:vAlign w:val="top"/>
          </w:tcPr>
          <w:p w14:paraId="024D2BF1">
            <w:pPr>
              <w:rPr>
                <w:rFonts w:hint="eastAsia" w:ascii="仿宋" w:hAnsi="仿宋" w:eastAsia="仿宋" w:cs="仿宋"/>
                <w:color w:val="auto"/>
                <w:szCs w:val="21"/>
                <w:highlight w:val="none"/>
              </w:rPr>
            </w:pPr>
          </w:p>
        </w:tc>
      </w:tr>
      <w:tr w14:paraId="399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12BFE652">
            <w:pPr>
              <w:rPr>
                <w:rFonts w:hint="eastAsia" w:ascii="仿宋" w:hAnsi="仿宋" w:eastAsia="仿宋" w:cs="仿宋"/>
                <w:color w:val="auto"/>
                <w:szCs w:val="21"/>
                <w:highlight w:val="none"/>
              </w:rPr>
            </w:pPr>
          </w:p>
        </w:tc>
        <w:tc>
          <w:tcPr>
            <w:tcW w:w="1136" w:type="dxa"/>
            <w:noWrap w:val="0"/>
            <w:vAlign w:val="top"/>
          </w:tcPr>
          <w:p w14:paraId="2100ACCF">
            <w:pPr>
              <w:rPr>
                <w:rFonts w:hint="eastAsia" w:ascii="仿宋" w:hAnsi="仿宋" w:eastAsia="仿宋" w:cs="仿宋"/>
                <w:color w:val="auto"/>
                <w:szCs w:val="21"/>
                <w:highlight w:val="none"/>
              </w:rPr>
            </w:pPr>
          </w:p>
          <w:p w14:paraId="6549B4BB">
            <w:pPr>
              <w:rPr>
                <w:rFonts w:hint="eastAsia" w:ascii="仿宋" w:hAnsi="仿宋" w:eastAsia="仿宋" w:cs="仿宋"/>
                <w:color w:val="auto"/>
                <w:szCs w:val="21"/>
                <w:highlight w:val="none"/>
              </w:rPr>
            </w:pPr>
          </w:p>
        </w:tc>
        <w:tc>
          <w:tcPr>
            <w:tcW w:w="1137" w:type="dxa"/>
            <w:noWrap w:val="0"/>
            <w:vAlign w:val="top"/>
          </w:tcPr>
          <w:p w14:paraId="1AC3DBF7">
            <w:pPr>
              <w:rPr>
                <w:rFonts w:hint="eastAsia" w:ascii="仿宋" w:hAnsi="仿宋" w:eastAsia="仿宋" w:cs="仿宋"/>
                <w:color w:val="auto"/>
                <w:szCs w:val="21"/>
                <w:highlight w:val="none"/>
              </w:rPr>
            </w:pPr>
          </w:p>
        </w:tc>
        <w:tc>
          <w:tcPr>
            <w:tcW w:w="1137" w:type="dxa"/>
            <w:noWrap w:val="0"/>
            <w:vAlign w:val="top"/>
          </w:tcPr>
          <w:p w14:paraId="5A5899DE">
            <w:pPr>
              <w:rPr>
                <w:rFonts w:hint="eastAsia" w:ascii="仿宋" w:hAnsi="仿宋" w:eastAsia="仿宋" w:cs="仿宋"/>
                <w:color w:val="auto"/>
                <w:szCs w:val="21"/>
                <w:highlight w:val="none"/>
              </w:rPr>
            </w:pPr>
          </w:p>
        </w:tc>
        <w:tc>
          <w:tcPr>
            <w:tcW w:w="1137" w:type="dxa"/>
            <w:noWrap w:val="0"/>
            <w:vAlign w:val="top"/>
          </w:tcPr>
          <w:p w14:paraId="4F8AF304">
            <w:pPr>
              <w:rPr>
                <w:rFonts w:hint="eastAsia" w:ascii="仿宋" w:hAnsi="仿宋" w:eastAsia="仿宋" w:cs="仿宋"/>
                <w:color w:val="auto"/>
                <w:szCs w:val="21"/>
                <w:highlight w:val="none"/>
              </w:rPr>
            </w:pPr>
          </w:p>
        </w:tc>
        <w:tc>
          <w:tcPr>
            <w:tcW w:w="1138" w:type="dxa"/>
            <w:noWrap w:val="0"/>
            <w:vAlign w:val="top"/>
          </w:tcPr>
          <w:p w14:paraId="1ADA191C">
            <w:pPr>
              <w:rPr>
                <w:rFonts w:hint="eastAsia" w:ascii="仿宋" w:hAnsi="仿宋" w:eastAsia="仿宋" w:cs="仿宋"/>
                <w:color w:val="auto"/>
                <w:szCs w:val="21"/>
                <w:highlight w:val="none"/>
              </w:rPr>
            </w:pPr>
          </w:p>
        </w:tc>
        <w:tc>
          <w:tcPr>
            <w:tcW w:w="1947" w:type="dxa"/>
            <w:noWrap w:val="0"/>
            <w:vAlign w:val="top"/>
          </w:tcPr>
          <w:p w14:paraId="1C53BBE4">
            <w:pPr>
              <w:rPr>
                <w:rFonts w:hint="eastAsia" w:ascii="仿宋" w:hAnsi="仿宋" w:eastAsia="仿宋" w:cs="仿宋"/>
                <w:color w:val="auto"/>
                <w:szCs w:val="21"/>
                <w:highlight w:val="none"/>
              </w:rPr>
            </w:pPr>
          </w:p>
        </w:tc>
      </w:tr>
      <w:tr w14:paraId="6A9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56F0C12A">
            <w:pPr>
              <w:rPr>
                <w:rFonts w:hint="eastAsia" w:ascii="仿宋" w:hAnsi="仿宋" w:eastAsia="仿宋" w:cs="仿宋"/>
                <w:color w:val="auto"/>
                <w:szCs w:val="21"/>
                <w:highlight w:val="none"/>
              </w:rPr>
            </w:pPr>
          </w:p>
        </w:tc>
        <w:tc>
          <w:tcPr>
            <w:tcW w:w="1136" w:type="dxa"/>
            <w:noWrap w:val="0"/>
            <w:vAlign w:val="top"/>
          </w:tcPr>
          <w:p w14:paraId="134351FB">
            <w:pPr>
              <w:rPr>
                <w:rFonts w:hint="eastAsia" w:ascii="仿宋" w:hAnsi="仿宋" w:eastAsia="仿宋" w:cs="仿宋"/>
                <w:color w:val="auto"/>
                <w:szCs w:val="21"/>
                <w:highlight w:val="none"/>
              </w:rPr>
            </w:pPr>
          </w:p>
          <w:p w14:paraId="2B46DC18">
            <w:pPr>
              <w:rPr>
                <w:rFonts w:hint="eastAsia" w:ascii="仿宋" w:hAnsi="仿宋" w:eastAsia="仿宋" w:cs="仿宋"/>
                <w:color w:val="auto"/>
                <w:szCs w:val="21"/>
                <w:highlight w:val="none"/>
              </w:rPr>
            </w:pPr>
          </w:p>
        </w:tc>
        <w:tc>
          <w:tcPr>
            <w:tcW w:w="1137" w:type="dxa"/>
            <w:noWrap w:val="0"/>
            <w:vAlign w:val="top"/>
          </w:tcPr>
          <w:p w14:paraId="297BBB27">
            <w:pPr>
              <w:rPr>
                <w:rFonts w:hint="eastAsia" w:ascii="仿宋" w:hAnsi="仿宋" w:eastAsia="仿宋" w:cs="仿宋"/>
                <w:color w:val="auto"/>
                <w:szCs w:val="21"/>
                <w:highlight w:val="none"/>
              </w:rPr>
            </w:pPr>
          </w:p>
        </w:tc>
        <w:tc>
          <w:tcPr>
            <w:tcW w:w="1137" w:type="dxa"/>
            <w:noWrap w:val="0"/>
            <w:vAlign w:val="top"/>
          </w:tcPr>
          <w:p w14:paraId="0BB271A6">
            <w:pPr>
              <w:rPr>
                <w:rFonts w:hint="eastAsia" w:ascii="仿宋" w:hAnsi="仿宋" w:eastAsia="仿宋" w:cs="仿宋"/>
                <w:color w:val="auto"/>
                <w:szCs w:val="21"/>
                <w:highlight w:val="none"/>
              </w:rPr>
            </w:pPr>
          </w:p>
        </w:tc>
        <w:tc>
          <w:tcPr>
            <w:tcW w:w="1137" w:type="dxa"/>
            <w:noWrap w:val="0"/>
            <w:vAlign w:val="top"/>
          </w:tcPr>
          <w:p w14:paraId="7AA2436F">
            <w:pPr>
              <w:rPr>
                <w:rFonts w:hint="eastAsia" w:ascii="仿宋" w:hAnsi="仿宋" w:eastAsia="仿宋" w:cs="仿宋"/>
                <w:color w:val="auto"/>
                <w:szCs w:val="21"/>
                <w:highlight w:val="none"/>
              </w:rPr>
            </w:pPr>
          </w:p>
        </w:tc>
        <w:tc>
          <w:tcPr>
            <w:tcW w:w="1138" w:type="dxa"/>
            <w:noWrap w:val="0"/>
            <w:vAlign w:val="top"/>
          </w:tcPr>
          <w:p w14:paraId="394881A5">
            <w:pPr>
              <w:rPr>
                <w:rFonts w:hint="eastAsia" w:ascii="仿宋" w:hAnsi="仿宋" w:eastAsia="仿宋" w:cs="仿宋"/>
                <w:color w:val="auto"/>
                <w:szCs w:val="21"/>
                <w:highlight w:val="none"/>
              </w:rPr>
            </w:pPr>
          </w:p>
        </w:tc>
        <w:tc>
          <w:tcPr>
            <w:tcW w:w="1947" w:type="dxa"/>
            <w:noWrap w:val="0"/>
            <w:vAlign w:val="top"/>
          </w:tcPr>
          <w:p w14:paraId="4F8A0AA9">
            <w:pPr>
              <w:rPr>
                <w:rFonts w:hint="eastAsia" w:ascii="仿宋" w:hAnsi="仿宋" w:eastAsia="仿宋" w:cs="仿宋"/>
                <w:color w:val="auto"/>
                <w:szCs w:val="21"/>
                <w:highlight w:val="none"/>
              </w:rPr>
            </w:pPr>
          </w:p>
        </w:tc>
      </w:tr>
      <w:tr w14:paraId="571E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0BAA928F">
            <w:pPr>
              <w:rPr>
                <w:rFonts w:hint="eastAsia" w:ascii="仿宋" w:hAnsi="仿宋" w:eastAsia="仿宋" w:cs="仿宋"/>
                <w:color w:val="auto"/>
                <w:szCs w:val="21"/>
                <w:highlight w:val="none"/>
              </w:rPr>
            </w:pPr>
          </w:p>
        </w:tc>
        <w:tc>
          <w:tcPr>
            <w:tcW w:w="1136" w:type="dxa"/>
            <w:noWrap w:val="0"/>
            <w:vAlign w:val="top"/>
          </w:tcPr>
          <w:p w14:paraId="28679D1C">
            <w:pPr>
              <w:rPr>
                <w:rFonts w:hint="eastAsia" w:ascii="仿宋" w:hAnsi="仿宋" w:eastAsia="仿宋" w:cs="仿宋"/>
                <w:color w:val="auto"/>
                <w:szCs w:val="21"/>
                <w:highlight w:val="none"/>
              </w:rPr>
            </w:pPr>
          </w:p>
          <w:p w14:paraId="1EC0B70F">
            <w:pPr>
              <w:rPr>
                <w:rFonts w:hint="eastAsia" w:ascii="仿宋" w:hAnsi="仿宋" w:eastAsia="仿宋" w:cs="仿宋"/>
                <w:color w:val="auto"/>
                <w:szCs w:val="21"/>
                <w:highlight w:val="none"/>
              </w:rPr>
            </w:pPr>
          </w:p>
        </w:tc>
        <w:tc>
          <w:tcPr>
            <w:tcW w:w="1137" w:type="dxa"/>
            <w:noWrap w:val="0"/>
            <w:vAlign w:val="top"/>
          </w:tcPr>
          <w:p w14:paraId="7159B5AC">
            <w:pPr>
              <w:rPr>
                <w:rFonts w:hint="eastAsia" w:ascii="仿宋" w:hAnsi="仿宋" w:eastAsia="仿宋" w:cs="仿宋"/>
                <w:color w:val="auto"/>
                <w:szCs w:val="21"/>
                <w:highlight w:val="none"/>
              </w:rPr>
            </w:pPr>
          </w:p>
        </w:tc>
        <w:tc>
          <w:tcPr>
            <w:tcW w:w="1137" w:type="dxa"/>
            <w:noWrap w:val="0"/>
            <w:vAlign w:val="top"/>
          </w:tcPr>
          <w:p w14:paraId="20038183">
            <w:pPr>
              <w:rPr>
                <w:rFonts w:hint="eastAsia" w:ascii="仿宋" w:hAnsi="仿宋" w:eastAsia="仿宋" w:cs="仿宋"/>
                <w:color w:val="auto"/>
                <w:szCs w:val="21"/>
                <w:highlight w:val="none"/>
              </w:rPr>
            </w:pPr>
          </w:p>
        </w:tc>
        <w:tc>
          <w:tcPr>
            <w:tcW w:w="1137" w:type="dxa"/>
            <w:noWrap w:val="0"/>
            <w:vAlign w:val="top"/>
          </w:tcPr>
          <w:p w14:paraId="7E9DA6CE">
            <w:pPr>
              <w:rPr>
                <w:rFonts w:hint="eastAsia" w:ascii="仿宋" w:hAnsi="仿宋" w:eastAsia="仿宋" w:cs="仿宋"/>
                <w:color w:val="auto"/>
                <w:szCs w:val="21"/>
                <w:highlight w:val="none"/>
              </w:rPr>
            </w:pPr>
          </w:p>
        </w:tc>
        <w:tc>
          <w:tcPr>
            <w:tcW w:w="1138" w:type="dxa"/>
            <w:noWrap w:val="0"/>
            <w:vAlign w:val="top"/>
          </w:tcPr>
          <w:p w14:paraId="7D492F91">
            <w:pPr>
              <w:rPr>
                <w:rFonts w:hint="eastAsia" w:ascii="仿宋" w:hAnsi="仿宋" w:eastAsia="仿宋" w:cs="仿宋"/>
                <w:color w:val="auto"/>
                <w:szCs w:val="21"/>
                <w:highlight w:val="none"/>
              </w:rPr>
            </w:pPr>
          </w:p>
        </w:tc>
        <w:tc>
          <w:tcPr>
            <w:tcW w:w="1947" w:type="dxa"/>
            <w:noWrap w:val="0"/>
            <w:vAlign w:val="top"/>
          </w:tcPr>
          <w:p w14:paraId="1CEEE6DE">
            <w:pPr>
              <w:rPr>
                <w:rFonts w:hint="eastAsia" w:ascii="仿宋" w:hAnsi="仿宋" w:eastAsia="仿宋" w:cs="仿宋"/>
                <w:color w:val="auto"/>
                <w:szCs w:val="21"/>
                <w:highlight w:val="none"/>
              </w:rPr>
            </w:pPr>
          </w:p>
        </w:tc>
      </w:tr>
      <w:tr w14:paraId="412A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42DDE9A3">
            <w:pPr>
              <w:rPr>
                <w:rFonts w:hint="eastAsia" w:ascii="仿宋" w:hAnsi="仿宋" w:eastAsia="仿宋" w:cs="仿宋"/>
                <w:color w:val="auto"/>
                <w:szCs w:val="21"/>
                <w:highlight w:val="none"/>
              </w:rPr>
            </w:pPr>
          </w:p>
        </w:tc>
        <w:tc>
          <w:tcPr>
            <w:tcW w:w="1136" w:type="dxa"/>
            <w:noWrap w:val="0"/>
            <w:vAlign w:val="top"/>
          </w:tcPr>
          <w:p w14:paraId="0C571234">
            <w:pPr>
              <w:rPr>
                <w:rFonts w:hint="eastAsia" w:ascii="仿宋" w:hAnsi="仿宋" w:eastAsia="仿宋" w:cs="仿宋"/>
                <w:color w:val="auto"/>
                <w:szCs w:val="21"/>
                <w:highlight w:val="none"/>
              </w:rPr>
            </w:pPr>
          </w:p>
          <w:p w14:paraId="084179F3">
            <w:pPr>
              <w:rPr>
                <w:rFonts w:hint="eastAsia" w:ascii="仿宋" w:hAnsi="仿宋" w:eastAsia="仿宋" w:cs="仿宋"/>
                <w:color w:val="auto"/>
                <w:szCs w:val="21"/>
                <w:highlight w:val="none"/>
              </w:rPr>
            </w:pPr>
          </w:p>
        </w:tc>
        <w:tc>
          <w:tcPr>
            <w:tcW w:w="1137" w:type="dxa"/>
            <w:noWrap w:val="0"/>
            <w:vAlign w:val="top"/>
          </w:tcPr>
          <w:p w14:paraId="1323F626">
            <w:pPr>
              <w:rPr>
                <w:rFonts w:hint="eastAsia" w:ascii="仿宋" w:hAnsi="仿宋" w:eastAsia="仿宋" w:cs="仿宋"/>
                <w:color w:val="auto"/>
                <w:szCs w:val="21"/>
                <w:highlight w:val="none"/>
              </w:rPr>
            </w:pPr>
          </w:p>
        </w:tc>
        <w:tc>
          <w:tcPr>
            <w:tcW w:w="1137" w:type="dxa"/>
            <w:noWrap w:val="0"/>
            <w:vAlign w:val="top"/>
          </w:tcPr>
          <w:p w14:paraId="1BE5204F">
            <w:pPr>
              <w:rPr>
                <w:rFonts w:hint="eastAsia" w:ascii="仿宋" w:hAnsi="仿宋" w:eastAsia="仿宋" w:cs="仿宋"/>
                <w:color w:val="auto"/>
                <w:szCs w:val="21"/>
                <w:highlight w:val="none"/>
              </w:rPr>
            </w:pPr>
          </w:p>
        </w:tc>
        <w:tc>
          <w:tcPr>
            <w:tcW w:w="1137" w:type="dxa"/>
            <w:noWrap w:val="0"/>
            <w:vAlign w:val="top"/>
          </w:tcPr>
          <w:p w14:paraId="30A1668F">
            <w:pPr>
              <w:rPr>
                <w:rFonts w:hint="eastAsia" w:ascii="仿宋" w:hAnsi="仿宋" w:eastAsia="仿宋" w:cs="仿宋"/>
                <w:color w:val="auto"/>
                <w:szCs w:val="21"/>
                <w:highlight w:val="none"/>
              </w:rPr>
            </w:pPr>
          </w:p>
        </w:tc>
        <w:tc>
          <w:tcPr>
            <w:tcW w:w="1138" w:type="dxa"/>
            <w:noWrap w:val="0"/>
            <w:vAlign w:val="top"/>
          </w:tcPr>
          <w:p w14:paraId="212ED977">
            <w:pPr>
              <w:rPr>
                <w:rFonts w:hint="eastAsia" w:ascii="仿宋" w:hAnsi="仿宋" w:eastAsia="仿宋" w:cs="仿宋"/>
                <w:color w:val="auto"/>
                <w:szCs w:val="21"/>
                <w:highlight w:val="none"/>
              </w:rPr>
            </w:pPr>
          </w:p>
        </w:tc>
        <w:tc>
          <w:tcPr>
            <w:tcW w:w="1947" w:type="dxa"/>
            <w:noWrap w:val="0"/>
            <w:vAlign w:val="top"/>
          </w:tcPr>
          <w:p w14:paraId="0DAB44F8">
            <w:pPr>
              <w:rPr>
                <w:rFonts w:hint="eastAsia" w:ascii="仿宋" w:hAnsi="仿宋" w:eastAsia="仿宋" w:cs="仿宋"/>
                <w:color w:val="auto"/>
                <w:szCs w:val="21"/>
                <w:highlight w:val="none"/>
              </w:rPr>
            </w:pPr>
          </w:p>
        </w:tc>
      </w:tr>
      <w:tr w14:paraId="1886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42100E18">
            <w:pPr>
              <w:rPr>
                <w:rFonts w:hint="eastAsia" w:ascii="仿宋" w:hAnsi="仿宋" w:eastAsia="仿宋" w:cs="仿宋"/>
                <w:color w:val="auto"/>
                <w:szCs w:val="21"/>
                <w:highlight w:val="none"/>
              </w:rPr>
            </w:pPr>
          </w:p>
        </w:tc>
        <w:tc>
          <w:tcPr>
            <w:tcW w:w="1136" w:type="dxa"/>
            <w:noWrap w:val="0"/>
            <w:vAlign w:val="top"/>
          </w:tcPr>
          <w:p w14:paraId="0BDE2FF2">
            <w:pPr>
              <w:rPr>
                <w:rFonts w:hint="eastAsia" w:ascii="仿宋" w:hAnsi="仿宋" w:eastAsia="仿宋" w:cs="仿宋"/>
                <w:color w:val="auto"/>
                <w:szCs w:val="21"/>
                <w:highlight w:val="none"/>
              </w:rPr>
            </w:pPr>
          </w:p>
          <w:p w14:paraId="3988DD10">
            <w:pPr>
              <w:rPr>
                <w:rFonts w:hint="eastAsia" w:ascii="仿宋" w:hAnsi="仿宋" w:eastAsia="仿宋" w:cs="仿宋"/>
                <w:color w:val="auto"/>
                <w:szCs w:val="21"/>
                <w:highlight w:val="none"/>
              </w:rPr>
            </w:pPr>
          </w:p>
        </w:tc>
        <w:tc>
          <w:tcPr>
            <w:tcW w:w="1137" w:type="dxa"/>
            <w:noWrap w:val="0"/>
            <w:vAlign w:val="top"/>
          </w:tcPr>
          <w:p w14:paraId="7170498A">
            <w:pPr>
              <w:rPr>
                <w:rFonts w:hint="eastAsia" w:ascii="仿宋" w:hAnsi="仿宋" w:eastAsia="仿宋" w:cs="仿宋"/>
                <w:color w:val="auto"/>
                <w:szCs w:val="21"/>
                <w:highlight w:val="none"/>
              </w:rPr>
            </w:pPr>
          </w:p>
        </w:tc>
        <w:tc>
          <w:tcPr>
            <w:tcW w:w="1137" w:type="dxa"/>
            <w:noWrap w:val="0"/>
            <w:vAlign w:val="top"/>
          </w:tcPr>
          <w:p w14:paraId="1C59ABAE">
            <w:pPr>
              <w:rPr>
                <w:rFonts w:hint="eastAsia" w:ascii="仿宋" w:hAnsi="仿宋" w:eastAsia="仿宋" w:cs="仿宋"/>
                <w:color w:val="auto"/>
                <w:szCs w:val="21"/>
                <w:highlight w:val="none"/>
              </w:rPr>
            </w:pPr>
          </w:p>
        </w:tc>
        <w:tc>
          <w:tcPr>
            <w:tcW w:w="1137" w:type="dxa"/>
            <w:noWrap w:val="0"/>
            <w:vAlign w:val="top"/>
          </w:tcPr>
          <w:p w14:paraId="0284A2E2">
            <w:pPr>
              <w:rPr>
                <w:rFonts w:hint="eastAsia" w:ascii="仿宋" w:hAnsi="仿宋" w:eastAsia="仿宋" w:cs="仿宋"/>
                <w:color w:val="auto"/>
                <w:szCs w:val="21"/>
                <w:highlight w:val="none"/>
              </w:rPr>
            </w:pPr>
          </w:p>
        </w:tc>
        <w:tc>
          <w:tcPr>
            <w:tcW w:w="1138" w:type="dxa"/>
            <w:noWrap w:val="0"/>
            <w:vAlign w:val="top"/>
          </w:tcPr>
          <w:p w14:paraId="349312A8">
            <w:pPr>
              <w:rPr>
                <w:rFonts w:hint="eastAsia" w:ascii="仿宋" w:hAnsi="仿宋" w:eastAsia="仿宋" w:cs="仿宋"/>
                <w:color w:val="auto"/>
                <w:szCs w:val="21"/>
                <w:highlight w:val="none"/>
              </w:rPr>
            </w:pPr>
          </w:p>
        </w:tc>
        <w:tc>
          <w:tcPr>
            <w:tcW w:w="1947" w:type="dxa"/>
            <w:noWrap w:val="0"/>
            <w:vAlign w:val="top"/>
          </w:tcPr>
          <w:p w14:paraId="0CCF55B6">
            <w:pPr>
              <w:rPr>
                <w:rFonts w:hint="eastAsia" w:ascii="仿宋" w:hAnsi="仿宋" w:eastAsia="仿宋" w:cs="仿宋"/>
                <w:color w:val="auto"/>
                <w:szCs w:val="21"/>
                <w:highlight w:val="none"/>
              </w:rPr>
            </w:pPr>
          </w:p>
        </w:tc>
      </w:tr>
      <w:tr w14:paraId="550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035D440E">
            <w:pPr>
              <w:rPr>
                <w:rFonts w:hint="eastAsia" w:ascii="仿宋" w:hAnsi="仿宋" w:eastAsia="仿宋" w:cs="仿宋"/>
                <w:color w:val="auto"/>
                <w:szCs w:val="21"/>
                <w:highlight w:val="none"/>
              </w:rPr>
            </w:pPr>
          </w:p>
        </w:tc>
        <w:tc>
          <w:tcPr>
            <w:tcW w:w="1136" w:type="dxa"/>
            <w:noWrap w:val="0"/>
            <w:vAlign w:val="top"/>
          </w:tcPr>
          <w:p w14:paraId="05ADF549">
            <w:pPr>
              <w:rPr>
                <w:rFonts w:hint="eastAsia" w:ascii="仿宋" w:hAnsi="仿宋" w:eastAsia="仿宋" w:cs="仿宋"/>
                <w:color w:val="auto"/>
                <w:szCs w:val="21"/>
                <w:highlight w:val="none"/>
              </w:rPr>
            </w:pPr>
          </w:p>
          <w:p w14:paraId="2EFDAC9F">
            <w:pPr>
              <w:rPr>
                <w:rFonts w:hint="eastAsia" w:ascii="仿宋" w:hAnsi="仿宋" w:eastAsia="仿宋" w:cs="仿宋"/>
                <w:color w:val="auto"/>
                <w:szCs w:val="21"/>
                <w:highlight w:val="none"/>
              </w:rPr>
            </w:pPr>
          </w:p>
        </w:tc>
        <w:tc>
          <w:tcPr>
            <w:tcW w:w="1137" w:type="dxa"/>
            <w:noWrap w:val="0"/>
            <w:vAlign w:val="top"/>
          </w:tcPr>
          <w:p w14:paraId="01852CE0">
            <w:pPr>
              <w:rPr>
                <w:rFonts w:hint="eastAsia" w:ascii="仿宋" w:hAnsi="仿宋" w:eastAsia="仿宋" w:cs="仿宋"/>
                <w:color w:val="auto"/>
                <w:szCs w:val="21"/>
                <w:highlight w:val="none"/>
              </w:rPr>
            </w:pPr>
          </w:p>
        </w:tc>
        <w:tc>
          <w:tcPr>
            <w:tcW w:w="1137" w:type="dxa"/>
            <w:noWrap w:val="0"/>
            <w:vAlign w:val="top"/>
          </w:tcPr>
          <w:p w14:paraId="311B96E9">
            <w:pPr>
              <w:rPr>
                <w:rFonts w:hint="eastAsia" w:ascii="仿宋" w:hAnsi="仿宋" w:eastAsia="仿宋" w:cs="仿宋"/>
                <w:color w:val="auto"/>
                <w:szCs w:val="21"/>
                <w:highlight w:val="none"/>
              </w:rPr>
            </w:pPr>
          </w:p>
        </w:tc>
        <w:tc>
          <w:tcPr>
            <w:tcW w:w="1137" w:type="dxa"/>
            <w:noWrap w:val="0"/>
            <w:vAlign w:val="top"/>
          </w:tcPr>
          <w:p w14:paraId="0E010FD8">
            <w:pPr>
              <w:rPr>
                <w:rFonts w:hint="eastAsia" w:ascii="仿宋" w:hAnsi="仿宋" w:eastAsia="仿宋" w:cs="仿宋"/>
                <w:color w:val="auto"/>
                <w:szCs w:val="21"/>
                <w:highlight w:val="none"/>
              </w:rPr>
            </w:pPr>
          </w:p>
        </w:tc>
        <w:tc>
          <w:tcPr>
            <w:tcW w:w="1138" w:type="dxa"/>
            <w:noWrap w:val="0"/>
            <w:vAlign w:val="top"/>
          </w:tcPr>
          <w:p w14:paraId="381F58B4">
            <w:pPr>
              <w:rPr>
                <w:rFonts w:hint="eastAsia" w:ascii="仿宋" w:hAnsi="仿宋" w:eastAsia="仿宋" w:cs="仿宋"/>
                <w:color w:val="auto"/>
                <w:szCs w:val="21"/>
                <w:highlight w:val="none"/>
              </w:rPr>
            </w:pPr>
          </w:p>
        </w:tc>
        <w:tc>
          <w:tcPr>
            <w:tcW w:w="1947" w:type="dxa"/>
            <w:noWrap w:val="0"/>
            <w:vAlign w:val="top"/>
          </w:tcPr>
          <w:p w14:paraId="2E3DD65B">
            <w:pPr>
              <w:rPr>
                <w:rFonts w:hint="eastAsia" w:ascii="仿宋" w:hAnsi="仿宋" w:eastAsia="仿宋" w:cs="仿宋"/>
                <w:color w:val="auto"/>
                <w:szCs w:val="21"/>
                <w:highlight w:val="none"/>
              </w:rPr>
            </w:pPr>
          </w:p>
        </w:tc>
      </w:tr>
      <w:tr w14:paraId="40AB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2703BABC">
            <w:pPr>
              <w:rPr>
                <w:rFonts w:hint="eastAsia" w:ascii="仿宋" w:hAnsi="仿宋" w:eastAsia="仿宋" w:cs="仿宋"/>
                <w:color w:val="auto"/>
                <w:szCs w:val="21"/>
                <w:highlight w:val="none"/>
              </w:rPr>
            </w:pPr>
          </w:p>
        </w:tc>
        <w:tc>
          <w:tcPr>
            <w:tcW w:w="1136" w:type="dxa"/>
            <w:noWrap w:val="0"/>
            <w:vAlign w:val="top"/>
          </w:tcPr>
          <w:p w14:paraId="0DCA1DEC">
            <w:pPr>
              <w:rPr>
                <w:rFonts w:hint="eastAsia" w:ascii="仿宋" w:hAnsi="仿宋" w:eastAsia="仿宋" w:cs="仿宋"/>
                <w:color w:val="auto"/>
                <w:szCs w:val="21"/>
                <w:highlight w:val="none"/>
              </w:rPr>
            </w:pPr>
          </w:p>
          <w:p w14:paraId="01D1D167">
            <w:pPr>
              <w:rPr>
                <w:rFonts w:hint="eastAsia" w:ascii="仿宋" w:hAnsi="仿宋" w:eastAsia="仿宋" w:cs="仿宋"/>
                <w:color w:val="auto"/>
                <w:szCs w:val="21"/>
                <w:highlight w:val="none"/>
              </w:rPr>
            </w:pPr>
          </w:p>
        </w:tc>
        <w:tc>
          <w:tcPr>
            <w:tcW w:w="1137" w:type="dxa"/>
            <w:noWrap w:val="0"/>
            <w:vAlign w:val="top"/>
          </w:tcPr>
          <w:p w14:paraId="384D15AD">
            <w:pPr>
              <w:rPr>
                <w:rFonts w:hint="eastAsia" w:ascii="仿宋" w:hAnsi="仿宋" w:eastAsia="仿宋" w:cs="仿宋"/>
                <w:color w:val="auto"/>
                <w:szCs w:val="21"/>
                <w:highlight w:val="none"/>
              </w:rPr>
            </w:pPr>
          </w:p>
        </w:tc>
        <w:tc>
          <w:tcPr>
            <w:tcW w:w="1137" w:type="dxa"/>
            <w:noWrap w:val="0"/>
            <w:vAlign w:val="top"/>
          </w:tcPr>
          <w:p w14:paraId="46A40B08">
            <w:pPr>
              <w:rPr>
                <w:rFonts w:hint="eastAsia" w:ascii="仿宋" w:hAnsi="仿宋" w:eastAsia="仿宋" w:cs="仿宋"/>
                <w:color w:val="auto"/>
                <w:szCs w:val="21"/>
                <w:highlight w:val="none"/>
              </w:rPr>
            </w:pPr>
          </w:p>
        </w:tc>
        <w:tc>
          <w:tcPr>
            <w:tcW w:w="1137" w:type="dxa"/>
            <w:noWrap w:val="0"/>
            <w:vAlign w:val="top"/>
          </w:tcPr>
          <w:p w14:paraId="68BC0E5F">
            <w:pPr>
              <w:rPr>
                <w:rFonts w:hint="eastAsia" w:ascii="仿宋" w:hAnsi="仿宋" w:eastAsia="仿宋" w:cs="仿宋"/>
                <w:color w:val="auto"/>
                <w:szCs w:val="21"/>
                <w:highlight w:val="none"/>
              </w:rPr>
            </w:pPr>
          </w:p>
        </w:tc>
        <w:tc>
          <w:tcPr>
            <w:tcW w:w="1138" w:type="dxa"/>
            <w:noWrap w:val="0"/>
            <w:vAlign w:val="top"/>
          </w:tcPr>
          <w:p w14:paraId="1C7F8334">
            <w:pPr>
              <w:rPr>
                <w:rFonts w:hint="eastAsia" w:ascii="仿宋" w:hAnsi="仿宋" w:eastAsia="仿宋" w:cs="仿宋"/>
                <w:color w:val="auto"/>
                <w:szCs w:val="21"/>
                <w:highlight w:val="none"/>
              </w:rPr>
            </w:pPr>
          </w:p>
        </w:tc>
        <w:tc>
          <w:tcPr>
            <w:tcW w:w="1947" w:type="dxa"/>
            <w:noWrap w:val="0"/>
            <w:vAlign w:val="top"/>
          </w:tcPr>
          <w:p w14:paraId="50964DBA">
            <w:pPr>
              <w:rPr>
                <w:rFonts w:hint="eastAsia" w:ascii="仿宋" w:hAnsi="仿宋" w:eastAsia="仿宋" w:cs="仿宋"/>
                <w:color w:val="auto"/>
                <w:szCs w:val="21"/>
                <w:highlight w:val="none"/>
              </w:rPr>
            </w:pPr>
          </w:p>
        </w:tc>
      </w:tr>
      <w:tr w14:paraId="1B39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165E8C2C">
            <w:pPr>
              <w:rPr>
                <w:rFonts w:hint="eastAsia" w:ascii="仿宋" w:hAnsi="仿宋" w:eastAsia="仿宋" w:cs="仿宋"/>
                <w:color w:val="auto"/>
                <w:szCs w:val="21"/>
                <w:highlight w:val="none"/>
              </w:rPr>
            </w:pPr>
          </w:p>
        </w:tc>
        <w:tc>
          <w:tcPr>
            <w:tcW w:w="1136" w:type="dxa"/>
            <w:noWrap w:val="0"/>
            <w:vAlign w:val="top"/>
          </w:tcPr>
          <w:p w14:paraId="409B3212">
            <w:pPr>
              <w:rPr>
                <w:rFonts w:hint="eastAsia" w:ascii="仿宋" w:hAnsi="仿宋" w:eastAsia="仿宋" w:cs="仿宋"/>
                <w:color w:val="auto"/>
                <w:szCs w:val="21"/>
                <w:highlight w:val="none"/>
              </w:rPr>
            </w:pPr>
          </w:p>
          <w:p w14:paraId="2912DAD9">
            <w:pPr>
              <w:rPr>
                <w:rFonts w:hint="eastAsia" w:ascii="仿宋" w:hAnsi="仿宋" w:eastAsia="仿宋" w:cs="仿宋"/>
                <w:color w:val="auto"/>
                <w:szCs w:val="21"/>
                <w:highlight w:val="none"/>
              </w:rPr>
            </w:pPr>
          </w:p>
        </w:tc>
        <w:tc>
          <w:tcPr>
            <w:tcW w:w="1137" w:type="dxa"/>
            <w:noWrap w:val="0"/>
            <w:vAlign w:val="top"/>
          </w:tcPr>
          <w:p w14:paraId="401AC59C">
            <w:pPr>
              <w:rPr>
                <w:rFonts w:hint="eastAsia" w:ascii="仿宋" w:hAnsi="仿宋" w:eastAsia="仿宋" w:cs="仿宋"/>
                <w:color w:val="auto"/>
                <w:szCs w:val="21"/>
                <w:highlight w:val="none"/>
              </w:rPr>
            </w:pPr>
          </w:p>
        </w:tc>
        <w:tc>
          <w:tcPr>
            <w:tcW w:w="1137" w:type="dxa"/>
            <w:noWrap w:val="0"/>
            <w:vAlign w:val="top"/>
          </w:tcPr>
          <w:p w14:paraId="20ECB463">
            <w:pPr>
              <w:rPr>
                <w:rFonts w:hint="eastAsia" w:ascii="仿宋" w:hAnsi="仿宋" w:eastAsia="仿宋" w:cs="仿宋"/>
                <w:color w:val="auto"/>
                <w:szCs w:val="21"/>
                <w:highlight w:val="none"/>
              </w:rPr>
            </w:pPr>
          </w:p>
        </w:tc>
        <w:tc>
          <w:tcPr>
            <w:tcW w:w="1137" w:type="dxa"/>
            <w:noWrap w:val="0"/>
            <w:vAlign w:val="top"/>
          </w:tcPr>
          <w:p w14:paraId="38628823">
            <w:pPr>
              <w:rPr>
                <w:rFonts w:hint="eastAsia" w:ascii="仿宋" w:hAnsi="仿宋" w:eastAsia="仿宋" w:cs="仿宋"/>
                <w:color w:val="auto"/>
                <w:szCs w:val="21"/>
                <w:highlight w:val="none"/>
              </w:rPr>
            </w:pPr>
          </w:p>
        </w:tc>
        <w:tc>
          <w:tcPr>
            <w:tcW w:w="1138" w:type="dxa"/>
            <w:noWrap w:val="0"/>
            <w:vAlign w:val="top"/>
          </w:tcPr>
          <w:p w14:paraId="337B1418">
            <w:pPr>
              <w:rPr>
                <w:rFonts w:hint="eastAsia" w:ascii="仿宋" w:hAnsi="仿宋" w:eastAsia="仿宋" w:cs="仿宋"/>
                <w:color w:val="auto"/>
                <w:szCs w:val="21"/>
                <w:highlight w:val="none"/>
              </w:rPr>
            </w:pPr>
          </w:p>
        </w:tc>
        <w:tc>
          <w:tcPr>
            <w:tcW w:w="1947" w:type="dxa"/>
            <w:noWrap w:val="0"/>
            <w:vAlign w:val="top"/>
          </w:tcPr>
          <w:p w14:paraId="33231E94">
            <w:pPr>
              <w:rPr>
                <w:rFonts w:hint="eastAsia" w:ascii="仿宋" w:hAnsi="仿宋" w:eastAsia="仿宋" w:cs="仿宋"/>
                <w:color w:val="auto"/>
                <w:szCs w:val="21"/>
                <w:highlight w:val="none"/>
              </w:rPr>
            </w:pPr>
          </w:p>
        </w:tc>
      </w:tr>
      <w:tr w14:paraId="3F1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14:paraId="2DDE639A">
            <w:pPr>
              <w:rPr>
                <w:rFonts w:hint="eastAsia" w:ascii="仿宋" w:hAnsi="仿宋" w:eastAsia="仿宋" w:cs="仿宋"/>
                <w:color w:val="auto"/>
                <w:szCs w:val="21"/>
                <w:highlight w:val="none"/>
              </w:rPr>
            </w:pPr>
          </w:p>
        </w:tc>
        <w:tc>
          <w:tcPr>
            <w:tcW w:w="1136" w:type="dxa"/>
            <w:noWrap w:val="0"/>
            <w:vAlign w:val="top"/>
          </w:tcPr>
          <w:p w14:paraId="28FE2422">
            <w:pPr>
              <w:rPr>
                <w:rFonts w:hint="eastAsia" w:ascii="仿宋" w:hAnsi="仿宋" w:eastAsia="仿宋" w:cs="仿宋"/>
                <w:color w:val="auto"/>
                <w:szCs w:val="21"/>
                <w:highlight w:val="none"/>
              </w:rPr>
            </w:pPr>
          </w:p>
          <w:p w14:paraId="3A8D3168">
            <w:pPr>
              <w:rPr>
                <w:rFonts w:hint="eastAsia" w:ascii="仿宋" w:hAnsi="仿宋" w:eastAsia="仿宋" w:cs="仿宋"/>
                <w:color w:val="auto"/>
                <w:szCs w:val="21"/>
                <w:highlight w:val="none"/>
              </w:rPr>
            </w:pPr>
          </w:p>
        </w:tc>
        <w:tc>
          <w:tcPr>
            <w:tcW w:w="1137" w:type="dxa"/>
            <w:noWrap w:val="0"/>
            <w:vAlign w:val="top"/>
          </w:tcPr>
          <w:p w14:paraId="52813969">
            <w:pPr>
              <w:rPr>
                <w:rFonts w:hint="eastAsia" w:ascii="仿宋" w:hAnsi="仿宋" w:eastAsia="仿宋" w:cs="仿宋"/>
                <w:color w:val="auto"/>
                <w:szCs w:val="21"/>
                <w:highlight w:val="none"/>
              </w:rPr>
            </w:pPr>
          </w:p>
        </w:tc>
        <w:tc>
          <w:tcPr>
            <w:tcW w:w="1137" w:type="dxa"/>
            <w:noWrap w:val="0"/>
            <w:vAlign w:val="top"/>
          </w:tcPr>
          <w:p w14:paraId="69F5D9FC">
            <w:pPr>
              <w:rPr>
                <w:rFonts w:hint="eastAsia" w:ascii="仿宋" w:hAnsi="仿宋" w:eastAsia="仿宋" w:cs="仿宋"/>
                <w:color w:val="auto"/>
                <w:szCs w:val="21"/>
                <w:highlight w:val="none"/>
              </w:rPr>
            </w:pPr>
          </w:p>
        </w:tc>
        <w:tc>
          <w:tcPr>
            <w:tcW w:w="1137" w:type="dxa"/>
            <w:noWrap w:val="0"/>
            <w:vAlign w:val="top"/>
          </w:tcPr>
          <w:p w14:paraId="7406543C">
            <w:pPr>
              <w:rPr>
                <w:rFonts w:hint="eastAsia" w:ascii="仿宋" w:hAnsi="仿宋" w:eastAsia="仿宋" w:cs="仿宋"/>
                <w:color w:val="auto"/>
                <w:szCs w:val="21"/>
                <w:highlight w:val="none"/>
              </w:rPr>
            </w:pPr>
          </w:p>
        </w:tc>
        <w:tc>
          <w:tcPr>
            <w:tcW w:w="1138" w:type="dxa"/>
            <w:noWrap w:val="0"/>
            <w:vAlign w:val="top"/>
          </w:tcPr>
          <w:p w14:paraId="3EF336C9">
            <w:pPr>
              <w:rPr>
                <w:rFonts w:hint="eastAsia" w:ascii="仿宋" w:hAnsi="仿宋" w:eastAsia="仿宋" w:cs="仿宋"/>
                <w:color w:val="auto"/>
                <w:szCs w:val="21"/>
                <w:highlight w:val="none"/>
              </w:rPr>
            </w:pPr>
          </w:p>
        </w:tc>
        <w:tc>
          <w:tcPr>
            <w:tcW w:w="1947" w:type="dxa"/>
            <w:noWrap w:val="0"/>
            <w:vAlign w:val="top"/>
          </w:tcPr>
          <w:p w14:paraId="3B24C45C">
            <w:pPr>
              <w:rPr>
                <w:rFonts w:hint="eastAsia" w:ascii="仿宋" w:hAnsi="仿宋" w:eastAsia="仿宋" w:cs="仿宋"/>
                <w:color w:val="auto"/>
                <w:szCs w:val="21"/>
                <w:highlight w:val="none"/>
              </w:rPr>
            </w:pPr>
          </w:p>
        </w:tc>
      </w:tr>
      <w:tr w14:paraId="05FB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14:paraId="204F8987">
            <w:pPr>
              <w:rPr>
                <w:rFonts w:hint="eastAsia" w:ascii="仿宋" w:hAnsi="仿宋" w:eastAsia="仿宋" w:cs="仿宋"/>
                <w:color w:val="auto"/>
                <w:szCs w:val="21"/>
                <w:highlight w:val="none"/>
              </w:rPr>
            </w:pPr>
          </w:p>
        </w:tc>
        <w:tc>
          <w:tcPr>
            <w:tcW w:w="1136" w:type="dxa"/>
            <w:noWrap w:val="0"/>
            <w:vAlign w:val="top"/>
          </w:tcPr>
          <w:p w14:paraId="6C99D46E">
            <w:pPr>
              <w:rPr>
                <w:rFonts w:hint="eastAsia" w:ascii="仿宋" w:hAnsi="仿宋" w:eastAsia="仿宋" w:cs="仿宋"/>
                <w:color w:val="auto"/>
                <w:szCs w:val="21"/>
                <w:highlight w:val="none"/>
              </w:rPr>
            </w:pPr>
          </w:p>
          <w:p w14:paraId="52880AD3">
            <w:pPr>
              <w:rPr>
                <w:rFonts w:hint="eastAsia" w:ascii="仿宋" w:hAnsi="仿宋" w:eastAsia="仿宋" w:cs="仿宋"/>
                <w:color w:val="auto"/>
                <w:szCs w:val="21"/>
                <w:highlight w:val="none"/>
              </w:rPr>
            </w:pPr>
          </w:p>
        </w:tc>
        <w:tc>
          <w:tcPr>
            <w:tcW w:w="1137" w:type="dxa"/>
            <w:noWrap w:val="0"/>
            <w:vAlign w:val="top"/>
          </w:tcPr>
          <w:p w14:paraId="0F34DA83">
            <w:pPr>
              <w:rPr>
                <w:rFonts w:hint="eastAsia" w:ascii="仿宋" w:hAnsi="仿宋" w:eastAsia="仿宋" w:cs="仿宋"/>
                <w:color w:val="auto"/>
                <w:szCs w:val="21"/>
                <w:highlight w:val="none"/>
              </w:rPr>
            </w:pPr>
          </w:p>
        </w:tc>
        <w:tc>
          <w:tcPr>
            <w:tcW w:w="1137" w:type="dxa"/>
            <w:noWrap w:val="0"/>
            <w:vAlign w:val="top"/>
          </w:tcPr>
          <w:p w14:paraId="133A9E52">
            <w:pPr>
              <w:rPr>
                <w:rFonts w:hint="eastAsia" w:ascii="仿宋" w:hAnsi="仿宋" w:eastAsia="仿宋" w:cs="仿宋"/>
                <w:color w:val="auto"/>
                <w:szCs w:val="21"/>
                <w:highlight w:val="none"/>
              </w:rPr>
            </w:pPr>
          </w:p>
        </w:tc>
        <w:tc>
          <w:tcPr>
            <w:tcW w:w="1137" w:type="dxa"/>
            <w:noWrap w:val="0"/>
            <w:vAlign w:val="top"/>
          </w:tcPr>
          <w:p w14:paraId="447A8615">
            <w:pPr>
              <w:rPr>
                <w:rFonts w:hint="eastAsia" w:ascii="仿宋" w:hAnsi="仿宋" w:eastAsia="仿宋" w:cs="仿宋"/>
                <w:color w:val="auto"/>
                <w:szCs w:val="21"/>
                <w:highlight w:val="none"/>
              </w:rPr>
            </w:pPr>
          </w:p>
        </w:tc>
        <w:tc>
          <w:tcPr>
            <w:tcW w:w="1138" w:type="dxa"/>
            <w:noWrap w:val="0"/>
            <w:vAlign w:val="top"/>
          </w:tcPr>
          <w:p w14:paraId="1AA2979C">
            <w:pPr>
              <w:rPr>
                <w:rFonts w:hint="eastAsia" w:ascii="仿宋" w:hAnsi="仿宋" w:eastAsia="仿宋" w:cs="仿宋"/>
                <w:color w:val="auto"/>
                <w:szCs w:val="21"/>
                <w:highlight w:val="none"/>
              </w:rPr>
            </w:pPr>
          </w:p>
        </w:tc>
        <w:tc>
          <w:tcPr>
            <w:tcW w:w="1947" w:type="dxa"/>
            <w:noWrap w:val="0"/>
            <w:vAlign w:val="top"/>
          </w:tcPr>
          <w:p w14:paraId="4BFDFF0B">
            <w:pPr>
              <w:rPr>
                <w:rFonts w:hint="eastAsia" w:ascii="仿宋" w:hAnsi="仿宋" w:eastAsia="仿宋" w:cs="仿宋"/>
                <w:color w:val="auto"/>
                <w:szCs w:val="21"/>
                <w:highlight w:val="none"/>
              </w:rPr>
            </w:pPr>
          </w:p>
        </w:tc>
      </w:tr>
    </w:tbl>
    <w:p w14:paraId="277079D9">
      <w:pPr>
        <w:spacing w:before="156" w:beforeLines="50" w:after="156" w:afterLines="5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注：投标人应根据采购文件要求和采购项目的实际需要，列出为本项目所配备人员。</w:t>
      </w:r>
    </w:p>
    <w:p w14:paraId="4350E55D">
      <w:pPr>
        <w:pStyle w:val="3"/>
        <w:jc w:val="center"/>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br w:type="page"/>
      </w:r>
      <w:bookmarkStart w:id="595" w:name="_Toc12311"/>
      <w:r>
        <w:rPr>
          <w:rFonts w:hint="eastAsia" w:ascii="仿宋" w:hAnsi="仿宋" w:eastAsia="仿宋" w:cs="仿宋"/>
          <w:color w:val="auto"/>
          <w:highlight w:val="none"/>
        </w:rPr>
        <w:t>六、服务方案</w:t>
      </w:r>
      <w:bookmarkEnd w:id="595"/>
    </w:p>
    <w:p w14:paraId="1F032BF7">
      <w:pPr>
        <w:widowControl/>
        <w:jc w:val="left"/>
        <w:rPr>
          <w:rFonts w:hint="eastAsia" w:ascii="仿宋" w:hAnsi="仿宋" w:eastAsia="仿宋" w:cs="仿宋"/>
          <w:color w:val="auto"/>
          <w:kern w:val="0"/>
          <w:szCs w:val="21"/>
          <w:highlight w:val="none"/>
        </w:rPr>
      </w:pPr>
    </w:p>
    <w:p w14:paraId="7EECAE39">
      <w:pPr>
        <w:widowControl/>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可编写但不限于以下内容：</w:t>
      </w:r>
    </w:p>
    <w:p w14:paraId="425265A8">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1、服务方案</w:t>
      </w:r>
    </w:p>
    <w:p w14:paraId="2C530882">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2、质量目标及保证措施</w:t>
      </w:r>
    </w:p>
    <w:p w14:paraId="7D3A964F">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3、人员岗位责任制度</w:t>
      </w:r>
    </w:p>
    <w:p w14:paraId="4ECD5DC4">
      <w:pPr>
        <w:widowControl/>
        <w:spacing w:line="48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进度保证措施</w:t>
      </w:r>
    </w:p>
    <w:p w14:paraId="65A7A27E">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建立系统完整沟渠台账</w:t>
      </w:r>
    </w:p>
    <w:p w14:paraId="4CBF6955">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6、安全管理体系与措施</w:t>
      </w:r>
    </w:p>
    <w:p w14:paraId="7D9284C7">
      <w:pPr>
        <w:widowControl/>
        <w:spacing w:line="48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7、紧急情况处理措施</w:t>
      </w:r>
    </w:p>
    <w:p w14:paraId="4ADEE5B9">
      <w:pPr>
        <w:widowControl/>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p w14:paraId="5B377F2E">
      <w:pPr>
        <w:pStyle w:val="3"/>
        <w:jc w:val="center"/>
        <w:rPr>
          <w:rFonts w:hint="eastAsia" w:ascii="仿宋" w:hAnsi="仿宋" w:eastAsia="仿宋" w:cs="仿宋"/>
          <w:color w:val="auto"/>
          <w:kern w:val="0"/>
          <w:highlight w:val="none"/>
        </w:rPr>
      </w:pPr>
      <w:r>
        <w:rPr>
          <w:rFonts w:hint="eastAsia" w:ascii="仿宋" w:hAnsi="仿宋" w:eastAsia="仿宋" w:cs="仿宋"/>
          <w:color w:val="auto"/>
          <w:highlight w:val="none"/>
        </w:rPr>
        <w:br w:type="page"/>
      </w:r>
      <w:bookmarkStart w:id="596" w:name="_Toc17481"/>
      <w:r>
        <w:rPr>
          <w:rFonts w:hint="eastAsia" w:ascii="仿宋" w:hAnsi="仿宋" w:eastAsia="仿宋" w:cs="仿宋"/>
          <w:color w:val="auto"/>
          <w:highlight w:val="none"/>
        </w:rPr>
        <w:t>七、其他资料</w:t>
      </w:r>
      <w:bookmarkEnd w:id="596"/>
    </w:p>
    <w:p w14:paraId="457B25C9">
      <w:pPr>
        <w:spacing w:line="44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投标人认为有必要提交的其他材料。</w:t>
      </w:r>
    </w:p>
    <w:p w14:paraId="6819C905">
      <w:pPr>
        <w:jc w:val="center"/>
        <w:rPr>
          <w:rFonts w:hint="eastAsia" w:ascii="仿宋" w:hAnsi="仿宋" w:eastAsia="仿宋" w:cs="仿宋"/>
          <w:color w:val="auto"/>
          <w:sz w:val="44"/>
          <w:highlight w:val="none"/>
        </w:rPr>
      </w:pPr>
    </w:p>
    <w:p w14:paraId="2C119130">
      <w:pPr>
        <w:jc w:val="center"/>
        <w:rPr>
          <w:rFonts w:hint="eastAsia" w:ascii="仿宋" w:hAnsi="仿宋" w:eastAsia="仿宋" w:cs="仿宋"/>
          <w:color w:val="auto"/>
          <w:sz w:val="44"/>
          <w:highlight w:val="none"/>
        </w:rPr>
      </w:pPr>
    </w:p>
    <w:p w14:paraId="7C042D27">
      <w:pPr>
        <w:pStyle w:val="3"/>
        <w:jc w:val="center"/>
        <w:rPr>
          <w:rFonts w:hint="eastAsia" w:ascii="仿宋" w:hAnsi="仿宋" w:eastAsia="仿宋" w:cs="仿宋"/>
          <w:color w:val="auto"/>
          <w:spacing w:val="8"/>
          <w:highlight w:val="none"/>
          <w:shd w:val="clear" w:color="auto" w:fill="FFFFFF"/>
        </w:rPr>
      </w:pPr>
      <w:r>
        <w:rPr>
          <w:rFonts w:hint="eastAsia" w:ascii="仿宋" w:hAnsi="仿宋" w:eastAsia="仿宋" w:cs="仿宋"/>
          <w:color w:val="auto"/>
          <w:szCs w:val="28"/>
          <w:highlight w:val="none"/>
        </w:rPr>
        <w:br w:type="page"/>
      </w:r>
      <w:bookmarkStart w:id="597" w:name="_Toc1105"/>
      <w:bookmarkStart w:id="598" w:name="_Toc25809"/>
      <w:r>
        <w:rPr>
          <w:rFonts w:hint="eastAsia" w:ascii="仿宋" w:hAnsi="仿宋" w:eastAsia="仿宋" w:cs="仿宋"/>
          <w:color w:val="auto"/>
          <w:szCs w:val="28"/>
          <w:highlight w:val="none"/>
        </w:rPr>
        <w:t>八</w:t>
      </w:r>
      <w:r>
        <w:rPr>
          <w:rFonts w:hint="eastAsia" w:ascii="仿宋" w:hAnsi="仿宋" w:eastAsia="仿宋" w:cs="仿宋"/>
          <w:color w:val="auto"/>
          <w:highlight w:val="none"/>
        </w:rPr>
        <w:t>、投标人不参与涉黑涉恶承诺书</w:t>
      </w:r>
      <w:bookmarkEnd w:id="597"/>
      <w:bookmarkEnd w:id="598"/>
    </w:p>
    <w:p w14:paraId="11AD037B">
      <w:pPr>
        <w:adjustRightInd w:val="0"/>
        <w:spacing w:line="5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（采购人名称）：</w:t>
      </w:r>
    </w:p>
    <w:p w14:paraId="5289A58A">
      <w:pPr>
        <w:adjustRightInd w:val="0"/>
        <w:spacing w:line="520" w:lineRule="exact"/>
        <w:ind w:right="42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我方承诺，在参与</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标段施工/监理/勘察设计招标、投标以及如果中标的后续工作中，我方不存在下列任何情形之一:</w:t>
      </w:r>
    </w:p>
    <w:p w14:paraId="6CE11A29">
      <w:pPr>
        <w:adjustRightInd w:val="0"/>
        <w:spacing w:line="52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（1）强揽工程：以黑恶势力承包工程；强迫他人接受限定条件或退出竞争；强迫中标人放弃中标或转包；</w:t>
      </w:r>
      <w:r>
        <w:rPr>
          <w:rFonts w:hint="eastAsia" w:ascii="仿宋" w:hAnsi="仿宋" w:eastAsia="仿宋" w:cs="仿宋"/>
          <w:color w:val="auto"/>
          <w:szCs w:val="21"/>
          <w:highlight w:val="none"/>
        </w:rPr>
        <w:t>以暴力、威胁、利诱等手段强迫他人参与或者退出投标等。</w:t>
      </w:r>
    </w:p>
    <w:p w14:paraId="3930EFE5">
      <w:pPr>
        <w:adjustRightInd w:val="0"/>
        <w:spacing w:line="520" w:lineRule="exact"/>
        <w:ind w:firstLine="57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9A0EC97">
      <w:pPr>
        <w:adjustRightInd w:val="0"/>
        <w:spacing w:line="520" w:lineRule="exact"/>
        <w:ind w:firstLine="57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E1C7333">
      <w:pPr>
        <w:adjustRightInd w:val="0"/>
        <w:spacing w:line="520" w:lineRule="exact"/>
        <w:ind w:firstLine="57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（4）其他任何涉黑涉恶的行为。</w:t>
      </w:r>
    </w:p>
    <w:p w14:paraId="44A161EE">
      <w:pPr>
        <w:adjustRightInd w:val="0"/>
        <w:spacing w:line="5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0AA05BA">
      <w:pPr>
        <w:adjustRightInd w:val="0"/>
        <w:spacing w:line="5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0AA31F86">
      <w:pPr>
        <w:adjustRightInd w:val="0"/>
        <w:spacing w:line="520" w:lineRule="exact"/>
        <w:ind w:firstLine="420" w:firstLineChars="200"/>
        <w:rPr>
          <w:rFonts w:hint="eastAsia" w:ascii="仿宋" w:hAnsi="仿宋" w:eastAsia="仿宋" w:cs="仿宋"/>
          <w:color w:val="auto"/>
          <w:szCs w:val="21"/>
          <w:highlight w:val="none"/>
        </w:rPr>
      </w:pPr>
    </w:p>
    <w:p w14:paraId="26F820A0">
      <w:pPr>
        <w:adjustRightInd w:val="0"/>
        <w:spacing w:line="520" w:lineRule="exact"/>
        <w:ind w:firstLine="420" w:firstLineChars="200"/>
        <w:rPr>
          <w:rFonts w:hint="eastAsia" w:ascii="仿宋" w:hAnsi="仿宋" w:eastAsia="仿宋" w:cs="仿宋"/>
          <w:color w:val="auto"/>
          <w:szCs w:val="21"/>
          <w:highlight w:val="none"/>
        </w:rPr>
      </w:pPr>
    </w:p>
    <w:p w14:paraId="70FBECB8">
      <w:pPr>
        <w:adjustRightInd w:val="0"/>
        <w:spacing w:line="520" w:lineRule="exact"/>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申请人：（盖单位章）</w:t>
      </w:r>
    </w:p>
    <w:p w14:paraId="3B1D5847">
      <w:pPr>
        <w:adjustRightInd w:val="0"/>
        <w:spacing w:line="520" w:lineRule="exact"/>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3EF3C66">
      <w:pPr>
        <w:spacing w:line="312" w:lineRule="auto"/>
        <w:jc w:val="righ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法定代表人：（签字或盖章）</w:t>
      </w:r>
    </w:p>
    <w:p w14:paraId="275E67E6">
      <w:pPr>
        <w:pStyle w:val="3"/>
        <w:jc w:val="center"/>
        <w:rPr>
          <w:rFonts w:hint="eastAsia" w:ascii="仿宋" w:hAnsi="仿宋" w:eastAsia="仿宋" w:cs="仿宋"/>
          <w:color w:val="auto"/>
          <w:highlight w:val="none"/>
        </w:rPr>
      </w:pPr>
      <w:r>
        <w:rPr>
          <w:rFonts w:hint="eastAsia" w:ascii="仿宋" w:hAnsi="仿宋" w:eastAsia="仿宋" w:cs="仿宋"/>
          <w:color w:val="auto"/>
          <w:szCs w:val="21"/>
          <w:highlight w:val="none"/>
        </w:rPr>
        <w:br w:type="page"/>
      </w:r>
      <w:bookmarkStart w:id="599" w:name="_Toc14673"/>
      <w:r>
        <w:rPr>
          <w:rFonts w:hint="eastAsia" w:ascii="仿宋" w:hAnsi="仿宋" w:eastAsia="仿宋" w:cs="仿宋"/>
          <w:color w:val="auto"/>
          <w:szCs w:val="21"/>
          <w:highlight w:val="none"/>
        </w:rPr>
        <w:t>九</w:t>
      </w:r>
      <w:r>
        <w:rPr>
          <w:rFonts w:hint="eastAsia" w:ascii="仿宋" w:hAnsi="仿宋" w:eastAsia="仿宋" w:cs="仿宋"/>
          <w:color w:val="auto"/>
          <w:highlight w:val="none"/>
        </w:rPr>
        <w:t>、中小企业声明函</w:t>
      </w:r>
      <w:bookmarkEnd w:id="599"/>
    </w:p>
    <w:p w14:paraId="656A5D03">
      <w:pPr>
        <w:widowControl/>
        <w:spacing w:line="500" w:lineRule="exact"/>
        <w:ind w:firstLine="420" w:firstLineChars="200"/>
        <w:jc w:val="left"/>
        <w:rPr>
          <w:rFonts w:ascii="宋体" w:hAnsi="宋体" w:cs="宋体"/>
          <w:szCs w:val="21"/>
          <w:highlight w:val="none"/>
        </w:rPr>
      </w:pPr>
      <w:r>
        <w:rPr>
          <w:rFonts w:hint="eastAsia" w:ascii="仿宋" w:hAnsi="仿宋" w:eastAsia="仿宋" w:cs="仿宋"/>
          <w:color w:val="auto"/>
          <w:szCs w:val="21"/>
          <w:highlight w:val="none"/>
        </w:rPr>
        <w:t>　　</w:t>
      </w:r>
      <w:r>
        <w:rPr>
          <w:rFonts w:hint="eastAsia" w:ascii="宋体" w:hAnsi="宋体" w:cs="宋体"/>
          <w:color w:val="000000"/>
          <w:kern w:val="0"/>
          <w:szCs w:val="21"/>
          <w:highlight w:val="none"/>
          <w:lang w:bidi="ar"/>
        </w:rPr>
        <w:t>本公司（联合体）郑重声明，根据《政府采购促进中小企业发展管理办法》（财库﹝2020﹞46号）的规定，本公司（联合体）参加</w:t>
      </w:r>
      <w:r>
        <w:rPr>
          <w:rFonts w:hint="eastAsia" w:ascii="宋体" w:hAnsi="宋体" w:cs="宋体"/>
          <w:color w:val="000000"/>
          <w:kern w:val="0"/>
          <w:szCs w:val="21"/>
          <w:highlight w:val="none"/>
          <w:u w:val="single"/>
          <w:lang w:bidi="ar"/>
        </w:rPr>
        <w:t>（单位名称）</w:t>
      </w:r>
      <w:r>
        <w:rPr>
          <w:rFonts w:hint="eastAsia" w:ascii="宋体" w:hAnsi="宋体" w:cs="宋体"/>
          <w:color w:val="000000"/>
          <w:kern w:val="0"/>
          <w:szCs w:val="21"/>
          <w:highlight w:val="none"/>
          <w:lang w:bidi="ar"/>
        </w:rPr>
        <w:t>的</w:t>
      </w:r>
      <w:r>
        <w:rPr>
          <w:rFonts w:hint="eastAsia" w:ascii="宋体" w:hAnsi="宋体" w:cs="宋体"/>
          <w:color w:val="000000"/>
          <w:kern w:val="0"/>
          <w:szCs w:val="21"/>
          <w:highlight w:val="none"/>
          <w:u w:val="single"/>
          <w:lang w:bidi="ar"/>
        </w:rPr>
        <w:t>（项目名称）</w:t>
      </w:r>
      <w:r>
        <w:rPr>
          <w:rFonts w:hint="eastAsia" w:ascii="宋体" w:hAnsi="宋体" w:cs="宋体"/>
          <w:color w:val="000000"/>
          <w:kern w:val="0"/>
          <w:szCs w:val="21"/>
          <w:highlight w:val="none"/>
          <w:lang w:bidi="ar"/>
        </w:rPr>
        <w:t>采购活动，服务全部由符合政策要求的中小企业承接。相关企业（含联合体中的中小企业、签订分包意向协议的中小企业）的具体情况如下：</w:t>
      </w:r>
    </w:p>
    <w:p w14:paraId="0C22E644">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 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4BEEFDF6">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7858EDAF">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w:t>
      </w:r>
    </w:p>
    <w:p w14:paraId="3ECED7AA">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以上企业，不属于大企业的分支机构，不存在控股股东为大企业的情形，也不存在与大企业的负责人为同一人的情形。</w:t>
      </w:r>
    </w:p>
    <w:p w14:paraId="5641F1D5">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 xml:space="preserve">本企业对上述声明内容的真实性负责。如有虚假，将依法承担相应责任。 </w:t>
      </w:r>
    </w:p>
    <w:p w14:paraId="34013E54">
      <w:pPr>
        <w:widowControl/>
        <w:spacing w:line="400" w:lineRule="exact"/>
        <w:ind w:firstLine="2730" w:firstLineChars="1300"/>
        <w:jc w:val="left"/>
        <w:rPr>
          <w:rFonts w:ascii="宋体" w:hAnsi="宋体" w:cs="宋体"/>
          <w:color w:val="000000"/>
          <w:kern w:val="0"/>
          <w:szCs w:val="21"/>
          <w:highlight w:val="none"/>
          <w:lang w:bidi="ar"/>
        </w:rPr>
      </w:pPr>
    </w:p>
    <w:p w14:paraId="6AFA20C8">
      <w:pPr>
        <w:widowControl/>
        <w:spacing w:line="400" w:lineRule="exact"/>
        <w:ind w:firstLine="2730" w:firstLineChars="1300"/>
        <w:jc w:val="left"/>
        <w:rPr>
          <w:rFonts w:ascii="宋体" w:hAnsi="宋体" w:cs="宋体"/>
          <w:color w:val="000000"/>
          <w:kern w:val="0"/>
          <w:szCs w:val="21"/>
          <w:highlight w:val="none"/>
          <w:lang w:bidi="ar"/>
        </w:rPr>
      </w:pPr>
    </w:p>
    <w:p w14:paraId="6B4A1A62">
      <w:pPr>
        <w:widowControl/>
        <w:spacing w:line="400" w:lineRule="exact"/>
        <w:ind w:firstLine="2730" w:firstLineChars="1300"/>
        <w:jc w:val="left"/>
        <w:rPr>
          <w:rFonts w:ascii="宋体" w:hAnsi="宋体" w:cs="宋体"/>
          <w:color w:val="000000"/>
          <w:kern w:val="0"/>
          <w:szCs w:val="21"/>
          <w:highlight w:val="none"/>
          <w:lang w:bidi="ar"/>
        </w:rPr>
      </w:pPr>
    </w:p>
    <w:p w14:paraId="7A407FF2">
      <w:pPr>
        <w:widowControl/>
        <w:spacing w:line="400" w:lineRule="exact"/>
        <w:ind w:firstLine="2730" w:firstLineChars="1300"/>
        <w:jc w:val="left"/>
        <w:rPr>
          <w:rFonts w:ascii="宋体" w:hAnsi="宋体" w:cs="宋体"/>
          <w:color w:val="000000"/>
          <w:kern w:val="0"/>
          <w:szCs w:val="21"/>
          <w:highlight w:val="none"/>
          <w:lang w:bidi="ar"/>
        </w:rPr>
      </w:pPr>
    </w:p>
    <w:p w14:paraId="015305E2">
      <w:pPr>
        <w:widowControl/>
        <w:spacing w:line="400" w:lineRule="exact"/>
        <w:ind w:firstLine="4410" w:firstLineChars="2100"/>
        <w:jc w:val="left"/>
        <w:rPr>
          <w:rFonts w:ascii="宋体" w:hAnsi="宋体" w:cs="宋体"/>
          <w:szCs w:val="21"/>
          <w:highlight w:val="none"/>
        </w:rPr>
      </w:pPr>
      <w:r>
        <w:rPr>
          <w:rFonts w:hint="eastAsia" w:ascii="宋体" w:hAnsi="宋体" w:cs="宋体"/>
          <w:color w:val="000000"/>
          <w:kern w:val="0"/>
          <w:szCs w:val="21"/>
          <w:highlight w:val="none"/>
          <w:lang w:bidi="ar"/>
        </w:rPr>
        <w:t xml:space="preserve">投标人（盖章）： </w:t>
      </w:r>
    </w:p>
    <w:p w14:paraId="3629EE9C">
      <w:pPr>
        <w:widowControl/>
        <w:spacing w:line="400" w:lineRule="exact"/>
        <w:ind w:firstLine="4410" w:firstLineChars="2100"/>
        <w:jc w:val="left"/>
        <w:rPr>
          <w:rFonts w:hint="eastAsia" w:ascii="宋体" w:hAnsi="宋体" w:cs="宋体"/>
          <w:color w:val="000000"/>
          <w:kern w:val="0"/>
          <w:szCs w:val="21"/>
          <w:highlight w:val="none"/>
          <w:lang w:bidi="ar"/>
        </w:rPr>
      </w:pPr>
      <w:bookmarkStart w:id="600" w:name="_GoBack"/>
      <w:bookmarkEnd w:id="600"/>
    </w:p>
    <w:p w14:paraId="72C3E3A6">
      <w:pPr>
        <w:widowControl/>
        <w:spacing w:line="400" w:lineRule="exact"/>
        <w:ind w:firstLine="4410" w:firstLineChars="2100"/>
        <w:jc w:val="left"/>
        <w:rPr>
          <w:rFonts w:hint="eastAsia" w:ascii="宋体" w:hAnsi="宋体" w:cs="宋体"/>
          <w:color w:val="000000"/>
          <w:kern w:val="0"/>
          <w:szCs w:val="21"/>
          <w:highlight w:val="none"/>
          <w:lang w:bidi="ar"/>
        </w:rPr>
      </w:pPr>
    </w:p>
    <w:p w14:paraId="17B77F0D">
      <w:pPr>
        <w:widowControl/>
        <w:spacing w:line="400" w:lineRule="exact"/>
        <w:ind w:firstLine="4410" w:firstLineChars="2100"/>
        <w:jc w:val="left"/>
        <w:rPr>
          <w:rFonts w:ascii="宋体" w:hAnsi="宋体" w:cs="宋体"/>
          <w:szCs w:val="21"/>
          <w:highlight w:val="none"/>
        </w:rPr>
      </w:pPr>
      <w:r>
        <w:rPr>
          <w:rFonts w:hint="eastAsia" w:ascii="宋体" w:hAnsi="宋体" w:cs="宋体"/>
          <w:color w:val="000000"/>
          <w:kern w:val="0"/>
          <w:szCs w:val="21"/>
          <w:highlight w:val="none"/>
          <w:lang w:bidi="ar"/>
        </w:rPr>
        <w:t>日 期：</w:t>
      </w:r>
    </w:p>
    <w:p w14:paraId="0DF9DF2B">
      <w:pPr>
        <w:widowControl/>
        <w:spacing w:line="360" w:lineRule="auto"/>
        <w:ind w:firstLine="480" w:firstLineChars="200"/>
        <w:jc w:val="left"/>
        <w:rPr>
          <w:rFonts w:ascii="宋体" w:hAnsi="宋体" w:cs="宋体"/>
          <w:kern w:val="0"/>
          <w:sz w:val="24"/>
          <w:szCs w:val="24"/>
          <w:highlight w:val="none"/>
          <w:lang w:bidi="ar"/>
        </w:rPr>
      </w:pPr>
    </w:p>
    <w:p w14:paraId="4C22B661">
      <w:pPr>
        <w:pStyle w:val="7"/>
        <w:spacing w:line="360" w:lineRule="auto"/>
        <w:rPr>
          <w:highlight w:val="none"/>
        </w:rPr>
      </w:pPr>
    </w:p>
    <w:p w14:paraId="6CACE39C">
      <w:pPr>
        <w:pStyle w:val="7"/>
        <w:spacing w:line="360" w:lineRule="auto"/>
        <w:rPr>
          <w:highlight w:val="none"/>
        </w:rPr>
      </w:pPr>
    </w:p>
    <w:p w14:paraId="1D5435EA">
      <w:pPr>
        <w:spacing w:line="312" w:lineRule="auto"/>
        <w:ind w:firstLine="405"/>
        <w:rPr>
          <w:highlight w:val="none"/>
        </w:rPr>
      </w:pPr>
      <w:r>
        <w:rPr>
          <w:rFonts w:hint="eastAsia" w:ascii="宋体" w:hAnsi="宋体" w:cs="宋体"/>
          <w:kern w:val="0"/>
          <w:highlight w:val="none"/>
          <w:lang w:bidi="ar"/>
        </w:rPr>
        <w:t>从业人员、营业收入、资产总额填报上一年度数据，无上一年度数据的新成立企业可不填</w:t>
      </w:r>
    </w:p>
    <w:sectPr>
      <w:pgSz w:w="11906" w:h="16838"/>
      <w:pgMar w:top="1417" w:right="1417" w:bottom="1417" w:left="1417" w:header="851" w:footer="992" w:gutter="0"/>
      <w:pgNumType w:fmt="decimal"/>
      <w:cols w:space="72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Baiduan Number">
    <w:altName w:val="Trebuchet MS"/>
    <w:panose1 w:val="00000000000000000000"/>
    <w:charset w:val="00"/>
    <w:family w:val="swiss"/>
    <w:pitch w:val="default"/>
    <w:sig w:usb0="00000000" w:usb1="00000000" w:usb2="00000000" w:usb3="00000000" w:csb0="0000009B" w:csb1="00000000"/>
  </w:font>
  <w:font w:name="Trebuchet MS">
    <w:panose1 w:val="020B0603020202020204"/>
    <w:charset w:val="00"/>
    <w:family w:val="auto"/>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USRMBU+é»ä½">
    <w:altName w:val="Segoe Print"/>
    <w:panose1 w:val="02010609060101010101"/>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5195">
    <w:pPr>
      <w:pStyle w:val="10"/>
      <w:framePr w:wrap="around" w:vAnchor="text" w:hAnchor="margin" w:xAlign="center" w:y="1"/>
      <w:rPr>
        <w:rStyle w:val="22"/>
      </w:rPr>
    </w:pPr>
    <w:r>
      <w:fldChar w:fldCharType="begin"/>
    </w:r>
    <w:r>
      <w:rPr>
        <w:rStyle w:val="22"/>
      </w:rPr>
      <w:instrText xml:space="preserve">PAGE  </w:instrText>
    </w:r>
    <w:r>
      <w:fldChar w:fldCharType="end"/>
    </w:r>
  </w:p>
  <w:p w14:paraId="0FEC237B">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18F4">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DAFDC3">
                          <w:pPr>
                            <w:pStyle w:val="1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DAFDC3">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6D068376">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9EE4">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93458">
                          <w:pPr>
                            <w:pStyle w:val="10"/>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1B93458">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FEB0">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BB61B">
                          <w:pPr>
                            <w:pStyle w:val="1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9EBB61B">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451181E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D714">
    <w:pPr>
      <w:pStyle w:val="10"/>
      <w:jc w:val="center"/>
    </w:pPr>
  </w:p>
  <w:p w14:paraId="74B41B1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FA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8CF6">
    <w:pPr>
      <w:pStyle w:val="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BEC54">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DCBEC54">
                    <w:pPr>
                      <w:pStyle w:val="10"/>
                    </w:pPr>
                  </w:p>
                </w:txbxContent>
              </v:textbox>
            </v:shape>
          </w:pict>
        </mc:Fallback>
      </mc:AlternateContent>
    </w:r>
  </w:p>
  <w:p w14:paraId="141FC1E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67F4">
    <w:pPr>
      <w:pStyle w:val="10"/>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DB6C4">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F7DB6C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29AF">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D1ED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73D1ED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672A">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EF579">
                          <w:pPr>
                            <w:pStyle w:val="10"/>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01EF579">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CE5C">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05178">
                          <w:pPr>
                            <w:pStyle w:val="10"/>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2C05178">
                    <w:pPr>
                      <w:pStyle w:val="10"/>
                    </w:pPr>
                    <w:r>
                      <w:fldChar w:fldCharType="begin"/>
                    </w:r>
                    <w:r>
                      <w:instrText xml:space="preserve"> PAGE  \* MERGEFORMAT </w:instrText>
                    </w:r>
                    <w:r>
                      <w:fldChar w:fldCharType="separate"/>
                    </w:r>
                    <w:r>
                      <w:t>8</w:t>
                    </w:r>
                    <w:r>
                      <w:fldChar w:fldCharType="end"/>
                    </w:r>
                  </w:p>
                </w:txbxContent>
              </v:textbox>
            </v:shape>
          </w:pict>
        </mc:Fallback>
      </mc:AlternateContent>
    </w:r>
  </w:p>
  <w:p w14:paraId="1109A1E5">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E548">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DCF4AC">
                          <w:pPr>
                            <w:pStyle w:val="10"/>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FDCF4AC">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D605">
    <w:r>
      <w:rPr>
        <w:rFonts w:hint="eastAsia"/>
      </w:rPr>
      <w:t xml:space="preserve">  </w:t>
    </w:r>
  </w:p>
  <w:p w14:paraId="7066F869">
    <w:pPr>
      <w:pBdr>
        <w:bottom w:val="single" w:color="auto" w:sz="4" w:space="0"/>
      </w:pBdr>
      <w:rPr>
        <w:rFonts w:hint="eastAsia" w:ascii="楷体" w:hAnsi="楷体" w:eastAsia="宋体"/>
        <w:lang w:eastAsia="zh-CN"/>
      </w:rPr>
    </w:pPr>
    <w:r>
      <w:rPr>
        <w:rFonts w:hint="eastAsia"/>
        <w:szCs w:val="21"/>
      </w:rPr>
      <w:drawing>
        <wp:anchor distT="0" distB="0" distL="114300" distR="114300" simplePos="0" relativeHeight="251660288" behindDoc="1" locked="0" layoutInCell="1" allowOverlap="1">
          <wp:simplePos x="0" y="0"/>
          <wp:positionH relativeFrom="column">
            <wp:posOffset>6985</wp:posOffset>
          </wp:positionH>
          <wp:positionV relativeFrom="paragraph">
            <wp:posOffset>-94615</wp:posOffset>
          </wp:positionV>
          <wp:extent cx="273050" cy="271780"/>
          <wp:effectExtent l="0" t="0" r="12700" b="13970"/>
          <wp:wrapTight wrapText="bothSides">
            <wp:wrapPolygon>
              <wp:start x="0" y="0"/>
              <wp:lineTo x="0" y="21600"/>
              <wp:lineTo x="21600" y="21600"/>
              <wp:lineTo x="21600" y="0"/>
              <wp:lineTo x="0" y="0"/>
            </wp:wrapPolygon>
          </wp:wrapTight>
          <wp:docPr id="9" name="图片 1" descr="QQ截图2018032215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截图20180322150548"/>
                  <pic:cNvPicPr>
                    <a:picLocks noChangeAspect="1"/>
                  </pic:cNvPicPr>
                </pic:nvPicPr>
                <pic:blipFill>
                  <a:blip r:embed="rId1"/>
                  <a:stretch>
                    <a:fillRect/>
                  </a:stretch>
                </pic:blipFill>
                <pic:spPr>
                  <a:xfrm>
                    <a:off x="0" y="0"/>
                    <a:ext cx="273050" cy="271780"/>
                  </a:xfrm>
                  <a:prstGeom prst="rect">
                    <a:avLst/>
                  </a:prstGeom>
                  <a:noFill/>
                  <a:ln>
                    <a:noFill/>
                  </a:ln>
                </pic:spPr>
              </pic:pic>
            </a:graphicData>
          </a:graphic>
        </wp:anchor>
      </w:drawing>
    </w:r>
    <w:r>
      <w:rPr>
        <w:rFonts w:hint="eastAsia"/>
      </w:rPr>
      <w:t xml:space="preserve">    </w:t>
    </w:r>
    <w:r>
      <w:rPr>
        <w:rFonts w:hint="eastAsia" w:ascii="楷体" w:hAnsi="楷体" w:cs="USRMBU+é»ä½"/>
        <w:szCs w:val="21"/>
        <w:lang w:eastAsia="zh-CN"/>
      </w:rPr>
      <w:t>中联国际工程管理有限公司</w:t>
    </w:r>
  </w:p>
  <w:p w14:paraId="3128721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0BC7">
    <w:pPr>
      <w:pBdr>
        <w:bottom w:val="none" w:color="auto" w:sz="0" w:space="0"/>
      </w:pBdr>
    </w:pPr>
    <w:r>
      <w:rPr>
        <w:rFonts w:hint="eastAsia"/>
      </w:rPr>
      <w:t xml:space="preserve">  </w:t>
    </w:r>
  </w:p>
  <w:p w14:paraId="1B7135BF">
    <w:pPr>
      <w:pBdr>
        <w:bottom w:val="none" w:color="auto" w:sz="0" w:space="0"/>
      </w:pBdr>
      <w:rPr>
        <w:rFonts w:hint="eastAsia" w:ascii="楷体" w:hAnsi="楷体" w:eastAsia="楷体" w:cs="楷体"/>
      </w:rPr>
    </w:pPr>
    <w:r>
      <w:rPr>
        <w:rFonts w:hint="eastAsia" w:ascii="楷体" w:hAnsi="楷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CEE5">
    <w:r>
      <w:rPr>
        <w:rFonts w:hint="eastAsia"/>
      </w:rPr>
      <w:t xml:space="preserve">  </w:t>
    </w:r>
  </w:p>
  <w:p w14:paraId="69AA64F8">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23A3">
    <w:pPr>
      <w:pBdr>
        <w:bottom w:val="none" w:color="auto" w:sz="0" w:space="0"/>
      </w:pBdr>
    </w:pPr>
    <w:r>
      <w:rPr>
        <w:rFonts w:hint="eastAsia"/>
      </w:rPr>
      <w:t xml:space="preserve">  </w:t>
    </w:r>
  </w:p>
  <w:p w14:paraId="45FF02F7">
    <w:pPr>
      <w:pBdr>
        <w:bottom w:val="none" w:color="auto" w:sz="0" w:space="0"/>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8F3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AD4"/>
    <w:multiLevelType w:val="multilevel"/>
    <w:tmpl w:val="00001AD4"/>
    <w:lvl w:ilvl="0" w:tentative="0">
      <w:start w:val="4"/>
      <w:numFmt w:val="decimal"/>
      <w:lvlText w:val="3.%1"/>
      <w:lvlJc w:val="left"/>
      <w:pPr>
        <w:tabs>
          <w:tab w:val="left" w:pos="720"/>
        </w:tabs>
        <w:ind w:left="720" w:hanging="360"/>
      </w:pPr>
      <w:rPr>
        <w:rFonts w:hint="default"/>
        <w:u w:val="none" w:color="auto"/>
      </w:rPr>
    </w:lvl>
    <w:lvl w:ilvl="1" w:tentative="0">
      <w:start w:val="1"/>
      <w:numFmt w:val="decimal"/>
      <w:lvlText w:val="3.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3B25"/>
    <w:multiLevelType w:val="multilevel"/>
    <w:tmpl w:val="00003B25"/>
    <w:lvl w:ilvl="0" w:tentative="0">
      <w:start w:val="2"/>
      <w:numFmt w:val="decimal"/>
      <w:lvlText w:val="3.%1"/>
      <w:lvlJc w:val="left"/>
      <w:pPr>
        <w:tabs>
          <w:tab w:val="left" w:pos="720"/>
        </w:tabs>
        <w:ind w:left="720" w:hanging="360"/>
      </w:pPr>
      <w:rPr>
        <w:rFonts w:hint="default"/>
        <w:u w:val="none" w:color="auto"/>
      </w:rPr>
    </w:lvl>
    <w:lvl w:ilvl="1" w:tentative="0">
      <w:start w:val="1"/>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4509"/>
    <w:multiLevelType w:val="multilevel"/>
    <w:tmpl w:val="00004509"/>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5D03"/>
    <w:multiLevelType w:val="multilevel"/>
    <w:tmpl w:val="00005D03"/>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2.%2"/>
      <w:lvlJc w:val="left"/>
      <w:pPr>
        <w:tabs>
          <w:tab w:val="left" w:pos="1440"/>
        </w:tabs>
        <w:ind w:left="1440" w:hanging="360"/>
      </w:pPr>
      <w:rPr>
        <w:rFonts w:hint="default"/>
        <w:u w:val="none" w:color="auto"/>
      </w:rPr>
    </w:lvl>
    <w:lvl w:ilvl="2" w:tentative="0">
      <w:start w:val="1"/>
      <w:numFmt w:val="decimal"/>
      <w:lvlText w:val="2.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39F299F"/>
    <w:multiLevelType w:val="singleLevel"/>
    <w:tmpl w:val="239F299F"/>
    <w:lvl w:ilvl="0" w:tentative="0">
      <w:start w:val="9"/>
      <w:numFmt w:val="decimal"/>
      <w:suff w:val="space"/>
      <w:lvlText w:val="%1."/>
      <w:lvlJc w:val="left"/>
    </w:lvl>
  </w:abstractNum>
  <w:abstractNum w:abstractNumId="5">
    <w:nsid w:val="5585723A"/>
    <w:multiLevelType w:val="singleLevel"/>
    <w:tmpl w:val="5585723A"/>
    <w:lvl w:ilvl="0" w:tentative="0">
      <w:start w:val="1"/>
      <w:numFmt w:val="chineseCounting"/>
      <w:suff w:val="nothing"/>
      <w:lvlText w:val="%1、"/>
      <w:lvlJc w:val="left"/>
      <w:rPr>
        <w:rFonts w:hint="eastAsia"/>
      </w:rPr>
    </w:lvl>
  </w:abstractNum>
  <w:abstractNum w:abstractNumId="6">
    <w:nsid w:val="62919614"/>
    <w:multiLevelType w:val="singleLevel"/>
    <w:tmpl w:val="62919614"/>
    <w:lvl w:ilvl="0" w:tentative="0">
      <w:start w:val="2"/>
      <w:numFmt w:val="chineseCounting"/>
      <w:suff w:val="nothing"/>
      <w:lvlText w:val="%1、"/>
      <w:lvlJc w:val="left"/>
    </w:lvl>
  </w:abstractNum>
  <w:abstractNum w:abstractNumId="7">
    <w:nsid w:val="62957E5C"/>
    <w:multiLevelType w:val="singleLevel"/>
    <w:tmpl w:val="62957E5C"/>
    <w:lvl w:ilvl="0" w:tentative="0">
      <w:start w:val="1"/>
      <w:numFmt w:val="chineseCounting"/>
      <w:suff w:val="nothing"/>
      <w:lvlText w:val="%1、"/>
      <w:lvlJc w:val="left"/>
    </w:lvl>
  </w:abstractNum>
  <w:abstractNum w:abstractNumId="8">
    <w:nsid w:val="75DB61E8"/>
    <w:multiLevelType w:val="singleLevel"/>
    <w:tmpl w:val="75DB61E8"/>
    <w:lvl w:ilvl="0" w:tentative="0">
      <w:start w:val="17"/>
      <w:numFmt w:val="chineseCounting"/>
      <w:suff w:val="space"/>
      <w:lvlText w:val="第%1条"/>
      <w:lvlJc w:val="left"/>
      <w:rPr>
        <w:rFonts w:hint="eastAsia"/>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7768"/>
    <w:rsid w:val="06A40021"/>
    <w:rsid w:val="06B43D0A"/>
    <w:rsid w:val="08A234FA"/>
    <w:rsid w:val="096B4234"/>
    <w:rsid w:val="1A1B1A39"/>
    <w:rsid w:val="1A3D12D5"/>
    <w:rsid w:val="1EF665D6"/>
    <w:rsid w:val="1F825CF7"/>
    <w:rsid w:val="22DC0F9F"/>
    <w:rsid w:val="255A601C"/>
    <w:rsid w:val="264477D6"/>
    <w:rsid w:val="2A44220C"/>
    <w:rsid w:val="2BF135D6"/>
    <w:rsid w:val="2C8A6AA3"/>
    <w:rsid w:val="2CCB62AA"/>
    <w:rsid w:val="2DD46691"/>
    <w:rsid w:val="2E137126"/>
    <w:rsid w:val="36965C8C"/>
    <w:rsid w:val="3DE418E4"/>
    <w:rsid w:val="48587156"/>
    <w:rsid w:val="49CB44BC"/>
    <w:rsid w:val="4A05330E"/>
    <w:rsid w:val="4C2C7DA3"/>
    <w:rsid w:val="4C687B84"/>
    <w:rsid w:val="4F58631D"/>
    <w:rsid w:val="50E772C9"/>
    <w:rsid w:val="527B046E"/>
    <w:rsid w:val="587C29ED"/>
    <w:rsid w:val="5AF0634F"/>
    <w:rsid w:val="5C87570C"/>
    <w:rsid w:val="5DC51155"/>
    <w:rsid w:val="5F851915"/>
    <w:rsid w:val="604858AA"/>
    <w:rsid w:val="60CC028A"/>
    <w:rsid w:val="66B23A7E"/>
    <w:rsid w:val="70323074"/>
    <w:rsid w:val="75A6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b/>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6">
    <w:name w:val="index 5"/>
    <w:basedOn w:val="1"/>
    <w:next w:val="1"/>
    <w:unhideWhenUsed/>
    <w:qFormat/>
    <w:uiPriority w:val="99"/>
    <w:pPr>
      <w:ind w:left="800" w:leftChars="800"/>
    </w:pPr>
  </w:style>
  <w:style w:type="paragraph" w:styleId="7">
    <w:name w:val="Body Text"/>
    <w:basedOn w:val="1"/>
    <w:next w:val="1"/>
    <w:qFormat/>
    <w:uiPriority w:val="1"/>
    <w:pPr>
      <w:spacing w:after="120"/>
    </w:pPr>
    <w:rPr>
      <w:szCs w:val="24"/>
    </w:rPr>
  </w:style>
  <w:style w:type="paragraph" w:styleId="8">
    <w:name w:val="Body Text Indent"/>
    <w:basedOn w:val="1"/>
    <w:qFormat/>
    <w:uiPriority w:val="0"/>
    <w:pPr>
      <w:spacing w:after="120"/>
      <w:ind w:left="420" w:leftChars="200"/>
    </w:pPr>
  </w:style>
  <w:style w:type="paragraph" w:styleId="9">
    <w:name w:val="Date"/>
    <w:basedOn w:val="1"/>
    <w:next w:val="1"/>
    <w:qFormat/>
    <w:uiPriority w:val="0"/>
    <w:pPr>
      <w:ind w:left="100" w:leftChars="2500"/>
    </w:pPr>
    <w:rPr>
      <w:rFonts w:ascii="宋体" w:hAnsi="宋体"/>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0"/>
    <w:pPr>
      <w:widowControl/>
      <w:jc w:val="left"/>
    </w:pPr>
    <w:rPr>
      <w:rFonts w:ascii="Arial Narrow" w:hAnsi="Arial Narrow" w:cs="宋体"/>
      <w:kern w:val="0"/>
      <w:sz w:val="18"/>
      <w:szCs w:val="18"/>
    </w:rPr>
  </w:style>
  <w:style w:type="paragraph" w:styleId="16">
    <w:name w:val="Body Text First Indent"/>
    <w:basedOn w:val="7"/>
    <w:qFormat/>
    <w:uiPriority w:val="0"/>
    <w:pPr>
      <w:adjustRightInd/>
      <w:spacing w:line="240" w:lineRule="auto"/>
      <w:ind w:firstLine="420" w:firstLineChars="100"/>
      <w:textAlignment w:val="auto"/>
    </w:pPr>
    <w:rPr>
      <w:b/>
      <w:kern w:val="2"/>
      <w:sz w:val="36"/>
    </w:rPr>
  </w:style>
  <w:style w:type="paragraph" w:styleId="17">
    <w:name w:val="Body Text First Indent 2"/>
    <w:basedOn w:val="8"/>
    <w:unhideWhenUsed/>
    <w:qFormat/>
    <w:uiPriority w:val="0"/>
    <w:pPr>
      <w:ind w:firstLine="420" w:firstLineChars="200"/>
    </w:pPr>
    <w:rPr>
      <w:rFonts w:ascii="宋体" w:hAnsi="Calibri"/>
      <w:kern w:val="0"/>
      <w:sz w:val="34"/>
      <w:szCs w:val="22"/>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qFormat/>
    <w:uiPriority w:val="0"/>
  </w:style>
  <w:style w:type="character" w:styleId="23">
    <w:name w:val="annotation reference"/>
    <w:semiHidden/>
    <w:uiPriority w:val="0"/>
    <w:rPr>
      <w:sz w:val="21"/>
      <w:szCs w:val="21"/>
    </w:rPr>
  </w:style>
  <w:style w:type="paragraph" w:customStyle="1" w:styleId="24">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Table Paragraph"/>
    <w:basedOn w:val="1"/>
    <w:qFormat/>
    <w:uiPriority w:val="1"/>
    <w:rPr>
      <w:rFonts w:ascii="Times New Roman" w:hAnsi="Times New Roman" w:eastAsia="宋体" w:cs="Times New Roman"/>
    </w:rPr>
  </w:style>
  <w:style w:type="paragraph" w:styleId="26">
    <w:name w:val="List Paragraph"/>
    <w:basedOn w:val="1"/>
    <w:qFormat/>
    <w:uiPriority w:val="34"/>
    <w:pPr>
      <w:ind w:firstLine="420" w:firstLineChars="200"/>
    </w:pPr>
    <w:rPr>
      <w:rFonts w:ascii="Cambria" w:hAnsi="Cambria" w:eastAsia="楷体" w:cs="Baiduan Numbe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29338</Words>
  <Characters>31616</Characters>
  <Lines>0</Lines>
  <Paragraphs>0</Paragraphs>
  <TotalTime>25</TotalTime>
  <ScaleCrop>false</ScaleCrop>
  <LinksUpToDate>false</LinksUpToDate>
  <CharactersWithSpaces>32949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2025-02-07T07:56:00Z</dcterms:created>
  <dc:creator>Administrator</dc:creator>
  <cp:lastModifiedBy>晓惠</cp:lastModifiedBy>
  <dcterms:modified xsi:type="dcterms:W3CDTF">2025-02-17T08:05:50Z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eyJoZGlkIjoiMGRhZTU2MjU3MzVlNDZmNTcwYzg4NDM2NzZkMTg4ZTMiLCJ1c2VySWQiOiIxNTA1MzIwNzI2In0=</vt:lpwstr>
  </property>
  <property fmtid="{D5CDD505-2E9C-101B-9397-08002B2CF9AE}" pid="4" name="ICV">
    <vt:lpwstr>4CCF11D66F1E44AB87B8024BF1334AB8_12</vt:lpwstr>
  </property>
</Properties>
</file>