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B9E40">
      <w:pPr>
        <w:jc w:val="center"/>
        <w:rPr>
          <w:rFonts w:hint="eastAsia" w:eastAsia="宋体"/>
          <w:b/>
          <w:sz w:val="52"/>
          <w:szCs w:val="52"/>
          <w:lang w:eastAsia="zh-CN"/>
        </w:rPr>
      </w:pPr>
      <w:r>
        <w:rPr>
          <w:rFonts w:hint="eastAsia"/>
          <w:b/>
          <w:sz w:val="52"/>
          <w:szCs w:val="52"/>
          <w:lang w:eastAsia="zh-CN"/>
        </w:rPr>
        <w:t>桦甸市林权登记成果资料数据整合（一期）项目</w:t>
      </w:r>
    </w:p>
    <w:p w14:paraId="5C08A659">
      <w:pPr>
        <w:rPr>
          <w:b/>
          <w:sz w:val="44"/>
          <w:szCs w:val="44"/>
        </w:rPr>
      </w:pPr>
    </w:p>
    <w:p w14:paraId="49F64DD9">
      <w:pPr>
        <w:rPr>
          <w:b/>
          <w:sz w:val="44"/>
          <w:szCs w:val="44"/>
        </w:rPr>
      </w:pPr>
    </w:p>
    <w:p w14:paraId="61D78924">
      <w:pPr>
        <w:rPr>
          <w:b/>
          <w:sz w:val="44"/>
          <w:szCs w:val="44"/>
        </w:rPr>
      </w:pPr>
    </w:p>
    <w:p w14:paraId="034EDC27">
      <w:pPr>
        <w:rPr>
          <w:b/>
          <w:sz w:val="44"/>
          <w:szCs w:val="44"/>
        </w:rPr>
      </w:pPr>
    </w:p>
    <w:p w14:paraId="06EB6336">
      <w:pPr>
        <w:jc w:val="center"/>
        <w:rPr>
          <w:b/>
          <w:sz w:val="44"/>
          <w:szCs w:val="44"/>
        </w:rPr>
      </w:pPr>
      <w:r>
        <w:rPr>
          <w:rFonts w:hint="eastAsia"/>
          <w:b/>
          <w:sz w:val="44"/>
          <w:szCs w:val="44"/>
        </w:rPr>
        <w:t>竞争性磋商文件</w:t>
      </w:r>
    </w:p>
    <w:p w14:paraId="295105EB">
      <w:pPr>
        <w:jc w:val="center"/>
        <w:rPr>
          <w:b/>
          <w:sz w:val="44"/>
          <w:szCs w:val="44"/>
        </w:rPr>
      </w:pPr>
    </w:p>
    <w:p w14:paraId="5A04869F">
      <w:pPr>
        <w:jc w:val="center"/>
        <w:rPr>
          <w:b/>
          <w:sz w:val="44"/>
          <w:szCs w:val="44"/>
        </w:rPr>
      </w:pPr>
    </w:p>
    <w:p w14:paraId="3C63BB00">
      <w:pPr>
        <w:jc w:val="center"/>
        <w:rPr>
          <w:sz w:val="30"/>
          <w:szCs w:val="30"/>
        </w:rPr>
      </w:pPr>
      <w:r>
        <w:rPr>
          <w:rFonts w:hint="eastAsia"/>
          <w:sz w:val="30"/>
          <w:szCs w:val="30"/>
        </w:rPr>
        <w:t>项目编号：</w:t>
      </w:r>
      <w:r>
        <w:rPr>
          <w:rFonts w:hint="eastAsia"/>
          <w:sz w:val="30"/>
          <w:szCs w:val="30"/>
          <w:highlight w:val="none"/>
          <w:lang w:eastAsia="zh-CN"/>
        </w:rPr>
        <w:t>采购计划-[2024]-00317号</w:t>
      </w:r>
      <w:r>
        <w:rPr>
          <w:rFonts w:hint="eastAsia"/>
          <w:sz w:val="30"/>
          <w:szCs w:val="30"/>
        </w:rPr>
        <w:t xml:space="preserve"> </w:t>
      </w:r>
    </w:p>
    <w:p w14:paraId="21051D38">
      <w:pPr>
        <w:jc w:val="center"/>
        <w:rPr>
          <w:sz w:val="30"/>
          <w:szCs w:val="30"/>
        </w:rPr>
      </w:pPr>
    </w:p>
    <w:p w14:paraId="673DEDA9">
      <w:pPr>
        <w:jc w:val="center"/>
        <w:rPr>
          <w:sz w:val="28"/>
          <w:szCs w:val="28"/>
        </w:rPr>
      </w:pPr>
    </w:p>
    <w:p w14:paraId="4E9DFCC6">
      <w:pPr>
        <w:jc w:val="center"/>
        <w:rPr>
          <w:sz w:val="28"/>
          <w:szCs w:val="28"/>
        </w:rPr>
      </w:pPr>
    </w:p>
    <w:p w14:paraId="7092E504">
      <w:pPr>
        <w:jc w:val="left"/>
        <w:rPr>
          <w:rFonts w:hint="eastAsia" w:eastAsia="宋体"/>
          <w:sz w:val="28"/>
          <w:szCs w:val="28"/>
          <w:lang w:eastAsia="zh-CN"/>
        </w:rPr>
      </w:pPr>
      <w:r>
        <w:rPr>
          <w:rFonts w:hint="eastAsia"/>
          <w:sz w:val="28"/>
          <w:szCs w:val="28"/>
        </w:rPr>
        <w:t>招</w:t>
      </w:r>
      <w:r>
        <w:rPr>
          <w:sz w:val="28"/>
          <w:szCs w:val="28"/>
        </w:rPr>
        <w:t>标人：</w:t>
      </w:r>
      <w:r>
        <w:rPr>
          <w:rFonts w:hint="eastAsia"/>
          <w:sz w:val="28"/>
          <w:szCs w:val="28"/>
          <w:lang w:eastAsia="zh-CN"/>
        </w:rPr>
        <w:t>桦甸市自然资源局</w:t>
      </w:r>
    </w:p>
    <w:p w14:paraId="4B8B09CF">
      <w:pPr>
        <w:jc w:val="left"/>
        <w:rPr>
          <w:sz w:val="28"/>
          <w:szCs w:val="28"/>
        </w:rPr>
      </w:pPr>
    </w:p>
    <w:p w14:paraId="532907EC">
      <w:pPr>
        <w:spacing w:line="480" w:lineRule="exact"/>
        <w:jc w:val="left"/>
        <w:rPr>
          <w:sz w:val="28"/>
          <w:szCs w:val="28"/>
        </w:rPr>
      </w:pPr>
      <w:r>
        <w:rPr>
          <w:rFonts w:hint="eastAsia"/>
          <w:sz w:val="28"/>
          <w:szCs w:val="28"/>
        </w:rPr>
        <w:t>招标代理机构：吉林远大工程咨询有限责任公司</w:t>
      </w:r>
    </w:p>
    <w:p w14:paraId="028B4F06">
      <w:pPr>
        <w:jc w:val="center"/>
        <w:rPr>
          <w:sz w:val="30"/>
          <w:szCs w:val="30"/>
        </w:rPr>
      </w:pPr>
    </w:p>
    <w:p w14:paraId="4E2D5306">
      <w:pPr>
        <w:jc w:val="center"/>
        <w:rPr>
          <w:sz w:val="30"/>
          <w:szCs w:val="30"/>
        </w:rPr>
      </w:pPr>
      <w:r>
        <w:rPr>
          <w:rFonts w:hint="eastAsia"/>
          <w:sz w:val="30"/>
          <w:szCs w:val="30"/>
        </w:rPr>
        <w:t>二〇二四年</w:t>
      </w:r>
      <w:r>
        <w:rPr>
          <w:rFonts w:hint="eastAsia"/>
          <w:sz w:val="30"/>
          <w:szCs w:val="30"/>
          <w:lang w:eastAsia="zh-CN"/>
        </w:rPr>
        <w:t>十二</w:t>
      </w:r>
      <w:r>
        <w:rPr>
          <w:rFonts w:hint="eastAsia"/>
          <w:sz w:val="30"/>
          <w:szCs w:val="30"/>
        </w:rPr>
        <w:t>月</w:t>
      </w:r>
    </w:p>
    <w:p w14:paraId="5A342748">
      <w:pPr>
        <w:widowControl/>
        <w:jc w:val="left"/>
      </w:pPr>
      <w:r>
        <w:rPr>
          <w:sz w:val="30"/>
          <w:szCs w:val="30"/>
        </w:rPr>
        <w:br w:type="page"/>
      </w:r>
    </w:p>
    <w:p w14:paraId="162B0EC6">
      <w:pPr>
        <w:pStyle w:val="25"/>
        <w:jc w:val="center"/>
        <w:rPr>
          <w:color w:val="auto"/>
        </w:rPr>
      </w:pPr>
      <w:r>
        <w:rPr>
          <w:color w:val="auto"/>
          <w:lang w:val="zh-CN"/>
        </w:rPr>
        <w:t>目录</w:t>
      </w:r>
    </w:p>
    <w:p w14:paraId="6B24CB2C">
      <w:pPr>
        <w:pStyle w:val="17"/>
        <w:tabs>
          <w:tab w:val="right" w:leader="dot" w:pos="8296"/>
        </w:tabs>
        <w:rPr>
          <w:sz w:val="28"/>
          <w:szCs w:val="28"/>
        </w:rPr>
      </w:pPr>
      <w:r>
        <w:fldChar w:fldCharType="begin"/>
      </w:r>
      <w:r>
        <w:instrText xml:space="preserve"> TOC \o "1-3" \h \z \u </w:instrText>
      </w:r>
      <w:r>
        <w:fldChar w:fldCharType="separate"/>
      </w:r>
      <w:r>
        <w:fldChar w:fldCharType="begin"/>
      </w:r>
      <w:r>
        <w:instrText xml:space="preserve"> HYPERLINK \l "_Toc505691140" </w:instrText>
      </w:r>
      <w:r>
        <w:fldChar w:fldCharType="separate"/>
      </w:r>
      <w:r>
        <w:rPr>
          <w:rStyle w:val="23"/>
          <w:rFonts w:hint="eastAsia"/>
          <w:sz w:val="28"/>
          <w:szCs w:val="28"/>
        </w:rPr>
        <w:t>第一章竞争性磋商公告</w:t>
      </w:r>
      <w:r>
        <w:rPr>
          <w:sz w:val="28"/>
          <w:szCs w:val="28"/>
        </w:rPr>
        <w:tab/>
      </w:r>
      <w:r>
        <w:rPr>
          <w:sz w:val="28"/>
          <w:szCs w:val="28"/>
        </w:rPr>
        <w:fldChar w:fldCharType="begin"/>
      </w:r>
      <w:r>
        <w:rPr>
          <w:sz w:val="28"/>
          <w:szCs w:val="28"/>
        </w:rPr>
        <w:instrText xml:space="preserve"> PAGEREF _Toc505691140 \h </w:instrText>
      </w:r>
      <w:r>
        <w:rPr>
          <w:sz w:val="28"/>
          <w:szCs w:val="28"/>
        </w:rPr>
        <w:fldChar w:fldCharType="separate"/>
      </w:r>
      <w:r>
        <w:rPr>
          <w:sz w:val="28"/>
          <w:szCs w:val="28"/>
        </w:rPr>
        <w:t>2</w:t>
      </w:r>
      <w:r>
        <w:rPr>
          <w:sz w:val="28"/>
          <w:szCs w:val="28"/>
        </w:rPr>
        <w:fldChar w:fldCharType="end"/>
      </w:r>
      <w:r>
        <w:rPr>
          <w:sz w:val="28"/>
          <w:szCs w:val="28"/>
        </w:rPr>
        <w:fldChar w:fldCharType="end"/>
      </w:r>
    </w:p>
    <w:p w14:paraId="6497089F">
      <w:pPr>
        <w:pStyle w:val="17"/>
        <w:tabs>
          <w:tab w:val="right" w:leader="dot" w:pos="8296"/>
        </w:tabs>
        <w:rPr>
          <w:sz w:val="28"/>
          <w:szCs w:val="28"/>
        </w:rPr>
      </w:pPr>
      <w:r>
        <w:fldChar w:fldCharType="begin"/>
      </w:r>
      <w:r>
        <w:instrText xml:space="preserve"> HYPERLINK \l "_Toc505691141" </w:instrText>
      </w:r>
      <w:r>
        <w:fldChar w:fldCharType="separate"/>
      </w:r>
      <w:r>
        <w:rPr>
          <w:rStyle w:val="23"/>
          <w:rFonts w:hint="eastAsia"/>
          <w:sz w:val="28"/>
          <w:szCs w:val="28"/>
        </w:rPr>
        <w:t>第二章供应商须知</w:t>
      </w:r>
      <w:r>
        <w:rPr>
          <w:sz w:val="28"/>
          <w:szCs w:val="28"/>
        </w:rPr>
        <w:tab/>
      </w:r>
      <w:r>
        <w:rPr>
          <w:sz w:val="28"/>
          <w:szCs w:val="28"/>
        </w:rPr>
        <w:fldChar w:fldCharType="begin"/>
      </w:r>
      <w:r>
        <w:rPr>
          <w:sz w:val="28"/>
          <w:szCs w:val="28"/>
        </w:rPr>
        <w:instrText xml:space="preserve"> PAGEREF _Toc505691141 \h </w:instrText>
      </w:r>
      <w:r>
        <w:rPr>
          <w:sz w:val="28"/>
          <w:szCs w:val="28"/>
        </w:rPr>
        <w:fldChar w:fldCharType="separate"/>
      </w:r>
      <w:r>
        <w:rPr>
          <w:sz w:val="28"/>
          <w:szCs w:val="28"/>
        </w:rPr>
        <w:t>5</w:t>
      </w:r>
      <w:r>
        <w:rPr>
          <w:sz w:val="28"/>
          <w:szCs w:val="28"/>
        </w:rPr>
        <w:fldChar w:fldCharType="end"/>
      </w:r>
      <w:r>
        <w:rPr>
          <w:sz w:val="28"/>
          <w:szCs w:val="28"/>
        </w:rPr>
        <w:fldChar w:fldCharType="end"/>
      </w:r>
    </w:p>
    <w:p w14:paraId="18E82034">
      <w:pPr>
        <w:pStyle w:val="17"/>
        <w:tabs>
          <w:tab w:val="right" w:leader="dot" w:pos="8296"/>
        </w:tabs>
        <w:rPr>
          <w:sz w:val="28"/>
          <w:szCs w:val="28"/>
        </w:rPr>
      </w:pPr>
      <w:r>
        <w:fldChar w:fldCharType="begin"/>
      </w:r>
      <w:r>
        <w:instrText xml:space="preserve"> HYPERLINK \l "_Toc505691142" </w:instrText>
      </w:r>
      <w:r>
        <w:fldChar w:fldCharType="separate"/>
      </w:r>
      <w:r>
        <w:rPr>
          <w:rStyle w:val="23"/>
          <w:rFonts w:hint="eastAsia"/>
          <w:sz w:val="28"/>
          <w:szCs w:val="28"/>
        </w:rPr>
        <w:t>第三章评审办法</w:t>
      </w:r>
      <w:r>
        <w:rPr>
          <w:sz w:val="28"/>
          <w:szCs w:val="28"/>
        </w:rPr>
        <w:tab/>
      </w:r>
      <w:r>
        <w:rPr>
          <w:sz w:val="28"/>
          <w:szCs w:val="28"/>
        </w:rPr>
        <w:fldChar w:fldCharType="begin"/>
      </w:r>
      <w:r>
        <w:rPr>
          <w:sz w:val="28"/>
          <w:szCs w:val="28"/>
        </w:rPr>
        <w:instrText xml:space="preserve"> PAGEREF _Toc505691142 \h </w:instrText>
      </w:r>
      <w:r>
        <w:rPr>
          <w:sz w:val="28"/>
          <w:szCs w:val="28"/>
        </w:rPr>
        <w:fldChar w:fldCharType="separate"/>
      </w:r>
      <w:r>
        <w:rPr>
          <w:sz w:val="28"/>
          <w:szCs w:val="28"/>
        </w:rPr>
        <w:t>31</w:t>
      </w:r>
      <w:r>
        <w:rPr>
          <w:sz w:val="28"/>
          <w:szCs w:val="28"/>
        </w:rPr>
        <w:fldChar w:fldCharType="end"/>
      </w:r>
      <w:r>
        <w:rPr>
          <w:sz w:val="28"/>
          <w:szCs w:val="28"/>
        </w:rPr>
        <w:fldChar w:fldCharType="end"/>
      </w:r>
    </w:p>
    <w:p w14:paraId="7933856B">
      <w:pPr>
        <w:pStyle w:val="17"/>
        <w:tabs>
          <w:tab w:val="right" w:leader="dot" w:pos="8296"/>
        </w:tabs>
        <w:rPr>
          <w:sz w:val="28"/>
          <w:szCs w:val="28"/>
        </w:rPr>
      </w:pPr>
      <w:r>
        <w:fldChar w:fldCharType="begin"/>
      </w:r>
      <w:r>
        <w:instrText xml:space="preserve"> HYPERLINK \l "_Toc505691143" </w:instrText>
      </w:r>
      <w:r>
        <w:fldChar w:fldCharType="separate"/>
      </w:r>
      <w:r>
        <w:rPr>
          <w:rStyle w:val="23"/>
          <w:rFonts w:hint="eastAsia"/>
          <w:sz w:val="28"/>
          <w:szCs w:val="28"/>
        </w:rPr>
        <w:t>第四章合同格式</w:t>
      </w:r>
      <w:r>
        <w:rPr>
          <w:rStyle w:val="23"/>
          <w:sz w:val="28"/>
          <w:szCs w:val="28"/>
        </w:rPr>
        <w:t>(</w:t>
      </w:r>
      <w:r>
        <w:rPr>
          <w:rStyle w:val="23"/>
          <w:rFonts w:hint="eastAsia"/>
          <w:sz w:val="28"/>
          <w:szCs w:val="28"/>
        </w:rPr>
        <w:t>参考</w:t>
      </w:r>
      <w:r>
        <w:rPr>
          <w:rStyle w:val="23"/>
          <w:sz w:val="28"/>
          <w:szCs w:val="28"/>
        </w:rPr>
        <w:t>)</w:t>
      </w:r>
      <w:r>
        <w:rPr>
          <w:sz w:val="28"/>
          <w:szCs w:val="28"/>
        </w:rPr>
        <w:tab/>
      </w:r>
      <w:r>
        <w:rPr>
          <w:sz w:val="28"/>
          <w:szCs w:val="28"/>
        </w:rPr>
        <w:fldChar w:fldCharType="begin"/>
      </w:r>
      <w:r>
        <w:rPr>
          <w:sz w:val="28"/>
          <w:szCs w:val="28"/>
        </w:rPr>
        <w:instrText xml:space="preserve"> PAGEREF _Toc505691143 \h </w:instrText>
      </w:r>
      <w:r>
        <w:rPr>
          <w:sz w:val="28"/>
          <w:szCs w:val="28"/>
        </w:rPr>
        <w:fldChar w:fldCharType="separate"/>
      </w:r>
      <w:r>
        <w:rPr>
          <w:sz w:val="28"/>
          <w:szCs w:val="28"/>
        </w:rPr>
        <w:t>38</w:t>
      </w:r>
      <w:r>
        <w:rPr>
          <w:sz w:val="28"/>
          <w:szCs w:val="28"/>
        </w:rPr>
        <w:fldChar w:fldCharType="end"/>
      </w:r>
      <w:r>
        <w:rPr>
          <w:sz w:val="28"/>
          <w:szCs w:val="28"/>
        </w:rPr>
        <w:fldChar w:fldCharType="end"/>
      </w:r>
    </w:p>
    <w:p w14:paraId="029549BD">
      <w:pPr>
        <w:pStyle w:val="17"/>
        <w:tabs>
          <w:tab w:val="right" w:leader="dot" w:pos="8296"/>
        </w:tabs>
        <w:rPr>
          <w:sz w:val="28"/>
          <w:szCs w:val="28"/>
        </w:rPr>
      </w:pPr>
      <w:r>
        <w:fldChar w:fldCharType="begin"/>
      </w:r>
      <w:r>
        <w:instrText xml:space="preserve"> HYPERLINK \l "_Toc505691144" </w:instrText>
      </w:r>
      <w:r>
        <w:fldChar w:fldCharType="separate"/>
      </w:r>
      <w:r>
        <w:rPr>
          <w:rStyle w:val="23"/>
          <w:rFonts w:hint="eastAsia"/>
          <w:sz w:val="28"/>
          <w:szCs w:val="28"/>
        </w:rPr>
        <w:t>第五章技术标准和要求</w:t>
      </w:r>
      <w:r>
        <w:rPr>
          <w:sz w:val="28"/>
          <w:szCs w:val="28"/>
        </w:rPr>
        <w:tab/>
      </w:r>
      <w:r>
        <w:rPr>
          <w:sz w:val="28"/>
          <w:szCs w:val="28"/>
        </w:rPr>
        <w:fldChar w:fldCharType="begin"/>
      </w:r>
      <w:r>
        <w:rPr>
          <w:sz w:val="28"/>
          <w:szCs w:val="28"/>
        </w:rPr>
        <w:instrText xml:space="preserve"> PAGEREF _Toc505691144 \h </w:instrText>
      </w:r>
      <w:r>
        <w:rPr>
          <w:sz w:val="28"/>
          <w:szCs w:val="28"/>
        </w:rPr>
        <w:fldChar w:fldCharType="separate"/>
      </w:r>
      <w:r>
        <w:rPr>
          <w:sz w:val="28"/>
          <w:szCs w:val="28"/>
        </w:rPr>
        <w:t>40</w:t>
      </w:r>
      <w:r>
        <w:rPr>
          <w:sz w:val="28"/>
          <w:szCs w:val="28"/>
        </w:rPr>
        <w:fldChar w:fldCharType="end"/>
      </w:r>
      <w:r>
        <w:rPr>
          <w:sz w:val="28"/>
          <w:szCs w:val="28"/>
        </w:rPr>
        <w:fldChar w:fldCharType="end"/>
      </w:r>
    </w:p>
    <w:p w14:paraId="2DE632ED">
      <w:pPr>
        <w:pStyle w:val="17"/>
        <w:tabs>
          <w:tab w:val="right" w:leader="dot" w:pos="8296"/>
        </w:tabs>
        <w:rPr>
          <w:rStyle w:val="23"/>
        </w:rPr>
      </w:pPr>
      <w:r>
        <w:fldChar w:fldCharType="begin"/>
      </w:r>
      <w:r>
        <w:instrText xml:space="preserve"> HYPERLINK \l "_Toc505691145" </w:instrText>
      </w:r>
      <w:r>
        <w:fldChar w:fldCharType="separate"/>
      </w:r>
      <w:r>
        <w:rPr>
          <w:rStyle w:val="23"/>
          <w:rFonts w:hint="eastAsia"/>
          <w:sz w:val="28"/>
          <w:szCs w:val="28"/>
        </w:rPr>
        <w:t>第六章磋商响应文件格式</w:t>
      </w:r>
      <w:r>
        <w:rPr>
          <w:rStyle w:val="23"/>
        </w:rPr>
        <w:tab/>
      </w:r>
      <w:r>
        <w:rPr>
          <w:sz w:val="28"/>
          <w:szCs w:val="28"/>
        </w:rPr>
        <w:fldChar w:fldCharType="begin"/>
      </w:r>
      <w:r>
        <w:rPr>
          <w:sz w:val="28"/>
          <w:szCs w:val="28"/>
        </w:rPr>
        <w:instrText xml:space="preserve"> PAGEREF _Toc505691145 \h </w:instrText>
      </w:r>
      <w:r>
        <w:rPr>
          <w:sz w:val="28"/>
          <w:szCs w:val="28"/>
        </w:rPr>
        <w:fldChar w:fldCharType="separate"/>
      </w:r>
      <w:r>
        <w:rPr>
          <w:sz w:val="28"/>
          <w:szCs w:val="28"/>
        </w:rPr>
        <w:t>41</w:t>
      </w:r>
      <w:r>
        <w:rPr>
          <w:sz w:val="28"/>
          <w:szCs w:val="28"/>
        </w:rPr>
        <w:fldChar w:fldCharType="end"/>
      </w:r>
      <w:r>
        <w:rPr>
          <w:sz w:val="28"/>
          <w:szCs w:val="28"/>
        </w:rPr>
        <w:fldChar w:fldCharType="end"/>
      </w:r>
    </w:p>
    <w:p w14:paraId="5197DCE6">
      <w:r>
        <w:fldChar w:fldCharType="end"/>
      </w:r>
    </w:p>
    <w:p w14:paraId="1D847FB4">
      <w:pPr>
        <w:widowControl/>
        <w:jc w:val="left"/>
        <w:rPr>
          <w:rFonts w:ascii="Cambria" w:hAnsi="Cambria"/>
          <w:b/>
          <w:bCs/>
          <w:sz w:val="28"/>
          <w:szCs w:val="28"/>
        </w:rPr>
      </w:pPr>
    </w:p>
    <w:p w14:paraId="5A230C8B">
      <w:pPr>
        <w:widowControl/>
        <w:jc w:val="left"/>
        <w:rPr>
          <w:rFonts w:ascii="Cambria" w:hAnsi="Cambria"/>
          <w:b/>
          <w:bCs/>
          <w:sz w:val="28"/>
          <w:szCs w:val="28"/>
        </w:rPr>
      </w:pPr>
      <w:bookmarkStart w:id="0" w:name="_Toc505691140"/>
      <w:r>
        <w:rPr>
          <w:sz w:val="28"/>
          <w:szCs w:val="28"/>
        </w:rPr>
        <w:br w:type="page"/>
      </w:r>
    </w:p>
    <w:p w14:paraId="7E5CA7CA">
      <w:pPr>
        <w:pStyle w:val="5"/>
        <w:jc w:val="center"/>
        <w:rPr>
          <w:sz w:val="28"/>
          <w:szCs w:val="28"/>
        </w:rPr>
      </w:pPr>
      <w:r>
        <w:rPr>
          <w:rFonts w:hint="eastAsia"/>
          <w:sz w:val="28"/>
          <w:szCs w:val="28"/>
        </w:rPr>
        <w:t xml:space="preserve">第一章 </w:t>
      </w:r>
      <w:r>
        <w:rPr>
          <w:rFonts w:hint="eastAsia"/>
        </w:rPr>
        <w:t>竞争性磋商公告</w:t>
      </w:r>
      <w:bookmarkEnd w:id="0"/>
    </w:p>
    <w:p w14:paraId="17B221C5">
      <w:pPr>
        <w:adjustRightInd w:val="0"/>
        <w:snapToGrid w:val="0"/>
        <w:spacing w:line="360" w:lineRule="auto"/>
        <w:jc w:val="center"/>
        <w:rPr>
          <w:rFonts w:hint="eastAsia" w:eastAsia="宋体"/>
          <w:b/>
          <w:sz w:val="24"/>
          <w:szCs w:val="24"/>
          <w:lang w:eastAsia="zh-CN"/>
        </w:rPr>
      </w:pPr>
      <w:bookmarkStart w:id="1" w:name="OLE_LINK5"/>
      <w:bookmarkStart w:id="2" w:name="OLE_LINK2"/>
      <w:bookmarkStart w:id="3" w:name="OLE_LINK4"/>
      <w:bookmarkStart w:id="4" w:name="OLE_LINK3"/>
      <w:bookmarkStart w:id="5" w:name="OLE_LINK1"/>
      <w:bookmarkStart w:id="6" w:name="OLE_LINK6"/>
      <w:r>
        <w:rPr>
          <w:rFonts w:hint="eastAsia"/>
          <w:b/>
          <w:sz w:val="24"/>
          <w:szCs w:val="24"/>
          <w:lang w:eastAsia="zh-CN"/>
        </w:rPr>
        <w:t>桦甸市林权登记成果资料数据整合（一期）项目</w:t>
      </w:r>
    </w:p>
    <w:p w14:paraId="4BDA7EF7">
      <w:pPr>
        <w:adjustRightInd w:val="0"/>
        <w:snapToGrid w:val="0"/>
        <w:spacing w:line="360" w:lineRule="auto"/>
        <w:jc w:val="center"/>
        <w:rPr>
          <w:b/>
          <w:sz w:val="24"/>
          <w:szCs w:val="24"/>
        </w:rPr>
      </w:pPr>
      <w:r>
        <w:rPr>
          <w:rFonts w:hint="eastAsia"/>
          <w:b/>
          <w:sz w:val="24"/>
          <w:szCs w:val="24"/>
        </w:rPr>
        <w:t>竞争性磋商公告</w:t>
      </w:r>
    </w:p>
    <w:p w14:paraId="39582FA8">
      <w:pPr>
        <w:adjustRightInd w:val="0"/>
        <w:snapToGrid w:val="0"/>
        <w:spacing w:line="360" w:lineRule="auto"/>
        <w:jc w:val="cente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8C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522" w:type="dxa"/>
          </w:tcPr>
          <w:p w14:paraId="37600FE7">
            <w:pPr>
              <w:widowControl/>
              <w:adjustRightInd w:val="0"/>
              <w:snapToGrid w:val="0"/>
              <w:jc w:val="left"/>
              <w:rPr>
                <w:rFonts w:ascii="宋体" w:hAnsi="宋体" w:cs="宋体"/>
                <w:bCs/>
                <w:color w:val="0C0C0C"/>
                <w:sz w:val="22"/>
              </w:rPr>
            </w:pPr>
            <w:r>
              <w:rPr>
                <w:rFonts w:hint="eastAsia" w:ascii="宋体" w:hAnsi="宋体" w:cs="宋体"/>
                <w:bCs/>
                <w:color w:val="0C0C0C"/>
                <w:sz w:val="22"/>
              </w:rPr>
              <w:t>项目概况：</w:t>
            </w:r>
          </w:p>
          <w:p w14:paraId="612D945D">
            <w:pPr>
              <w:ind w:firstLine="440" w:firstLineChars="200"/>
              <w:jc w:val="center"/>
              <w:rPr>
                <w:rFonts w:ascii="仿宋_GB2312" w:hAnsi="Times New Roman" w:eastAsia="仿宋_GB2312" w:cs="Times New Roman"/>
                <w:b/>
                <w:sz w:val="22"/>
              </w:rPr>
            </w:pPr>
            <w:r>
              <w:rPr>
                <w:rFonts w:hint="eastAsia" w:ascii="宋体" w:hAnsi="宋体" w:cs="宋体"/>
                <w:bCs/>
                <w:color w:val="0C0C0C"/>
                <w:sz w:val="22"/>
                <w:lang w:eastAsia="zh-CN"/>
              </w:rPr>
              <w:t>桦甸市林权登记成果资料数据整合（一期）项目</w:t>
            </w:r>
            <w:r>
              <w:rPr>
                <w:rFonts w:hint="eastAsia" w:ascii="宋体" w:hAnsi="宋体" w:cs="宋体"/>
                <w:bCs/>
                <w:color w:val="0C0C0C"/>
                <w:sz w:val="22"/>
              </w:rPr>
              <w:t>的潜在政府采购云平台https://www.zcygov.cn获取采购文件，并于</w:t>
            </w:r>
            <w:r>
              <w:rPr>
                <w:rFonts w:hint="eastAsia" w:ascii="宋体" w:hAnsi="宋体" w:cs="宋体"/>
                <w:bCs/>
                <w:color w:val="0C0C0C"/>
                <w:sz w:val="22"/>
                <w:highlight w:val="none"/>
                <w:lang w:eastAsia="zh-CN"/>
              </w:rPr>
              <w:t>2024年12月25日14时00分</w:t>
            </w:r>
            <w:r>
              <w:rPr>
                <w:rFonts w:hint="eastAsia" w:ascii="宋体" w:hAnsi="宋体" w:cs="宋体"/>
                <w:bCs/>
                <w:color w:val="0C0C0C"/>
                <w:sz w:val="22"/>
              </w:rPr>
              <w:t>前提交响应文件。</w:t>
            </w:r>
          </w:p>
        </w:tc>
      </w:tr>
    </w:tbl>
    <w:p w14:paraId="19A05662">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一、项目基本情况</w:t>
      </w:r>
    </w:p>
    <w:p w14:paraId="0C161F33">
      <w:pPr>
        <w:ind w:firstLine="440" w:firstLineChars="200"/>
        <w:rPr>
          <w:rFonts w:hint="eastAsia" w:ascii="宋体" w:hAnsi="宋体" w:eastAsia="宋体" w:cs="宋体"/>
          <w:bCs/>
          <w:color w:val="0C0C0C"/>
          <w:sz w:val="22"/>
          <w:lang w:val="zh-CN" w:eastAsia="zh-CN"/>
        </w:rPr>
      </w:pPr>
      <w:r>
        <w:rPr>
          <w:rFonts w:hint="eastAsia" w:ascii="宋体" w:hAnsi="宋体" w:cs="宋体"/>
          <w:bCs/>
          <w:color w:val="0C0C0C"/>
          <w:sz w:val="22"/>
          <w:lang w:val="zh-CN"/>
        </w:rPr>
        <w:t>项目编号：</w:t>
      </w:r>
      <w:r>
        <w:rPr>
          <w:rFonts w:hint="eastAsia"/>
          <w:sz w:val="22"/>
          <w:highlight w:val="none"/>
          <w:lang w:eastAsia="zh-CN"/>
        </w:rPr>
        <w:t>采购计划-[2024]-00317号</w:t>
      </w:r>
    </w:p>
    <w:p w14:paraId="011C124A">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lang w:val="zh-CN"/>
        </w:rPr>
        <w:t>项目名称：</w:t>
      </w:r>
      <w:r>
        <w:rPr>
          <w:rFonts w:hint="eastAsia" w:ascii="宋体" w:hAnsi="宋体" w:cs="宋体"/>
          <w:bCs/>
          <w:color w:val="0C0C0C"/>
          <w:sz w:val="22"/>
          <w:lang w:eastAsia="zh-CN"/>
        </w:rPr>
        <w:t>桦甸市林权登记成果资料数据整合（一期）项目</w:t>
      </w:r>
    </w:p>
    <w:p w14:paraId="789B4EA7">
      <w:pPr>
        <w:ind w:firstLine="440" w:firstLineChars="200"/>
        <w:rPr>
          <w:rFonts w:ascii="宋体" w:hAnsi="宋体" w:cs="宋体"/>
          <w:bCs/>
          <w:color w:val="0C0C0C"/>
          <w:sz w:val="22"/>
        </w:rPr>
      </w:pPr>
      <w:r>
        <w:rPr>
          <w:rFonts w:hint="eastAsia" w:ascii="宋体" w:hAnsi="宋体" w:cs="宋体"/>
          <w:bCs/>
          <w:color w:val="0C0C0C"/>
          <w:sz w:val="22"/>
        </w:rPr>
        <w:t>采购方式：竞争性磋商</w:t>
      </w:r>
    </w:p>
    <w:p w14:paraId="0D94C4BE">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预算金额：</w:t>
      </w:r>
      <w:r>
        <w:rPr>
          <w:rFonts w:hint="eastAsia" w:ascii="宋体" w:hAnsi="宋体" w:cs="宋体"/>
          <w:bCs/>
          <w:color w:val="0C0C0C"/>
          <w:sz w:val="22"/>
          <w:lang w:eastAsia="zh-CN"/>
        </w:rPr>
        <w:t>111万元</w:t>
      </w:r>
    </w:p>
    <w:p w14:paraId="49704E83">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最高限价：</w:t>
      </w:r>
      <w:r>
        <w:rPr>
          <w:rFonts w:hint="eastAsia" w:ascii="宋体" w:hAnsi="宋体" w:cs="宋体"/>
          <w:bCs/>
          <w:color w:val="0C0C0C"/>
          <w:sz w:val="22"/>
          <w:lang w:eastAsia="zh-CN"/>
        </w:rPr>
        <w:t>111万元</w:t>
      </w:r>
    </w:p>
    <w:p w14:paraId="54BAD163">
      <w:pPr>
        <w:ind w:firstLine="440" w:firstLineChars="200"/>
        <w:rPr>
          <w:rFonts w:ascii="宋体" w:hAnsi="宋体" w:cs="宋体"/>
          <w:bCs/>
          <w:color w:val="0C0C0C"/>
          <w:sz w:val="22"/>
        </w:rPr>
      </w:pPr>
      <w:r>
        <w:rPr>
          <w:rFonts w:hint="eastAsia" w:ascii="宋体" w:hAnsi="宋体" w:cs="宋体"/>
          <w:bCs/>
          <w:color w:val="0C0C0C"/>
          <w:sz w:val="22"/>
        </w:rPr>
        <w:t>采购需求：</w:t>
      </w:r>
      <w:r>
        <w:rPr>
          <w:rFonts w:hint="eastAsia" w:ascii="宋体" w:hAnsi="宋体" w:cs="宋体"/>
          <w:bCs/>
          <w:color w:val="0C0C0C"/>
          <w:sz w:val="22"/>
          <w:highlight w:val="none"/>
          <w:lang w:val="en-US" w:eastAsia="zh-CN"/>
        </w:rPr>
        <w:t>完成桦甸市2012年到2024年，不少于18000宗林权数据资料移交、数据整合和成果汇交。</w:t>
      </w:r>
      <w:r>
        <w:rPr>
          <w:rFonts w:hint="eastAsia" w:ascii="宋体" w:hAnsi="宋体" w:cs="宋体"/>
          <w:bCs/>
          <w:color w:val="0C0C0C"/>
          <w:sz w:val="22"/>
        </w:rPr>
        <w:t>（详见磋商文件）</w:t>
      </w:r>
    </w:p>
    <w:p w14:paraId="26B4685F">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服务期：</w:t>
      </w:r>
      <w:r>
        <w:rPr>
          <w:rFonts w:hint="eastAsia" w:ascii="宋体" w:hAnsi="宋体" w:cs="宋体"/>
          <w:bCs/>
          <w:color w:val="0C0C0C"/>
          <w:sz w:val="22"/>
          <w:lang w:eastAsia="zh-CN"/>
        </w:rPr>
        <w:t>合同签订后6个月内完成所有建设内容</w:t>
      </w:r>
    </w:p>
    <w:p w14:paraId="6AC3E8E4">
      <w:pPr>
        <w:ind w:firstLine="440" w:firstLineChars="200"/>
        <w:rPr>
          <w:rFonts w:ascii="宋体" w:hAnsi="宋体" w:cs="宋体"/>
          <w:bCs/>
          <w:color w:val="0C0C0C"/>
          <w:sz w:val="22"/>
        </w:rPr>
      </w:pPr>
      <w:r>
        <w:rPr>
          <w:rFonts w:hint="eastAsia" w:ascii="宋体" w:hAnsi="宋体" w:cs="宋体"/>
          <w:bCs/>
          <w:color w:val="0C0C0C"/>
          <w:sz w:val="22"/>
        </w:rPr>
        <w:t>合同履行期限：</w:t>
      </w:r>
      <w:r>
        <w:rPr>
          <w:rFonts w:hint="eastAsia" w:ascii="宋体" w:hAnsi="宋体"/>
          <w:bCs/>
          <w:sz w:val="22"/>
          <w:lang w:val="zh-CN"/>
        </w:rPr>
        <w:t>自合同签订之日起至合同履行完毕</w:t>
      </w:r>
    </w:p>
    <w:p w14:paraId="23064259">
      <w:pPr>
        <w:ind w:firstLine="440" w:firstLineChars="200"/>
        <w:rPr>
          <w:rFonts w:ascii="宋体" w:hAnsi="宋体" w:cs="宋体"/>
          <w:bCs/>
          <w:color w:val="0C0C0C"/>
          <w:sz w:val="22"/>
        </w:rPr>
      </w:pPr>
      <w:r>
        <w:rPr>
          <w:rFonts w:hint="eastAsia" w:ascii="宋体" w:hAnsi="宋体" w:cs="宋体"/>
          <w:bCs/>
          <w:color w:val="0C0C0C"/>
          <w:sz w:val="22"/>
        </w:rPr>
        <w:t>项目地点：</w:t>
      </w:r>
      <w:r>
        <w:rPr>
          <w:rFonts w:hint="eastAsia" w:ascii="宋体" w:hAnsi="宋体" w:cs="宋体"/>
          <w:bCs/>
          <w:color w:val="0C0C0C"/>
          <w:sz w:val="22"/>
          <w:lang w:eastAsia="zh-CN"/>
        </w:rPr>
        <w:t>桦甸</w:t>
      </w:r>
      <w:r>
        <w:rPr>
          <w:rFonts w:hint="eastAsia" w:ascii="宋体" w:hAnsi="宋体" w:cs="宋体"/>
          <w:bCs/>
          <w:color w:val="0C0C0C"/>
          <w:sz w:val="22"/>
        </w:rPr>
        <w:t>市</w:t>
      </w:r>
    </w:p>
    <w:p w14:paraId="3D914AA3">
      <w:pPr>
        <w:ind w:firstLine="440" w:firstLineChars="200"/>
        <w:rPr>
          <w:rFonts w:ascii="宋体" w:hAnsi="宋体" w:cs="宋体"/>
          <w:bCs/>
          <w:color w:val="0C0C0C"/>
          <w:sz w:val="22"/>
        </w:rPr>
      </w:pPr>
      <w:r>
        <w:rPr>
          <w:rFonts w:hint="eastAsia" w:ascii="宋体" w:hAnsi="宋体" w:cs="宋体"/>
          <w:bCs/>
          <w:color w:val="0C0C0C"/>
          <w:sz w:val="22"/>
        </w:rPr>
        <w:t>质量标准：</w:t>
      </w:r>
      <w:r>
        <w:rPr>
          <w:rFonts w:hint="eastAsia" w:ascii="宋体" w:hAnsi="宋体" w:cs="Times New Roman"/>
          <w:color w:val="000000"/>
          <w:sz w:val="22"/>
        </w:rPr>
        <w:t>符合国家及行业现行相关标准的合格要求</w:t>
      </w:r>
    </w:p>
    <w:p w14:paraId="29D3F695">
      <w:pPr>
        <w:ind w:firstLine="440" w:firstLineChars="200"/>
        <w:rPr>
          <w:rFonts w:ascii="仿宋_GB2312" w:hAnsi="Times New Roman" w:eastAsia="仿宋_GB2312" w:cs="Times New Roman"/>
          <w:b/>
          <w:sz w:val="22"/>
        </w:rPr>
      </w:pPr>
      <w:r>
        <w:rPr>
          <w:rFonts w:hint="eastAsia" w:ascii="宋体" w:hAnsi="宋体" w:cs="宋体"/>
          <w:bCs/>
          <w:color w:val="0C0C0C"/>
          <w:sz w:val="22"/>
        </w:rPr>
        <w:t>本项目不接受联合体。</w:t>
      </w:r>
    </w:p>
    <w:p w14:paraId="4EC745C0">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二、申请人的资格要求</w:t>
      </w:r>
    </w:p>
    <w:p w14:paraId="2838B407">
      <w:pPr>
        <w:widowControl/>
        <w:shd w:val="clear" w:color="auto" w:fill="FFFFFF"/>
        <w:adjustRightInd w:val="0"/>
        <w:snapToGrid w:val="0"/>
        <w:ind w:firstLine="440" w:firstLineChars="200"/>
        <w:jc w:val="left"/>
        <w:rPr>
          <w:rFonts w:ascii="宋体" w:hAnsi="宋体" w:cs="宋体"/>
          <w:bCs/>
          <w:kern w:val="0"/>
          <w:sz w:val="22"/>
        </w:rPr>
      </w:pPr>
      <w:r>
        <w:rPr>
          <w:rFonts w:hint="eastAsia" w:ascii="宋体" w:hAnsi="宋体" w:cs="宋体"/>
          <w:bCs/>
          <w:kern w:val="0"/>
          <w:sz w:val="22"/>
        </w:rPr>
        <w:t>1.满足《中华人民共和国政府采购法》第二十二条规定；</w:t>
      </w:r>
    </w:p>
    <w:p w14:paraId="34748A6D">
      <w:pPr>
        <w:ind w:firstLine="440" w:firstLineChars="200"/>
        <w:rPr>
          <w:rFonts w:ascii="Times New Roman" w:hAnsi="Times New Roman" w:cs="Times New Roman"/>
          <w:sz w:val="22"/>
        </w:rPr>
      </w:pPr>
      <w:r>
        <w:rPr>
          <w:rFonts w:hint="eastAsia" w:ascii="Times New Roman" w:hAnsi="Times New Roman" w:cs="Times New Roman"/>
          <w:sz w:val="22"/>
        </w:rPr>
        <w:t>（1）具有独立承担民事责任的能力；</w:t>
      </w:r>
    </w:p>
    <w:p w14:paraId="300BE7B6">
      <w:pPr>
        <w:ind w:firstLine="440" w:firstLineChars="200"/>
        <w:rPr>
          <w:rFonts w:ascii="Times New Roman" w:hAnsi="Times New Roman" w:cs="Times New Roman"/>
          <w:sz w:val="22"/>
        </w:rPr>
      </w:pPr>
      <w:r>
        <w:rPr>
          <w:rFonts w:hint="eastAsia" w:ascii="Times New Roman" w:hAnsi="Times New Roman" w:cs="Times New Roman"/>
          <w:sz w:val="22"/>
        </w:rPr>
        <w:t>（2）具有良好的商业信誉和健全的财务会计制度；</w:t>
      </w:r>
    </w:p>
    <w:p w14:paraId="334DF9A3">
      <w:pPr>
        <w:ind w:firstLine="440" w:firstLineChars="200"/>
        <w:rPr>
          <w:rFonts w:ascii="Times New Roman" w:hAnsi="Times New Roman" w:cs="Times New Roman"/>
          <w:sz w:val="22"/>
        </w:rPr>
      </w:pPr>
      <w:r>
        <w:rPr>
          <w:rFonts w:hint="eastAsia" w:ascii="Times New Roman" w:hAnsi="Times New Roman" w:cs="Times New Roman"/>
          <w:sz w:val="22"/>
        </w:rPr>
        <w:t>（3）具有履行合同所必需的设备和专业技术能力；</w:t>
      </w:r>
    </w:p>
    <w:p w14:paraId="6A1117FC">
      <w:pPr>
        <w:ind w:firstLine="440" w:firstLineChars="200"/>
        <w:rPr>
          <w:rFonts w:ascii="Times New Roman" w:hAnsi="Times New Roman" w:cs="Times New Roman"/>
          <w:sz w:val="22"/>
        </w:rPr>
      </w:pPr>
      <w:r>
        <w:rPr>
          <w:rFonts w:hint="eastAsia" w:ascii="Times New Roman" w:hAnsi="Times New Roman" w:cs="Times New Roman"/>
          <w:sz w:val="22"/>
        </w:rPr>
        <w:t>（4）有依法缴纳税收和社会保障资金的良好记录；</w:t>
      </w:r>
    </w:p>
    <w:p w14:paraId="3F031F7D">
      <w:pPr>
        <w:ind w:firstLine="440" w:firstLineChars="200"/>
        <w:rPr>
          <w:rFonts w:ascii="Times New Roman" w:hAnsi="Times New Roman" w:cs="Times New Roman"/>
          <w:sz w:val="22"/>
        </w:rPr>
      </w:pPr>
      <w:r>
        <w:rPr>
          <w:rFonts w:hint="eastAsia" w:ascii="Times New Roman" w:hAnsi="Times New Roman" w:cs="Times New Roman"/>
          <w:sz w:val="22"/>
        </w:rPr>
        <w:t>（5）参加政府采购活动前三年内，在经营活动中没有重大违法记录；</w:t>
      </w:r>
    </w:p>
    <w:p w14:paraId="0A43A75D">
      <w:pPr>
        <w:ind w:firstLine="440" w:firstLineChars="200"/>
        <w:rPr>
          <w:rFonts w:ascii="Times New Roman" w:hAnsi="Times New Roman" w:cs="Times New Roman"/>
          <w:sz w:val="22"/>
        </w:rPr>
      </w:pPr>
      <w:r>
        <w:rPr>
          <w:rFonts w:hint="eastAsia" w:ascii="Times New Roman" w:hAnsi="Times New Roman" w:cs="Times New Roman"/>
          <w:sz w:val="22"/>
        </w:rPr>
        <w:t>（6）法律、行政法规规定的其他条件。</w:t>
      </w:r>
    </w:p>
    <w:p w14:paraId="058EAEA2">
      <w:pPr>
        <w:widowControl/>
        <w:autoSpaceDE w:val="0"/>
        <w:autoSpaceDN w:val="0"/>
        <w:adjustRightInd w:val="0"/>
        <w:spacing w:line="300" w:lineRule="exact"/>
        <w:ind w:firstLine="440" w:firstLineChars="200"/>
        <w:jc w:val="left"/>
        <w:rPr>
          <w:rFonts w:ascii="宋体" w:hAnsi="宋体" w:cs="宋体"/>
          <w:bCs/>
          <w:kern w:val="0"/>
          <w:sz w:val="22"/>
        </w:rPr>
      </w:pPr>
      <w:r>
        <w:rPr>
          <w:rFonts w:hint="eastAsia" w:ascii="宋体" w:hAnsi="宋体" w:cs="宋体"/>
          <w:bCs/>
          <w:kern w:val="0"/>
          <w:sz w:val="22"/>
        </w:rPr>
        <w:t>2.落实政府采购政策需满足的资格要求：</w:t>
      </w:r>
    </w:p>
    <w:p w14:paraId="56BDB2E7">
      <w:pPr>
        <w:widowControl/>
        <w:autoSpaceDE w:val="0"/>
        <w:autoSpaceDN w:val="0"/>
        <w:adjustRightInd w:val="0"/>
        <w:spacing w:line="300" w:lineRule="exact"/>
        <w:ind w:firstLine="440" w:firstLineChars="200"/>
        <w:jc w:val="left"/>
        <w:rPr>
          <w:rFonts w:ascii="宋体" w:hAnsi="宋体" w:cs="宋体"/>
          <w:kern w:val="0"/>
          <w:sz w:val="22"/>
        </w:rPr>
      </w:pPr>
      <w:r>
        <w:rPr>
          <w:rFonts w:hint="eastAsia" w:ascii="宋体" w:hAnsi="宋体" w:cs="宋体"/>
          <w:kern w:val="0"/>
          <w:sz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0B652D73">
      <w:pPr>
        <w:widowControl/>
        <w:autoSpaceDE w:val="0"/>
        <w:autoSpaceDN w:val="0"/>
        <w:adjustRightInd w:val="0"/>
        <w:spacing w:line="300" w:lineRule="exact"/>
        <w:ind w:firstLine="440" w:firstLineChars="200"/>
        <w:jc w:val="left"/>
        <w:rPr>
          <w:rFonts w:ascii="宋体" w:hAnsi="宋体" w:cs="宋体"/>
          <w:color w:val="333333"/>
          <w:sz w:val="22"/>
        </w:rPr>
      </w:pPr>
      <w:r>
        <w:rPr>
          <w:rFonts w:hint="eastAsia" w:ascii="宋体" w:hAnsi="宋体" w:cs="宋体"/>
          <w:bCs/>
          <w:kern w:val="0"/>
          <w:sz w:val="22"/>
        </w:rPr>
        <w:t>3.</w:t>
      </w:r>
      <w:r>
        <w:rPr>
          <w:rFonts w:hint="eastAsia" w:ascii="宋体" w:hAnsi="宋体" w:cs="宋体"/>
          <w:color w:val="333333"/>
          <w:sz w:val="22"/>
        </w:rPr>
        <w:t xml:space="preserve"> 本项目的特定资格要求：</w:t>
      </w:r>
    </w:p>
    <w:p w14:paraId="0251912E">
      <w:pPr>
        <w:widowControl/>
        <w:autoSpaceDE w:val="0"/>
        <w:autoSpaceDN w:val="0"/>
        <w:adjustRightInd w:val="0"/>
        <w:spacing w:line="300" w:lineRule="exact"/>
        <w:ind w:firstLine="440" w:firstLineChars="200"/>
        <w:jc w:val="left"/>
        <w:rPr>
          <w:rFonts w:ascii="宋体" w:hAnsi="宋体" w:cs="宋体"/>
          <w:color w:val="333333"/>
          <w:sz w:val="22"/>
        </w:rPr>
      </w:pPr>
      <w:r>
        <w:rPr>
          <w:rFonts w:hint="eastAsia" w:ascii="宋体" w:hAnsi="宋体" w:cs="宋体"/>
          <w:color w:val="333333"/>
          <w:sz w:val="22"/>
        </w:rPr>
        <w:t>（1）</w:t>
      </w:r>
      <w:r>
        <w:rPr>
          <w:rFonts w:hint="eastAsia" w:ascii="宋体" w:hAnsi="宋体" w:cs="宋体"/>
          <w:color w:val="333333"/>
          <w:sz w:val="22"/>
          <w:lang w:eastAsia="zh-CN"/>
        </w:rPr>
        <w:t>供应商须在中国境内依法登记注册并仍有效存续且具有乙级或乙级以上测绘资质证书（范围包含：地理信息系统工程）</w:t>
      </w:r>
      <w:r>
        <w:rPr>
          <w:rFonts w:hint="eastAsia" w:ascii="宋体" w:hAnsi="宋体" w:cs="宋体"/>
          <w:color w:val="333333"/>
          <w:sz w:val="22"/>
        </w:rPr>
        <w:t>；</w:t>
      </w:r>
    </w:p>
    <w:p w14:paraId="2DD2C840">
      <w:pPr>
        <w:adjustRightInd w:val="0"/>
        <w:snapToGrid w:val="0"/>
        <w:ind w:firstLine="437" w:firstLineChars="199"/>
        <w:rPr>
          <w:rFonts w:ascii="宋体" w:hAnsi="宋体" w:cs="宋体"/>
          <w:sz w:val="22"/>
        </w:rPr>
      </w:pPr>
      <w:r>
        <w:rPr>
          <w:rFonts w:hint="eastAsia" w:ascii="宋体" w:hAnsi="宋体" w:cs="宋体"/>
          <w:color w:val="333333"/>
          <w:sz w:val="22"/>
        </w:rPr>
        <w:t>（2）供应商</w:t>
      </w:r>
      <w:r>
        <w:rPr>
          <w:rFonts w:hint="eastAsia" w:cs="Times New Roman"/>
          <w:color w:val="000000"/>
          <w:sz w:val="22"/>
        </w:rPr>
        <w:t>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r>
        <w:rPr>
          <w:rFonts w:hint="eastAsia" w:ascii="宋体" w:hAnsi="宋体" w:cs="宋体"/>
          <w:color w:val="333333"/>
          <w:sz w:val="22"/>
        </w:rPr>
        <w:t>；</w:t>
      </w:r>
    </w:p>
    <w:p w14:paraId="1294A110">
      <w:pPr>
        <w:adjustRightInd w:val="0"/>
        <w:snapToGrid w:val="0"/>
        <w:ind w:firstLine="440" w:firstLineChars="200"/>
        <w:rPr>
          <w:rFonts w:ascii="宋体" w:hAnsi="宋体" w:cs="宋体"/>
          <w:color w:val="333333"/>
          <w:sz w:val="22"/>
        </w:rPr>
      </w:pPr>
      <w:r>
        <w:rPr>
          <w:rFonts w:hint="eastAsia" w:ascii="宋体" w:hAnsi="宋体" w:cs="宋体"/>
          <w:color w:val="333333"/>
          <w:sz w:val="22"/>
        </w:rPr>
        <w:t>（3）与采购人存在利害关系可能影响招标公正性的法人、其他组织或者个人，不得参加投标。单位负责人为同一人或者存在控股、管理关系的不同单位，不得参加同一标段投标，否则相关投标均无效；</w:t>
      </w:r>
    </w:p>
    <w:p w14:paraId="303E229C">
      <w:pPr>
        <w:adjustRightInd w:val="0"/>
        <w:snapToGrid w:val="0"/>
        <w:ind w:firstLine="440" w:firstLineChars="200"/>
        <w:rPr>
          <w:rFonts w:ascii="宋体" w:hAnsi="宋体" w:cs="宋体"/>
          <w:color w:val="333333"/>
          <w:sz w:val="22"/>
        </w:rPr>
      </w:pPr>
      <w:r>
        <w:rPr>
          <w:rFonts w:hint="eastAsia" w:ascii="宋体" w:hAnsi="宋体" w:cs="宋体"/>
          <w:color w:val="333333"/>
          <w:sz w:val="22"/>
        </w:rPr>
        <w:t>（4）拒绝列入政府取消投标资格记录期间的企业或个人投标。</w:t>
      </w:r>
    </w:p>
    <w:p w14:paraId="33010914">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三、获取采购文件</w:t>
      </w:r>
    </w:p>
    <w:p w14:paraId="16ED59D6">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时间：</w:t>
      </w:r>
      <w:r>
        <w:rPr>
          <w:rFonts w:hint="eastAsia" w:ascii="宋体" w:hAnsi="宋体" w:cs="宋体"/>
          <w:bCs/>
          <w:color w:val="0C0C0C"/>
          <w:sz w:val="22"/>
          <w:lang w:eastAsia="zh-CN"/>
        </w:rPr>
        <w:t>2024年12月13日2024年12月20日</w:t>
      </w:r>
      <w:r>
        <w:rPr>
          <w:rFonts w:hint="eastAsia" w:ascii="宋体" w:hAnsi="宋体" w:cs="宋体"/>
          <w:bCs/>
          <w:color w:val="0C0C0C"/>
          <w:sz w:val="22"/>
        </w:rPr>
        <w:t>，每天上午08:30至11:30，下午13:00至16:00（北京时间，法定节假日除外）</w:t>
      </w:r>
    </w:p>
    <w:p w14:paraId="3160F815">
      <w:pPr>
        <w:widowControl/>
        <w:shd w:val="clear" w:color="auto" w:fill="FFFFFF"/>
        <w:adjustRightInd w:val="0"/>
        <w:snapToGrid w:val="0"/>
        <w:ind w:firstLine="420"/>
        <w:jc w:val="left"/>
        <w:rPr>
          <w:sz w:val="22"/>
        </w:rPr>
      </w:pPr>
      <w:r>
        <w:rPr>
          <w:rFonts w:hint="eastAsia" w:ascii="宋体" w:hAnsi="宋体" w:cs="宋体"/>
          <w:bCs/>
          <w:color w:val="0C0C0C"/>
          <w:sz w:val="22"/>
        </w:rPr>
        <w:t>地点：</w:t>
      </w:r>
      <w:r>
        <w:rPr>
          <w:rFonts w:hint="eastAsia"/>
          <w:sz w:val="22"/>
        </w:rPr>
        <w:t>政采云平台线上获取</w:t>
      </w:r>
    </w:p>
    <w:p w14:paraId="03A2D175">
      <w:pPr>
        <w:adjustRightInd w:val="0"/>
        <w:snapToGrid w:val="0"/>
        <w:spacing w:line="360" w:lineRule="auto"/>
        <w:ind w:firstLine="440" w:firstLineChars="200"/>
        <w:rPr>
          <w:sz w:val="22"/>
        </w:rPr>
      </w:pPr>
      <w:r>
        <w:rPr>
          <w:rFonts w:hint="eastAsia"/>
          <w:sz w:val="22"/>
        </w:rPr>
        <w:t>方式：供应商登录政府采购云平台https://www.zcygov.cn/在线申请获取采购文件（进入“项目采购”应用，在获取采购文件菜单中选择项目，申请获取采购文件）</w:t>
      </w:r>
    </w:p>
    <w:p w14:paraId="7F9E0A87">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售价： 0元</w:t>
      </w:r>
    </w:p>
    <w:p w14:paraId="4351DBAE">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四、响应</w:t>
      </w:r>
      <w:r>
        <w:rPr>
          <w:rFonts w:hint="eastAsia" w:ascii="宋体" w:hAnsi="宋体" w:cs="Times New Roman"/>
          <w:b/>
          <w:color w:val="000000"/>
          <w:sz w:val="22"/>
        </w:rPr>
        <w:t>文件提交：</w:t>
      </w:r>
    </w:p>
    <w:p w14:paraId="3188BFAA">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截止时间：</w:t>
      </w:r>
      <w:r>
        <w:rPr>
          <w:rFonts w:hint="eastAsia" w:ascii="宋体" w:hAnsi="宋体" w:cs="宋体"/>
          <w:bCs/>
          <w:color w:val="0C0C0C"/>
          <w:sz w:val="22"/>
          <w:lang w:eastAsia="zh-CN"/>
        </w:rPr>
        <w:t>2024年12月25日14时00分</w:t>
      </w:r>
      <w:r>
        <w:rPr>
          <w:rFonts w:hint="eastAsia" w:ascii="宋体" w:hAnsi="宋体" w:cs="宋体"/>
          <w:bCs/>
          <w:color w:val="0C0C0C"/>
          <w:sz w:val="22"/>
        </w:rPr>
        <w:t>（北京时间）</w:t>
      </w:r>
    </w:p>
    <w:p w14:paraId="3F6A5A3D">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地点：政府采购云平台，本项目执行电子化招投标，供应商须通过政府采购云平台（网址：http</w:t>
      </w:r>
      <w:r>
        <w:rPr>
          <w:rFonts w:hint="eastAsia" w:ascii="宋体" w:hAnsi="宋体" w:cs="宋体"/>
          <w:bCs/>
          <w:color w:val="0C0C0C"/>
          <w:sz w:val="22"/>
          <w:lang w:val="en-US" w:eastAsia="zh-CN"/>
        </w:rPr>
        <w:t>s</w:t>
      </w:r>
      <w:r>
        <w:rPr>
          <w:rFonts w:hint="eastAsia" w:ascii="宋体" w:hAnsi="宋体" w:cs="宋体"/>
          <w:bCs/>
          <w:color w:val="0C0C0C"/>
          <w:sz w:val="22"/>
        </w:rPr>
        <w:t>://www.zcygov.cn）上传递交电子版投标文件</w:t>
      </w:r>
    </w:p>
    <w:p w14:paraId="6484D0F1">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五、开启</w:t>
      </w:r>
      <w:r>
        <w:rPr>
          <w:rFonts w:hint="eastAsia" w:ascii="宋体" w:hAnsi="宋体" w:cs="Times New Roman"/>
          <w:b/>
          <w:color w:val="000000"/>
          <w:sz w:val="22"/>
        </w:rPr>
        <w:t>：</w:t>
      </w:r>
    </w:p>
    <w:p w14:paraId="0C02E601">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时间：</w:t>
      </w:r>
      <w:r>
        <w:rPr>
          <w:rFonts w:hint="eastAsia" w:ascii="宋体" w:hAnsi="宋体" w:cs="宋体"/>
          <w:bCs/>
          <w:color w:val="0C0C0C"/>
          <w:sz w:val="22"/>
          <w:lang w:eastAsia="zh-CN"/>
        </w:rPr>
        <w:t>2024年12月25日14时00分</w:t>
      </w:r>
      <w:r>
        <w:rPr>
          <w:rFonts w:hint="eastAsia" w:ascii="宋体" w:hAnsi="宋体" w:cs="宋体"/>
          <w:bCs/>
          <w:color w:val="0C0C0C"/>
          <w:sz w:val="22"/>
        </w:rPr>
        <w:t>（北京时间）</w:t>
      </w:r>
    </w:p>
    <w:p w14:paraId="2A364595">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地点：</w:t>
      </w:r>
      <w:r>
        <w:rPr>
          <w:rFonts w:hint="eastAsia" w:ascii="宋体" w:hAnsi="宋体" w:cs="宋体"/>
          <w:bCs/>
          <w:color w:val="0C0C0C"/>
          <w:sz w:val="22"/>
          <w:highlight w:val="none"/>
          <w:lang w:eastAsia="zh-CN"/>
        </w:rPr>
        <w:t>桦甸大街66号桦甸市人民政府信息中心开标室一</w:t>
      </w:r>
    </w:p>
    <w:p w14:paraId="537628D2">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六、公告期限</w:t>
      </w:r>
      <w:r>
        <w:rPr>
          <w:rFonts w:hint="eastAsia" w:ascii="宋体" w:hAnsi="宋体" w:cs="Times New Roman"/>
          <w:b/>
          <w:color w:val="000000"/>
          <w:sz w:val="22"/>
        </w:rPr>
        <w:t>：</w:t>
      </w:r>
    </w:p>
    <w:p w14:paraId="2B953622">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自本公告发布之日起5个工作日。</w:t>
      </w:r>
    </w:p>
    <w:p w14:paraId="34FA5BBE">
      <w:pPr>
        <w:widowControl/>
        <w:shd w:val="clear" w:color="auto" w:fill="FFFFFF"/>
        <w:adjustRightInd w:val="0"/>
        <w:snapToGrid w:val="0"/>
        <w:jc w:val="left"/>
        <w:rPr>
          <w:rFonts w:ascii="宋体" w:hAnsi="宋体" w:cs="宋体"/>
          <w:bCs/>
          <w:color w:val="0C0C0C"/>
          <w:sz w:val="22"/>
        </w:rPr>
      </w:pPr>
      <w:r>
        <w:rPr>
          <w:rFonts w:hint="eastAsia" w:ascii="Times New Roman" w:hAnsi="Times New Roman" w:cs="Times New Roman"/>
          <w:b/>
          <w:color w:val="000000"/>
          <w:sz w:val="22"/>
          <w:shd w:val="clear" w:color="auto" w:fill="FFFFFF"/>
        </w:rPr>
        <w:t>七、其他补充事宜</w:t>
      </w:r>
    </w:p>
    <w:p w14:paraId="6552C9A4">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1.供应商在政府采购云平台网注册入库成为正式供应商后，在平台上按《政府采购项目电子交易管理操作指南-供应商》进行投标操作。投标人须办理数字证书方可参加投标。</w:t>
      </w:r>
    </w:p>
    <w:p w14:paraId="7AE8B6A5">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2.收到CA锁以后在“政采云”登陆界面，点击CA登录-CA驱动下载-下载并安装政采云投标客户端和CA驱动，账号绑定CA后才能进行投标文件制作。</w:t>
      </w:r>
    </w:p>
    <w:p w14:paraId="6551EC05">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3.若对项目采购电子交易系统操作有疑问，可登录“政采云”平台，点击右侧咨询小采，获取采小蜜智能服务管家帮助，或拨打政采云服务热线95763获取帮助。</w:t>
      </w:r>
    </w:p>
    <w:p w14:paraId="004F4842">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4.本次磋商公告在吉林省政府采购云平台（同步推送到吉林省政府采购网）、中国政府采购网上同时发布。</w:t>
      </w:r>
    </w:p>
    <w:p w14:paraId="3D65B4C3">
      <w:pPr>
        <w:widowControl/>
        <w:shd w:val="clear" w:color="auto" w:fill="FFFFFF"/>
        <w:adjustRightInd w:val="0"/>
        <w:snapToGrid w:val="0"/>
        <w:jc w:val="left"/>
        <w:rPr>
          <w:rFonts w:ascii="Times New Roman" w:hAnsi="Times New Roman" w:cs="Times New Roman"/>
          <w:b/>
          <w:color w:val="000000"/>
          <w:sz w:val="22"/>
          <w:shd w:val="clear" w:color="auto" w:fill="FFFFFF"/>
        </w:rPr>
      </w:pPr>
      <w:r>
        <w:rPr>
          <w:rFonts w:hint="eastAsia" w:ascii="Times New Roman" w:hAnsi="Times New Roman" w:cs="Times New Roman"/>
          <w:b/>
          <w:color w:val="000000"/>
          <w:sz w:val="22"/>
          <w:shd w:val="clear" w:color="auto" w:fill="FFFFFF"/>
        </w:rPr>
        <w:t>八、凡对本次采购提出询问，请按以下方式联系。</w:t>
      </w:r>
    </w:p>
    <w:p w14:paraId="34A7D9F5">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1.采购人信息</w:t>
      </w:r>
    </w:p>
    <w:p w14:paraId="56589DE0">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名称：</w:t>
      </w:r>
      <w:r>
        <w:rPr>
          <w:rFonts w:hint="eastAsia" w:ascii="宋体" w:hAnsi="宋体" w:cs="宋体"/>
          <w:bCs/>
          <w:color w:val="0C0C0C"/>
          <w:sz w:val="22"/>
          <w:lang w:eastAsia="zh-CN"/>
        </w:rPr>
        <w:t>桦甸市自然资源局</w:t>
      </w:r>
    </w:p>
    <w:p w14:paraId="1238D8F7">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地址：</w:t>
      </w:r>
      <w:r>
        <w:rPr>
          <w:rFonts w:hint="eastAsia" w:ascii="宋体" w:hAnsi="宋体" w:cs="宋体"/>
          <w:bCs/>
          <w:color w:val="0C0C0C"/>
          <w:sz w:val="22"/>
          <w:lang w:eastAsia="zh-CN"/>
        </w:rPr>
        <w:t>桦甸市金华路317号</w:t>
      </w:r>
    </w:p>
    <w:p w14:paraId="1905FF58">
      <w:pPr>
        <w:widowControl/>
        <w:shd w:val="clear" w:color="auto" w:fill="FFFFFF"/>
        <w:adjustRightInd w:val="0"/>
        <w:snapToGrid w:val="0"/>
        <w:ind w:firstLine="440" w:firstLineChars="200"/>
        <w:jc w:val="left"/>
        <w:rPr>
          <w:rFonts w:hint="eastAsia" w:ascii="宋体" w:hAnsi="宋体" w:eastAsia="宋体" w:cs="宋体"/>
          <w:bCs/>
          <w:color w:val="0C0C0C"/>
          <w:sz w:val="22"/>
          <w:lang w:eastAsia="zh-CN"/>
        </w:rPr>
      </w:pPr>
      <w:r>
        <w:rPr>
          <w:rFonts w:hint="eastAsia" w:ascii="宋体" w:hAnsi="宋体" w:cs="宋体"/>
          <w:bCs/>
          <w:color w:val="0C0C0C"/>
          <w:sz w:val="22"/>
        </w:rPr>
        <w:t>联系人：</w:t>
      </w:r>
      <w:r>
        <w:rPr>
          <w:rFonts w:hint="eastAsia" w:ascii="宋体" w:hAnsi="宋体" w:cs="宋体"/>
          <w:bCs/>
          <w:color w:val="0C0C0C"/>
          <w:sz w:val="22"/>
          <w:lang w:eastAsia="zh-CN"/>
        </w:rPr>
        <w:t>李林强</w:t>
      </w:r>
    </w:p>
    <w:p w14:paraId="2AF6B872">
      <w:pPr>
        <w:widowControl/>
        <w:shd w:val="clear" w:color="auto" w:fill="FFFFFF"/>
        <w:adjustRightInd w:val="0"/>
        <w:snapToGrid w:val="0"/>
        <w:ind w:firstLine="440" w:firstLineChars="200"/>
        <w:jc w:val="left"/>
        <w:rPr>
          <w:rFonts w:hint="eastAsia" w:ascii="宋体" w:hAnsi="宋体" w:eastAsia="宋体" w:cs="宋体"/>
          <w:bCs/>
          <w:color w:val="0C0C0C"/>
          <w:sz w:val="22"/>
          <w:lang w:eastAsia="zh-CN"/>
        </w:rPr>
      </w:pPr>
      <w:r>
        <w:rPr>
          <w:rFonts w:hint="eastAsia" w:ascii="宋体" w:hAnsi="宋体" w:cs="宋体"/>
          <w:bCs/>
          <w:color w:val="0C0C0C"/>
          <w:sz w:val="22"/>
        </w:rPr>
        <w:t>联系方式：</w:t>
      </w:r>
      <w:r>
        <w:rPr>
          <w:rFonts w:hint="eastAsia" w:ascii="宋体" w:hAnsi="宋体" w:cs="宋体"/>
          <w:bCs/>
          <w:color w:val="0C0C0C"/>
          <w:sz w:val="22"/>
          <w:lang w:eastAsia="zh-CN"/>
        </w:rPr>
        <w:t>15943260049</w:t>
      </w:r>
    </w:p>
    <w:p w14:paraId="751C94E3">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2.采购代理机构信息</w:t>
      </w:r>
    </w:p>
    <w:p w14:paraId="262538AC">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名称：吉林远大工程咨询有限责任公司</w:t>
      </w:r>
    </w:p>
    <w:p w14:paraId="769DE00D">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 xml:space="preserve">地址：吉林市丰满区松江南路55-56号金建集团办公楼临河北门  </w:t>
      </w:r>
    </w:p>
    <w:p w14:paraId="7F456144">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联系人：袭淑清</w:t>
      </w:r>
    </w:p>
    <w:p w14:paraId="132FFFF8">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联系方式：0432-67655555</w:t>
      </w:r>
    </w:p>
    <w:p w14:paraId="5BC3819C">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3.项目联系方式</w:t>
      </w:r>
    </w:p>
    <w:p w14:paraId="4807E42E">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项目联系人：袭淑清</w:t>
      </w:r>
    </w:p>
    <w:p w14:paraId="152BD4E0">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电　　 话：0432-67655555</w:t>
      </w:r>
    </w:p>
    <w:p w14:paraId="055A8F08">
      <w:pPr>
        <w:widowControl/>
        <w:shd w:val="clear" w:color="auto" w:fill="FFFFFF"/>
        <w:adjustRightInd w:val="0"/>
        <w:snapToGrid w:val="0"/>
        <w:ind w:firstLine="440" w:firstLineChars="200"/>
        <w:jc w:val="left"/>
        <w:rPr>
          <w:rFonts w:ascii="宋体" w:hAnsi="宋体" w:cs="宋体"/>
          <w:bCs/>
          <w:color w:val="0C0C0C"/>
          <w:sz w:val="22"/>
        </w:rPr>
      </w:pPr>
      <w:bookmarkStart w:id="7" w:name="OLE_LINK8"/>
      <w:r>
        <w:rPr>
          <w:rFonts w:hint="eastAsia" w:ascii="宋体" w:hAnsi="宋体" w:cs="宋体"/>
          <w:bCs/>
          <w:color w:val="0C0C0C"/>
          <w:sz w:val="22"/>
        </w:rPr>
        <w:t>招标监督管理部门：</w:t>
      </w:r>
      <w:bookmarkEnd w:id="7"/>
      <w:r>
        <w:rPr>
          <w:rFonts w:hint="eastAsia" w:ascii="宋体" w:hAnsi="宋体" w:cs="宋体"/>
          <w:bCs/>
          <w:color w:val="0C0C0C"/>
          <w:sz w:val="22"/>
          <w:lang w:eastAsia="zh-CN"/>
        </w:rPr>
        <w:t>桦甸市财政局政府采购管理工作办公室</w:t>
      </w:r>
      <w:r>
        <w:rPr>
          <w:rFonts w:hint="eastAsia" w:ascii="宋体" w:hAnsi="宋体" w:cs="宋体"/>
          <w:bCs/>
          <w:color w:val="0C0C0C"/>
          <w:sz w:val="22"/>
        </w:rPr>
        <w:t xml:space="preserve">   </w:t>
      </w:r>
    </w:p>
    <w:bookmarkEnd w:id="1"/>
    <w:bookmarkEnd w:id="2"/>
    <w:bookmarkEnd w:id="3"/>
    <w:bookmarkEnd w:id="4"/>
    <w:bookmarkEnd w:id="5"/>
    <w:bookmarkEnd w:id="6"/>
    <w:p w14:paraId="03BA2531">
      <w:pPr>
        <w:widowControl/>
        <w:jc w:val="left"/>
        <w:rPr>
          <w:rFonts w:ascii="Cambria" w:hAnsi="Cambria"/>
          <w:b/>
          <w:bCs/>
          <w:sz w:val="30"/>
          <w:szCs w:val="30"/>
        </w:rPr>
      </w:pPr>
      <w:bookmarkStart w:id="8" w:name="_Toc505691141"/>
      <w:r>
        <w:rPr>
          <w:sz w:val="30"/>
          <w:szCs w:val="30"/>
        </w:rPr>
        <w:br w:type="page"/>
      </w:r>
    </w:p>
    <w:p w14:paraId="73C0DFD9">
      <w:pPr>
        <w:pStyle w:val="5"/>
        <w:jc w:val="center"/>
      </w:pPr>
      <w:r>
        <w:rPr>
          <w:sz w:val="30"/>
          <w:szCs w:val="30"/>
        </w:rPr>
        <w:t>第二章</w:t>
      </w:r>
      <w:r>
        <w:rPr>
          <w:rFonts w:hint="eastAsia"/>
        </w:rPr>
        <w:t>供应商须知</w:t>
      </w:r>
      <w:bookmarkEnd w:id="8"/>
    </w:p>
    <w:p w14:paraId="1C5B47E6">
      <w:pPr>
        <w:jc w:val="center"/>
        <w:rPr>
          <w:rFonts w:ascii="宋体" w:hAnsi="宋体"/>
          <w:b/>
          <w:bCs/>
          <w:sz w:val="26"/>
        </w:rPr>
      </w:pPr>
      <w:bookmarkStart w:id="9" w:name="_Toc28831"/>
      <w:r>
        <w:rPr>
          <w:rFonts w:hint="eastAsia" w:ascii="宋体" w:hAnsi="宋体"/>
          <w:b/>
          <w:bCs/>
          <w:sz w:val="26"/>
        </w:rPr>
        <w:t>供应商须知前附表</w:t>
      </w:r>
      <w:bookmarkEnd w:id="9"/>
    </w:p>
    <w:tbl>
      <w:tblPr>
        <w:tblStyle w:val="19"/>
        <w:tblW w:w="8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
        <w:gridCol w:w="2080"/>
        <w:gridCol w:w="5337"/>
      </w:tblGrid>
      <w:tr w14:paraId="2408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897" w:type="dxa"/>
            <w:gridSpan w:val="2"/>
            <w:vAlign w:val="center"/>
          </w:tcPr>
          <w:p w14:paraId="4DC62912">
            <w:pPr>
              <w:spacing w:line="360" w:lineRule="auto"/>
              <w:rPr>
                <w:rFonts w:ascii="宋体" w:hAnsi="宋体"/>
                <w:szCs w:val="21"/>
              </w:rPr>
            </w:pPr>
            <w:r>
              <w:rPr>
                <w:rFonts w:hint="eastAsia" w:ascii="宋体" w:hAnsi="宋体"/>
                <w:szCs w:val="21"/>
              </w:rPr>
              <w:t>条款号</w:t>
            </w:r>
          </w:p>
        </w:tc>
        <w:tc>
          <w:tcPr>
            <w:tcW w:w="2080" w:type="dxa"/>
            <w:vAlign w:val="center"/>
          </w:tcPr>
          <w:p w14:paraId="0A74A556">
            <w:pPr>
              <w:spacing w:line="360" w:lineRule="auto"/>
              <w:rPr>
                <w:rFonts w:ascii="宋体" w:hAnsi="宋体"/>
                <w:szCs w:val="21"/>
              </w:rPr>
            </w:pPr>
            <w:r>
              <w:rPr>
                <w:rFonts w:hint="eastAsia" w:ascii="宋体" w:hAnsi="宋体"/>
                <w:szCs w:val="21"/>
              </w:rPr>
              <w:t>条  款  名  称</w:t>
            </w:r>
          </w:p>
        </w:tc>
        <w:tc>
          <w:tcPr>
            <w:tcW w:w="5337" w:type="dxa"/>
            <w:vAlign w:val="center"/>
          </w:tcPr>
          <w:p w14:paraId="5A07D5DD">
            <w:pPr>
              <w:spacing w:line="360" w:lineRule="auto"/>
              <w:rPr>
                <w:rFonts w:ascii="宋体" w:hAnsi="宋体"/>
                <w:szCs w:val="21"/>
              </w:rPr>
            </w:pPr>
            <w:r>
              <w:rPr>
                <w:rFonts w:hint="eastAsia" w:ascii="宋体" w:hAnsi="宋体"/>
                <w:szCs w:val="21"/>
              </w:rPr>
              <w:t>编  列  内  容</w:t>
            </w:r>
          </w:p>
        </w:tc>
      </w:tr>
      <w:tr w14:paraId="19BC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87" w:hRule="atLeast"/>
        </w:trPr>
        <w:tc>
          <w:tcPr>
            <w:tcW w:w="897" w:type="dxa"/>
            <w:gridSpan w:val="2"/>
            <w:shd w:val="clear" w:color="auto" w:fill="auto"/>
            <w:vAlign w:val="center"/>
          </w:tcPr>
          <w:p w14:paraId="56CC37AD">
            <w:pPr>
              <w:spacing w:line="360" w:lineRule="auto"/>
              <w:rPr>
                <w:rFonts w:ascii="宋体" w:hAnsi="宋体"/>
                <w:szCs w:val="21"/>
              </w:rPr>
            </w:pPr>
            <w:r>
              <w:rPr>
                <w:rFonts w:hint="eastAsia" w:ascii="宋体" w:hAnsi="宋体"/>
                <w:szCs w:val="21"/>
              </w:rPr>
              <w:t>1.1.1</w:t>
            </w:r>
          </w:p>
        </w:tc>
        <w:tc>
          <w:tcPr>
            <w:tcW w:w="2080" w:type="dxa"/>
            <w:shd w:val="clear" w:color="auto" w:fill="auto"/>
            <w:vAlign w:val="center"/>
          </w:tcPr>
          <w:p w14:paraId="65734471">
            <w:pPr>
              <w:spacing w:line="360" w:lineRule="auto"/>
              <w:rPr>
                <w:rFonts w:ascii="宋体" w:hAnsi="宋体"/>
                <w:szCs w:val="21"/>
              </w:rPr>
            </w:pPr>
            <w:r>
              <w:rPr>
                <w:rFonts w:hint="eastAsia" w:ascii="宋体" w:hAnsi="宋体"/>
                <w:szCs w:val="21"/>
              </w:rPr>
              <w:t>采购人</w:t>
            </w:r>
          </w:p>
        </w:tc>
        <w:tc>
          <w:tcPr>
            <w:tcW w:w="5337" w:type="dxa"/>
            <w:shd w:val="clear" w:color="auto" w:fill="FFFFFF"/>
            <w:vAlign w:val="center"/>
          </w:tcPr>
          <w:p w14:paraId="583FFA43">
            <w:pPr>
              <w:spacing w:line="480" w:lineRule="exact"/>
              <w:rPr>
                <w:rFonts w:hint="eastAsia" w:eastAsia="宋体"/>
                <w:szCs w:val="21"/>
                <w:lang w:eastAsia="zh-CN"/>
              </w:rPr>
            </w:pPr>
            <w:r>
              <w:rPr>
                <w:rFonts w:hint="eastAsia"/>
                <w:szCs w:val="21"/>
              </w:rPr>
              <w:t>招标人：</w:t>
            </w:r>
            <w:r>
              <w:rPr>
                <w:rFonts w:hint="eastAsia"/>
                <w:szCs w:val="21"/>
                <w:lang w:eastAsia="zh-CN"/>
              </w:rPr>
              <w:t>桦甸市自然资源局</w:t>
            </w:r>
          </w:p>
          <w:p w14:paraId="76E31839">
            <w:pPr>
              <w:spacing w:line="480" w:lineRule="exact"/>
              <w:rPr>
                <w:szCs w:val="21"/>
              </w:rPr>
            </w:pPr>
            <w:r>
              <w:rPr>
                <w:rFonts w:hint="eastAsia"/>
                <w:szCs w:val="21"/>
              </w:rPr>
              <w:t>地    址：</w:t>
            </w:r>
            <w:r>
              <w:rPr>
                <w:rFonts w:hint="eastAsia" w:ascii="宋体" w:hAnsi="宋体" w:cs="宋体"/>
                <w:bCs/>
                <w:color w:val="0C0C0C"/>
                <w:sz w:val="22"/>
                <w:lang w:eastAsia="zh-CN"/>
              </w:rPr>
              <w:t>桦甸市金华路317号</w:t>
            </w:r>
          </w:p>
          <w:p w14:paraId="395339FD">
            <w:pPr>
              <w:spacing w:line="480" w:lineRule="exact"/>
              <w:rPr>
                <w:rFonts w:hint="eastAsia" w:eastAsia="宋体"/>
                <w:szCs w:val="21"/>
                <w:lang w:eastAsia="zh-CN"/>
              </w:rPr>
            </w:pPr>
            <w:r>
              <w:rPr>
                <w:rFonts w:hint="eastAsia"/>
                <w:szCs w:val="21"/>
              </w:rPr>
              <w:t>联系人：</w:t>
            </w:r>
            <w:r>
              <w:rPr>
                <w:rFonts w:hint="eastAsia"/>
                <w:szCs w:val="21"/>
                <w:lang w:eastAsia="zh-CN"/>
              </w:rPr>
              <w:t>李林强</w:t>
            </w:r>
          </w:p>
          <w:p w14:paraId="3B6BC014">
            <w:pPr>
              <w:spacing w:line="360" w:lineRule="auto"/>
              <w:rPr>
                <w:rFonts w:hint="eastAsia" w:ascii="宋体" w:hAnsi="宋体" w:eastAsia="宋体"/>
                <w:szCs w:val="21"/>
                <w:highlight w:val="yellow"/>
                <w:lang w:eastAsia="zh-CN"/>
              </w:rPr>
            </w:pPr>
            <w:r>
              <w:rPr>
                <w:rFonts w:hint="eastAsia"/>
                <w:szCs w:val="21"/>
              </w:rPr>
              <w:t>联系电话：</w:t>
            </w:r>
            <w:r>
              <w:rPr>
                <w:rFonts w:hint="eastAsia"/>
                <w:szCs w:val="21"/>
                <w:lang w:eastAsia="zh-CN"/>
              </w:rPr>
              <w:t>15943260049</w:t>
            </w:r>
          </w:p>
        </w:tc>
      </w:tr>
      <w:tr w14:paraId="4CFF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12" w:hRule="atLeast"/>
        </w:trPr>
        <w:tc>
          <w:tcPr>
            <w:tcW w:w="897" w:type="dxa"/>
            <w:gridSpan w:val="2"/>
            <w:vAlign w:val="center"/>
          </w:tcPr>
          <w:p w14:paraId="4BA73B65">
            <w:pPr>
              <w:spacing w:line="360" w:lineRule="auto"/>
              <w:rPr>
                <w:rFonts w:ascii="宋体" w:hAnsi="宋体"/>
                <w:szCs w:val="21"/>
              </w:rPr>
            </w:pPr>
            <w:r>
              <w:rPr>
                <w:rFonts w:hint="eastAsia" w:ascii="宋体" w:hAnsi="宋体"/>
                <w:szCs w:val="21"/>
              </w:rPr>
              <w:t>1.1.2</w:t>
            </w:r>
          </w:p>
        </w:tc>
        <w:tc>
          <w:tcPr>
            <w:tcW w:w="2080" w:type="dxa"/>
            <w:vAlign w:val="center"/>
          </w:tcPr>
          <w:p w14:paraId="2503F091">
            <w:pPr>
              <w:spacing w:line="360" w:lineRule="auto"/>
              <w:rPr>
                <w:rFonts w:ascii="宋体" w:hAnsi="宋体"/>
                <w:szCs w:val="21"/>
              </w:rPr>
            </w:pPr>
            <w:r>
              <w:rPr>
                <w:rFonts w:hint="eastAsia" w:ascii="宋体" w:hAnsi="宋体"/>
                <w:szCs w:val="21"/>
              </w:rPr>
              <w:t>采购代理机构</w:t>
            </w:r>
          </w:p>
        </w:tc>
        <w:tc>
          <w:tcPr>
            <w:tcW w:w="5337" w:type="dxa"/>
            <w:vAlign w:val="center"/>
          </w:tcPr>
          <w:p w14:paraId="2E6541C4">
            <w:pPr>
              <w:autoSpaceDE w:val="0"/>
              <w:autoSpaceDN w:val="0"/>
              <w:spacing w:line="520" w:lineRule="exact"/>
              <w:jc w:val="left"/>
              <w:rPr>
                <w:rFonts w:ascii="宋体" w:hAnsi="宋体"/>
                <w:szCs w:val="21"/>
                <w:lang w:val="zh-CN"/>
              </w:rPr>
            </w:pPr>
            <w:r>
              <w:rPr>
                <w:rFonts w:hint="eastAsia" w:ascii="宋体" w:hAnsi="宋体"/>
                <w:szCs w:val="21"/>
                <w:lang w:val="zh-CN"/>
              </w:rPr>
              <w:t>招标代理机构：吉林远大工程咨询有限责任公司</w:t>
            </w:r>
          </w:p>
          <w:p w14:paraId="500552F0">
            <w:pPr>
              <w:autoSpaceDE w:val="0"/>
              <w:autoSpaceDN w:val="0"/>
              <w:spacing w:line="520" w:lineRule="exact"/>
              <w:jc w:val="left"/>
              <w:rPr>
                <w:rFonts w:ascii="宋体" w:hAnsi="宋体"/>
                <w:szCs w:val="21"/>
                <w:lang w:val="zh-CN"/>
              </w:rPr>
            </w:pPr>
            <w:r>
              <w:rPr>
                <w:rFonts w:hint="eastAsia" w:ascii="宋体" w:hAnsi="宋体"/>
                <w:szCs w:val="21"/>
                <w:lang w:val="zh-CN"/>
              </w:rPr>
              <w:t xml:space="preserve">地址：吉林市丰满区松江南路55-56号金建集团办公楼临河北门  </w:t>
            </w:r>
          </w:p>
          <w:p w14:paraId="09EB31F2">
            <w:pPr>
              <w:autoSpaceDE w:val="0"/>
              <w:autoSpaceDN w:val="0"/>
              <w:spacing w:line="520" w:lineRule="exact"/>
              <w:jc w:val="left"/>
              <w:rPr>
                <w:rFonts w:ascii="宋体" w:hAnsi="宋体"/>
                <w:szCs w:val="21"/>
                <w:lang w:val="zh-CN"/>
              </w:rPr>
            </w:pPr>
            <w:r>
              <w:rPr>
                <w:rFonts w:hint="eastAsia" w:ascii="宋体" w:hAnsi="宋体"/>
                <w:szCs w:val="21"/>
                <w:lang w:val="zh-CN"/>
              </w:rPr>
              <w:t>联系人：袭淑清</w:t>
            </w:r>
          </w:p>
          <w:p w14:paraId="0B69EBBF">
            <w:pPr>
              <w:spacing w:line="520" w:lineRule="exact"/>
              <w:jc w:val="left"/>
              <w:rPr>
                <w:rFonts w:ascii="宋体" w:hAnsi="宋体"/>
                <w:szCs w:val="21"/>
                <w:lang w:val="zh-CN"/>
              </w:rPr>
            </w:pPr>
            <w:r>
              <w:rPr>
                <w:rFonts w:hint="eastAsia" w:ascii="宋体" w:hAnsi="宋体"/>
                <w:szCs w:val="21"/>
                <w:lang w:val="zh-CN"/>
              </w:rPr>
              <w:t>联系电话：0432-67655555</w:t>
            </w:r>
          </w:p>
        </w:tc>
      </w:tr>
      <w:tr w14:paraId="2B76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9" w:hRule="atLeast"/>
        </w:trPr>
        <w:tc>
          <w:tcPr>
            <w:tcW w:w="897" w:type="dxa"/>
            <w:gridSpan w:val="2"/>
            <w:vAlign w:val="center"/>
          </w:tcPr>
          <w:p w14:paraId="6F2DDB63">
            <w:pPr>
              <w:spacing w:line="360" w:lineRule="auto"/>
              <w:rPr>
                <w:rFonts w:ascii="宋体" w:hAnsi="宋体"/>
                <w:szCs w:val="21"/>
              </w:rPr>
            </w:pPr>
            <w:r>
              <w:rPr>
                <w:rFonts w:hint="eastAsia" w:ascii="宋体" w:hAnsi="宋体"/>
                <w:szCs w:val="21"/>
              </w:rPr>
              <w:t>1.1.3</w:t>
            </w:r>
          </w:p>
        </w:tc>
        <w:tc>
          <w:tcPr>
            <w:tcW w:w="2080" w:type="dxa"/>
            <w:vAlign w:val="center"/>
          </w:tcPr>
          <w:p w14:paraId="02B2263E">
            <w:pPr>
              <w:spacing w:line="360" w:lineRule="auto"/>
              <w:rPr>
                <w:rFonts w:ascii="宋体" w:hAnsi="宋体"/>
                <w:szCs w:val="21"/>
              </w:rPr>
            </w:pPr>
            <w:r>
              <w:rPr>
                <w:rFonts w:hint="eastAsia" w:ascii="宋体" w:hAnsi="宋体"/>
                <w:szCs w:val="21"/>
              </w:rPr>
              <w:t>项目名称</w:t>
            </w:r>
          </w:p>
        </w:tc>
        <w:tc>
          <w:tcPr>
            <w:tcW w:w="5337" w:type="dxa"/>
            <w:vAlign w:val="center"/>
          </w:tcPr>
          <w:p w14:paraId="64EE2023">
            <w:pPr>
              <w:spacing w:line="360" w:lineRule="auto"/>
              <w:rPr>
                <w:rFonts w:hint="eastAsia" w:eastAsia="宋体"/>
                <w:szCs w:val="21"/>
                <w:lang w:eastAsia="zh-CN"/>
              </w:rPr>
            </w:pPr>
            <w:r>
              <w:rPr>
                <w:rFonts w:hint="eastAsia"/>
                <w:szCs w:val="21"/>
                <w:lang w:eastAsia="zh-CN"/>
              </w:rPr>
              <w:t>桦甸市林权登记成果资料数据整合（一期）项目</w:t>
            </w:r>
          </w:p>
        </w:tc>
      </w:tr>
      <w:tr w14:paraId="58C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9" w:hRule="atLeast"/>
        </w:trPr>
        <w:tc>
          <w:tcPr>
            <w:tcW w:w="897" w:type="dxa"/>
            <w:gridSpan w:val="2"/>
            <w:vAlign w:val="center"/>
          </w:tcPr>
          <w:p w14:paraId="4A9B4771">
            <w:pPr>
              <w:spacing w:line="360" w:lineRule="auto"/>
              <w:rPr>
                <w:rFonts w:ascii="宋体" w:hAnsi="宋体"/>
                <w:szCs w:val="21"/>
              </w:rPr>
            </w:pPr>
            <w:r>
              <w:rPr>
                <w:rFonts w:hint="eastAsia" w:ascii="宋体" w:hAnsi="宋体"/>
                <w:szCs w:val="21"/>
              </w:rPr>
              <w:t>1.2.1</w:t>
            </w:r>
          </w:p>
        </w:tc>
        <w:tc>
          <w:tcPr>
            <w:tcW w:w="2080" w:type="dxa"/>
            <w:vAlign w:val="center"/>
          </w:tcPr>
          <w:p w14:paraId="526EC766">
            <w:pPr>
              <w:spacing w:line="360" w:lineRule="auto"/>
              <w:rPr>
                <w:rFonts w:ascii="宋体" w:hAnsi="宋体"/>
                <w:szCs w:val="21"/>
              </w:rPr>
            </w:pPr>
            <w:r>
              <w:rPr>
                <w:rFonts w:hint="eastAsia" w:ascii="宋体" w:hAnsi="宋体"/>
                <w:szCs w:val="21"/>
              </w:rPr>
              <w:t>资金来源</w:t>
            </w:r>
          </w:p>
        </w:tc>
        <w:tc>
          <w:tcPr>
            <w:tcW w:w="5337" w:type="dxa"/>
            <w:vAlign w:val="center"/>
          </w:tcPr>
          <w:p w14:paraId="7ADD1F30">
            <w:pPr>
              <w:spacing w:line="360" w:lineRule="auto"/>
              <w:rPr>
                <w:rFonts w:ascii="宋体" w:hAnsi="宋体"/>
                <w:szCs w:val="21"/>
              </w:rPr>
            </w:pPr>
            <w:r>
              <w:rPr>
                <w:rFonts w:hint="eastAsia" w:ascii="宋体" w:hAnsi="宋体"/>
                <w:szCs w:val="21"/>
              </w:rPr>
              <w:t>财政资金</w:t>
            </w:r>
          </w:p>
        </w:tc>
      </w:tr>
      <w:tr w14:paraId="0C6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9" w:hRule="atLeast"/>
        </w:trPr>
        <w:tc>
          <w:tcPr>
            <w:tcW w:w="897" w:type="dxa"/>
            <w:gridSpan w:val="2"/>
            <w:vAlign w:val="center"/>
          </w:tcPr>
          <w:p w14:paraId="76B185C1">
            <w:pPr>
              <w:spacing w:line="360" w:lineRule="auto"/>
              <w:rPr>
                <w:rFonts w:ascii="宋体" w:hAnsi="宋体"/>
                <w:szCs w:val="21"/>
              </w:rPr>
            </w:pPr>
            <w:r>
              <w:rPr>
                <w:rFonts w:hint="eastAsia" w:ascii="宋体" w:hAnsi="宋体"/>
                <w:szCs w:val="21"/>
              </w:rPr>
              <w:t>1.2.2</w:t>
            </w:r>
          </w:p>
        </w:tc>
        <w:tc>
          <w:tcPr>
            <w:tcW w:w="2080" w:type="dxa"/>
            <w:vAlign w:val="center"/>
          </w:tcPr>
          <w:p w14:paraId="134FF76B">
            <w:pPr>
              <w:spacing w:line="360" w:lineRule="auto"/>
              <w:rPr>
                <w:rFonts w:ascii="宋体" w:hAnsi="宋体"/>
                <w:szCs w:val="21"/>
              </w:rPr>
            </w:pPr>
            <w:r>
              <w:rPr>
                <w:rFonts w:hint="eastAsia" w:ascii="宋体" w:hAnsi="宋体"/>
                <w:szCs w:val="21"/>
              </w:rPr>
              <w:t>出资比例</w:t>
            </w:r>
          </w:p>
        </w:tc>
        <w:tc>
          <w:tcPr>
            <w:tcW w:w="5337" w:type="dxa"/>
            <w:vAlign w:val="center"/>
          </w:tcPr>
          <w:p w14:paraId="12D9C9F8">
            <w:pPr>
              <w:spacing w:line="360" w:lineRule="auto"/>
              <w:rPr>
                <w:rFonts w:ascii="宋体" w:hAnsi="宋体"/>
                <w:szCs w:val="21"/>
              </w:rPr>
            </w:pPr>
            <w:r>
              <w:rPr>
                <w:rFonts w:hint="eastAsia" w:ascii="宋体" w:hAnsi="宋体"/>
                <w:szCs w:val="21"/>
              </w:rPr>
              <w:t>100%</w:t>
            </w:r>
          </w:p>
        </w:tc>
      </w:tr>
      <w:tr w14:paraId="60E4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9" w:hRule="atLeast"/>
        </w:trPr>
        <w:tc>
          <w:tcPr>
            <w:tcW w:w="897" w:type="dxa"/>
            <w:gridSpan w:val="2"/>
            <w:vAlign w:val="center"/>
          </w:tcPr>
          <w:p w14:paraId="533ADE5A">
            <w:pPr>
              <w:spacing w:line="360" w:lineRule="auto"/>
              <w:rPr>
                <w:rFonts w:ascii="宋体" w:hAnsi="宋体"/>
                <w:szCs w:val="21"/>
              </w:rPr>
            </w:pPr>
            <w:r>
              <w:rPr>
                <w:rFonts w:hint="eastAsia" w:ascii="宋体" w:hAnsi="宋体"/>
                <w:szCs w:val="21"/>
              </w:rPr>
              <w:t>1.2.3</w:t>
            </w:r>
          </w:p>
        </w:tc>
        <w:tc>
          <w:tcPr>
            <w:tcW w:w="2080" w:type="dxa"/>
            <w:vAlign w:val="center"/>
          </w:tcPr>
          <w:p w14:paraId="39CDC39F">
            <w:pPr>
              <w:spacing w:line="360" w:lineRule="auto"/>
              <w:rPr>
                <w:rFonts w:ascii="宋体" w:hAnsi="宋体"/>
                <w:szCs w:val="21"/>
              </w:rPr>
            </w:pPr>
            <w:r>
              <w:rPr>
                <w:rFonts w:hint="eastAsia" w:ascii="宋体" w:hAnsi="宋体"/>
                <w:szCs w:val="21"/>
              </w:rPr>
              <w:t>资金落实情况</w:t>
            </w:r>
          </w:p>
        </w:tc>
        <w:tc>
          <w:tcPr>
            <w:tcW w:w="5337" w:type="dxa"/>
            <w:vAlign w:val="center"/>
          </w:tcPr>
          <w:p w14:paraId="2DC1327E">
            <w:pPr>
              <w:spacing w:line="360" w:lineRule="auto"/>
              <w:rPr>
                <w:rFonts w:ascii="宋体" w:hAnsi="宋体"/>
                <w:szCs w:val="21"/>
              </w:rPr>
            </w:pPr>
            <w:r>
              <w:rPr>
                <w:rFonts w:hint="eastAsia" w:ascii="宋体" w:hAnsi="宋体"/>
                <w:szCs w:val="21"/>
              </w:rPr>
              <w:t>已落实</w:t>
            </w:r>
          </w:p>
        </w:tc>
      </w:tr>
      <w:tr w14:paraId="3D83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9" w:hRule="atLeast"/>
        </w:trPr>
        <w:tc>
          <w:tcPr>
            <w:tcW w:w="897" w:type="dxa"/>
            <w:gridSpan w:val="2"/>
            <w:vAlign w:val="center"/>
          </w:tcPr>
          <w:p w14:paraId="4650641C">
            <w:pPr>
              <w:spacing w:line="360" w:lineRule="auto"/>
              <w:rPr>
                <w:rFonts w:ascii="宋体" w:hAnsi="宋体"/>
                <w:szCs w:val="21"/>
              </w:rPr>
            </w:pPr>
            <w:r>
              <w:rPr>
                <w:rFonts w:hint="eastAsia" w:ascii="宋体" w:hAnsi="宋体"/>
                <w:szCs w:val="21"/>
              </w:rPr>
              <w:t>1.3.1</w:t>
            </w:r>
          </w:p>
        </w:tc>
        <w:tc>
          <w:tcPr>
            <w:tcW w:w="2080" w:type="dxa"/>
            <w:vAlign w:val="center"/>
          </w:tcPr>
          <w:p w14:paraId="101FAE1D">
            <w:pPr>
              <w:spacing w:line="360" w:lineRule="auto"/>
              <w:rPr>
                <w:rFonts w:ascii="宋体" w:hAnsi="宋体"/>
                <w:szCs w:val="21"/>
              </w:rPr>
            </w:pPr>
            <w:r>
              <w:rPr>
                <w:rFonts w:hint="eastAsia" w:ascii="宋体" w:hAnsi="宋体"/>
                <w:szCs w:val="21"/>
              </w:rPr>
              <w:t>采购范围</w:t>
            </w:r>
          </w:p>
        </w:tc>
        <w:tc>
          <w:tcPr>
            <w:tcW w:w="5337" w:type="dxa"/>
            <w:vAlign w:val="center"/>
          </w:tcPr>
          <w:p w14:paraId="5BB2A583">
            <w:pPr>
              <w:spacing w:line="360" w:lineRule="auto"/>
              <w:rPr>
                <w:rFonts w:ascii="宋体" w:hAnsi="宋体"/>
                <w:szCs w:val="21"/>
              </w:rPr>
            </w:pPr>
            <w:r>
              <w:rPr>
                <w:rFonts w:hint="eastAsia" w:ascii="宋体" w:hAnsi="宋体" w:cs="宋体"/>
                <w:bCs/>
                <w:color w:val="0C0C0C"/>
                <w:sz w:val="22"/>
                <w:highlight w:val="none"/>
                <w:lang w:val="en-US" w:eastAsia="zh-CN"/>
              </w:rPr>
              <w:t>完成桦甸市2012年到2024年，不少于18000宗林权数据资料移交、数据整合和成果汇交。</w:t>
            </w:r>
            <w:r>
              <w:rPr>
                <w:rFonts w:hint="eastAsia" w:ascii="宋体" w:hAnsi="宋体" w:cs="宋体"/>
                <w:bCs/>
                <w:color w:val="0C0C0C"/>
                <w:sz w:val="22"/>
                <w:highlight w:val="none"/>
              </w:rPr>
              <w:t>（详见磋商文件）。</w:t>
            </w:r>
            <w:r>
              <w:rPr>
                <w:rFonts w:hint="eastAsia"/>
                <w:highlight w:val="none"/>
              </w:rPr>
              <w:t>详见</w:t>
            </w:r>
            <w:r>
              <w:rPr>
                <w:rFonts w:hint="eastAsia" w:ascii="宋体" w:hAnsi="宋体"/>
                <w:szCs w:val="21"/>
                <w:highlight w:val="none"/>
              </w:rPr>
              <w:t>第五章“技术标准和要求”。</w:t>
            </w:r>
          </w:p>
        </w:tc>
      </w:tr>
      <w:tr w14:paraId="40B2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9" w:hRule="atLeast"/>
        </w:trPr>
        <w:tc>
          <w:tcPr>
            <w:tcW w:w="897" w:type="dxa"/>
            <w:gridSpan w:val="2"/>
            <w:vAlign w:val="center"/>
          </w:tcPr>
          <w:p w14:paraId="7C4CF782">
            <w:pPr>
              <w:spacing w:line="360" w:lineRule="auto"/>
              <w:rPr>
                <w:rFonts w:ascii="宋体" w:hAnsi="宋体"/>
                <w:szCs w:val="21"/>
              </w:rPr>
            </w:pPr>
            <w:r>
              <w:rPr>
                <w:rFonts w:hint="eastAsia" w:ascii="宋体" w:hAnsi="宋体"/>
                <w:szCs w:val="21"/>
              </w:rPr>
              <w:t>1.3.2</w:t>
            </w:r>
          </w:p>
        </w:tc>
        <w:tc>
          <w:tcPr>
            <w:tcW w:w="2080" w:type="dxa"/>
            <w:vAlign w:val="center"/>
          </w:tcPr>
          <w:p w14:paraId="0AD3FC34">
            <w:pPr>
              <w:spacing w:line="360" w:lineRule="auto"/>
              <w:rPr>
                <w:rFonts w:ascii="宋体" w:hAnsi="宋体"/>
                <w:szCs w:val="21"/>
              </w:rPr>
            </w:pPr>
            <w:r>
              <w:rPr>
                <w:rFonts w:hint="eastAsia" w:ascii="宋体" w:hAnsi="宋体"/>
                <w:szCs w:val="21"/>
              </w:rPr>
              <w:t>供货（服务）期</w:t>
            </w:r>
          </w:p>
        </w:tc>
        <w:tc>
          <w:tcPr>
            <w:tcW w:w="5337" w:type="dxa"/>
            <w:vAlign w:val="center"/>
          </w:tcPr>
          <w:p w14:paraId="6255D068">
            <w:pPr>
              <w:spacing w:line="360" w:lineRule="auto"/>
              <w:rPr>
                <w:rFonts w:hint="eastAsia" w:ascii="宋体" w:hAnsi="宋体" w:eastAsia="宋体"/>
                <w:szCs w:val="21"/>
                <w:lang w:eastAsia="zh-CN"/>
              </w:rPr>
            </w:pPr>
            <w:r>
              <w:rPr>
                <w:rFonts w:hint="eastAsia" w:ascii="宋体" w:hAnsi="宋体"/>
                <w:szCs w:val="21"/>
                <w:lang w:eastAsia="zh-CN"/>
              </w:rPr>
              <w:t>合同签订后6个月内完成所有建设内容</w:t>
            </w:r>
          </w:p>
        </w:tc>
      </w:tr>
      <w:tr w14:paraId="7853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8" w:hRule="atLeast"/>
        </w:trPr>
        <w:tc>
          <w:tcPr>
            <w:tcW w:w="897" w:type="dxa"/>
            <w:gridSpan w:val="2"/>
            <w:vAlign w:val="center"/>
          </w:tcPr>
          <w:p w14:paraId="645F0804">
            <w:pPr>
              <w:spacing w:line="360" w:lineRule="auto"/>
              <w:rPr>
                <w:rFonts w:ascii="宋体" w:hAnsi="宋体"/>
                <w:szCs w:val="21"/>
              </w:rPr>
            </w:pPr>
            <w:r>
              <w:rPr>
                <w:rFonts w:hint="eastAsia" w:ascii="宋体" w:hAnsi="宋体"/>
                <w:szCs w:val="21"/>
              </w:rPr>
              <w:t>1.4.1</w:t>
            </w:r>
          </w:p>
        </w:tc>
        <w:tc>
          <w:tcPr>
            <w:tcW w:w="2080" w:type="dxa"/>
            <w:vAlign w:val="center"/>
          </w:tcPr>
          <w:p w14:paraId="3CDE0002">
            <w:pPr>
              <w:spacing w:line="360" w:lineRule="auto"/>
              <w:rPr>
                <w:rFonts w:ascii="宋体" w:hAnsi="宋体"/>
                <w:szCs w:val="21"/>
              </w:rPr>
            </w:pPr>
            <w:r>
              <w:rPr>
                <w:rFonts w:hint="eastAsia" w:ascii="宋体" w:hAnsi="宋体"/>
                <w:szCs w:val="21"/>
              </w:rPr>
              <w:t>供应商资质条件、</w:t>
            </w:r>
          </w:p>
          <w:p w14:paraId="53CEA87F">
            <w:pPr>
              <w:spacing w:line="360" w:lineRule="auto"/>
              <w:rPr>
                <w:rFonts w:ascii="宋体" w:hAnsi="宋体"/>
                <w:szCs w:val="21"/>
              </w:rPr>
            </w:pPr>
            <w:r>
              <w:rPr>
                <w:rFonts w:hint="eastAsia" w:ascii="宋体" w:hAnsi="宋体"/>
                <w:szCs w:val="21"/>
              </w:rPr>
              <w:t>能力和信誉</w:t>
            </w:r>
          </w:p>
        </w:tc>
        <w:tc>
          <w:tcPr>
            <w:tcW w:w="5337" w:type="dxa"/>
            <w:vAlign w:val="center"/>
          </w:tcPr>
          <w:p w14:paraId="6943A27A">
            <w:pPr>
              <w:adjustRightInd w:val="0"/>
              <w:snapToGrid w:val="0"/>
              <w:spacing w:line="360" w:lineRule="auto"/>
              <w:ind w:firstLine="210" w:firstLineChars="100"/>
              <w:rPr>
                <w:szCs w:val="21"/>
              </w:rPr>
            </w:pPr>
            <w:r>
              <w:rPr>
                <w:rFonts w:hint="eastAsia"/>
                <w:szCs w:val="21"/>
              </w:rPr>
              <w:t>1.满足《中华人民共和国政府采购法》第二十二条规定；</w:t>
            </w:r>
          </w:p>
          <w:p w14:paraId="111F3FC9">
            <w:pPr>
              <w:adjustRightInd w:val="0"/>
              <w:snapToGrid w:val="0"/>
              <w:spacing w:line="360" w:lineRule="auto"/>
              <w:ind w:firstLine="210" w:firstLineChars="100"/>
              <w:rPr>
                <w:szCs w:val="21"/>
              </w:rPr>
            </w:pPr>
            <w:r>
              <w:rPr>
                <w:rFonts w:hint="eastAsia"/>
                <w:szCs w:val="21"/>
              </w:rPr>
              <w:t>（1）具有独立承担民事责任的能力；</w:t>
            </w:r>
          </w:p>
          <w:p w14:paraId="14B32EC8">
            <w:pPr>
              <w:adjustRightInd w:val="0"/>
              <w:snapToGrid w:val="0"/>
              <w:spacing w:line="360" w:lineRule="auto"/>
              <w:ind w:firstLine="210" w:firstLineChars="100"/>
              <w:rPr>
                <w:szCs w:val="21"/>
              </w:rPr>
            </w:pPr>
            <w:r>
              <w:rPr>
                <w:rFonts w:hint="eastAsia"/>
                <w:szCs w:val="21"/>
              </w:rPr>
              <w:t>（2）具有良好的商业信誉和健全的财务会计制度；</w:t>
            </w:r>
          </w:p>
          <w:p w14:paraId="193F075B">
            <w:pPr>
              <w:adjustRightInd w:val="0"/>
              <w:snapToGrid w:val="0"/>
              <w:spacing w:line="360" w:lineRule="auto"/>
              <w:ind w:firstLine="210" w:firstLineChars="100"/>
              <w:rPr>
                <w:szCs w:val="21"/>
              </w:rPr>
            </w:pPr>
            <w:r>
              <w:rPr>
                <w:rFonts w:hint="eastAsia"/>
                <w:szCs w:val="21"/>
              </w:rPr>
              <w:t>（3）具有履行合同所必需的设备和专业技术能力；</w:t>
            </w:r>
          </w:p>
          <w:p w14:paraId="5A863597">
            <w:pPr>
              <w:adjustRightInd w:val="0"/>
              <w:snapToGrid w:val="0"/>
              <w:spacing w:line="360" w:lineRule="auto"/>
              <w:ind w:firstLine="210" w:firstLineChars="100"/>
              <w:rPr>
                <w:szCs w:val="21"/>
              </w:rPr>
            </w:pPr>
            <w:r>
              <w:rPr>
                <w:rFonts w:hint="eastAsia"/>
                <w:szCs w:val="21"/>
              </w:rPr>
              <w:t>（4）有依法缴纳税收和社会保障资金的良好记录；</w:t>
            </w:r>
          </w:p>
          <w:p w14:paraId="571C6167">
            <w:pPr>
              <w:adjustRightInd w:val="0"/>
              <w:snapToGrid w:val="0"/>
              <w:spacing w:line="360" w:lineRule="auto"/>
              <w:ind w:firstLine="210" w:firstLineChars="100"/>
              <w:rPr>
                <w:szCs w:val="21"/>
              </w:rPr>
            </w:pPr>
            <w:r>
              <w:rPr>
                <w:rFonts w:hint="eastAsia"/>
                <w:szCs w:val="21"/>
              </w:rPr>
              <w:t>（5）参加政府采购活动前三年内，在经营活动中没有重大违法记录；</w:t>
            </w:r>
          </w:p>
          <w:p w14:paraId="2580C063">
            <w:pPr>
              <w:adjustRightInd w:val="0"/>
              <w:snapToGrid w:val="0"/>
              <w:spacing w:line="360" w:lineRule="auto"/>
              <w:ind w:firstLine="210" w:firstLineChars="100"/>
              <w:rPr>
                <w:szCs w:val="21"/>
              </w:rPr>
            </w:pPr>
            <w:r>
              <w:rPr>
                <w:rFonts w:hint="eastAsia"/>
                <w:szCs w:val="21"/>
              </w:rPr>
              <w:t>（6）法律、行政法规规定的其他条件。</w:t>
            </w:r>
          </w:p>
          <w:p w14:paraId="78683AAA">
            <w:pPr>
              <w:adjustRightInd w:val="0"/>
              <w:snapToGrid w:val="0"/>
              <w:spacing w:line="360" w:lineRule="auto"/>
              <w:ind w:firstLine="210" w:firstLineChars="100"/>
              <w:rPr>
                <w:szCs w:val="21"/>
              </w:rPr>
            </w:pPr>
            <w:r>
              <w:rPr>
                <w:rFonts w:hint="eastAsia"/>
                <w:szCs w:val="21"/>
              </w:rPr>
              <w:t>2.落实政府采购政策需满足的资格要求：</w:t>
            </w:r>
          </w:p>
          <w:p w14:paraId="0A53592C">
            <w:pPr>
              <w:adjustRightInd w:val="0"/>
              <w:snapToGrid w:val="0"/>
              <w:spacing w:line="360" w:lineRule="auto"/>
              <w:ind w:firstLine="210" w:firstLineChars="100"/>
              <w:rPr>
                <w:szCs w:val="21"/>
              </w:rPr>
            </w:pPr>
            <w:r>
              <w:rPr>
                <w:rFonts w:hint="eastAsia"/>
                <w:szCs w:val="21"/>
              </w:rPr>
              <w:t>关于印发《政</w:t>
            </w:r>
            <w:r>
              <w:rPr>
                <w:rFonts w:hint="eastAsia" w:ascii="宋体" w:hAnsi="宋体"/>
                <w:sz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192B671A">
            <w:pPr>
              <w:adjustRightInd w:val="0"/>
              <w:snapToGrid w:val="0"/>
              <w:spacing w:line="360" w:lineRule="auto"/>
              <w:ind w:firstLine="210" w:firstLineChars="100"/>
              <w:rPr>
                <w:szCs w:val="21"/>
              </w:rPr>
            </w:pPr>
            <w:r>
              <w:rPr>
                <w:rFonts w:hint="eastAsia"/>
                <w:szCs w:val="21"/>
              </w:rPr>
              <w:t>3. 本项目的特定资格要求：</w:t>
            </w:r>
          </w:p>
          <w:p w14:paraId="0E5C2D27">
            <w:pPr>
              <w:adjustRightInd w:val="0"/>
              <w:snapToGrid w:val="0"/>
              <w:spacing w:line="360" w:lineRule="auto"/>
              <w:ind w:firstLine="210" w:firstLineChars="100"/>
              <w:rPr>
                <w:szCs w:val="21"/>
              </w:rPr>
            </w:pPr>
            <w:r>
              <w:rPr>
                <w:rFonts w:hint="eastAsia"/>
                <w:szCs w:val="21"/>
              </w:rPr>
              <w:t>（1）</w:t>
            </w:r>
            <w:r>
              <w:rPr>
                <w:rFonts w:hint="eastAsia"/>
                <w:szCs w:val="21"/>
                <w:lang w:eastAsia="zh-CN"/>
              </w:rPr>
              <w:t>供应商须在中国境内依法登记注册并仍有效存续且具有乙级或乙级以上测绘资质证书（范围包含：地理信息系统工程）</w:t>
            </w:r>
            <w:r>
              <w:rPr>
                <w:rFonts w:hint="eastAsia"/>
                <w:szCs w:val="21"/>
              </w:rPr>
              <w:t>；</w:t>
            </w:r>
          </w:p>
          <w:p w14:paraId="252EE898">
            <w:pPr>
              <w:adjustRightInd w:val="0"/>
              <w:snapToGrid w:val="0"/>
              <w:spacing w:line="360" w:lineRule="auto"/>
              <w:ind w:firstLine="210" w:firstLineChars="100"/>
              <w:rPr>
                <w:szCs w:val="21"/>
              </w:rPr>
            </w:pPr>
            <w:r>
              <w:rPr>
                <w:rFonts w:hint="eastAsia"/>
                <w:szCs w:val="21"/>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3BFA0885">
            <w:pPr>
              <w:adjustRightInd w:val="0"/>
              <w:snapToGrid w:val="0"/>
              <w:spacing w:line="360" w:lineRule="auto"/>
              <w:ind w:firstLine="210" w:firstLineChars="100"/>
              <w:rPr>
                <w:szCs w:val="21"/>
              </w:rPr>
            </w:pPr>
            <w:r>
              <w:rPr>
                <w:rFonts w:hint="eastAsia"/>
                <w:szCs w:val="21"/>
              </w:rPr>
              <w:t>（3）与采购人存在利害关系可能影响招标公正性的法人、其他组织或者个人，不得参加投标。单位负责人为同一人或者存在控股、管理关系的不同单位，不得参加同一标段投标，否则相关投标均无效；</w:t>
            </w:r>
          </w:p>
          <w:p w14:paraId="660BBE9B">
            <w:pPr>
              <w:spacing w:line="360" w:lineRule="auto"/>
              <w:ind w:firstLine="210" w:firstLineChars="100"/>
              <w:rPr>
                <w:rFonts w:ascii="宋体" w:hAnsi="宋体"/>
                <w:szCs w:val="21"/>
              </w:rPr>
            </w:pPr>
            <w:r>
              <w:rPr>
                <w:rFonts w:hint="eastAsia"/>
                <w:szCs w:val="21"/>
              </w:rPr>
              <w:t>（4）拒绝列入政府取消投标资格记录期间的企业或个人投标。</w:t>
            </w:r>
          </w:p>
        </w:tc>
      </w:tr>
      <w:tr w14:paraId="4023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52" w:hRule="atLeast"/>
        </w:trPr>
        <w:tc>
          <w:tcPr>
            <w:tcW w:w="897" w:type="dxa"/>
            <w:gridSpan w:val="2"/>
            <w:vAlign w:val="center"/>
          </w:tcPr>
          <w:p w14:paraId="49E3E6E3">
            <w:pPr>
              <w:spacing w:line="360" w:lineRule="auto"/>
              <w:rPr>
                <w:rFonts w:ascii="宋体" w:hAnsi="宋体"/>
                <w:szCs w:val="21"/>
              </w:rPr>
            </w:pPr>
            <w:r>
              <w:rPr>
                <w:rFonts w:hint="eastAsia" w:ascii="宋体" w:hAnsi="宋体"/>
                <w:szCs w:val="21"/>
              </w:rPr>
              <w:t>1.4.2</w:t>
            </w:r>
          </w:p>
        </w:tc>
        <w:tc>
          <w:tcPr>
            <w:tcW w:w="2080" w:type="dxa"/>
            <w:vAlign w:val="center"/>
          </w:tcPr>
          <w:p w14:paraId="0D40DFA4">
            <w:pPr>
              <w:spacing w:line="360" w:lineRule="auto"/>
              <w:rPr>
                <w:rFonts w:ascii="宋体" w:hAnsi="宋体"/>
                <w:szCs w:val="21"/>
              </w:rPr>
            </w:pPr>
            <w:r>
              <w:rPr>
                <w:rFonts w:hint="eastAsia" w:ascii="宋体" w:hAnsi="宋体"/>
                <w:szCs w:val="21"/>
              </w:rPr>
              <w:t>是否接受联合体</w:t>
            </w:r>
          </w:p>
        </w:tc>
        <w:tc>
          <w:tcPr>
            <w:tcW w:w="5337" w:type="dxa"/>
            <w:vAlign w:val="center"/>
          </w:tcPr>
          <w:p w14:paraId="7D5B9731">
            <w:pPr>
              <w:spacing w:line="360" w:lineRule="auto"/>
              <w:rPr>
                <w:rFonts w:ascii="宋体" w:hAnsi="宋体"/>
                <w:szCs w:val="21"/>
              </w:rPr>
            </w:pPr>
            <w:r>
              <w:rPr>
                <w:rFonts w:hint="eastAsia" w:ascii="宋体" w:hAnsi="宋体"/>
                <w:szCs w:val="21"/>
              </w:rPr>
              <w:t>☑不接受</w:t>
            </w:r>
          </w:p>
          <w:p w14:paraId="470948E6">
            <w:pPr>
              <w:spacing w:line="360" w:lineRule="auto"/>
              <w:rPr>
                <w:rFonts w:ascii="宋体" w:hAnsi="宋体"/>
                <w:szCs w:val="21"/>
              </w:rPr>
            </w:pPr>
            <w:r>
              <w:rPr>
                <w:rFonts w:hint="eastAsia" w:ascii="宋体" w:hAnsi="宋体"/>
                <w:szCs w:val="21"/>
              </w:rPr>
              <w:t xml:space="preserve">□接受，应满足下列要求：                 </w:t>
            </w:r>
          </w:p>
          <w:p w14:paraId="04C2CB02">
            <w:pPr>
              <w:spacing w:line="360" w:lineRule="auto"/>
              <w:rPr>
                <w:rFonts w:ascii="宋体" w:hAnsi="宋体"/>
                <w:szCs w:val="21"/>
              </w:rPr>
            </w:pPr>
            <w:r>
              <w:rPr>
                <w:rFonts w:hint="eastAsia" w:ascii="宋体" w:hAnsi="宋体"/>
                <w:szCs w:val="21"/>
              </w:rPr>
              <w:t>联合体业务分工按照联合体协议约定的分工认定。</w:t>
            </w:r>
          </w:p>
        </w:tc>
      </w:tr>
      <w:tr w14:paraId="0AF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37" w:hRule="atLeast"/>
        </w:trPr>
        <w:tc>
          <w:tcPr>
            <w:tcW w:w="897" w:type="dxa"/>
            <w:gridSpan w:val="2"/>
            <w:vAlign w:val="center"/>
          </w:tcPr>
          <w:p w14:paraId="255B6D80">
            <w:pPr>
              <w:spacing w:line="360" w:lineRule="auto"/>
              <w:rPr>
                <w:rFonts w:ascii="宋体" w:hAnsi="宋体"/>
                <w:szCs w:val="21"/>
              </w:rPr>
            </w:pPr>
            <w:r>
              <w:rPr>
                <w:rFonts w:hint="eastAsia" w:ascii="宋体" w:hAnsi="宋体"/>
                <w:szCs w:val="21"/>
              </w:rPr>
              <w:t>1.5.1</w:t>
            </w:r>
          </w:p>
        </w:tc>
        <w:tc>
          <w:tcPr>
            <w:tcW w:w="2080" w:type="dxa"/>
            <w:vAlign w:val="center"/>
          </w:tcPr>
          <w:p w14:paraId="0A78822C">
            <w:pPr>
              <w:spacing w:line="360" w:lineRule="auto"/>
              <w:rPr>
                <w:rFonts w:ascii="宋体" w:hAnsi="宋体"/>
                <w:szCs w:val="21"/>
              </w:rPr>
            </w:pPr>
            <w:r>
              <w:rPr>
                <w:rFonts w:hint="eastAsia" w:ascii="宋体" w:hAnsi="宋体"/>
                <w:szCs w:val="21"/>
              </w:rPr>
              <w:t>踏勘现场</w:t>
            </w:r>
          </w:p>
        </w:tc>
        <w:tc>
          <w:tcPr>
            <w:tcW w:w="5337" w:type="dxa"/>
            <w:vAlign w:val="center"/>
          </w:tcPr>
          <w:p w14:paraId="44CD6F12">
            <w:pPr>
              <w:spacing w:line="360" w:lineRule="auto"/>
              <w:rPr>
                <w:rFonts w:ascii="宋体" w:hAnsi="宋体"/>
                <w:szCs w:val="21"/>
              </w:rPr>
            </w:pPr>
            <w:r>
              <w:rPr>
                <w:rFonts w:hint="eastAsia" w:ascii="宋体" w:hAnsi="宋体"/>
                <w:szCs w:val="21"/>
              </w:rPr>
              <w:t>☑不组织</w:t>
            </w:r>
          </w:p>
          <w:p w14:paraId="6675E01C">
            <w:pPr>
              <w:spacing w:line="360" w:lineRule="auto"/>
              <w:rPr>
                <w:rFonts w:ascii="宋体" w:hAnsi="宋体"/>
                <w:szCs w:val="21"/>
              </w:rPr>
            </w:pPr>
            <w:r>
              <w:rPr>
                <w:rFonts w:hint="eastAsia" w:ascii="宋体" w:hAnsi="宋体"/>
                <w:szCs w:val="21"/>
              </w:rPr>
              <w:t>□组织，踏勘时间：</w:t>
            </w:r>
          </w:p>
          <w:p w14:paraId="6FCDF715">
            <w:pPr>
              <w:spacing w:line="360" w:lineRule="auto"/>
              <w:rPr>
                <w:rFonts w:ascii="宋体" w:hAnsi="宋体"/>
                <w:szCs w:val="21"/>
              </w:rPr>
            </w:pPr>
            <w:r>
              <w:rPr>
                <w:rFonts w:hint="eastAsia" w:ascii="宋体" w:hAnsi="宋体"/>
                <w:szCs w:val="21"/>
              </w:rPr>
              <w:t xml:space="preserve">        踏勘集中地点：</w:t>
            </w:r>
          </w:p>
        </w:tc>
      </w:tr>
      <w:tr w14:paraId="4A4D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92" w:hRule="atLeast"/>
        </w:trPr>
        <w:tc>
          <w:tcPr>
            <w:tcW w:w="897" w:type="dxa"/>
            <w:gridSpan w:val="2"/>
            <w:vAlign w:val="center"/>
          </w:tcPr>
          <w:p w14:paraId="6C49F455">
            <w:pPr>
              <w:spacing w:line="360" w:lineRule="auto"/>
              <w:rPr>
                <w:rFonts w:ascii="宋体" w:hAnsi="宋体"/>
                <w:szCs w:val="21"/>
              </w:rPr>
            </w:pPr>
            <w:r>
              <w:rPr>
                <w:rFonts w:hint="eastAsia" w:ascii="宋体" w:hAnsi="宋体"/>
                <w:szCs w:val="21"/>
              </w:rPr>
              <w:t>1.6.1</w:t>
            </w:r>
          </w:p>
        </w:tc>
        <w:tc>
          <w:tcPr>
            <w:tcW w:w="2080" w:type="dxa"/>
            <w:vAlign w:val="center"/>
          </w:tcPr>
          <w:p w14:paraId="77794B0C">
            <w:pPr>
              <w:spacing w:line="360" w:lineRule="auto"/>
              <w:rPr>
                <w:rFonts w:ascii="宋体" w:hAnsi="宋体"/>
                <w:szCs w:val="21"/>
              </w:rPr>
            </w:pPr>
            <w:r>
              <w:rPr>
                <w:rFonts w:hint="eastAsia" w:ascii="宋体" w:hAnsi="宋体"/>
                <w:szCs w:val="21"/>
              </w:rPr>
              <w:t>预备会</w:t>
            </w:r>
          </w:p>
        </w:tc>
        <w:tc>
          <w:tcPr>
            <w:tcW w:w="5337" w:type="dxa"/>
            <w:vAlign w:val="center"/>
          </w:tcPr>
          <w:p w14:paraId="53E69306">
            <w:pPr>
              <w:spacing w:line="360" w:lineRule="auto"/>
              <w:rPr>
                <w:rFonts w:ascii="宋体" w:hAnsi="宋体"/>
                <w:szCs w:val="21"/>
              </w:rPr>
            </w:pPr>
            <w:r>
              <w:rPr>
                <w:rFonts w:hint="eastAsia" w:ascii="宋体" w:hAnsi="宋体"/>
                <w:szCs w:val="21"/>
              </w:rPr>
              <w:t>☑不召开</w:t>
            </w:r>
          </w:p>
          <w:p w14:paraId="3EFED2B1">
            <w:pPr>
              <w:spacing w:line="360" w:lineRule="auto"/>
              <w:rPr>
                <w:rFonts w:ascii="宋体" w:hAnsi="宋体"/>
                <w:szCs w:val="21"/>
              </w:rPr>
            </w:pPr>
            <w:r>
              <w:rPr>
                <w:rFonts w:hint="eastAsia" w:ascii="宋体" w:hAnsi="宋体"/>
                <w:szCs w:val="21"/>
              </w:rPr>
              <w:t>□召开，召开时间：</w:t>
            </w:r>
          </w:p>
          <w:p w14:paraId="260DE3B4">
            <w:pPr>
              <w:spacing w:line="360" w:lineRule="auto"/>
              <w:rPr>
                <w:rFonts w:ascii="宋体" w:hAnsi="宋体"/>
                <w:szCs w:val="21"/>
              </w:rPr>
            </w:pPr>
            <w:r>
              <w:rPr>
                <w:rFonts w:hint="eastAsia" w:ascii="宋体" w:hAnsi="宋体"/>
                <w:szCs w:val="21"/>
              </w:rPr>
              <w:t xml:space="preserve">        召开地点：</w:t>
            </w:r>
          </w:p>
        </w:tc>
      </w:tr>
      <w:tr w14:paraId="274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1" w:hRule="atLeast"/>
        </w:trPr>
        <w:tc>
          <w:tcPr>
            <w:tcW w:w="897" w:type="dxa"/>
            <w:gridSpan w:val="2"/>
            <w:vAlign w:val="center"/>
          </w:tcPr>
          <w:p w14:paraId="37BE10A5">
            <w:pPr>
              <w:spacing w:line="360" w:lineRule="auto"/>
              <w:rPr>
                <w:rFonts w:ascii="宋体" w:hAnsi="宋体"/>
                <w:szCs w:val="21"/>
              </w:rPr>
            </w:pPr>
            <w:r>
              <w:rPr>
                <w:rFonts w:hint="eastAsia" w:ascii="宋体" w:hAnsi="宋体"/>
                <w:szCs w:val="21"/>
              </w:rPr>
              <w:t>1.6.2</w:t>
            </w:r>
          </w:p>
        </w:tc>
        <w:tc>
          <w:tcPr>
            <w:tcW w:w="2080" w:type="dxa"/>
            <w:vAlign w:val="center"/>
          </w:tcPr>
          <w:p w14:paraId="31DAFD11">
            <w:pPr>
              <w:spacing w:line="360" w:lineRule="auto"/>
              <w:rPr>
                <w:rFonts w:ascii="宋体" w:hAnsi="宋体"/>
                <w:szCs w:val="21"/>
              </w:rPr>
            </w:pPr>
            <w:r>
              <w:rPr>
                <w:rFonts w:hint="eastAsia" w:ascii="宋体" w:hAnsi="宋体"/>
                <w:szCs w:val="21"/>
              </w:rPr>
              <w:t>供应商提出问题的</w:t>
            </w:r>
          </w:p>
          <w:p w14:paraId="3AE66C78">
            <w:pPr>
              <w:spacing w:line="360" w:lineRule="auto"/>
              <w:rPr>
                <w:rFonts w:ascii="宋体" w:hAnsi="宋体"/>
                <w:szCs w:val="21"/>
              </w:rPr>
            </w:pPr>
            <w:r>
              <w:rPr>
                <w:rFonts w:hint="eastAsia" w:ascii="宋体" w:hAnsi="宋体"/>
                <w:szCs w:val="21"/>
              </w:rPr>
              <w:t>截止时间</w:t>
            </w:r>
          </w:p>
        </w:tc>
        <w:tc>
          <w:tcPr>
            <w:tcW w:w="5337" w:type="dxa"/>
            <w:vAlign w:val="center"/>
          </w:tcPr>
          <w:p w14:paraId="64358C88">
            <w:pPr>
              <w:spacing w:line="360" w:lineRule="auto"/>
              <w:rPr>
                <w:rFonts w:ascii="宋体" w:hAnsi="宋体"/>
                <w:szCs w:val="21"/>
              </w:rPr>
            </w:pPr>
            <w:r>
              <w:rPr>
                <w:rFonts w:hint="eastAsia" w:ascii="宋体" w:hAnsi="宋体"/>
                <w:szCs w:val="21"/>
              </w:rPr>
              <w:t>召开竞争性磋商之日5个工作日前</w:t>
            </w:r>
          </w:p>
        </w:tc>
      </w:tr>
      <w:tr w14:paraId="1C0D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798" w:hRule="atLeast"/>
        </w:trPr>
        <w:tc>
          <w:tcPr>
            <w:tcW w:w="897" w:type="dxa"/>
            <w:gridSpan w:val="2"/>
            <w:vAlign w:val="center"/>
          </w:tcPr>
          <w:p w14:paraId="12671E3F">
            <w:pPr>
              <w:spacing w:line="360" w:lineRule="auto"/>
              <w:rPr>
                <w:rFonts w:ascii="宋体" w:hAnsi="宋体"/>
                <w:szCs w:val="21"/>
              </w:rPr>
            </w:pPr>
            <w:r>
              <w:rPr>
                <w:rFonts w:hint="eastAsia" w:ascii="宋体" w:hAnsi="宋体"/>
                <w:szCs w:val="21"/>
              </w:rPr>
              <w:t>1.7</w:t>
            </w:r>
          </w:p>
        </w:tc>
        <w:tc>
          <w:tcPr>
            <w:tcW w:w="2080" w:type="dxa"/>
            <w:vAlign w:val="center"/>
          </w:tcPr>
          <w:p w14:paraId="6ABFBA47">
            <w:pPr>
              <w:spacing w:line="360" w:lineRule="auto"/>
              <w:rPr>
                <w:rFonts w:ascii="宋体" w:hAnsi="宋体"/>
                <w:szCs w:val="21"/>
              </w:rPr>
            </w:pPr>
            <w:r>
              <w:rPr>
                <w:rFonts w:hint="eastAsia" w:ascii="宋体" w:hAnsi="宋体"/>
                <w:szCs w:val="21"/>
              </w:rPr>
              <w:t>分  包</w:t>
            </w:r>
          </w:p>
        </w:tc>
        <w:tc>
          <w:tcPr>
            <w:tcW w:w="5337" w:type="dxa"/>
            <w:vAlign w:val="center"/>
          </w:tcPr>
          <w:p w14:paraId="652B2759">
            <w:pPr>
              <w:spacing w:line="360" w:lineRule="auto"/>
              <w:rPr>
                <w:rFonts w:ascii="宋体" w:hAnsi="宋体"/>
                <w:szCs w:val="21"/>
              </w:rPr>
            </w:pPr>
            <w:r>
              <w:rPr>
                <w:rFonts w:hint="eastAsia" w:ascii="宋体" w:hAnsi="宋体"/>
                <w:szCs w:val="21"/>
              </w:rPr>
              <w:t>☑不允许</w:t>
            </w:r>
          </w:p>
          <w:p w14:paraId="091635BC">
            <w:pPr>
              <w:spacing w:line="360" w:lineRule="auto"/>
              <w:rPr>
                <w:rFonts w:ascii="宋体" w:hAnsi="宋体"/>
                <w:szCs w:val="21"/>
              </w:rPr>
            </w:pPr>
            <w:r>
              <w:rPr>
                <w:rFonts w:hint="eastAsia" w:ascii="宋体" w:hAnsi="宋体"/>
                <w:szCs w:val="21"/>
              </w:rPr>
              <w:t>□允许，分包内容要求：</w:t>
            </w:r>
          </w:p>
          <w:p w14:paraId="0141F89F">
            <w:pPr>
              <w:spacing w:line="360" w:lineRule="auto"/>
              <w:rPr>
                <w:rFonts w:ascii="宋体" w:hAnsi="宋体"/>
                <w:szCs w:val="21"/>
              </w:rPr>
            </w:pPr>
            <w:r>
              <w:rPr>
                <w:rFonts w:hint="eastAsia" w:ascii="宋体" w:hAnsi="宋体"/>
                <w:szCs w:val="21"/>
              </w:rPr>
              <w:t xml:space="preserve">        分包金额要求：</w:t>
            </w:r>
          </w:p>
          <w:p w14:paraId="78853FDF">
            <w:pPr>
              <w:spacing w:line="360" w:lineRule="auto"/>
              <w:rPr>
                <w:rFonts w:ascii="宋体" w:hAnsi="宋体"/>
                <w:szCs w:val="21"/>
              </w:rPr>
            </w:pPr>
            <w:r>
              <w:rPr>
                <w:rFonts w:hint="eastAsia" w:ascii="宋体" w:hAnsi="宋体"/>
                <w:szCs w:val="21"/>
              </w:rPr>
              <w:t xml:space="preserve">        接受分包的第三人资质要求：</w:t>
            </w:r>
          </w:p>
        </w:tc>
      </w:tr>
      <w:tr w14:paraId="3186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37" w:hRule="atLeast"/>
        </w:trPr>
        <w:tc>
          <w:tcPr>
            <w:tcW w:w="897" w:type="dxa"/>
            <w:gridSpan w:val="2"/>
            <w:vAlign w:val="center"/>
          </w:tcPr>
          <w:p w14:paraId="0D6F9298">
            <w:pPr>
              <w:spacing w:line="360" w:lineRule="auto"/>
              <w:rPr>
                <w:rFonts w:ascii="宋体" w:hAnsi="宋体"/>
                <w:szCs w:val="21"/>
              </w:rPr>
            </w:pPr>
            <w:r>
              <w:rPr>
                <w:rFonts w:hint="eastAsia" w:ascii="宋体" w:hAnsi="宋体"/>
                <w:szCs w:val="21"/>
              </w:rPr>
              <w:t>1.8</w:t>
            </w:r>
          </w:p>
        </w:tc>
        <w:tc>
          <w:tcPr>
            <w:tcW w:w="2080" w:type="dxa"/>
            <w:vAlign w:val="center"/>
          </w:tcPr>
          <w:p w14:paraId="3123A950">
            <w:pPr>
              <w:spacing w:line="360" w:lineRule="auto"/>
              <w:rPr>
                <w:rFonts w:ascii="宋体" w:hAnsi="宋体"/>
                <w:szCs w:val="21"/>
              </w:rPr>
            </w:pPr>
            <w:r>
              <w:rPr>
                <w:rFonts w:hint="eastAsia" w:ascii="宋体" w:hAnsi="宋体"/>
                <w:szCs w:val="21"/>
              </w:rPr>
              <w:t>偏  离</w:t>
            </w:r>
          </w:p>
        </w:tc>
        <w:tc>
          <w:tcPr>
            <w:tcW w:w="5337" w:type="dxa"/>
            <w:vAlign w:val="center"/>
          </w:tcPr>
          <w:p w14:paraId="5907B19C">
            <w:pPr>
              <w:spacing w:line="360" w:lineRule="auto"/>
              <w:rPr>
                <w:rFonts w:ascii="宋体" w:hAnsi="宋体"/>
                <w:szCs w:val="21"/>
              </w:rPr>
            </w:pPr>
            <w:r>
              <w:rPr>
                <w:rFonts w:hint="eastAsia" w:ascii="宋体" w:hAnsi="宋体"/>
                <w:szCs w:val="21"/>
              </w:rPr>
              <w:t>□不允许</w:t>
            </w:r>
          </w:p>
          <w:p w14:paraId="43F6590D">
            <w:pPr>
              <w:spacing w:line="360" w:lineRule="auto"/>
              <w:rPr>
                <w:rFonts w:ascii="宋体" w:hAnsi="宋体"/>
                <w:szCs w:val="21"/>
              </w:rPr>
            </w:pPr>
            <w:r>
              <w:rPr>
                <w:rFonts w:hint="eastAsia" w:ascii="宋体" w:hAnsi="宋体"/>
                <w:szCs w:val="21"/>
              </w:rPr>
              <w:t>☑允许</w:t>
            </w:r>
          </w:p>
          <w:p w14:paraId="71D24A8C">
            <w:pPr>
              <w:spacing w:line="360" w:lineRule="auto"/>
              <w:rPr>
                <w:rFonts w:ascii="宋体" w:hAnsi="宋体"/>
                <w:szCs w:val="21"/>
              </w:rPr>
            </w:pPr>
            <w:r>
              <w:rPr>
                <w:rFonts w:hint="eastAsia" w:ascii="宋体" w:hAnsi="宋体"/>
                <w:szCs w:val="21"/>
              </w:rPr>
              <w:t>接受细微偏离有助于项目的顺利开展</w:t>
            </w:r>
          </w:p>
          <w:p w14:paraId="519F7B49">
            <w:pPr>
              <w:spacing w:line="360" w:lineRule="auto"/>
              <w:rPr>
                <w:rFonts w:ascii="宋体" w:hAnsi="宋体"/>
                <w:szCs w:val="21"/>
              </w:rPr>
            </w:pPr>
          </w:p>
        </w:tc>
      </w:tr>
      <w:tr w14:paraId="35AB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37" w:hRule="atLeast"/>
        </w:trPr>
        <w:tc>
          <w:tcPr>
            <w:tcW w:w="897" w:type="dxa"/>
            <w:gridSpan w:val="2"/>
            <w:vAlign w:val="center"/>
          </w:tcPr>
          <w:p w14:paraId="14C2BD1E">
            <w:pPr>
              <w:jc w:val="center"/>
              <w:rPr>
                <w:rFonts w:ascii="宋体" w:hAnsi="宋体" w:cs="宋体"/>
              </w:rPr>
            </w:pPr>
            <w:r>
              <w:rPr>
                <w:rFonts w:hint="eastAsia" w:ascii="宋体" w:hAnsi="宋体" w:cs="宋体"/>
              </w:rPr>
              <w:t>1.10.2</w:t>
            </w:r>
          </w:p>
        </w:tc>
        <w:tc>
          <w:tcPr>
            <w:tcW w:w="2080" w:type="dxa"/>
            <w:vAlign w:val="center"/>
          </w:tcPr>
          <w:p w14:paraId="552298C2">
            <w:pPr>
              <w:rPr>
                <w:rFonts w:ascii="宋体" w:hAnsi="宋体" w:cs="宋体"/>
              </w:rPr>
            </w:pPr>
            <w:r>
              <w:rPr>
                <w:rFonts w:hint="eastAsia" w:ascii="宋体" w:hAnsi="宋体" w:cs="宋体"/>
              </w:rPr>
              <w:t>投标人提出问题的截止时间</w:t>
            </w:r>
          </w:p>
        </w:tc>
        <w:tc>
          <w:tcPr>
            <w:tcW w:w="5337" w:type="dxa"/>
            <w:vAlign w:val="center"/>
          </w:tcPr>
          <w:p w14:paraId="35D0BEB1">
            <w:pPr>
              <w:spacing w:line="312" w:lineRule="auto"/>
              <w:rPr>
                <w:rFonts w:ascii="宋体" w:hAnsi="宋体" w:cs="宋体"/>
                <w:bCs/>
              </w:rPr>
            </w:pPr>
            <w:r>
              <w:rPr>
                <w:rFonts w:hint="eastAsia" w:ascii="宋体" w:hAnsi="宋体" w:cs="宋体"/>
                <w:bCs/>
              </w:rPr>
              <w:t>投标人在下载</w:t>
            </w:r>
            <w:r>
              <w:rPr>
                <w:rFonts w:hint="eastAsia" w:ascii="宋体" w:hAnsi="宋体" w:cs="宋体"/>
              </w:rPr>
              <w:t>磋商</w:t>
            </w:r>
            <w:r>
              <w:rPr>
                <w:rFonts w:hint="eastAsia" w:ascii="宋体" w:hAnsi="宋体" w:cs="宋体"/>
                <w:bCs/>
              </w:rPr>
              <w:t>文件后，应仔细检查</w:t>
            </w:r>
            <w:r>
              <w:rPr>
                <w:rFonts w:hint="eastAsia" w:ascii="宋体" w:hAnsi="宋体" w:cs="宋体"/>
              </w:rPr>
              <w:t>磋商</w:t>
            </w:r>
            <w:r>
              <w:rPr>
                <w:rFonts w:hint="eastAsia" w:ascii="宋体" w:hAnsi="宋体" w:cs="宋体"/>
                <w:bCs/>
              </w:rPr>
              <w:t>文件的所有内容，如有残缺或文字表述不清，图纸尺寸标注不明以及存在错、碰、漏、缺、概念模糊和有可能出现歧义或理解上的偏差的内容等应在</w:t>
            </w:r>
            <w:r>
              <w:rPr>
                <w:rFonts w:hint="eastAsia" w:ascii="宋体" w:hAnsi="宋体" w:cs="宋体"/>
              </w:rPr>
              <w:t>投标截止时间5天前</w:t>
            </w:r>
            <w:r>
              <w:rPr>
                <w:rFonts w:hint="eastAsia" w:ascii="宋体" w:hAnsi="宋体" w:cs="宋体"/>
                <w:bCs/>
              </w:rPr>
              <w:t>在“政采云”平台（https://www.zcygov.cn）提出，并按照招标公告中载明的招标代理机构的联系方式电话通知招标代理机构。</w:t>
            </w:r>
          </w:p>
        </w:tc>
      </w:tr>
      <w:tr w14:paraId="60B9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6" w:hRule="atLeast"/>
        </w:trPr>
        <w:tc>
          <w:tcPr>
            <w:tcW w:w="897" w:type="dxa"/>
            <w:gridSpan w:val="2"/>
            <w:vAlign w:val="center"/>
          </w:tcPr>
          <w:p w14:paraId="4042123E">
            <w:pPr>
              <w:jc w:val="center"/>
              <w:rPr>
                <w:rFonts w:ascii="宋体" w:hAnsi="宋体" w:cs="宋体"/>
              </w:rPr>
            </w:pPr>
            <w:r>
              <w:rPr>
                <w:rFonts w:hint="eastAsia" w:ascii="宋体" w:hAnsi="宋体" w:cs="宋体"/>
              </w:rPr>
              <w:t>1.10.3</w:t>
            </w:r>
          </w:p>
        </w:tc>
        <w:tc>
          <w:tcPr>
            <w:tcW w:w="2080" w:type="dxa"/>
            <w:vAlign w:val="center"/>
          </w:tcPr>
          <w:p w14:paraId="7F0C1DBA">
            <w:pPr>
              <w:rPr>
                <w:rFonts w:ascii="宋体" w:hAnsi="宋体" w:cs="宋体"/>
              </w:rPr>
            </w:pPr>
            <w:r>
              <w:rPr>
                <w:rFonts w:hint="eastAsia" w:ascii="宋体" w:hAnsi="宋体" w:cs="宋体"/>
              </w:rPr>
              <w:t>采购人书面澄清的时间</w:t>
            </w:r>
          </w:p>
        </w:tc>
        <w:tc>
          <w:tcPr>
            <w:tcW w:w="5337" w:type="dxa"/>
            <w:vAlign w:val="center"/>
          </w:tcPr>
          <w:p w14:paraId="30B3A1F1">
            <w:pPr>
              <w:spacing w:line="312" w:lineRule="auto"/>
              <w:rPr>
                <w:rFonts w:ascii="宋体" w:hAnsi="宋体" w:cs="宋体"/>
              </w:rPr>
            </w:pPr>
            <w:r>
              <w:rPr>
                <w:rFonts w:hint="eastAsia" w:ascii="宋体" w:hAnsi="宋体" w:cs="宋体"/>
              </w:rPr>
              <w:t>投标截止时间前 5 天前</w:t>
            </w:r>
          </w:p>
        </w:tc>
      </w:tr>
      <w:tr w14:paraId="7333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897" w:type="dxa"/>
            <w:gridSpan w:val="2"/>
            <w:vAlign w:val="center"/>
          </w:tcPr>
          <w:p w14:paraId="7A78E7AA">
            <w:pPr>
              <w:spacing w:line="360" w:lineRule="auto"/>
              <w:rPr>
                <w:rFonts w:ascii="宋体" w:hAnsi="宋体"/>
                <w:szCs w:val="21"/>
              </w:rPr>
            </w:pPr>
            <w:r>
              <w:rPr>
                <w:rFonts w:hint="eastAsia" w:ascii="宋体" w:hAnsi="宋体"/>
                <w:szCs w:val="21"/>
              </w:rPr>
              <w:t>2.1</w:t>
            </w:r>
          </w:p>
        </w:tc>
        <w:tc>
          <w:tcPr>
            <w:tcW w:w="2080" w:type="dxa"/>
            <w:vAlign w:val="center"/>
          </w:tcPr>
          <w:p w14:paraId="192871B5">
            <w:pPr>
              <w:spacing w:line="360" w:lineRule="auto"/>
              <w:rPr>
                <w:rFonts w:ascii="宋体" w:hAnsi="宋体"/>
                <w:szCs w:val="21"/>
              </w:rPr>
            </w:pPr>
            <w:r>
              <w:rPr>
                <w:rFonts w:hint="eastAsia" w:ascii="宋体" w:hAnsi="宋体"/>
                <w:szCs w:val="21"/>
              </w:rPr>
              <w:t>构成竞争性磋商文件的其他材料</w:t>
            </w:r>
          </w:p>
        </w:tc>
        <w:tc>
          <w:tcPr>
            <w:tcW w:w="5337" w:type="dxa"/>
            <w:vAlign w:val="center"/>
          </w:tcPr>
          <w:p w14:paraId="1140E7B5">
            <w:pPr>
              <w:spacing w:line="360" w:lineRule="auto"/>
              <w:rPr>
                <w:rFonts w:ascii="宋体" w:hAnsi="宋体"/>
                <w:szCs w:val="21"/>
              </w:rPr>
            </w:pPr>
          </w:p>
        </w:tc>
      </w:tr>
      <w:tr w14:paraId="5BF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897" w:type="dxa"/>
            <w:gridSpan w:val="2"/>
            <w:vAlign w:val="center"/>
          </w:tcPr>
          <w:p w14:paraId="07B02612">
            <w:pPr>
              <w:spacing w:line="360" w:lineRule="auto"/>
              <w:rPr>
                <w:rFonts w:ascii="宋体" w:hAnsi="宋体"/>
                <w:szCs w:val="21"/>
              </w:rPr>
            </w:pPr>
            <w:r>
              <w:rPr>
                <w:rFonts w:hint="eastAsia" w:ascii="宋体" w:hAnsi="宋体"/>
                <w:szCs w:val="21"/>
              </w:rPr>
              <w:t>2.2</w:t>
            </w:r>
          </w:p>
        </w:tc>
        <w:tc>
          <w:tcPr>
            <w:tcW w:w="2080" w:type="dxa"/>
            <w:vAlign w:val="center"/>
          </w:tcPr>
          <w:p w14:paraId="01F45BC5">
            <w:pPr>
              <w:spacing w:line="360" w:lineRule="auto"/>
              <w:rPr>
                <w:rFonts w:ascii="宋体" w:hAnsi="宋体"/>
                <w:szCs w:val="21"/>
              </w:rPr>
            </w:pPr>
            <w:r>
              <w:rPr>
                <w:rFonts w:hint="eastAsia" w:ascii="宋体" w:hAnsi="宋体"/>
                <w:szCs w:val="21"/>
              </w:rPr>
              <w:t>供应商要求</w:t>
            </w:r>
          </w:p>
          <w:p w14:paraId="6CC41E8E">
            <w:pPr>
              <w:spacing w:line="360" w:lineRule="auto"/>
              <w:rPr>
                <w:rFonts w:ascii="宋体" w:hAnsi="宋体"/>
                <w:szCs w:val="21"/>
              </w:rPr>
            </w:pPr>
            <w:r>
              <w:rPr>
                <w:rFonts w:hint="eastAsia" w:ascii="宋体" w:hAnsi="宋体"/>
                <w:szCs w:val="21"/>
              </w:rPr>
              <w:t>澄清竞争性磋商文件的截止时间</w:t>
            </w:r>
          </w:p>
        </w:tc>
        <w:tc>
          <w:tcPr>
            <w:tcW w:w="5337" w:type="dxa"/>
            <w:vAlign w:val="center"/>
          </w:tcPr>
          <w:p w14:paraId="7B1A8624">
            <w:pPr>
              <w:spacing w:line="360" w:lineRule="auto"/>
              <w:rPr>
                <w:rFonts w:ascii="宋体" w:hAnsi="宋体"/>
                <w:szCs w:val="21"/>
              </w:rPr>
            </w:pPr>
            <w:r>
              <w:rPr>
                <w:rFonts w:hint="eastAsia" w:ascii="宋体" w:hAnsi="宋体" w:cs="宋体"/>
              </w:rPr>
              <w:t>代理机构及招标人将视所提问题具体情况进行答复澄清，在“政采云”平台（https://www.zcygov.cn）发布。投标人自行在“政采云”平台（https://www.zcygov.cn）查看。否则，后果自负。招标代理机构及采购人不接受供应商的书面质疑。为使投标人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投标人发布。在这种情况下，采购人和投标人受投标截止时间制约的所有权利和义务均相应延长至新的投标截止时间。</w:t>
            </w:r>
          </w:p>
        </w:tc>
      </w:tr>
      <w:tr w14:paraId="35B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897" w:type="dxa"/>
            <w:gridSpan w:val="2"/>
            <w:vAlign w:val="center"/>
          </w:tcPr>
          <w:p w14:paraId="4C9D47C1">
            <w:pPr>
              <w:spacing w:line="360" w:lineRule="auto"/>
              <w:rPr>
                <w:rFonts w:ascii="宋体" w:hAnsi="宋体"/>
                <w:szCs w:val="21"/>
              </w:rPr>
            </w:pPr>
            <w:r>
              <w:rPr>
                <w:rFonts w:hint="eastAsia" w:ascii="宋体" w:hAnsi="宋体"/>
                <w:szCs w:val="21"/>
              </w:rPr>
              <w:t>3.1.1</w:t>
            </w:r>
          </w:p>
        </w:tc>
        <w:tc>
          <w:tcPr>
            <w:tcW w:w="2080" w:type="dxa"/>
            <w:vAlign w:val="center"/>
          </w:tcPr>
          <w:p w14:paraId="19A929F2">
            <w:pPr>
              <w:spacing w:line="360" w:lineRule="auto"/>
              <w:rPr>
                <w:rFonts w:ascii="宋体" w:hAnsi="宋体"/>
                <w:szCs w:val="21"/>
              </w:rPr>
            </w:pPr>
            <w:r>
              <w:rPr>
                <w:rFonts w:hint="eastAsia" w:ascii="宋体" w:hAnsi="宋体"/>
                <w:szCs w:val="21"/>
              </w:rPr>
              <w:t>构成响应文件的其他材料</w:t>
            </w:r>
          </w:p>
        </w:tc>
        <w:tc>
          <w:tcPr>
            <w:tcW w:w="5337" w:type="dxa"/>
            <w:vAlign w:val="center"/>
          </w:tcPr>
          <w:p w14:paraId="5B805529">
            <w:pPr>
              <w:spacing w:line="360" w:lineRule="auto"/>
              <w:rPr>
                <w:rFonts w:ascii="宋体" w:hAnsi="宋体"/>
                <w:szCs w:val="21"/>
              </w:rPr>
            </w:pPr>
            <w:r>
              <w:rPr>
                <w:rFonts w:hint="eastAsia" w:ascii="宋体" w:hAnsi="宋体"/>
                <w:szCs w:val="21"/>
              </w:rPr>
              <w:t>/</w:t>
            </w:r>
          </w:p>
        </w:tc>
      </w:tr>
      <w:tr w14:paraId="79DD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897" w:type="dxa"/>
            <w:gridSpan w:val="2"/>
            <w:vAlign w:val="center"/>
          </w:tcPr>
          <w:p w14:paraId="3C3FF8F1">
            <w:pPr>
              <w:spacing w:line="360" w:lineRule="auto"/>
              <w:rPr>
                <w:rFonts w:ascii="宋体" w:hAnsi="宋体"/>
                <w:szCs w:val="21"/>
              </w:rPr>
            </w:pPr>
            <w:r>
              <w:rPr>
                <w:rFonts w:hint="eastAsia" w:ascii="宋体" w:hAnsi="宋体"/>
                <w:szCs w:val="21"/>
              </w:rPr>
              <w:t>3.2.1</w:t>
            </w:r>
          </w:p>
        </w:tc>
        <w:tc>
          <w:tcPr>
            <w:tcW w:w="2080" w:type="dxa"/>
            <w:vAlign w:val="center"/>
          </w:tcPr>
          <w:p w14:paraId="65B17F06">
            <w:pPr>
              <w:spacing w:line="360" w:lineRule="auto"/>
              <w:rPr>
                <w:rFonts w:ascii="宋体" w:hAnsi="宋体"/>
                <w:szCs w:val="21"/>
              </w:rPr>
            </w:pPr>
            <w:r>
              <w:rPr>
                <w:rFonts w:hint="eastAsia" w:ascii="宋体" w:hAnsi="宋体"/>
                <w:szCs w:val="21"/>
              </w:rPr>
              <w:t>预算控制价</w:t>
            </w:r>
          </w:p>
        </w:tc>
        <w:tc>
          <w:tcPr>
            <w:tcW w:w="5337" w:type="dxa"/>
            <w:vAlign w:val="center"/>
          </w:tcPr>
          <w:p w14:paraId="1D77324B">
            <w:pPr>
              <w:spacing w:line="360" w:lineRule="auto"/>
              <w:rPr>
                <w:rFonts w:hint="eastAsia" w:ascii="宋体" w:hAnsi="宋体" w:eastAsia="宋体"/>
                <w:szCs w:val="21"/>
                <w:lang w:eastAsia="zh-CN"/>
              </w:rPr>
            </w:pPr>
            <w:r>
              <w:rPr>
                <w:rFonts w:hint="eastAsia" w:ascii="宋体" w:hAnsi="宋体"/>
                <w:szCs w:val="21"/>
                <w:lang w:eastAsia="zh-CN"/>
              </w:rPr>
              <w:t>111万元</w:t>
            </w:r>
          </w:p>
        </w:tc>
      </w:tr>
      <w:tr w14:paraId="5EC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897" w:type="dxa"/>
            <w:gridSpan w:val="2"/>
            <w:vAlign w:val="center"/>
          </w:tcPr>
          <w:p w14:paraId="36DF6905">
            <w:pPr>
              <w:spacing w:line="360" w:lineRule="auto"/>
              <w:rPr>
                <w:rFonts w:ascii="宋体" w:hAnsi="宋体"/>
                <w:szCs w:val="21"/>
              </w:rPr>
            </w:pPr>
            <w:r>
              <w:rPr>
                <w:rFonts w:hint="eastAsia" w:ascii="宋体" w:hAnsi="宋体"/>
                <w:szCs w:val="21"/>
              </w:rPr>
              <w:t>3.3.1</w:t>
            </w:r>
          </w:p>
        </w:tc>
        <w:tc>
          <w:tcPr>
            <w:tcW w:w="2080" w:type="dxa"/>
            <w:vAlign w:val="center"/>
          </w:tcPr>
          <w:p w14:paraId="5183C718">
            <w:pPr>
              <w:spacing w:line="360" w:lineRule="auto"/>
              <w:rPr>
                <w:rFonts w:ascii="宋体" w:hAnsi="宋体"/>
                <w:szCs w:val="21"/>
              </w:rPr>
            </w:pPr>
            <w:r>
              <w:rPr>
                <w:rFonts w:hint="eastAsia" w:ascii="宋体" w:hAnsi="宋体"/>
                <w:szCs w:val="21"/>
              </w:rPr>
              <w:t>响应文件有效期</w:t>
            </w:r>
          </w:p>
        </w:tc>
        <w:tc>
          <w:tcPr>
            <w:tcW w:w="5337" w:type="dxa"/>
            <w:vAlign w:val="center"/>
          </w:tcPr>
          <w:p w14:paraId="66DD7383">
            <w:pPr>
              <w:spacing w:line="360" w:lineRule="auto"/>
              <w:rPr>
                <w:rFonts w:ascii="宋体" w:hAnsi="宋体"/>
                <w:szCs w:val="21"/>
              </w:rPr>
            </w:pPr>
            <w:r>
              <w:rPr>
                <w:rFonts w:hint="eastAsia" w:ascii="宋体" w:hAnsi="宋体"/>
                <w:szCs w:val="21"/>
              </w:rPr>
              <w:t xml:space="preserve"> 60 天</w:t>
            </w:r>
          </w:p>
        </w:tc>
      </w:tr>
      <w:tr w14:paraId="25D9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13" w:hRule="atLeast"/>
        </w:trPr>
        <w:tc>
          <w:tcPr>
            <w:tcW w:w="897" w:type="dxa"/>
            <w:gridSpan w:val="2"/>
            <w:vAlign w:val="center"/>
          </w:tcPr>
          <w:p w14:paraId="23CBB94D">
            <w:pPr>
              <w:spacing w:line="360" w:lineRule="auto"/>
              <w:rPr>
                <w:rFonts w:ascii="宋体" w:hAnsi="宋体"/>
                <w:szCs w:val="21"/>
              </w:rPr>
            </w:pPr>
            <w:r>
              <w:rPr>
                <w:rFonts w:hint="eastAsia" w:ascii="宋体" w:hAnsi="宋体"/>
                <w:szCs w:val="21"/>
              </w:rPr>
              <w:t>3.4.1</w:t>
            </w:r>
          </w:p>
        </w:tc>
        <w:tc>
          <w:tcPr>
            <w:tcW w:w="2080" w:type="dxa"/>
            <w:vAlign w:val="center"/>
          </w:tcPr>
          <w:p w14:paraId="55FDF1AE">
            <w:pPr>
              <w:spacing w:line="360" w:lineRule="auto"/>
              <w:rPr>
                <w:rFonts w:ascii="宋体" w:hAnsi="宋体"/>
                <w:szCs w:val="21"/>
              </w:rPr>
            </w:pPr>
            <w:r>
              <w:rPr>
                <w:rFonts w:hint="eastAsia" w:ascii="宋体" w:hAnsi="宋体"/>
                <w:szCs w:val="21"/>
              </w:rPr>
              <w:t>磋商保证金</w:t>
            </w:r>
          </w:p>
        </w:tc>
        <w:tc>
          <w:tcPr>
            <w:tcW w:w="5337" w:type="dxa"/>
            <w:vAlign w:val="center"/>
          </w:tcPr>
          <w:p w14:paraId="0E10ED2C">
            <w:pPr>
              <w:rPr>
                <w:rFonts w:ascii="宋体" w:hAnsi="宋体" w:cs="宋体"/>
              </w:rPr>
            </w:pPr>
            <w:r>
              <w:rPr>
                <w:rFonts w:hint="eastAsia" w:ascii="宋体" w:hAnsi="宋体" w:cs="宋体"/>
                <w:szCs w:val="21"/>
              </w:rPr>
              <w:t>磋商保证金额：</w:t>
            </w:r>
            <w:r>
              <w:rPr>
                <w:rFonts w:hint="eastAsia" w:ascii="宋体" w:hAnsi="宋体" w:cs="宋体"/>
                <w:szCs w:val="21"/>
                <w:lang w:val="en-US" w:eastAsia="zh-CN"/>
              </w:rPr>
              <w:t>22200</w:t>
            </w:r>
            <w:r>
              <w:rPr>
                <w:rFonts w:hint="eastAsia" w:ascii="宋体" w:hAnsi="宋体" w:cs="宋体"/>
                <w:szCs w:val="21"/>
              </w:rPr>
              <w:t>元。</w:t>
            </w:r>
            <w:r>
              <w:rPr>
                <w:rFonts w:hint="eastAsia" w:ascii="宋体" w:hAnsi="宋体" w:cs="宋体"/>
              </w:rPr>
              <w:t>保证金应当以支票、汇票、本票或者金融机构、担保机构出具的保函等非现金形式提交。保证金应从基本账户转出。银行电汇单据扫描件及基本账户开户许可证扫描件应放入响应文件中。</w:t>
            </w:r>
          </w:p>
          <w:p w14:paraId="3D2366C7">
            <w:pPr>
              <w:rPr>
                <w:rFonts w:ascii="宋体" w:hAnsi="宋体" w:cs="宋体"/>
              </w:rPr>
            </w:pPr>
            <w:r>
              <w:rPr>
                <w:rFonts w:hint="eastAsia" w:ascii="宋体" w:hAnsi="宋体" w:cs="宋体"/>
              </w:rPr>
              <w:t>磋商保证金的递交时间及地点：于</w:t>
            </w:r>
            <w:r>
              <w:rPr>
                <w:rFonts w:hint="eastAsia" w:ascii="宋体" w:hAnsi="宋体" w:cs="宋体"/>
                <w:lang w:eastAsia="zh-CN"/>
              </w:rPr>
              <w:t>2024年12月25日14时00分</w:t>
            </w:r>
            <w:r>
              <w:rPr>
                <w:rFonts w:hint="eastAsia" w:ascii="宋体" w:hAnsi="宋体" w:cs="宋体"/>
              </w:rPr>
              <w:t>（北京时间）前请电汇至</w:t>
            </w:r>
          </w:p>
          <w:p w14:paraId="176CB574">
            <w:pPr>
              <w:spacing w:line="360" w:lineRule="exact"/>
              <w:rPr>
                <w:rFonts w:ascii="宋体" w:hAnsi="宋体" w:cs="宋体"/>
                <w:bCs/>
                <w:lang w:val="zh-CN"/>
              </w:rPr>
            </w:pPr>
            <w:r>
              <w:rPr>
                <w:rFonts w:hint="eastAsia" w:ascii="宋体" w:hAnsi="宋体" w:cs="宋体"/>
                <w:bCs/>
                <w:lang w:val="zh-CN"/>
              </w:rPr>
              <w:t>收款单位：吉林远大工程咨询有限责任公司吉林市分公司</w:t>
            </w:r>
          </w:p>
          <w:p w14:paraId="33C72F98">
            <w:pPr>
              <w:spacing w:line="360" w:lineRule="exact"/>
              <w:rPr>
                <w:rFonts w:ascii="宋体" w:hAnsi="宋体" w:cs="宋体"/>
                <w:bCs/>
                <w:lang w:val="zh-CN"/>
              </w:rPr>
            </w:pPr>
            <w:r>
              <w:rPr>
                <w:rFonts w:hint="eastAsia" w:ascii="宋体" w:hAnsi="宋体" w:cs="宋体"/>
                <w:bCs/>
                <w:lang w:val="zh-CN"/>
              </w:rPr>
              <w:t>开户行：</w:t>
            </w:r>
            <w:r>
              <w:rPr>
                <w:rFonts w:hint="eastAsia"/>
                <w:lang w:val="zh-CN"/>
              </w:rPr>
              <w:t>吉林环城农村商业银行股份有限公司政务服务中心支行</w:t>
            </w:r>
          </w:p>
          <w:p w14:paraId="21F2A690">
            <w:pPr>
              <w:spacing w:line="360" w:lineRule="exact"/>
              <w:rPr>
                <w:rFonts w:ascii="宋体" w:hAnsi="宋体" w:cs="宋体"/>
                <w:bCs/>
                <w:lang w:val="zh-CN"/>
              </w:rPr>
            </w:pPr>
            <w:r>
              <w:rPr>
                <w:rFonts w:hint="eastAsia" w:ascii="宋体" w:hAnsi="宋体" w:cs="宋体"/>
                <w:bCs/>
                <w:lang w:val="zh-CN"/>
              </w:rPr>
              <w:t>帐  号：</w:t>
            </w:r>
            <w:r>
              <w:rPr>
                <w:rFonts w:ascii="宋体" w:hAnsi="宋体" w:cs="宋体"/>
                <w:bCs/>
                <w:lang w:val="zh-CN"/>
              </w:rPr>
              <w:t>0720622011015200008287</w:t>
            </w:r>
          </w:p>
          <w:p w14:paraId="17270003">
            <w:pPr>
              <w:spacing w:line="288" w:lineRule="auto"/>
              <w:rPr>
                <w:rFonts w:ascii="宋体" w:hAnsi="宋体" w:cs="宋体"/>
                <w:bCs/>
                <w:lang w:val="zh-CN"/>
              </w:rPr>
            </w:pPr>
            <w:r>
              <w:rPr>
                <w:rFonts w:hint="eastAsia" w:ascii="宋体" w:hAnsi="宋体" w:cs="宋体"/>
                <w:bCs/>
                <w:lang w:val="zh-CN"/>
              </w:rPr>
              <w:t>联系人：袭淑清</w:t>
            </w:r>
          </w:p>
          <w:p w14:paraId="21EC04B1">
            <w:pPr>
              <w:spacing w:line="288" w:lineRule="auto"/>
              <w:rPr>
                <w:rFonts w:ascii="宋体" w:hAnsi="宋体" w:cs="宋体"/>
                <w:bCs/>
                <w:lang w:val="zh-CN"/>
              </w:rPr>
            </w:pPr>
            <w:r>
              <w:rPr>
                <w:rFonts w:hint="eastAsia" w:ascii="宋体" w:hAnsi="宋体" w:cs="宋体"/>
                <w:bCs/>
                <w:lang w:val="zh-CN"/>
              </w:rPr>
              <w:t>联系电话：0432-67655555</w:t>
            </w:r>
          </w:p>
          <w:p w14:paraId="5994E172">
            <w:pPr>
              <w:spacing w:line="288" w:lineRule="auto"/>
              <w:rPr>
                <w:b/>
                <w:bCs/>
                <w:lang w:val="zh-CN"/>
              </w:rPr>
            </w:pPr>
            <w:r>
              <w:rPr>
                <w:rFonts w:hint="eastAsia"/>
                <w:b/>
                <w:bCs/>
                <w:lang w:val="zh-CN"/>
              </w:rPr>
              <w:t>注：各投标单位应在汇款时认真核对收款单位、开户行名称、账号准确无误，确保保证金按时到账，否则后果自负。</w:t>
            </w:r>
          </w:p>
          <w:p w14:paraId="135DF2A6">
            <w:pPr>
              <w:autoSpaceDE w:val="0"/>
              <w:autoSpaceDN w:val="0"/>
              <w:spacing w:line="520" w:lineRule="exact"/>
              <w:jc w:val="left"/>
              <w:rPr>
                <w:rFonts w:ascii="宋体" w:hAnsi="宋体"/>
                <w:szCs w:val="21"/>
              </w:rPr>
            </w:pPr>
            <w:r>
              <w:rPr>
                <w:rFonts w:hint="eastAsia"/>
                <w:b/>
                <w:bCs/>
                <w:lang w:val="zh-CN"/>
              </w:rPr>
              <w:t>投标保证金应写明项目全称或简称</w:t>
            </w:r>
            <w:r>
              <w:rPr>
                <w:rFonts w:hint="eastAsia"/>
                <w:b/>
                <w:bCs/>
              </w:rPr>
              <w:t>,</w:t>
            </w:r>
            <w:r>
              <w:rPr>
                <w:rFonts w:hint="eastAsia"/>
                <w:b/>
                <w:bCs/>
                <w:lang w:val="zh-CN"/>
              </w:rPr>
              <w:t>否则后果自负。</w:t>
            </w:r>
          </w:p>
        </w:tc>
      </w:tr>
      <w:tr w14:paraId="1A56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97" w:hRule="atLeast"/>
        </w:trPr>
        <w:tc>
          <w:tcPr>
            <w:tcW w:w="897" w:type="dxa"/>
            <w:gridSpan w:val="2"/>
            <w:vAlign w:val="center"/>
          </w:tcPr>
          <w:p w14:paraId="68B83E50">
            <w:pPr>
              <w:spacing w:line="360" w:lineRule="auto"/>
              <w:rPr>
                <w:rFonts w:ascii="宋体" w:hAnsi="宋体"/>
                <w:szCs w:val="21"/>
              </w:rPr>
            </w:pPr>
            <w:r>
              <w:rPr>
                <w:rFonts w:hint="eastAsia" w:ascii="宋体" w:hAnsi="宋体"/>
                <w:szCs w:val="21"/>
              </w:rPr>
              <w:t>3.4.2</w:t>
            </w:r>
          </w:p>
        </w:tc>
        <w:tc>
          <w:tcPr>
            <w:tcW w:w="2080" w:type="dxa"/>
            <w:vAlign w:val="center"/>
          </w:tcPr>
          <w:p w14:paraId="26CA5E03">
            <w:pPr>
              <w:spacing w:line="360" w:lineRule="auto"/>
              <w:rPr>
                <w:rFonts w:ascii="宋体" w:hAnsi="宋体"/>
                <w:szCs w:val="21"/>
              </w:rPr>
            </w:pPr>
            <w:r>
              <w:rPr>
                <w:rFonts w:hint="eastAsia" w:ascii="宋体" w:hAnsi="宋体"/>
                <w:szCs w:val="21"/>
              </w:rPr>
              <w:t>退还响应保证金</w:t>
            </w:r>
          </w:p>
        </w:tc>
        <w:tc>
          <w:tcPr>
            <w:tcW w:w="5337" w:type="dxa"/>
            <w:vAlign w:val="center"/>
          </w:tcPr>
          <w:p w14:paraId="28740CAE">
            <w:pPr>
              <w:spacing w:line="360" w:lineRule="auto"/>
              <w:rPr>
                <w:rFonts w:ascii="宋体" w:hAnsi="宋体"/>
                <w:szCs w:val="21"/>
              </w:rPr>
            </w:pPr>
            <w:r>
              <w:rPr>
                <w:rFonts w:hint="eastAsia" w:ascii="宋体" w:hAnsi="宋体"/>
                <w:szCs w:val="21"/>
              </w:rPr>
              <w:t>退还办法：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tc>
      </w:tr>
      <w:tr w14:paraId="0E99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3" w:hRule="atLeast"/>
        </w:trPr>
        <w:tc>
          <w:tcPr>
            <w:tcW w:w="897" w:type="dxa"/>
            <w:gridSpan w:val="2"/>
            <w:vAlign w:val="center"/>
          </w:tcPr>
          <w:p w14:paraId="53ACF393">
            <w:pPr>
              <w:jc w:val="center"/>
              <w:rPr>
                <w:rFonts w:ascii="宋体" w:hAnsi="宋体" w:cs="宋体"/>
              </w:rPr>
            </w:pPr>
            <w:r>
              <w:rPr>
                <w:rFonts w:hint="eastAsia" w:ascii="宋体" w:hAnsi="宋体" w:cs="宋体"/>
              </w:rPr>
              <w:t>3.5.2</w:t>
            </w:r>
          </w:p>
        </w:tc>
        <w:tc>
          <w:tcPr>
            <w:tcW w:w="2080" w:type="dxa"/>
            <w:vAlign w:val="center"/>
          </w:tcPr>
          <w:p w14:paraId="22F8FFD8">
            <w:pPr>
              <w:rPr>
                <w:rFonts w:ascii="宋体" w:hAnsi="宋体" w:cs="宋体"/>
              </w:rPr>
            </w:pPr>
            <w:r>
              <w:rPr>
                <w:rFonts w:hint="eastAsia" w:ascii="宋体" w:hAnsi="宋体" w:cs="宋体"/>
              </w:rPr>
              <w:t>近年财务状况的年份要求</w:t>
            </w:r>
          </w:p>
        </w:tc>
        <w:tc>
          <w:tcPr>
            <w:tcW w:w="5337" w:type="dxa"/>
            <w:vAlign w:val="center"/>
          </w:tcPr>
          <w:p w14:paraId="12C86E02">
            <w:pPr>
              <w:spacing w:line="360" w:lineRule="auto"/>
              <w:rPr>
                <w:rFonts w:ascii="宋体" w:hAnsi="宋体" w:cs="宋体"/>
                <w:sz w:val="18"/>
                <w:szCs w:val="18"/>
              </w:rPr>
            </w:pPr>
            <w:r>
              <w:rPr>
                <w:rFonts w:hint="eastAsia" w:ascii="宋体" w:hAnsi="宋体" w:cs="宋体"/>
              </w:rPr>
              <w:t>2021年01月01日至2023年12月31日，新成立企业财务要求为从成立之日起至今。</w:t>
            </w:r>
          </w:p>
        </w:tc>
      </w:tr>
      <w:tr w14:paraId="6CDC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3" w:hRule="atLeast"/>
        </w:trPr>
        <w:tc>
          <w:tcPr>
            <w:tcW w:w="897" w:type="dxa"/>
            <w:gridSpan w:val="2"/>
            <w:vAlign w:val="center"/>
          </w:tcPr>
          <w:p w14:paraId="701ACE7D">
            <w:pPr>
              <w:jc w:val="center"/>
              <w:rPr>
                <w:rFonts w:ascii="宋体" w:hAnsi="宋体" w:cs="宋体"/>
              </w:rPr>
            </w:pPr>
            <w:r>
              <w:rPr>
                <w:rFonts w:hint="eastAsia" w:ascii="宋体" w:hAnsi="宋体" w:cs="宋体"/>
              </w:rPr>
              <w:t>3.5.3</w:t>
            </w:r>
          </w:p>
        </w:tc>
        <w:tc>
          <w:tcPr>
            <w:tcW w:w="2080" w:type="dxa"/>
            <w:vAlign w:val="center"/>
          </w:tcPr>
          <w:p w14:paraId="3BB95EEA">
            <w:pPr>
              <w:rPr>
                <w:rFonts w:ascii="宋体" w:hAnsi="宋体" w:cs="宋体"/>
              </w:rPr>
            </w:pPr>
            <w:r>
              <w:rPr>
                <w:rFonts w:hint="eastAsia" w:ascii="宋体" w:hAnsi="宋体" w:cs="宋体"/>
              </w:rPr>
              <w:t>近年完成的类似项目的年份要求</w:t>
            </w:r>
          </w:p>
        </w:tc>
        <w:tc>
          <w:tcPr>
            <w:tcW w:w="5337" w:type="dxa"/>
            <w:vAlign w:val="center"/>
          </w:tcPr>
          <w:p w14:paraId="7920A0BB">
            <w:pPr>
              <w:spacing w:line="360" w:lineRule="auto"/>
              <w:rPr>
                <w:rFonts w:ascii="宋体" w:hAnsi="宋体" w:cs="宋体"/>
                <w:sz w:val="18"/>
                <w:szCs w:val="18"/>
              </w:rPr>
            </w:pPr>
            <w:r>
              <w:rPr>
                <w:rFonts w:hint="eastAsia" w:ascii="宋体" w:hAnsi="宋体" w:cs="宋体"/>
              </w:rPr>
              <w:t>2021年01月01日至今，新成立企业绩绩要求为从成立之日起至今。</w:t>
            </w:r>
          </w:p>
        </w:tc>
      </w:tr>
      <w:tr w14:paraId="6772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3" w:hRule="atLeast"/>
        </w:trPr>
        <w:tc>
          <w:tcPr>
            <w:tcW w:w="897" w:type="dxa"/>
            <w:gridSpan w:val="2"/>
            <w:vAlign w:val="center"/>
          </w:tcPr>
          <w:p w14:paraId="73D96E5D">
            <w:pPr>
              <w:jc w:val="center"/>
              <w:rPr>
                <w:rFonts w:ascii="宋体" w:hAnsi="宋体" w:cs="宋体"/>
              </w:rPr>
            </w:pPr>
            <w:r>
              <w:rPr>
                <w:rFonts w:hint="eastAsia" w:ascii="宋体" w:hAnsi="宋体" w:cs="宋体"/>
              </w:rPr>
              <w:t>3.5.5</w:t>
            </w:r>
          </w:p>
        </w:tc>
        <w:tc>
          <w:tcPr>
            <w:tcW w:w="2080" w:type="dxa"/>
            <w:vAlign w:val="center"/>
          </w:tcPr>
          <w:p w14:paraId="00F10E12">
            <w:pPr>
              <w:rPr>
                <w:rFonts w:ascii="宋体" w:hAnsi="宋体" w:cs="宋体"/>
              </w:rPr>
            </w:pPr>
            <w:r>
              <w:rPr>
                <w:rFonts w:hint="eastAsia" w:ascii="宋体" w:hAnsi="宋体" w:cs="宋体"/>
              </w:rPr>
              <w:t>近年发生的诉讼及仲裁情况的年份要求</w:t>
            </w:r>
          </w:p>
        </w:tc>
        <w:tc>
          <w:tcPr>
            <w:tcW w:w="5337" w:type="dxa"/>
            <w:vAlign w:val="center"/>
          </w:tcPr>
          <w:p w14:paraId="1450B563">
            <w:pPr>
              <w:spacing w:line="360" w:lineRule="auto"/>
              <w:rPr>
                <w:rFonts w:ascii="宋体" w:hAnsi="宋体" w:cs="宋体"/>
                <w:sz w:val="18"/>
                <w:szCs w:val="18"/>
              </w:rPr>
            </w:pPr>
            <w:r>
              <w:rPr>
                <w:rFonts w:hint="eastAsia" w:ascii="宋体" w:hAnsi="宋体" w:cs="宋体"/>
              </w:rPr>
              <w:t>2021年01月01日至今</w:t>
            </w:r>
          </w:p>
        </w:tc>
      </w:tr>
      <w:tr w14:paraId="5CBB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36" w:hRule="atLeast"/>
        </w:trPr>
        <w:tc>
          <w:tcPr>
            <w:tcW w:w="897" w:type="dxa"/>
            <w:gridSpan w:val="2"/>
            <w:vAlign w:val="center"/>
          </w:tcPr>
          <w:p w14:paraId="505E53C7">
            <w:pPr>
              <w:spacing w:line="360" w:lineRule="auto"/>
              <w:rPr>
                <w:rFonts w:ascii="宋体" w:hAnsi="宋体"/>
                <w:szCs w:val="21"/>
              </w:rPr>
            </w:pPr>
            <w:r>
              <w:rPr>
                <w:rFonts w:hint="eastAsia" w:ascii="宋体" w:hAnsi="宋体"/>
                <w:szCs w:val="21"/>
              </w:rPr>
              <w:t>3.6</w:t>
            </w:r>
          </w:p>
        </w:tc>
        <w:tc>
          <w:tcPr>
            <w:tcW w:w="2080" w:type="dxa"/>
            <w:vAlign w:val="center"/>
          </w:tcPr>
          <w:p w14:paraId="02973190">
            <w:pPr>
              <w:spacing w:line="360" w:lineRule="auto"/>
              <w:rPr>
                <w:rFonts w:ascii="宋体" w:hAnsi="宋体"/>
                <w:szCs w:val="21"/>
              </w:rPr>
            </w:pPr>
            <w:r>
              <w:rPr>
                <w:rFonts w:hint="eastAsia" w:ascii="宋体" w:hAnsi="宋体"/>
                <w:szCs w:val="21"/>
              </w:rPr>
              <w:t>是否允许递交</w:t>
            </w:r>
          </w:p>
          <w:p w14:paraId="32239C42">
            <w:pPr>
              <w:spacing w:line="360" w:lineRule="auto"/>
              <w:rPr>
                <w:rFonts w:ascii="宋体" w:hAnsi="宋体"/>
                <w:szCs w:val="21"/>
              </w:rPr>
            </w:pPr>
            <w:r>
              <w:rPr>
                <w:rFonts w:hint="eastAsia" w:ascii="宋体" w:hAnsi="宋体"/>
                <w:szCs w:val="21"/>
              </w:rPr>
              <w:t>备选响应方案</w:t>
            </w:r>
          </w:p>
        </w:tc>
        <w:tc>
          <w:tcPr>
            <w:tcW w:w="5337" w:type="dxa"/>
            <w:vAlign w:val="center"/>
          </w:tcPr>
          <w:p w14:paraId="3003F0D5">
            <w:pPr>
              <w:spacing w:line="360" w:lineRule="auto"/>
              <w:rPr>
                <w:rFonts w:ascii="宋体" w:hAnsi="宋体"/>
                <w:szCs w:val="21"/>
              </w:rPr>
            </w:pPr>
            <w:r>
              <w:rPr>
                <w:rFonts w:hint="eastAsia" w:ascii="宋体" w:hAnsi="宋体"/>
                <w:szCs w:val="21"/>
              </w:rPr>
              <w:t>不允许</w:t>
            </w:r>
          </w:p>
        </w:tc>
      </w:tr>
      <w:tr w14:paraId="62B6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36" w:hRule="atLeast"/>
        </w:trPr>
        <w:tc>
          <w:tcPr>
            <w:tcW w:w="897" w:type="dxa"/>
            <w:gridSpan w:val="2"/>
            <w:vAlign w:val="center"/>
          </w:tcPr>
          <w:p w14:paraId="11AB0F8D">
            <w:pPr>
              <w:jc w:val="center"/>
              <w:rPr>
                <w:rFonts w:ascii="宋体" w:hAnsi="宋体" w:cs="宋体"/>
              </w:rPr>
            </w:pPr>
            <w:r>
              <w:rPr>
                <w:rFonts w:hint="eastAsia" w:ascii="宋体" w:hAnsi="宋体" w:cs="宋体"/>
              </w:rPr>
              <w:t>3.7.3</w:t>
            </w:r>
          </w:p>
        </w:tc>
        <w:tc>
          <w:tcPr>
            <w:tcW w:w="2080" w:type="dxa"/>
            <w:vAlign w:val="center"/>
          </w:tcPr>
          <w:p w14:paraId="04DFDEFF">
            <w:pPr>
              <w:autoSpaceDE w:val="0"/>
              <w:autoSpaceDN w:val="0"/>
              <w:spacing w:line="320" w:lineRule="exact"/>
              <w:rPr>
                <w:rFonts w:ascii="宋体" w:hAnsi="宋体" w:cs="宋体"/>
              </w:rPr>
            </w:pPr>
            <w:r>
              <w:rPr>
                <w:rFonts w:hint="eastAsia" w:ascii="宋体" w:hAnsi="宋体" w:cs="宋体"/>
              </w:rPr>
              <w:t>签字或盖章要求</w:t>
            </w:r>
          </w:p>
        </w:tc>
        <w:tc>
          <w:tcPr>
            <w:tcW w:w="5337" w:type="dxa"/>
          </w:tcPr>
          <w:p w14:paraId="69172F30">
            <w:pPr>
              <w:autoSpaceDE w:val="0"/>
              <w:autoSpaceDN w:val="0"/>
              <w:spacing w:line="320" w:lineRule="exact"/>
              <w:rPr>
                <w:rFonts w:ascii="宋体" w:hAnsi="宋体" w:cs="宋体"/>
              </w:rPr>
            </w:pPr>
            <w:r>
              <w:rPr>
                <w:rFonts w:hint="eastAsia" w:ascii="宋体" w:hAnsi="宋体" w:cs="宋体"/>
              </w:rPr>
              <w:t>响应文件应按照磋商文件的规定加盖投标人印章并经法定代表人或其委托代理人签字；响应文件应使用打印、复印或不能擦去的墨水书写，文字要清晰，语言要明确，并按磋商文件的要求封面加盖单位公章和由法定代表人（或委托代理人）签名。响应文件应尽量避免涂改和插字，若为了改正错误必须这样做时，除了按采购人书面指示进行修改的以外，均应由法定代表人（或委托代理人）在修改处盖章或签名确认。</w:t>
            </w:r>
          </w:p>
          <w:p w14:paraId="3FA7EE58">
            <w:pPr>
              <w:autoSpaceDE w:val="0"/>
              <w:autoSpaceDN w:val="0"/>
              <w:spacing w:line="320" w:lineRule="exact"/>
              <w:rPr>
                <w:rFonts w:ascii="宋体" w:hAnsi="宋体" w:cs="宋体"/>
              </w:rPr>
            </w:pPr>
            <w:r>
              <w:rPr>
                <w:rFonts w:hint="eastAsia" w:ascii="宋体" w:hAnsi="宋体" w:cs="宋体"/>
              </w:rPr>
              <w:t>响应文件的封面、响应函、报价一览表、投标保证金、法人授权委托书的盖章和签字（盖章不能代替签字）等都要求是原件或真迹，不得复印。第一中标候选人需提交纸质响应文件用于存档，其他投标（响应）人无需提交纸质响应文件</w:t>
            </w:r>
          </w:p>
        </w:tc>
      </w:tr>
      <w:tr w14:paraId="6C6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897" w:type="dxa"/>
            <w:gridSpan w:val="2"/>
            <w:vAlign w:val="center"/>
          </w:tcPr>
          <w:p w14:paraId="61CF6C71">
            <w:pPr>
              <w:spacing w:line="360" w:lineRule="auto"/>
              <w:rPr>
                <w:rFonts w:ascii="宋体" w:hAnsi="宋体"/>
                <w:szCs w:val="21"/>
              </w:rPr>
            </w:pPr>
            <w:r>
              <w:rPr>
                <w:rFonts w:hint="eastAsia" w:ascii="宋体" w:hAnsi="宋体"/>
                <w:szCs w:val="21"/>
              </w:rPr>
              <w:t>3.7.4</w:t>
            </w:r>
          </w:p>
        </w:tc>
        <w:tc>
          <w:tcPr>
            <w:tcW w:w="2080" w:type="dxa"/>
            <w:vAlign w:val="center"/>
          </w:tcPr>
          <w:p w14:paraId="363BA67D">
            <w:pPr>
              <w:spacing w:line="360" w:lineRule="auto"/>
              <w:rPr>
                <w:rFonts w:ascii="宋体" w:hAnsi="宋体"/>
                <w:szCs w:val="21"/>
              </w:rPr>
            </w:pPr>
            <w:r>
              <w:rPr>
                <w:rFonts w:hint="eastAsia" w:ascii="宋体" w:hAnsi="宋体"/>
                <w:szCs w:val="21"/>
              </w:rPr>
              <w:t>响应文件份数</w:t>
            </w:r>
          </w:p>
        </w:tc>
        <w:tc>
          <w:tcPr>
            <w:tcW w:w="5337" w:type="dxa"/>
            <w:vAlign w:val="center"/>
          </w:tcPr>
          <w:p w14:paraId="44C8A9C1">
            <w:pPr>
              <w:spacing w:line="360" w:lineRule="auto"/>
              <w:rPr>
                <w:rFonts w:ascii="宋体" w:hAnsi="宋体"/>
                <w:szCs w:val="21"/>
              </w:rPr>
            </w:pPr>
            <w:r>
              <w:rPr>
                <w:rFonts w:hint="eastAsia" w:ascii="宋体" w:hAnsi="宋体"/>
                <w:szCs w:val="21"/>
              </w:rPr>
              <w:t>纸质文件：正本一份，副本两份；电子版：2份（U盘）。</w:t>
            </w:r>
          </w:p>
          <w:p w14:paraId="1CD904BE">
            <w:pPr>
              <w:spacing w:line="360" w:lineRule="auto"/>
              <w:rPr>
                <w:rFonts w:ascii="宋体" w:hAnsi="宋体"/>
                <w:szCs w:val="21"/>
              </w:rPr>
            </w:pPr>
            <w:r>
              <w:rPr>
                <w:rFonts w:hint="eastAsia" w:ascii="宋体" w:hAnsi="宋体"/>
                <w:szCs w:val="21"/>
              </w:rPr>
              <w:t>响应文件电子版内容：</w:t>
            </w:r>
          </w:p>
          <w:p w14:paraId="6EB8ECEF">
            <w:pPr>
              <w:spacing w:line="360" w:lineRule="auto"/>
              <w:rPr>
                <w:rFonts w:ascii="宋体" w:hAnsi="宋体"/>
                <w:szCs w:val="21"/>
              </w:rPr>
            </w:pPr>
            <w:r>
              <w:rPr>
                <w:rFonts w:hint="eastAsia" w:ascii="宋体" w:hAnsi="宋体"/>
                <w:szCs w:val="21"/>
              </w:rPr>
              <w:t>响应文件的全部内容</w:t>
            </w:r>
          </w:p>
          <w:p w14:paraId="55A33A63">
            <w:pPr>
              <w:spacing w:line="360" w:lineRule="auto"/>
              <w:rPr>
                <w:rFonts w:ascii="宋体" w:hAnsi="宋体"/>
                <w:szCs w:val="21"/>
              </w:rPr>
            </w:pPr>
            <w:r>
              <w:rPr>
                <w:rFonts w:hint="eastAsia" w:ascii="宋体" w:hAnsi="宋体"/>
                <w:szCs w:val="21"/>
              </w:rPr>
              <w:t>响应文件电子版份数：</w:t>
            </w:r>
          </w:p>
          <w:p w14:paraId="3A72C912">
            <w:pPr>
              <w:spacing w:line="360" w:lineRule="auto"/>
              <w:rPr>
                <w:rFonts w:ascii="宋体" w:hAnsi="宋体"/>
                <w:szCs w:val="21"/>
              </w:rPr>
            </w:pPr>
            <w:r>
              <w:rPr>
                <w:rFonts w:hint="eastAsia" w:ascii="宋体" w:hAnsi="宋体"/>
                <w:szCs w:val="21"/>
              </w:rPr>
              <w:t>U盘2份</w:t>
            </w:r>
          </w:p>
          <w:p w14:paraId="6D0A5EEF">
            <w:pPr>
              <w:spacing w:line="360" w:lineRule="auto"/>
              <w:rPr>
                <w:rFonts w:ascii="宋体" w:hAnsi="宋体"/>
                <w:szCs w:val="21"/>
              </w:rPr>
            </w:pPr>
            <w:r>
              <w:rPr>
                <w:rFonts w:hint="eastAsia" w:ascii="宋体" w:hAnsi="宋体"/>
                <w:szCs w:val="21"/>
              </w:rPr>
              <w:t>响应文件电子版格式：</w:t>
            </w:r>
          </w:p>
          <w:p w14:paraId="5EC04FE1">
            <w:pPr>
              <w:spacing w:line="360" w:lineRule="auto"/>
              <w:rPr>
                <w:rFonts w:ascii="宋体" w:hAnsi="宋体"/>
                <w:szCs w:val="21"/>
              </w:rPr>
            </w:pPr>
            <w:r>
              <w:rPr>
                <w:rFonts w:hint="eastAsia" w:ascii="宋体" w:hAnsi="宋体"/>
                <w:szCs w:val="21"/>
              </w:rPr>
              <w:t>U盘：word格式及pdf格式</w:t>
            </w:r>
          </w:p>
          <w:p w14:paraId="09DC6E4E">
            <w:pPr>
              <w:spacing w:line="360" w:lineRule="auto"/>
              <w:rPr>
                <w:rFonts w:ascii="宋体" w:hAnsi="宋体"/>
                <w:szCs w:val="21"/>
              </w:rPr>
            </w:pPr>
            <w:r>
              <w:rPr>
                <w:rFonts w:hint="eastAsia" w:ascii="宋体" w:hAnsi="宋体"/>
                <w:szCs w:val="21"/>
              </w:rPr>
              <w:t>注：投标单位需在开标前将投标文件制作工具生成的加密文件上传到“政采云”平台。第一中标候选人在公示期递交纸质文件及U盘为载体的电子投标（响应）文件，其他投标人无需提供。</w:t>
            </w:r>
          </w:p>
        </w:tc>
      </w:tr>
      <w:tr w14:paraId="0853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897" w:type="dxa"/>
            <w:gridSpan w:val="2"/>
            <w:vAlign w:val="center"/>
          </w:tcPr>
          <w:p w14:paraId="60AD6D66">
            <w:pPr>
              <w:jc w:val="center"/>
              <w:rPr>
                <w:rFonts w:ascii="宋体" w:hAnsi="宋体" w:cs="宋体"/>
              </w:rPr>
            </w:pPr>
            <w:r>
              <w:rPr>
                <w:rFonts w:hint="eastAsia" w:ascii="宋体" w:hAnsi="宋体" w:cs="宋体"/>
              </w:rPr>
              <w:t>3.7.5</w:t>
            </w:r>
          </w:p>
        </w:tc>
        <w:tc>
          <w:tcPr>
            <w:tcW w:w="2080" w:type="dxa"/>
            <w:vAlign w:val="center"/>
          </w:tcPr>
          <w:p w14:paraId="0C80FD20">
            <w:pPr>
              <w:rPr>
                <w:rFonts w:ascii="宋体" w:hAnsi="宋体" w:cs="宋体"/>
              </w:rPr>
            </w:pPr>
            <w:r>
              <w:rPr>
                <w:rFonts w:hint="eastAsia" w:ascii="宋体" w:hAnsi="宋体" w:cs="宋体"/>
              </w:rPr>
              <w:t>装订要求</w:t>
            </w:r>
          </w:p>
        </w:tc>
        <w:tc>
          <w:tcPr>
            <w:tcW w:w="5337" w:type="dxa"/>
            <w:vAlign w:val="center"/>
          </w:tcPr>
          <w:p w14:paraId="126F2C1D">
            <w:pPr>
              <w:spacing w:line="288" w:lineRule="auto"/>
              <w:rPr>
                <w:rFonts w:ascii="宋体" w:hAnsi="宋体" w:cs="宋体"/>
              </w:rPr>
            </w:pPr>
            <w:r>
              <w:rPr>
                <w:rFonts w:hint="eastAsia" w:ascii="宋体" w:hAnsi="宋体" w:cs="宋体"/>
              </w:rPr>
              <w:t>左侧纵向装订，不允许活页装订</w:t>
            </w:r>
          </w:p>
          <w:p w14:paraId="442D9270">
            <w:pPr>
              <w:spacing w:line="288" w:lineRule="auto"/>
              <w:rPr>
                <w:rFonts w:ascii="宋体" w:hAnsi="宋体" w:cs="宋体"/>
                <w:szCs w:val="21"/>
              </w:rPr>
            </w:pPr>
            <w:r>
              <w:rPr>
                <w:rFonts w:hint="eastAsia" w:ascii="宋体" w:hAnsi="宋体" w:cs="宋体"/>
                <w:szCs w:val="21"/>
              </w:rPr>
              <w:t>√不分册装订</w:t>
            </w:r>
          </w:p>
          <w:p w14:paraId="1D294308">
            <w:pPr>
              <w:spacing w:line="288" w:lineRule="auto"/>
              <w:rPr>
                <w:rFonts w:ascii="宋体" w:hAnsi="宋体" w:cs="宋体"/>
              </w:rPr>
            </w:pPr>
            <w:r>
              <w:rPr>
                <w:rFonts w:hint="eastAsia" w:ascii="宋体" w:hAnsi="宋体" w:cs="宋体"/>
                <w:szCs w:val="21"/>
              </w:rPr>
              <w:t>每册采用</w:t>
            </w:r>
            <w:r>
              <w:rPr>
                <w:rFonts w:hint="eastAsia" w:ascii="宋体" w:hAnsi="宋体" w:cs="宋体"/>
                <w:szCs w:val="21"/>
                <w:u w:val="single"/>
              </w:rPr>
              <w:t xml:space="preserve"> 胶装 </w:t>
            </w:r>
            <w:r>
              <w:rPr>
                <w:rFonts w:hint="eastAsia" w:ascii="宋体" w:hAnsi="宋体" w:cs="宋体"/>
                <w:szCs w:val="21"/>
              </w:rPr>
              <w:t>方式装订，装订应牢固、不易拆散和换页，不得采用活页装订</w:t>
            </w:r>
          </w:p>
        </w:tc>
      </w:tr>
      <w:tr w14:paraId="7794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72" w:hRule="atLeast"/>
        </w:trPr>
        <w:tc>
          <w:tcPr>
            <w:tcW w:w="897" w:type="dxa"/>
            <w:gridSpan w:val="2"/>
            <w:vAlign w:val="center"/>
          </w:tcPr>
          <w:p w14:paraId="291A0470">
            <w:pPr>
              <w:spacing w:line="360" w:lineRule="auto"/>
              <w:rPr>
                <w:rFonts w:ascii="宋体" w:hAnsi="宋体"/>
                <w:szCs w:val="21"/>
              </w:rPr>
            </w:pPr>
            <w:r>
              <w:rPr>
                <w:rFonts w:hint="eastAsia" w:ascii="宋体" w:hAnsi="宋体"/>
                <w:szCs w:val="21"/>
              </w:rPr>
              <w:t>4.1.1</w:t>
            </w:r>
          </w:p>
        </w:tc>
        <w:tc>
          <w:tcPr>
            <w:tcW w:w="2080" w:type="dxa"/>
            <w:vAlign w:val="center"/>
          </w:tcPr>
          <w:p w14:paraId="5C9E462E">
            <w:pPr>
              <w:spacing w:line="360" w:lineRule="auto"/>
              <w:rPr>
                <w:rFonts w:ascii="宋体" w:hAnsi="宋体"/>
                <w:szCs w:val="21"/>
              </w:rPr>
            </w:pPr>
            <w:r>
              <w:rPr>
                <w:rFonts w:hint="eastAsia" w:ascii="宋体" w:hAnsi="宋体"/>
                <w:szCs w:val="21"/>
              </w:rPr>
              <w:t>响应文件送达截止时间</w:t>
            </w:r>
          </w:p>
        </w:tc>
        <w:tc>
          <w:tcPr>
            <w:tcW w:w="5337" w:type="dxa"/>
            <w:vAlign w:val="center"/>
          </w:tcPr>
          <w:p w14:paraId="7A9180CC">
            <w:pPr>
              <w:spacing w:line="520" w:lineRule="exact"/>
              <w:rPr>
                <w:rFonts w:ascii="宋体" w:hAnsi="宋体"/>
                <w:szCs w:val="21"/>
              </w:rPr>
            </w:pPr>
            <w:r>
              <w:rPr>
                <w:rFonts w:hint="eastAsia" w:ascii="宋体" w:hAnsi="宋体"/>
                <w:b/>
                <w:szCs w:val="21"/>
                <w:lang w:eastAsia="zh-CN"/>
              </w:rPr>
              <w:t>2024年12月25日14时00分</w:t>
            </w:r>
            <w:r>
              <w:rPr>
                <w:rFonts w:hint="eastAsia" w:ascii="宋体" w:hAnsi="宋体"/>
                <w:szCs w:val="21"/>
              </w:rPr>
              <w:t>（北京时间）</w:t>
            </w:r>
          </w:p>
        </w:tc>
      </w:tr>
      <w:tr w14:paraId="2CC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72" w:hRule="atLeast"/>
        </w:trPr>
        <w:tc>
          <w:tcPr>
            <w:tcW w:w="897" w:type="dxa"/>
            <w:gridSpan w:val="2"/>
            <w:vAlign w:val="center"/>
          </w:tcPr>
          <w:p w14:paraId="2DE4B590">
            <w:pPr>
              <w:spacing w:line="360" w:lineRule="auto"/>
              <w:rPr>
                <w:rFonts w:ascii="宋体" w:hAnsi="宋体"/>
                <w:szCs w:val="21"/>
              </w:rPr>
            </w:pPr>
            <w:r>
              <w:rPr>
                <w:rFonts w:hint="eastAsia" w:ascii="宋体" w:hAnsi="宋体"/>
                <w:szCs w:val="21"/>
              </w:rPr>
              <w:t>4.2.1</w:t>
            </w:r>
          </w:p>
        </w:tc>
        <w:tc>
          <w:tcPr>
            <w:tcW w:w="2080" w:type="dxa"/>
            <w:vAlign w:val="center"/>
          </w:tcPr>
          <w:p w14:paraId="0C9FA55B">
            <w:pPr>
              <w:spacing w:line="360" w:lineRule="auto"/>
              <w:rPr>
                <w:rFonts w:ascii="宋体" w:hAnsi="宋体"/>
                <w:szCs w:val="21"/>
              </w:rPr>
            </w:pPr>
            <w:r>
              <w:rPr>
                <w:rFonts w:hint="eastAsia" w:ascii="宋体" w:hAnsi="宋体"/>
                <w:szCs w:val="21"/>
              </w:rPr>
              <w:t>递交响应文件地点</w:t>
            </w:r>
          </w:p>
        </w:tc>
        <w:tc>
          <w:tcPr>
            <w:tcW w:w="5337" w:type="dxa"/>
            <w:vAlign w:val="center"/>
          </w:tcPr>
          <w:p w14:paraId="644C8334">
            <w:pPr>
              <w:spacing w:line="360" w:lineRule="auto"/>
              <w:rPr>
                <w:rFonts w:ascii="宋体" w:hAnsi="宋体"/>
                <w:szCs w:val="21"/>
              </w:rPr>
            </w:pPr>
            <w:r>
              <w:rPr>
                <w:rFonts w:hint="eastAsia" w:ascii="宋体" w:hAnsi="宋体"/>
                <w:szCs w:val="21"/>
              </w:rPr>
              <w:t>地点：电子投标文件：本项目为全流程电子化项目，通过“政采云”平台（http</w:t>
            </w:r>
            <w:r>
              <w:rPr>
                <w:rFonts w:hint="eastAsia" w:ascii="宋体" w:hAnsi="宋体"/>
                <w:szCs w:val="21"/>
                <w:lang w:val="en-US" w:eastAsia="zh-CN"/>
              </w:rPr>
              <w:t>s</w:t>
            </w:r>
            <w:r>
              <w:rPr>
                <w:rFonts w:hint="eastAsia" w:ascii="宋体" w:hAnsi="宋体"/>
                <w:szCs w:val="21"/>
              </w:rPr>
              <w:t>：//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tc>
      </w:tr>
      <w:tr w14:paraId="1835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3" w:hRule="atLeast"/>
        </w:trPr>
        <w:tc>
          <w:tcPr>
            <w:tcW w:w="897" w:type="dxa"/>
            <w:gridSpan w:val="2"/>
            <w:vAlign w:val="center"/>
          </w:tcPr>
          <w:p w14:paraId="015245FE">
            <w:pPr>
              <w:spacing w:line="360" w:lineRule="auto"/>
              <w:rPr>
                <w:rFonts w:ascii="宋体" w:hAnsi="宋体"/>
                <w:szCs w:val="21"/>
              </w:rPr>
            </w:pPr>
            <w:r>
              <w:rPr>
                <w:rFonts w:hint="eastAsia" w:ascii="宋体" w:hAnsi="宋体"/>
                <w:szCs w:val="21"/>
              </w:rPr>
              <w:t>4.2.2</w:t>
            </w:r>
          </w:p>
        </w:tc>
        <w:tc>
          <w:tcPr>
            <w:tcW w:w="2080" w:type="dxa"/>
            <w:vAlign w:val="center"/>
          </w:tcPr>
          <w:p w14:paraId="2ABCE53E">
            <w:pPr>
              <w:spacing w:line="360" w:lineRule="auto"/>
              <w:rPr>
                <w:rFonts w:ascii="宋体" w:hAnsi="宋体"/>
                <w:szCs w:val="21"/>
              </w:rPr>
            </w:pPr>
            <w:r>
              <w:rPr>
                <w:rFonts w:hint="eastAsia" w:ascii="宋体" w:hAnsi="宋体"/>
                <w:szCs w:val="21"/>
              </w:rPr>
              <w:t>是否退还响应文件</w:t>
            </w:r>
          </w:p>
        </w:tc>
        <w:tc>
          <w:tcPr>
            <w:tcW w:w="5337" w:type="dxa"/>
            <w:vAlign w:val="center"/>
          </w:tcPr>
          <w:p w14:paraId="1A7F4262">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w:t>
            </w:r>
          </w:p>
          <w:p w14:paraId="7147BF5C">
            <w:pPr>
              <w:spacing w:line="360" w:lineRule="auto"/>
              <w:rPr>
                <w:rFonts w:ascii="宋体" w:hAnsi="宋体"/>
                <w:szCs w:val="21"/>
              </w:rPr>
            </w:pPr>
            <w:r>
              <w:rPr>
                <w:rFonts w:hint="eastAsia" w:ascii="宋体" w:hAnsi="宋体"/>
                <w:szCs w:val="21"/>
              </w:rPr>
              <w:t>□是，退还安排：</w:t>
            </w:r>
          </w:p>
        </w:tc>
      </w:tr>
      <w:tr w14:paraId="390F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88" w:hRule="atLeast"/>
        </w:trPr>
        <w:tc>
          <w:tcPr>
            <w:tcW w:w="897" w:type="dxa"/>
            <w:gridSpan w:val="2"/>
            <w:vAlign w:val="center"/>
          </w:tcPr>
          <w:p w14:paraId="297415BB">
            <w:pPr>
              <w:spacing w:line="360" w:lineRule="auto"/>
              <w:rPr>
                <w:rFonts w:ascii="宋体" w:hAnsi="宋体"/>
                <w:szCs w:val="21"/>
              </w:rPr>
            </w:pPr>
            <w:r>
              <w:rPr>
                <w:rFonts w:hint="eastAsia" w:ascii="宋体" w:hAnsi="宋体"/>
                <w:szCs w:val="21"/>
              </w:rPr>
              <w:t>5.1.1</w:t>
            </w:r>
          </w:p>
        </w:tc>
        <w:tc>
          <w:tcPr>
            <w:tcW w:w="2080" w:type="dxa"/>
            <w:vAlign w:val="center"/>
          </w:tcPr>
          <w:p w14:paraId="044600FA">
            <w:pPr>
              <w:spacing w:line="360" w:lineRule="auto"/>
              <w:rPr>
                <w:rFonts w:ascii="宋体" w:hAnsi="宋体"/>
                <w:szCs w:val="21"/>
              </w:rPr>
            </w:pPr>
            <w:r>
              <w:rPr>
                <w:rFonts w:hint="eastAsia" w:ascii="宋体" w:hAnsi="宋体"/>
                <w:szCs w:val="21"/>
              </w:rPr>
              <w:t>竞争性磋商响应文件开启时间和地点</w:t>
            </w:r>
          </w:p>
        </w:tc>
        <w:tc>
          <w:tcPr>
            <w:tcW w:w="5337" w:type="dxa"/>
            <w:vAlign w:val="center"/>
          </w:tcPr>
          <w:p w14:paraId="6F21FD52">
            <w:pPr>
              <w:spacing w:line="360" w:lineRule="auto"/>
              <w:rPr>
                <w:rFonts w:ascii="宋体" w:hAnsi="宋体"/>
                <w:szCs w:val="21"/>
              </w:rPr>
            </w:pPr>
            <w:r>
              <w:rPr>
                <w:rFonts w:hint="eastAsia" w:ascii="宋体" w:hAnsi="宋体"/>
                <w:szCs w:val="21"/>
              </w:rPr>
              <w:t>开标时间：同投标截止时间</w:t>
            </w:r>
          </w:p>
          <w:p w14:paraId="53086C54">
            <w:pPr>
              <w:spacing w:line="360" w:lineRule="auto"/>
              <w:rPr>
                <w:rFonts w:ascii="宋体" w:hAnsi="宋体"/>
                <w:szCs w:val="21"/>
              </w:rPr>
            </w:pPr>
            <w:r>
              <w:rPr>
                <w:rFonts w:hint="eastAsia" w:ascii="宋体" w:hAnsi="宋体"/>
                <w:szCs w:val="21"/>
              </w:rPr>
              <w:t>开标地点：同响应文件上传提交地点</w:t>
            </w:r>
          </w:p>
        </w:tc>
      </w:tr>
      <w:tr w14:paraId="2223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88" w:hRule="atLeast"/>
        </w:trPr>
        <w:tc>
          <w:tcPr>
            <w:tcW w:w="897" w:type="dxa"/>
            <w:gridSpan w:val="2"/>
            <w:vAlign w:val="center"/>
          </w:tcPr>
          <w:p w14:paraId="4AD57CB1">
            <w:pPr>
              <w:jc w:val="center"/>
              <w:rPr>
                <w:rFonts w:ascii="宋体" w:hAnsi="宋体" w:cs="宋体"/>
              </w:rPr>
            </w:pPr>
            <w:r>
              <w:rPr>
                <w:rFonts w:hint="eastAsia" w:ascii="宋体" w:hAnsi="宋体" w:cs="宋体"/>
              </w:rPr>
              <w:t>5.2</w:t>
            </w:r>
          </w:p>
        </w:tc>
        <w:tc>
          <w:tcPr>
            <w:tcW w:w="2080" w:type="dxa"/>
            <w:vAlign w:val="center"/>
          </w:tcPr>
          <w:p w14:paraId="38989B0E">
            <w:pPr>
              <w:rPr>
                <w:rFonts w:ascii="宋体" w:hAnsi="宋体" w:cs="宋体"/>
              </w:rPr>
            </w:pPr>
            <w:r>
              <w:rPr>
                <w:rFonts w:hint="eastAsia" w:ascii="宋体" w:hAnsi="宋体" w:cs="宋体"/>
              </w:rPr>
              <w:t>开标程序</w:t>
            </w:r>
          </w:p>
        </w:tc>
        <w:tc>
          <w:tcPr>
            <w:tcW w:w="5337" w:type="dxa"/>
            <w:vAlign w:val="center"/>
          </w:tcPr>
          <w:p w14:paraId="25611808">
            <w:pPr>
              <w:widowControl/>
              <w:wordWrap w:val="0"/>
              <w:spacing w:line="520" w:lineRule="exact"/>
              <w:jc w:val="left"/>
              <w:rPr>
                <w:rFonts w:ascii="宋体" w:hAnsi="宋体" w:cs="宋体"/>
                <w:bCs/>
                <w:snapToGrid w:val="0"/>
                <w:kern w:val="0"/>
              </w:rPr>
            </w:pPr>
            <w:r>
              <w:rPr>
                <w:rFonts w:hint="eastAsia" w:ascii="宋体" w:hAnsi="宋体" w:cs="宋体"/>
                <w:bCs/>
                <w:snapToGrid w:val="0"/>
                <w:kern w:val="0"/>
              </w:rPr>
              <w:t>1、</w:t>
            </w:r>
            <w:r>
              <w:rPr>
                <w:rFonts w:hint="eastAsia" w:ascii="宋体" w:hAnsi="宋体" w:cs="宋体"/>
                <w:bCs/>
                <w:snapToGrid w:val="0"/>
                <w:kern w:val="0"/>
                <w:lang w:val="zh-CN"/>
              </w:rPr>
              <w:t>本项目采用全流程电子化招投标</w:t>
            </w:r>
            <w:r>
              <w:rPr>
                <w:rFonts w:hint="eastAsia" w:ascii="宋体" w:hAnsi="宋体" w:cs="宋体"/>
                <w:bCs/>
                <w:snapToGrid w:val="0"/>
                <w:kern w:val="0"/>
              </w:rPr>
              <w:t>，</w:t>
            </w:r>
            <w:r>
              <w:rPr>
                <w:rFonts w:hint="eastAsia" w:ascii="宋体" w:hAnsi="宋体" w:cs="宋体"/>
                <w:bCs/>
                <w:snapToGrid w:val="0"/>
                <w:kern w:val="0"/>
                <w:lang w:val="zh-CN"/>
              </w:rPr>
              <w:t>开标方式为远程开标</w:t>
            </w:r>
            <w:r>
              <w:rPr>
                <w:rFonts w:hint="eastAsia" w:ascii="宋体" w:hAnsi="宋体" w:cs="宋体"/>
                <w:bCs/>
                <w:snapToGrid w:val="0"/>
                <w:kern w:val="0"/>
              </w:rPr>
              <w:t>，</w:t>
            </w:r>
            <w:r>
              <w:rPr>
                <w:rFonts w:hint="eastAsia" w:ascii="宋体" w:hAnsi="宋体" w:cs="宋体"/>
                <w:bCs/>
                <w:snapToGrid w:val="0"/>
                <w:kern w:val="0"/>
                <w:lang w:val="zh-CN"/>
              </w:rPr>
              <w:t>供应商</w:t>
            </w:r>
            <w:r>
              <w:rPr>
                <w:rFonts w:hint="eastAsia" w:ascii="宋体" w:hAnsi="宋体" w:cs="宋体"/>
                <w:bCs/>
                <w:snapToGrid w:val="0"/>
                <w:kern w:val="0"/>
              </w:rPr>
              <w:t>在</w:t>
            </w:r>
            <w:r>
              <w:rPr>
                <w:rFonts w:hint="eastAsia"/>
                <w:lang w:val="zh-CN"/>
              </w:rPr>
              <w:t>提交响应文件截止时间前</w:t>
            </w:r>
            <w:r>
              <w:rPr>
                <w:rFonts w:hint="eastAsia" w:ascii="宋体" w:hAnsi="宋体" w:cs="宋体"/>
                <w:bCs/>
                <w:snapToGrid w:val="0"/>
                <w:kern w:val="0"/>
                <w:lang w:val="zh-CN"/>
              </w:rPr>
              <w:t>通过政府采购云平台</w:t>
            </w:r>
            <w:r>
              <w:rPr>
                <w:rFonts w:hint="eastAsia" w:ascii="宋体" w:hAnsi="宋体" w:cs="宋体"/>
                <w:bCs/>
                <w:snapToGrid w:val="0"/>
                <w:kern w:val="0"/>
              </w:rPr>
              <w:t>（</w:t>
            </w:r>
            <w:r>
              <w:rPr>
                <w:rFonts w:hint="eastAsia" w:ascii="宋体" w:hAnsi="宋体" w:cs="宋体"/>
                <w:bCs/>
                <w:snapToGrid w:val="0"/>
                <w:kern w:val="0"/>
                <w:lang w:val="zh-CN"/>
              </w:rPr>
              <w:t>网址</w:t>
            </w:r>
            <w:r>
              <w:rPr>
                <w:rFonts w:hint="eastAsia" w:ascii="宋体" w:hAnsi="宋体" w:cs="宋体"/>
                <w:bCs/>
                <w:snapToGrid w:val="0"/>
                <w:kern w:val="0"/>
              </w:rPr>
              <w:t>：http</w:t>
            </w:r>
            <w:r>
              <w:rPr>
                <w:rFonts w:hint="eastAsia" w:ascii="宋体" w:hAnsi="宋体" w:cs="宋体"/>
                <w:bCs/>
                <w:snapToGrid w:val="0"/>
                <w:kern w:val="0"/>
                <w:lang w:val="en-US" w:eastAsia="zh-CN"/>
              </w:rPr>
              <w:t>s</w:t>
            </w:r>
            <w:r>
              <w:rPr>
                <w:rFonts w:hint="eastAsia" w:ascii="宋体" w:hAnsi="宋体" w:cs="宋体"/>
                <w:bCs/>
                <w:snapToGrid w:val="0"/>
                <w:kern w:val="0"/>
              </w:rPr>
              <w:t>://www.zcygov.cn）</w:t>
            </w:r>
            <w:r>
              <w:rPr>
                <w:rFonts w:hint="eastAsia" w:ascii="宋体" w:hAnsi="宋体" w:cs="宋体"/>
                <w:bCs/>
                <w:snapToGrid w:val="0"/>
                <w:kern w:val="0"/>
                <w:lang w:val="zh-CN"/>
              </w:rPr>
              <w:t>递交电子投标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w:t>
            </w:r>
            <w:r>
              <w:rPr>
                <w:rFonts w:hint="eastAsia" w:ascii="宋体" w:hAnsi="宋体" w:cs="宋体"/>
                <w:bCs/>
                <w:snapToGrid w:val="0"/>
                <w:kern w:val="0"/>
              </w:rPr>
              <w:t>，</w:t>
            </w:r>
            <w:r>
              <w:rPr>
                <w:rFonts w:hint="eastAsia" w:ascii="宋体" w:hAnsi="宋体" w:cs="宋体"/>
                <w:bCs/>
                <w:snapToGrid w:val="0"/>
                <w:kern w:val="0"/>
                <w:lang w:val="zh-CN"/>
              </w:rPr>
              <w:t>并按照平台开标工作人员通知使用</w:t>
            </w:r>
            <w:r>
              <w:rPr>
                <w:rFonts w:hint="eastAsia" w:ascii="宋体" w:hAnsi="宋体" w:cs="宋体"/>
                <w:bCs/>
                <w:snapToGrid w:val="0"/>
                <w:kern w:val="0"/>
              </w:rPr>
              <w:t>CA</w:t>
            </w:r>
            <w:r>
              <w:rPr>
                <w:rFonts w:hint="eastAsia" w:ascii="宋体" w:hAnsi="宋体" w:cs="宋体"/>
                <w:bCs/>
                <w:snapToGrid w:val="0"/>
                <w:kern w:val="0"/>
                <w:lang w:val="zh-CN"/>
              </w:rPr>
              <w:t>锁进行投标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文件远程解密。</w:t>
            </w:r>
          </w:p>
          <w:p w14:paraId="3B05D507">
            <w:pPr>
              <w:widowControl/>
              <w:wordWrap w:val="0"/>
              <w:spacing w:line="520" w:lineRule="exact"/>
              <w:jc w:val="left"/>
            </w:pPr>
            <w:r>
              <w:rPr>
                <w:rFonts w:hint="eastAsia" w:ascii="宋体" w:hAnsi="宋体" w:cs="宋体"/>
                <w:bCs/>
                <w:snapToGrid w:val="0"/>
                <w:kern w:val="0"/>
              </w:rPr>
              <w:t>2、供应商</w:t>
            </w:r>
            <w:r>
              <w:rPr>
                <w:rFonts w:hint="eastAsia" w:ascii="宋体" w:hAnsi="宋体" w:cs="宋体"/>
                <w:bCs/>
                <w:snapToGrid w:val="0"/>
                <w:kern w:val="0"/>
                <w:lang w:val="zh-CN"/>
              </w:rPr>
              <w:t>对开标有异议的，应当在远程开标时提出，非远程开标中提出的开标异议，</w:t>
            </w:r>
            <w:r>
              <w:rPr>
                <w:rFonts w:hint="eastAsia" w:ascii="宋体" w:hAnsi="宋体" w:cs="宋体"/>
                <w:bCs/>
                <w:snapToGrid w:val="0"/>
                <w:kern w:val="0"/>
              </w:rPr>
              <w:t>采购</w:t>
            </w:r>
            <w:r>
              <w:rPr>
                <w:rFonts w:hint="eastAsia" w:ascii="宋体" w:hAnsi="宋体" w:cs="宋体"/>
                <w:bCs/>
                <w:snapToGrid w:val="0"/>
                <w:kern w:val="0"/>
                <w:lang w:val="zh-CN"/>
              </w:rPr>
              <w:t>人或者行政监督部门不予受理。</w:t>
            </w:r>
          </w:p>
          <w:p w14:paraId="7F28EDA6">
            <w:pPr>
              <w:spacing w:line="288" w:lineRule="auto"/>
              <w:rPr>
                <w:rFonts w:ascii="宋体" w:hAnsi="宋体" w:cs="宋体"/>
              </w:rPr>
            </w:pPr>
            <w:r>
              <w:rPr>
                <w:rFonts w:hint="eastAsia"/>
                <w:snapToGrid w:val="0"/>
              </w:rPr>
              <w:t>3、</w:t>
            </w:r>
            <w:r>
              <w:rPr>
                <w:rFonts w:hint="eastAsia"/>
                <w:snapToGrid w:val="0"/>
                <w:lang w:val="zh-CN"/>
              </w:rPr>
              <w:t>电子</w:t>
            </w:r>
            <w:r>
              <w:rPr>
                <w:rFonts w:hint="eastAsia"/>
                <w:snapToGrid w:val="0"/>
              </w:rPr>
              <w:t>投标</w:t>
            </w:r>
            <w:r>
              <w:rPr>
                <w:rFonts w:hint="eastAsia"/>
                <w:snapToGrid w:val="0"/>
                <w:lang w:val="zh-CN"/>
              </w:rPr>
              <w:t>文件解密期限及方式：开</w:t>
            </w:r>
            <w:r>
              <w:rPr>
                <w:rFonts w:hint="eastAsia"/>
                <w:snapToGrid w:val="0"/>
              </w:rPr>
              <w:t>标</w:t>
            </w:r>
            <w:r>
              <w:rPr>
                <w:rFonts w:hint="eastAsia"/>
                <w:snapToGrid w:val="0"/>
                <w:lang w:val="zh-CN"/>
              </w:rPr>
              <w:t>时间后</w:t>
            </w:r>
            <w:r>
              <w:rPr>
                <w:rFonts w:hint="eastAsia"/>
                <w:snapToGrid w:val="0"/>
              </w:rPr>
              <w:t>30</w:t>
            </w:r>
            <w:r>
              <w:rPr>
                <w:rFonts w:hint="eastAsia"/>
                <w:snapToGrid w:val="0"/>
                <w:lang w:val="zh-CN"/>
              </w:rPr>
              <w:t>分钟内，由供应商持制作该电子</w:t>
            </w:r>
            <w:r>
              <w:rPr>
                <w:rFonts w:hint="eastAsia"/>
                <w:snapToGrid w:val="0"/>
              </w:rPr>
              <w:t>投标</w:t>
            </w:r>
            <w:r>
              <w:rPr>
                <w:rFonts w:hint="eastAsia"/>
                <w:snapToGrid w:val="0"/>
                <w:lang w:val="zh-CN"/>
              </w:rPr>
              <w:t>文件的同一数字证书（CA锁）及电脑进行远程解密（各</w:t>
            </w:r>
            <w:r>
              <w:rPr>
                <w:rFonts w:hint="eastAsia"/>
                <w:snapToGrid w:val="0"/>
              </w:rPr>
              <w:t>供应商开标</w:t>
            </w:r>
            <w:r>
              <w:rPr>
                <w:rFonts w:hint="eastAsia"/>
                <w:snapToGrid w:val="0"/>
                <w:lang w:val="zh-CN"/>
              </w:rPr>
              <w:t>前及网上开评标系统公布</w:t>
            </w:r>
            <w:r>
              <w:rPr>
                <w:rFonts w:hint="eastAsia"/>
                <w:snapToGrid w:val="0"/>
              </w:rPr>
              <w:t>供应商</w:t>
            </w:r>
            <w:r>
              <w:rPr>
                <w:rFonts w:hint="eastAsia"/>
                <w:snapToGrid w:val="0"/>
                <w:lang w:val="zh-CN"/>
              </w:rPr>
              <w:t>名单前，不要提前进行远程解密；具体解密时间在直播时采购代理机构工作人员会进行通知）。</w:t>
            </w:r>
            <w:r>
              <w:rPr>
                <w:rFonts w:hint="eastAsia"/>
                <w:snapToGrid w:val="0"/>
              </w:rPr>
              <w:t>投标</w:t>
            </w:r>
            <w:r>
              <w:rPr>
                <w:rFonts w:hint="eastAsia"/>
                <w:snapToGrid w:val="0"/>
                <w:lang w:val="zh-CN"/>
              </w:rPr>
              <w:t>文件解密截止时间后，“政采云”平台公布</w:t>
            </w:r>
            <w:r>
              <w:rPr>
                <w:rFonts w:hint="eastAsia"/>
                <w:snapToGrid w:val="0"/>
              </w:rPr>
              <w:t>投标</w:t>
            </w:r>
            <w:r>
              <w:rPr>
                <w:rFonts w:hint="eastAsia"/>
                <w:snapToGrid w:val="0"/>
                <w:lang w:val="zh-CN"/>
              </w:rPr>
              <w:t>报价信息，供应商持企业数字证书登录“政采云”平台在线查询</w:t>
            </w:r>
            <w:r>
              <w:rPr>
                <w:rFonts w:hint="eastAsia"/>
                <w:snapToGrid w:val="0"/>
              </w:rPr>
              <w:t>投标</w:t>
            </w:r>
            <w:r>
              <w:rPr>
                <w:rFonts w:hint="eastAsia"/>
                <w:snapToGrid w:val="0"/>
                <w:lang w:val="zh-CN"/>
              </w:rPr>
              <w:t>报价信息。</w:t>
            </w:r>
            <w:r>
              <w:rPr>
                <w:rFonts w:hint="eastAsia"/>
                <w:szCs w:val="24"/>
                <w:lang w:val="zh-CN"/>
              </w:rPr>
              <w:t>因投标人自身原因未能按时完成解密的，视为逾期未提交投标响应文件，其投标无效。</w:t>
            </w:r>
          </w:p>
        </w:tc>
      </w:tr>
      <w:tr w14:paraId="7DC3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897" w:type="dxa"/>
            <w:gridSpan w:val="2"/>
            <w:vAlign w:val="center"/>
          </w:tcPr>
          <w:p w14:paraId="3F5D439C">
            <w:pPr>
              <w:spacing w:line="360" w:lineRule="auto"/>
              <w:rPr>
                <w:rFonts w:ascii="宋体" w:hAnsi="宋体"/>
                <w:szCs w:val="21"/>
              </w:rPr>
            </w:pPr>
            <w:r>
              <w:rPr>
                <w:rFonts w:hint="eastAsia" w:ascii="宋体" w:hAnsi="宋体"/>
                <w:szCs w:val="21"/>
              </w:rPr>
              <w:t>6.1.1</w:t>
            </w:r>
          </w:p>
        </w:tc>
        <w:tc>
          <w:tcPr>
            <w:tcW w:w="2080" w:type="dxa"/>
            <w:vAlign w:val="center"/>
          </w:tcPr>
          <w:p w14:paraId="16F0911B">
            <w:pPr>
              <w:spacing w:line="360" w:lineRule="auto"/>
              <w:rPr>
                <w:rFonts w:ascii="宋体" w:hAnsi="宋体"/>
                <w:szCs w:val="21"/>
              </w:rPr>
            </w:pPr>
            <w:r>
              <w:rPr>
                <w:rFonts w:hint="eastAsia" w:ascii="宋体" w:hAnsi="宋体"/>
                <w:szCs w:val="21"/>
              </w:rPr>
              <w:t>磋商小组的组建</w:t>
            </w:r>
          </w:p>
        </w:tc>
        <w:tc>
          <w:tcPr>
            <w:tcW w:w="5337" w:type="dxa"/>
            <w:vAlign w:val="center"/>
          </w:tcPr>
          <w:p w14:paraId="416624DC">
            <w:pPr>
              <w:spacing w:line="360" w:lineRule="auto"/>
              <w:rPr>
                <w:rFonts w:ascii="宋体" w:hAnsi="宋体"/>
                <w:szCs w:val="21"/>
              </w:rPr>
            </w:pPr>
            <w:r>
              <w:rPr>
                <w:rFonts w:hint="eastAsia" w:ascii="宋体" w:hAnsi="宋体"/>
                <w:szCs w:val="21"/>
              </w:rPr>
              <w:t>竞争性磋商小组构成：3人组成，其中采购人代表/人，专家3人。（采购人代表限采购人在职人员，且具备工程类高级工程师或评标专家相应资格及具有电子评标资格，采购人代表不具备条件的由评标专家补充。）</w:t>
            </w:r>
          </w:p>
          <w:p w14:paraId="75E9F118">
            <w:pPr>
              <w:spacing w:line="360" w:lineRule="auto"/>
              <w:rPr>
                <w:rFonts w:ascii="宋体" w:hAnsi="宋体"/>
                <w:szCs w:val="21"/>
              </w:rPr>
            </w:pPr>
            <w:r>
              <w:rPr>
                <w:rFonts w:hint="eastAsia" w:ascii="宋体" w:hAnsi="宋体"/>
                <w:szCs w:val="21"/>
              </w:rPr>
              <w:t>评标专家确定方式：通过“政采云”平台专家库中随机抽取。</w:t>
            </w:r>
          </w:p>
        </w:tc>
      </w:tr>
      <w:tr w14:paraId="6955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45" w:hRule="atLeast"/>
        </w:trPr>
        <w:tc>
          <w:tcPr>
            <w:tcW w:w="897" w:type="dxa"/>
            <w:gridSpan w:val="2"/>
            <w:vAlign w:val="center"/>
          </w:tcPr>
          <w:p w14:paraId="014DD8F4">
            <w:pPr>
              <w:spacing w:line="360" w:lineRule="auto"/>
              <w:rPr>
                <w:rFonts w:ascii="宋体" w:hAnsi="宋体"/>
                <w:szCs w:val="21"/>
              </w:rPr>
            </w:pPr>
            <w:r>
              <w:rPr>
                <w:rFonts w:hint="eastAsia" w:ascii="宋体" w:hAnsi="宋体"/>
                <w:szCs w:val="21"/>
              </w:rPr>
              <w:t>7.1</w:t>
            </w:r>
          </w:p>
        </w:tc>
        <w:tc>
          <w:tcPr>
            <w:tcW w:w="2080" w:type="dxa"/>
            <w:vAlign w:val="center"/>
          </w:tcPr>
          <w:p w14:paraId="0BD23E5D">
            <w:pPr>
              <w:spacing w:line="360" w:lineRule="auto"/>
              <w:rPr>
                <w:rFonts w:ascii="宋体" w:hAnsi="宋体"/>
                <w:szCs w:val="21"/>
              </w:rPr>
            </w:pPr>
            <w:r>
              <w:rPr>
                <w:rFonts w:hint="eastAsia" w:ascii="宋体" w:hAnsi="宋体"/>
                <w:szCs w:val="21"/>
              </w:rPr>
              <w:t>是否书面授权磋商小组直接确定成交供应商</w:t>
            </w:r>
          </w:p>
        </w:tc>
        <w:tc>
          <w:tcPr>
            <w:tcW w:w="5337" w:type="dxa"/>
            <w:vAlign w:val="center"/>
          </w:tcPr>
          <w:p w14:paraId="196DCA8D">
            <w:pPr>
              <w:spacing w:line="360" w:lineRule="auto"/>
              <w:rPr>
                <w:rFonts w:ascii="宋体" w:hAnsi="宋体"/>
                <w:szCs w:val="21"/>
              </w:rPr>
            </w:pPr>
            <w:r>
              <w:rPr>
                <w:rFonts w:hint="eastAsia" w:ascii="宋体" w:hAnsi="宋体"/>
                <w:szCs w:val="21"/>
              </w:rPr>
              <w:t>□是</w:t>
            </w:r>
          </w:p>
          <w:p w14:paraId="1FC18FD2">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否，推荐的成交候选人数：</w:t>
            </w:r>
            <w:r>
              <w:rPr>
                <w:rFonts w:hint="eastAsia" w:ascii="宋体" w:hAnsi="宋体"/>
                <w:szCs w:val="21"/>
              </w:rPr>
              <w:t xml:space="preserve">   3名     </w:t>
            </w:r>
          </w:p>
        </w:tc>
      </w:tr>
      <w:tr w14:paraId="6D69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09" w:hRule="atLeast"/>
        </w:trPr>
        <w:tc>
          <w:tcPr>
            <w:tcW w:w="897" w:type="dxa"/>
            <w:gridSpan w:val="2"/>
            <w:vAlign w:val="center"/>
          </w:tcPr>
          <w:p w14:paraId="6FD7E2E6">
            <w:pPr>
              <w:spacing w:line="360" w:lineRule="auto"/>
              <w:rPr>
                <w:rFonts w:ascii="宋体" w:hAnsi="宋体"/>
                <w:szCs w:val="21"/>
              </w:rPr>
            </w:pPr>
            <w:r>
              <w:rPr>
                <w:rFonts w:hint="eastAsia" w:ascii="宋体" w:hAnsi="宋体"/>
                <w:szCs w:val="21"/>
              </w:rPr>
              <w:t>7.2</w:t>
            </w:r>
          </w:p>
        </w:tc>
        <w:tc>
          <w:tcPr>
            <w:tcW w:w="2080" w:type="dxa"/>
            <w:vAlign w:val="center"/>
          </w:tcPr>
          <w:p w14:paraId="2DA1BB50">
            <w:pPr>
              <w:spacing w:line="360" w:lineRule="auto"/>
              <w:rPr>
                <w:rFonts w:ascii="宋体" w:hAnsi="宋体"/>
                <w:szCs w:val="21"/>
              </w:rPr>
            </w:pPr>
            <w:r>
              <w:rPr>
                <w:rFonts w:hint="eastAsia" w:ascii="宋体" w:hAnsi="宋体"/>
                <w:szCs w:val="21"/>
              </w:rPr>
              <w:t>磋商结果公示媒介</w:t>
            </w:r>
          </w:p>
        </w:tc>
        <w:tc>
          <w:tcPr>
            <w:tcW w:w="5337" w:type="dxa"/>
            <w:vAlign w:val="center"/>
          </w:tcPr>
          <w:p w14:paraId="272BD3A0">
            <w:pPr>
              <w:spacing w:line="360" w:lineRule="auto"/>
              <w:rPr>
                <w:rFonts w:ascii="宋体" w:hAnsi="宋体"/>
                <w:szCs w:val="21"/>
              </w:rPr>
            </w:pPr>
            <w:r>
              <w:rPr>
                <w:rFonts w:hint="eastAsia"/>
                <w:szCs w:val="21"/>
              </w:rPr>
              <w:t>本项目磋商公告发布的相同媒介。</w:t>
            </w:r>
          </w:p>
        </w:tc>
      </w:tr>
      <w:tr w14:paraId="5ADB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8" w:hRule="atLeast"/>
        </w:trPr>
        <w:tc>
          <w:tcPr>
            <w:tcW w:w="897" w:type="dxa"/>
            <w:gridSpan w:val="2"/>
            <w:vAlign w:val="center"/>
          </w:tcPr>
          <w:p w14:paraId="3E32A242">
            <w:pPr>
              <w:spacing w:line="360" w:lineRule="auto"/>
              <w:rPr>
                <w:rFonts w:ascii="宋体" w:hAnsi="宋体"/>
                <w:szCs w:val="21"/>
              </w:rPr>
            </w:pPr>
            <w:r>
              <w:rPr>
                <w:rFonts w:hint="eastAsia" w:ascii="宋体" w:hAnsi="宋体"/>
                <w:szCs w:val="21"/>
              </w:rPr>
              <w:t>7.3.1</w:t>
            </w:r>
          </w:p>
        </w:tc>
        <w:tc>
          <w:tcPr>
            <w:tcW w:w="2080" w:type="dxa"/>
            <w:vAlign w:val="center"/>
          </w:tcPr>
          <w:p w14:paraId="53BD82DE">
            <w:pPr>
              <w:spacing w:line="360" w:lineRule="auto"/>
              <w:rPr>
                <w:rFonts w:ascii="宋体" w:hAnsi="宋体"/>
                <w:szCs w:val="21"/>
              </w:rPr>
            </w:pPr>
            <w:r>
              <w:rPr>
                <w:rFonts w:hint="eastAsia" w:ascii="宋体" w:hAnsi="宋体"/>
                <w:szCs w:val="21"/>
              </w:rPr>
              <w:t>是否提交履约保证金</w:t>
            </w:r>
          </w:p>
        </w:tc>
        <w:tc>
          <w:tcPr>
            <w:tcW w:w="5337" w:type="dxa"/>
            <w:vAlign w:val="center"/>
          </w:tcPr>
          <w:p w14:paraId="65718FC0">
            <w:pPr>
              <w:spacing w:line="360" w:lineRule="auto"/>
              <w:rPr>
                <w:rFonts w:ascii="宋体" w:hAnsi="宋体"/>
                <w:szCs w:val="21"/>
              </w:rPr>
            </w:pPr>
            <w:r>
              <w:rPr>
                <w:rFonts w:hint="eastAsia" w:ascii="宋体" w:hAnsi="宋体"/>
                <w:szCs w:val="21"/>
              </w:rPr>
              <w:t>□是，履约保证金提交金额和形式如下：</w:t>
            </w:r>
          </w:p>
          <w:p w14:paraId="6AF42BAD">
            <w:pPr>
              <w:spacing w:line="360" w:lineRule="auto"/>
              <w:rPr>
                <w:rFonts w:ascii="宋体" w:hAnsi="宋体"/>
                <w:szCs w:val="21"/>
              </w:rPr>
            </w:pPr>
            <w:r>
              <w:rPr>
                <w:rFonts w:hint="eastAsia" w:ascii="宋体" w:hAnsi="宋体"/>
                <w:szCs w:val="21"/>
              </w:rPr>
              <w:t>履约保证金的形式：支票、汇票、本票或者金融机构、担保机构出具的保函等非现金形式</w:t>
            </w:r>
          </w:p>
          <w:p w14:paraId="3E7FF89A">
            <w:pPr>
              <w:spacing w:line="360" w:lineRule="auto"/>
              <w:rPr>
                <w:rFonts w:ascii="宋体" w:hAnsi="宋体"/>
                <w:szCs w:val="21"/>
              </w:rPr>
            </w:pPr>
            <w:r>
              <w:rPr>
                <w:rFonts w:hint="eastAsia" w:ascii="宋体" w:hAnsi="宋体"/>
                <w:szCs w:val="21"/>
              </w:rPr>
              <w:t>履约保证金的金额：合同总价的    %</w:t>
            </w:r>
          </w:p>
          <w:p w14:paraId="14C245E7">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w:t>
            </w:r>
          </w:p>
        </w:tc>
      </w:tr>
      <w:tr w14:paraId="35DB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26" w:hRule="atLeast"/>
        </w:trPr>
        <w:tc>
          <w:tcPr>
            <w:tcW w:w="897" w:type="dxa"/>
            <w:gridSpan w:val="2"/>
            <w:vAlign w:val="center"/>
          </w:tcPr>
          <w:p w14:paraId="6BB37B08">
            <w:pPr>
              <w:spacing w:line="360" w:lineRule="auto"/>
              <w:rPr>
                <w:rFonts w:ascii="宋体" w:hAnsi="宋体"/>
                <w:szCs w:val="21"/>
              </w:rPr>
            </w:pPr>
            <w:r>
              <w:rPr>
                <w:rFonts w:hint="eastAsia" w:ascii="宋体" w:hAnsi="宋体"/>
                <w:szCs w:val="21"/>
              </w:rPr>
              <w:t>10.1</w:t>
            </w:r>
          </w:p>
        </w:tc>
        <w:tc>
          <w:tcPr>
            <w:tcW w:w="2080" w:type="dxa"/>
            <w:vAlign w:val="center"/>
          </w:tcPr>
          <w:p w14:paraId="539B8EDB">
            <w:pPr>
              <w:spacing w:line="360" w:lineRule="auto"/>
              <w:rPr>
                <w:rFonts w:ascii="宋体" w:hAnsi="宋体"/>
                <w:szCs w:val="21"/>
              </w:rPr>
            </w:pPr>
            <w:r>
              <w:rPr>
                <w:rFonts w:hint="eastAsia" w:ascii="宋体" w:hAnsi="宋体"/>
                <w:szCs w:val="21"/>
              </w:rPr>
              <w:t>知识产权</w:t>
            </w:r>
          </w:p>
        </w:tc>
        <w:tc>
          <w:tcPr>
            <w:tcW w:w="5337" w:type="dxa"/>
            <w:vAlign w:val="center"/>
          </w:tcPr>
          <w:p w14:paraId="7E08DD4C">
            <w:pPr>
              <w:spacing w:line="360" w:lineRule="auto"/>
              <w:rPr>
                <w:rFonts w:ascii="宋体" w:hAnsi="宋体"/>
                <w:szCs w:val="21"/>
              </w:rPr>
            </w:pPr>
            <w:r>
              <w:rPr>
                <w:rFonts w:hint="eastAsia" w:ascii="宋体" w:hAnsi="宋体"/>
                <w:szCs w:val="21"/>
              </w:rPr>
              <w:t>构成本竞争性磋商文件各个组成部分的文件，未经采购人书面同意，供应商不得擅自复印和用于非本项目所需的其他目的。采购人全部或者部分使用未成交供应商响应文件中的技术成果或技术方案时，需征得其书面同意，并不得擅自复印或提供给第三人。</w:t>
            </w:r>
          </w:p>
        </w:tc>
      </w:tr>
      <w:tr w14:paraId="25A3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43" w:hRule="atLeast"/>
        </w:trPr>
        <w:tc>
          <w:tcPr>
            <w:tcW w:w="897" w:type="dxa"/>
            <w:gridSpan w:val="2"/>
            <w:vAlign w:val="center"/>
          </w:tcPr>
          <w:p w14:paraId="60BF750B">
            <w:pPr>
              <w:spacing w:line="360" w:lineRule="auto"/>
              <w:rPr>
                <w:rFonts w:ascii="宋体" w:hAnsi="宋体"/>
                <w:szCs w:val="21"/>
              </w:rPr>
            </w:pPr>
            <w:r>
              <w:rPr>
                <w:rFonts w:hint="eastAsia" w:ascii="宋体" w:hAnsi="宋体"/>
                <w:szCs w:val="21"/>
              </w:rPr>
              <w:t>10.2</w:t>
            </w:r>
          </w:p>
        </w:tc>
        <w:tc>
          <w:tcPr>
            <w:tcW w:w="2080" w:type="dxa"/>
            <w:vAlign w:val="center"/>
          </w:tcPr>
          <w:p w14:paraId="4D9E9347">
            <w:pPr>
              <w:spacing w:line="360" w:lineRule="auto"/>
              <w:rPr>
                <w:rFonts w:ascii="宋体" w:hAnsi="宋体"/>
                <w:szCs w:val="21"/>
              </w:rPr>
            </w:pPr>
            <w:r>
              <w:rPr>
                <w:rFonts w:hint="eastAsia" w:ascii="宋体" w:hAnsi="宋体"/>
                <w:szCs w:val="21"/>
              </w:rPr>
              <w:t>同义词语</w:t>
            </w:r>
          </w:p>
        </w:tc>
        <w:tc>
          <w:tcPr>
            <w:tcW w:w="5337" w:type="dxa"/>
            <w:vAlign w:val="center"/>
          </w:tcPr>
          <w:p w14:paraId="1E3A42B5">
            <w:pPr>
              <w:spacing w:line="360" w:lineRule="auto"/>
              <w:rPr>
                <w:rFonts w:ascii="宋体" w:hAnsi="宋体"/>
                <w:szCs w:val="21"/>
              </w:rPr>
            </w:pPr>
            <w:r>
              <w:rPr>
                <w:rFonts w:hint="eastAsia" w:ascii="宋体" w:hAnsi="宋体"/>
                <w:szCs w:val="21"/>
              </w:rPr>
              <w:t>构成竞争性磋商文件组成部分的“通用合同条款”、“专用合同条款”、“技术标准和要求”等章节中出现的措辞“发包人”和“承包人”，在竞争性磋商采购阶段应当分别按“采购人”、“招标人”和“供应商”“投标人”进行理解。</w:t>
            </w:r>
          </w:p>
        </w:tc>
      </w:tr>
      <w:tr w14:paraId="1DD7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60" w:hRule="atLeast"/>
        </w:trPr>
        <w:tc>
          <w:tcPr>
            <w:tcW w:w="897" w:type="dxa"/>
            <w:gridSpan w:val="2"/>
            <w:vAlign w:val="center"/>
          </w:tcPr>
          <w:p w14:paraId="2DC634F7">
            <w:pPr>
              <w:spacing w:line="360" w:lineRule="auto"/>
              <w:rPr>
                <w:rFonts w:ascii="宋体" w:hAnsi="宋体"/>
                <w:szCs w:val="21"/>
              </w:rPr>
            </w:pPr>
            <w:r>
              <w:rPr>
                <w:rFonts w:hint="eastAsia" w:ascii="宋体" w:hAnsi="宋体"/>
                <w:szCs w:val="21"/>
              </w:rPr>
              <w:t>10.3</w:t>
            </w:r>
          </w:p>
        </w:tc>
        <w:tc>
          <w:tcPr>
            <w:tcW w:w="2080" w:type="dxa"/>
            <w:vAlign w:val="center"/>
          </w:tcPr>
          <w:p w14:paraId="755CFB5A">
            <w:pPr>
              <w:spacing w:line="360" w:lineRule="auto"/>
              <w:rPr>
                <w:rFonts w:ascii="宋体" w:hAnsi="宋体"/>
                <w:szCs w:val="21"/>
              </w:rPr>
            </w:pPr>
            <w:r>
              <w:rPr>
                <w:rFonts w:hint="eastAsia" w:ascii="宋体" w:hAnsi="宋体"/>
                <w:szCs w:val="21"/>
              </w:rPr>
              <w:t>解释权</w:t>
            </w:r>
          </w:p>
        </w:tc>
        <w:tc>
          <w:tcPr>
            <w:tcW w:w="5337" w:type="dxa"/>
            <w:vAlign w:val="center"/>
          </w:tcPr>
          <w:p w14:paraId="5D4B1074">
            <w:pPr>
              <w:spacing w:line="360" w:lineRule="auto"/>
              <w:rPr>
                <w:rFonts w:ascii="宋体" w:hAnsi="宋体"/>
                <w:szCs w:val="21"/>
              </w:rPr>
            </w:pPr>
            <w:r>
              <w:rPr>
                <w:rFonts w:hint="eastAsia" w:ascii="宋体" w:hAnsi="宋体"/>
                <w:szCs w:val="21"/>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竞争性磋商采购阶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108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10" w:hRule="atLeast"/>
        </w:trPr>
        <w:tc>
          <w:tcPr>
            <w:tcW w:w="897" w:type="dxa"/>
            <w:gridSpan w:val="2"/>
            <w:vAlign w:val="center"/>
          </w:tcPr>
          <w:p w14:paraId="7654546B">
            <w:pPr>
              <w:spacing w:line="360" w:lineRule="auto"/>
              <w:rPr>
                <w:rFonts w:ascii="宋体" w:hAnsi="宋体"/>
                <w:szCs w:val="21"/>
              </w:rPr>
            </w:pPr>
            <w:r>
              <w:rPr>
                <w:rFonts w:hint="eastAsia" w:ascii="宋体" w:hAnsi="宋体"/>
                <w:szCs w:val="21"/>
              </w:rPr>
              <w:t>10.4</w:t>
            </w:r>
          </w:p>
        </w:tc>
        <w:tc>
          <w:tcPr>
            <w:tcW w:w="2080" w:type="dxa"/>
            <w:vAlign w:val="center"/>
          </w:tcPr>
          <w:p w14:paraId="5D002780">
            <w:pPr>
              <w:spacing w:line="360" w:lineRule="auto"/>
              <w:rPr>
                <w:rFonts w:ascii="宋体" w:hAnsi="宋体"/>
                <w:szCs w:val="21"/>
              </w:rPr>
            </w:pPr>
            <w:r>
              <w:rPr>
                <w:rFonts w:hint="eastAsia" w:ascii="宋体" w:hAnsi="宋体"/>
                <w:szCs w:val="21"/>
              </w:rPr>
              <w:t>代理服务费</w:t>
            </w:r>
          </w:p>
        </w:tc>
        <w:tc>
          <w:tcPr>
            <w:tcW w:w="5337" w:type="dxa"/>
            <w:vAlign w:val="center"/>
          </w:tcPr>
          <w:p w14:paraId="2F096A61">
            <w:pPr>
              <w:spacing w:line="360" w:lineRule="auto"/>
              <w:rPr>
                <w:rFonts w:ascii="宋体" w:hAnsi="宋体"/>
                <w:szCs w:val="21"/>
              </w:rPr>
            </w:pPr>
            <w:r>
              <w:rPr>
                <w:rFonts w:hint="eastAsia" w:ascii="宋体" w:hAnsi="宋体"/>
                <w:szCs w:val="21"/>
              </w:rPr>
              <w:t>招标代理服务费：</w:t>
            </w:r>
            <w:r>
              <w:rPr>
                <w:rFonts w:hint="eastAsia" w:ascii="宋体" w:hAnsi="宋体" w:cs="Times New Roman"/>
                <w:szCs w:val="21"/>
              </w:rPr>
              <w:t>由成交供应商支付。参照国家计委计价格〔2002〕1980号文《招标代理服务费管理暂行办法》及国家发展和改革委员会办公厅发改办价格〔2003〕857号文、国家发展改革委发改价格〔2015〕299号文的取费标准向中标单位收取，金额为中标金额的2%。</w:t>
            </w:r>
          </w:p>
        </w:tc>
      </w:tr>
      <w:tr w14:paraId="5278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4" w:type="dxa"/>
            <w:gridSpan w:val="4"/>
            <w:vAlign w:val="center"/>
          </w:tcPr>
          <w:p w14:paraId="0A8569A4">
            <w:pPr>
              <w:spacing w:line="312" w:lineRule="auto"/>
              <w:rPr>
                <w:rFonts w:ascii="宋体" w:hAnsi="宋体" w:cs="宋体"/>
              </w:rPr>
            </w:pPr>
            <w:r>
              <w:rPr>
                <w:rFonts w:hint="eastAsia" w:ascii="宋体" w:hAnsi="宋体" w:cs="宋体"/>
              </w:rPr>
              <w:t>10.5  计算机辅助评标</w:t>
            </w:r>
          </w:p>
        </w:tc>
      </w:tr>
      <w:tr w14:paraId="4DBC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86" w:type="dxa"/>
            <w:vAlign w:val="center"/>
          </w:tcPr>
          <w:p w14:paraId="27897354">
            <w:pPr>
              <w:spacing w:line="312" w:lineRule="auto"/>
              <w:jc w:val="center"/>
              <w:rPr>
                <w:rFonts w:ascii="宋体" w:hAnsi="宋体" w:cs="宋体"/>
              </w:rPr>
            </w:pPr>
          </w:p>
        </w:tc>
        <w:tc>
          <w:tcPr>
            <w:tcW w:w="2091" w:type="dxa"/>
            <w:gridSpan w:val="2"/>
            <w:vAlign w:val="center"/>
          </w:tcPr>
          <w:p w14:paraId="0C880FB4">
            <w:pPr>
              <w:spacing w:line="312" w:lineRule="auto"/>
              <w:rPr>
                <w:rFonts w:ascii="宋体" w:hAnsi="宋体" w:cs="宋体"/>
              </w:rPr>
            </w:pPr>
            <w:r>
              <w:rPr>
                <w:rFonts w:hint="eastAsia" w:ascii="宋体" w:hAnsi="宋体" w:cs="宋体"/>
              </w:rPr>
              <w:t>是否实行计算机辅助评标</w:t>
            </w:r>
          </w:p>
        </w:tc>
        <w:tc>
          <w:tcPr>
            <w:tcW w:w="5337" w:type="dxa"/>
            <w:vAlign w:val="center"/>
          </w:tcPr>
          <w:p w14:paraId="47BD62EF">
            <w:pPr>
              <w:spacing w:line="312" w:lineRule="auto"/>
              <w:rPr>
                <w:rFonts w:ascii="宋体" w:hAnsi="宋体" w:cs="宋体"/>
              </w:rPr>
            </w:pPr>
            <w:r>
              <w:rPr>
                <w:rFonts w:hint="eastAsia" w:ascii="宋体" w:hAnsi="宋体" w:cs="宋体"/>
              </w:rPr>
              <w:t>√是，供应商严格按照“政采云”平台电子交易全流程要求进行投标。</w:t>
            </w:r>
          </w:p>
          <w:p w14:paraId="303B8EF4">
            <w:pPr>
              <w:spacing w:line="312" w:lineRule="auto"/>
              <w:rPr>
                <w:rFonts w:ascii="宋体" w:hAnsi="宋体" w:cs="宋体"/>
              </w:rPr>
            </w:pPr>
            <w:r>
              <w:rPr>
                <w:rFonts w:hint="eastAsia" w:ascii="宋体" w:hAnsi="宋体" w:cs="宋体"/>
              </w:rPr>
              <w:t>否</w:t>
            </w:r>
          </w:p>
        </w:tc>
      </w:tr>
      <w:tr w14:paraId="14E9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314" w:type="dxa"/>
            <w:gridSpan w:val="4"/>
            <w:vAlign w:val="center"/>
          </w:tcPr>
          <w:p w14:paraId="69B4764D">
            <w:pPr>
              <w:spacing w:line="312" w:lineRule="auto"/>
              <w:ind w:left="210" w:hanging="210" w:hangingChars="100"/>
              <w:rPr>
                <w:rFonts w:ascii="宋体" w:hAnsi="宋体" w:cs="宋体"/>
              </w:rPr>
            </w:pPr>
            <w:r>
              <w:rPr>
                <w:rFonts w:hint="eastAsia" w:ascii="宋体" w:hAnsi="宋体" w:cs="宋体"/>
              </w:rPr>
              <w:t>10.6供应商代表出席开标会</w:t>
            </w:r>
          </w:p>
        </w:tc>
      </w:tr>
      <w:tr w14:paraId="4332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886" w:type="dxa"/>
            <w:vAlign w:val="center"/>
          </w:tcPr>
          <w:p w14:paraId="7800AC8E">
            <w:pPr>
              <w:spacing w:line="312" w:lineRule="auto"/>
              <w:rPr>
                <w:rFonts w:ascii="宋体" w:hAnsi="宋体" w:cs="宋体"/>
              </w:rPr>
            </w:pPr>
          </w:p>
        </w:tc>
        <w:tc>
          <w:tcPr>
            <w:tcW w:w="7428" w:type="dxa"/>
            <w:gridSpan w:val="3"/>
            <w:vAlign w:val="center"/>
          </w:tcPr>
          <w:p w14:paraId="2F214CAC">
            <w:pPr>
              <w:spacing w:line="312" w:lineRule="auto"/>
              <w:rPr>
                <w:rFonts w:ascii="宋体" w:hAnsi="宋体" w:cs="宋体"/>
              </w:rPr>
            </w:pPr>
            <w:r>
              <w:rPr>
                <w:rFonts w:hint="eastAsia" w:ascii="宋体" w:hAnsi="宋体" w:cs="宋体"/>
                <w:bCs/>
                <w:lang w:val="zh-CN"/>
              </w:rPr>
              <w:t>供应商的法定代表人或其委托代理人应当按时参加网上开标会，否则，其投标文件按无效投标处理。</w:t>
            </w:r>
          </w:p>
        </w:tc>
      </w:tr>
      <w:tr w14:paraId="4360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314" w:type="dxa"/>
            <w:gridSpan w:val="4"/>
            <w:vAlign w:val="center"/>
          </w:tcPr>
          <w:p w14:paraId="6166765F">
            <w:pPr>
              <w:rPr>
                <w:rFonts w:ascii="宋体" w:hAnsi="宋体" w:cs="宋体"/>
              </w:rPr>
            </w:pPr>
            <w:r>
              <w:rPr>
                <w:rFonts w:hint="eastAsia" w:ascii="宋体" w:hAnsi="宋体" w:cs="宋体"/>
              </w:rPr>
              <w:t>10.7中标公示</w:t>
            </w:r>
          </w:p>
        </w:tc>
      </w:tr>
      <w:tr w14:paraId="4984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86" w:type="dxa"/>
            <w:vAlign w:val="center"/>
          </w:tcPr>
          <w:p w14:paraId="323FAC1C">
            <w:pPr>
              <w:spacing w:line="312" w:lineRule="auto"/>
              <w:rPr>
                <w:rFonts w:ascii="宋体" w:hAnsi="宋体" w:cs="宋体"/>
              </w:rPr>
            </w:pPr>
          </w:p>
        </w:tc>
        <w:tc>
          <w:tcPr>
            <w:tcW w:w="7428" w:type="dxa"/>
            <w:gridSpan w:val="3"/>
            <w:vAlign w:val="center"/>
          </w:tcPr>
          <w:p w14:paraId="08E6FEDA">
            <w:pPr>
              <w:spacing w:line="312" w:lineRule="auto"/>
              <w:rPr>
                <w:rFonts w:ascii="宋体" w:hAnsi="宋体" w:cs="宋体"/>
              </w:rPr>
            </w:pPr>
            <w:r>
              <w:rPr>
                <w:rFonts w:hint="eastAsia"/>
              </w:rPr>
              <w:t>吉林省政府采购云平台（同步推送到吉林省政府采购网）、中国政府采购网</w:t>
            </w:r>
          </w:p>
        </w:tc>
      </w:tr>
    </w:tbl>
    <w:p w14:paraId="5D502D2B">
      <w:pPr>
        <w:jc w:val="center"/>
        <w:rPr>
          <w:sz w:val="30"/>
          <w:szCs w:val="30"/>
        </w:rPr>
      </w:pPr>
    </w:p>
    <w:p w14:paraId="48AB4678">
      <w:pPr>
        <w:widowControl/>
        <w:jc w:val="left"/>
        <w:rPr>
          <w:sz w:val="30"/>
          <w:szCs w:val="30"/>
        </w:rPr>
      </w:pPr>
      <w:r>
        <w:rPr>
          <w:sz w:val="30"/>
          <w:szCs w:val="30"/>
        </w:rPr>
        <w:br w:type="page"/>
      </w:r>
    </w:p>
    <w:p w14:paraId="2D1559A7">
      <w:pPr>
        <w:spacing w:line="360" w:lineRule="auto"/>
        <w:rPr>
          <w:rFonts w:ascii="宋体" w:hAnsi="宋体"/>
          <w:sz w:val="26"/>
        </w:rPr>
      </w:pPr>
      <w:r>
        <w:rPr>
          <w:rFonts w:hint="eastAsia" w:ascii="宋体" w:hAnsi="宋体"/>
          <w:sz w:val="26"/>
        </w:rPr>
        <w:t>供应商须知正文部分</w:t>
      </w:r>
    </w:p>
    <w:p w14:paraId="19E5FD63">
      <w:pPr>
        <w:spacing w:line="360" w:lineRule="auto"/>
        <w:rPr>
          <w:rFonts w:ascii="宋体" w:hAnsi="宋体"/>
          <w:sz w:val="26"/>
        </w:rPr>
      </w:pPr>
      <w:bookmarkStart w:id="10" w:name="_Toc152045529"/>
      <w:bookmarkStart w:id="11" w:name="_Toc152042305"/>
      <w:bookmarkStart w:id="12" w:name="_Toc144974497"/>
      <w:bookmarkStart w:id="13" w:name="_Toc179632546"/>
      <w:bookmarkStart w:id="14" w:name="_Toc403382372"/>
      <w:bookmarkStart w:id="15" w:name="_Toc31763"/>
      <w:r>
        <w:rPr>
          <w:rFonts w:hint="eastAsia" w:ascii="宋体" w:hAnsi="宋体"/>
          <w:sz w:val="26"/>
        </w:rPr>
        <w:t>1. 总则</w:t>
      </w:r>
      <w:bookmarkEnd w:id="10"/>
      <w:bookmarkEnd w:id="11"/>
      <w:bookmarkEnd w:id="12"/>
      <w:bookmarkEnd w:id="13"/>
      <w:bookmarkEnd w:id="14"/>
      <w:bookmarkEnd w:id="15"/>
    </w:p>
    <w:p w14:paraId="58B36325">
      <w:pPr>
        <w:spacing w:line="360" w:lineRule="auto"/>
        <w:rPr>
          <w:rFonts w:ascii="宋体" w:hAnsi="宋体"/>
          <w:sz w:val="26"/>
        </w:rPr>
      </w:pPr>
      <w:bookmarkStart w:id="16" w:name="_Toc403382373"/>
      <w:bookmarkStart w:id="17" w:name="_Toc152042306"/>
      <w:bookmarkStart w:id="18" w:name="_Toc144974498"/>
      <w:bookmarkStart w:id="19" w:name="_Toc179632547"/>
      <w:bookmarkStart w:id="20" w:name="_Toc152045530"/>
      <w:r>
        <w:rPr>
          <w:rFonts w:hint="eastAsia" w:ascii="宋体" w:hAnsi="宋体"/>
          <w:sz w:val="26"/>
        </w:rPr>
        <w:t>1.1 项目概况</w:t>
      </w:r>
      <w:bookmarkEnd w:id="16"/>
      <w:bookmarkEnd w:id="17"/>
      <w:bookmarkEnd w:id="18"/>
      <w:bookmarkEnd w:id="19"/>
      <w:bookmarkEnd w:id="20"/>
    </w:p>
    <w:p w14:paraId="5A37EE6D">
      <w:pPr>
        <w:spacing w:line="360" w:lineRule="auto"/>
        <w:rPr>
          <w:rFonts w:ascii="宋体" w:hAnsi="宋体"/>
          <w:sz w:val="26"/>
        </w:rPr>
      </w:pPr>
      <w:r>
        <w:rPr>
          <w:rFonts w:hint="eastAsia" w:ascii="宋体" w:hAnsi="宋体"/>
          <w:sz w:val="26"/>
        </w:rPr>
        <w:t>1.1.1根据《中华人民共和国政府采购法》《中华人民共和国政府采购法实施条例》《政府采购货物和服务招标投标管理办法》《政府采购竞争性磋商采购方式管理暂行办法》等有关法律、法规和规章的规定，本项目已具备采购条件，现对本项目进行竞争性磋商采购。</w:t>
      </w:r>
    </w:p>
    <w:p w14:paraId="63128B38">
      <w:pPr>
        <w:spacing w:line="360" w:lineRule="auto"/>
        <w:rPr>
          <w:rFonts w:ascii="宋体" w:hAnsi="宋体"/>
          <w:sz w:val="26"/>
        </w:rPr>
      </w:pPr>
      <w:r>
        <w:rPr>
          <w:rFonts w:hint="eastAsia" w:ascii="宋体" w:hAnsi="宋体"/>
          <w:sz w:val="26"/>
        </w:rPr>
        <w:t>1.1.2 本政府采购项目采购人：见供应商须知前附表。</w:t>
      </w:r>
    </w:p>
    <w:p w14:paraId="1D44785F">
      <w:pPr>
        <w:spacing w:line="360" w:lineRule="auto"/>
        <w:rPr>
          <w:rFonts w:ascii="宋体" w:hAnsi="宋体"/>
          <w:sz w:val="26"/>
        </w:rPr>
      </w:pPr>
      <w:r>
        <w:rPr>
          <w:rFonts w:hint="eastAsia" w:ascii="宋体" w:hAnsi="宋体"/>
          <w:sz w:val="26"/>
        </w:rPr>
        <w:t>1.1.3 本项目包采购代理机构：见供应商须知前附表。</w:t>
      </w:r>
    </w:p>
    <w:p w14:paraId="4AE2B0A7">
      <w:pPr>
        <w:spacing w:line="360" w:lineRule="auto"/>
        <w:rPr>
          <w:rFonts w:ascii="宋体" w:hAnsi="宋体"/>
          <w:sz w:val="26"/>
        </w:rPr>
      </w:pPr>
      <w:r>
        <w:rPr>
          <w:rFonts w:hint="eastAsia" w:ascii="宋体" w:hAnsi="宋体"/>
          <w:sz w:val="26"/>
        </w:rPr>
        <w:t>1.1.4 本政府采购项目名称：见供应商须知前附表。</w:t>
      </w:r>
    </w:p>
    <w:p w14:paraId="677679B3">
      <w:pPr>
        <w:spacing w:line="360" w:lineRule="auto"/>
        <w:rPr>
          <w:rFonts w:ascii="宋体" w:hAnsi="宋体"/>
          <w:sz w:val="26"/>
        </w:rPr>
      </w:pPr>
      <w:bookmarkStart w:id="21" w:name="_Toc403382374"/>
      <w:bookmarkStart w:id="22" w:name="_Toc179632548"/>
      <w:bookmarkStart w:id="23" w:name="_Toc152042307"/>
      <w:bookmarkStart w:id="24" w:name="_Toc152045531"/>
      <w:bookmarkStart w:id="25" w:name="_Toc144974499"/>
      <w:r>
        <w:rPr>
          <w:rFonts w:hint="eastAsia" w:ascii="宋体" w:hAnsi="宋体"/>
          <w:sz w:val="26"/>
        </w:rPr>
        <w:t>1.2 资金来源和落实情况</w:t>
      </w:r>
      <w:bookmarkEnd w:id="21"/>
      <w:bookmarkEnd w:id="22"/>
      <w:bookmarkEnd w:id="23"/>
      <w:bookmarkEnd w:id="24"/>
      <w:bookmarkEnd w:id="25"/>
    </w:p>
    <w:p w14:paraId="1D92CEC2">
      <w:pPr>
        <w:spacing w:line="360" w:lineRule="auto"/>
        <w:rPr>
          <w:rFonts w:ascii="宋体" w:hAnsi="宋体"/>
          <w:sz w:val="26"/>
        </w:rPr>
      </w:pPr>
      <w:r>
        <w:rPr>
          <w:rFonts w:hint="eastAsia" w:ascii="宋体" w:hAnsi="宋体"/>
          <w:sz w:val="26"/>
        </w:rPr>
        <w:t>1.2.1 本政府采购项目的资金来源：见供应商须知前附表。</w:t>
      </w:r>
    </w:p>
    <w:p w14:paraId="6DC5B73F">
      <w:pPr>
        <w:spacing w:line="360" w:lineRule="auto"/>
        <w:rPr>
          <w:rFonts w:ascii="宋体" w:hAnsi="宋体"/>
          <w:sz w:val="26"/>
        </w:rPr>
      </w:pPr>
      <w:r>
        <w:rPr>
          <w:rFonts w:hint="eastAsia" w:ascii="宋体" w:hAnsi="宋体"/>
          <w:sz w:val="26"/>
        </w:rPr>
        <w:t>1.2.2 本政府采购项目的出资比例：见供应商须知前附表。</w:t>
      </w:r>
    </w:p>
    <w:p w14:paraId="38DB1810">
      <w:pPr>
        <w:spacing w:line="360" w:lineRule="auto"/>
        <w:rPr>
          <w:rFonts w:ascii="宋体" w:hAnsi="宋体"/>
          <w:sz w:val="26"/>
        </w:rPr>
      </w:pPr>
      <w:r>
        <w:rPr>
          <w:rFonts w:hint="eastAsia" w:ascii="宋体" w:hAnsi="宋体"/>
          <w:sz w:val="26"/>
        </w:rPr>
        <w:t>1.2.3 本政府采购项目的资金落实情况：见供应商须知前附表。</w:t>
      </w:r>
    </w:p>
    <w:p w14:paraId="6A514E05">
      <w:pPr>
        <w:spacing w:line="360" w:lineRule="auto"/>
        <w:rPr>
          <w:rFonts w:ascii="宋体" w:hAnsi="宋体"/>
          <w:sz w:val="26"/>
        </w:rPr>
      </w:pPr>
      <w:bookmarkStart w:id="26" w:name="_Toc403382375"/>
      <w:bookmarkStart w:id="27" w:name="_Toc144974500"/>
      <w:bookmarkStart w:id="28" w:name="_Toc179632549"/>
      <w:bookmarkStart w:id="29" w:name="_Toc152045532"/>
      <w:bookmarkStart w:id="30" w:name="_Toc152042308"/>
      <w:r>
        <w:rPr>
          <w:rFonts w:hint="eastAsia" w:ascii="宋体" w:hAnsi="宋体"/>
          <w:sz w:val="26"/>
        </w:rPr>
        <w:t>1.3 采购范围和要求</w:t>
      </w:r>
      <w:bookmarkEnd w:id="26"/>
      <w:bookmarkEnd w:id="27"/>
      <w:bookmarkEnd w:id="28"/>
      <w:bookmarkEnd w:id="29"/>
      <w:bookmarkEnd w:id="30"/>
    </w:p>
    <w:p w14:paraId="6011A621">
      <w:pPr>
        <w:spacing w:line="360" w:lineRule="auto"/>
        <w:rPr>
          <w:rFonts w:ascii="宋体" w:hAnsi="宋体"/>
          <w:sz w:val="26"/>
        </w:rPr>
      </w:pPr>
      <w:r>
        <w:rPr>
          <w:rFonts w:hint="eastAsia" w:ascii="宋体" w:hAnsi="宋体"/>
          <w:sz w:val="26"/>
        </w:rPr>
        <w:t>1.3.1 本次采购范围：见供应商须知前附表。</w:t>
      </w:r>
    </w:p>
    <w:p w14:paraId="56C2A3C8">
      <w:pPr>
        <w:spacing w:line="360" w:lineRule="auto"/>
        <w:rPr>
          <w:rFonts w:ascii="宋体" w:hAnsi="宋体"/>
          <w:sz w:val="26"/>
        </w:rPr>
      </w:pPr>
      <w:r>
        <w:rPr>
          <w:rFonts w:hint="eastAsia" w:ascii="宋体" w:hAnsi="宋体"/>
          <w:sz w:val="26"/>
        </w:rPr>
        <w:t>1.3.2 本项目包的服务期：见供应商须知前附表。</w:t>
      </w:r>
    </w:p>
    <w:p w14:paraId="2BD5DD27">
      <w:pPr>
        <w:spacing w:line="360" w:lineRule="auto"/>
        <w:rPr>
          <w:rFonts w:ascii="宋体" w:hAnsi="宋体"/>
          <w:sz w:val="26"/>
        </w:rPr>
      </w:pPr>
      <w:bookmarkStart w:id="31" w:name="_Toc179632551"/>
      <w:bookmarkStart w:id="32" w:name="_Toc152045534"/>
      <w:bookmarkStart w:id="33" w:name="_Toc403382377"/>
      <w:bookmarkStart w:id="34" w:name="_Toc152042310"/>
      <w:bookmarkStart w:id="35" w:name="_Toc144974502"/>
      <w:r>
        <w:rPr>
          <w:rFonts w:hint="eastAsia" w:ascii="宋体" w:hAnsi="宋体"/>
          <w:sz w:val="26"/>
        </w:rPr>
        <w:t>1.4 供应商资格要求</w:t>
      </w:r>
      <w:bookmarkEnd w:id="31"/>
      <w:bookmarkEnd w:id="32"/>
      <w:bookmarkEnd w:id="33"/>
      <w:bookmarkEnd w:id="34"/>
      <w:bookmarkEnd w:id="35"/>
    </w:p>
    <w:p w14:paraId="3C5BDD62">
      <w:pPr>
        <w:spacing w:line="360" w:lineRule="auto"/>
        <w:rPr>
          <w:rFonts w:ascii="宋体" w:hAnsi="宋体"/>
          <w:sz w:val="26"/>
        </w:rPr>
      </w:pPr>
      <w:r>
        <w:rPr>
          <w:rFonts w:hint="eastAsia" w:ascii="宋体" w:hAnsi="宋体"/>
          <w:sz w:val="26"/>
        </w:rPr>
        <w:t>1.4.1供应商应具备承担本项目包资质条件、能力和信誉：见供应商须知前附表。</w:t>
      </w:r>
    </w:p>
    <w:p w14:paraId="4BCF74CD">
      <w:pPr>
        <w:spacing w:line="360" w:lineRule="auto"/>
        <w:rPr>
          <w:rFonts w:ascii="宋体" w:hAnsi="宋体"/>
          <w:sz w:val="26"/>
        </w:rPr>
      </w:pPr>
      <w:r>
        <w:rPr>
          <w:rFonts w:hint="eastAsia" w:ascii="宋体" w:hAnsi="宋体"/>
          <w:sz w:val="26"/>
        </w:rPr>
        <w:t xml:space="preserve">1.4.2 供应商须知前附表规定接受联合体磋商的，除应符合本章第1.4.1项和供应商须知前附表的要求外，还应遵守以下规定： </w:t>
      </w:r>
    </w:p>
    <w:p w14:paraId="5C5027AC">
      <w:pPr>
        <w:spacing w:line="360" w:lineRule="auto"/>
        <w:rPr>
          <w:rFonts w:ascii="宋体" w:hAnsi="宋体"/>
          <w:sz w:val="26"/>
        </w:rPr>
      </w:pPr>
      <w:r>
        <w:rPr>
          <w:rFonts w:hint="eastAsia" w:ascii="宋体" w:hAnsi="宋体"/>
          <w:sz w:val="26"/>
        </w:rPr>
        <w:t>（1）两个以上的自然人、法人或者其他组织可以组成一个联合体，以一个供应商的身份共同参加政府采购。以联合体形式进行政府采购的，参加联合体的供应商均应当具备《中华人民共和国政府采购法》第二十二条规定的条件，并应当向采购人提交联合协议，载明联合体各方承担的工作和义务；</w:t>
      </w:r>
    </w:p>
    <w:p w14:paraId="2FFC2551">
      <w:pPr>
        <w:spacing w:line="360" w:lineRule="auto"/>
        <w:rPr>
          <w:rFonts w:ascii="宋体" w:hAnsi="宋体"/>
          <w:sz w:val="26"/>
        </w:rPr>
      </w:pPr>
      <w:r>
        <w:rPr>
          <w:rFonts w:hint="eastAsia" w:ascii="宋体" w:hAnsi="宋体"/>
          <w:sz w:val="26"/>
        </w:rPr>
        <w:t>（2）联合体各方应当共同与采购人签订采购合同，就采购合同约定的事项对采购人</w:t>
      </w:r>
      <w:r>
        <w:fldChar w:fldCharType="begin"/>
      </w:r>
      <w:r>
        <w:instrText xml:space="preserve"> HYPERLINK "http://baike.baidu.com/view/278880.htm" \t "http://baike.baidu.com/_blank" </w:instrText>
      </w:r>
      <w:r>
        <w:fldChar w:fldCharType="separate"/>
      </w:r>
      <w:r>
        <w:rPr>
          <w:rFonts w:hint="eastAsia" w:ascii="宋体" w:hAnsi="宋体"/>
          <w:sz w:val="26"/>
        </w:rPr>
        <w:t>承担连带责任</w:t>
      </w:r>
      <w:r>
        <w:rPr>
          <w:rFonts w:hint="eastAsia" w:ascii="宋体" w:hAnsi="宋体"/>
          <w:sz w:val="26"/>
        </w:rPr>
        <w:fldChar w:fldCharType="end"/>
      </w:r>
      <w:r>
        <w:rPr>
          <w:rFonts w:hint="eastAsia" w:ascii="宋体" w:hAnsi="宋体"/>
          <w:sz w:val="26"/>
        </w:rPr>
        <w:t>；</w:t>
      </w:r>
    </w:p>
    <w:p w14:paraId="1D5E7FD2">
      <w:pPr>
        <w:spacing w:line="360" w:lineRule="auto"/>
        <w:rPr>
          <w:rFonts w:ascii="宋体" w:hAnsi="宋体"/>
          <w:sz w:val="26"/>
        </w:rPr>
      </w:pPr>
      <w:r>
        <w:rPr>
          <w:rFonts w:hint="eastAsia" w:ascii="宋体" w:hAnsi="宋体"/>
          <w:sz w:val="26"/>
        </w:rPr>
        <w:t>（3）联合体中有同类资质的供应商按照联合体分工承担相同工作的，应当按照资质等级较低的供应商确定资质等级；</w:t>
      </w:r>
    </w:p>
    <w:p w14:paraId="250D1B24">
      <w:pPr>
        <w:spacing w:line="360" w:lineRule="auto"/>
        <w:rPr>
          <w:rFonts w:ascii="宋体" w:hAnsi="宋体"/>
          <w:sz w:val="26"/>
        </w:rPr>
      </w:pPr>
      <w:r>
        <w:rPr>
          <w:rFonts w:hint="eastAsia" w:ascii="宋体" w:hAnsi="宋体"/>
          <w:sz w:val="26"/>
        </w:rPr>
        <w:t>（4）以联合体形式参加政府采购活动的，联合体各方不得再单独参加或者与其他供应商另外组成联合体参加同一合同项下的政府采购活动。</w:t>
      </w:r>
    </w:p>
    <w:p w14:paraId="5F26A12A">
      <w:pPr>
        <w:spacing w:line="360" w:lineRule="auto"/>
        <w:rPr>
          <w:rFonts w:ascii="宋体" w:hAnsi="宋体"/>
          <w:sz w:val="26"/>
        </w:rPr>
      </w:pPr>
      <w:r>
        <w:rPr>
          <w:rFonts w:hint="eastAsia" w:ascii="宋体" w:hAnsi="宋体"/>
          <w:sz w:val="26"/>
        </w:rPr>
        <w:t>本项目不适用</w:t>
      </w:r>
    </w:p>
    <w:p w14:paraId="44755FC9">
      <w:pPr>
        <w:spacing w:line="360" w:lineRule="auto"/>
        <w:rPr>
          <w:rFonts w:ascii="宋体" w:hAnsi="宋体"/>
          <w:sz w:val="26"/>
        </w:rPr>
      </w:pPr>
      <w:r>
        <w:rPr>
          <w:rFonts w:hint="eastAsia" w:ascii="宋体" w:hAnsi="宋体"/>
          <w:sz w:val="26"/>
        </w:rPr>
        <w:t>1.4.3供应商存在下列情形之一的，相关响应文件均无效：</w:t>
      </w:r>
    </w:p>
    <w:p w14:paraId="07D665FD">
      <w:pPr>
        <w:spacing w:line="360" w:lineRule="auto"/>
        <w:rPr>
          <w:rFonts w:ascii="宋体" w:hAnsi="宋体"/>
          <w:sz w:val="26"/>
        </w:rPr>
      </w:pPr>
      <w:r>
        <w:rPr>
          <w:rFonts w:hint="eastAsia" w:ascii="宋体" w:hAnsi="宋体"/>
          <w:sz w:val="26"/>
        </w:rPr>
        <w:t>（1）与采购人员及相关人员存在利害关系影响公正性的；</w:t>
      </w:r>
    </w:p>
    <w:p w14:paraId="1F938554">
      <w:pPr>
        <w:spacing w:line="360" w:lineRule="auto"/>
        <w:rPr>
          <w:rFonts w:ascii="宋体" w:hAnsi="宋体"/>
          <w:sz w:val="26"/>
        </w:rPr>
      </w:pPr>
      <w:r>
        <w:rPr>
          <w:rFonts w:hint="eastAsia" w:ascii="宋体" w:hAnsi="宋体"/>
          <w:sz w:val="26"/>
        </w:rPr>
        <w:t>（2）单位负责人为同一人或者存在直接控股、管理关系的不同供应商，参加同一合同项下的政府采购活动的，共同组成联合体的除外。</w:t>
      </w:r>
    </w:p>
    <w:p w14:paraId="385B0DD4">
      <w:pPr>
        <w:spacing w:line="360" w:lineRule="auto"/>
        <w:rPr>
          <w:rFonts w:ascii="宋体" w:hAnsi="宋体"/>
          <w:sz w:val="26"/>
        </w:rPr>
      </w:pPr>
      <w:bookmarkStart w:id="36" w:name="_Toc403382378"/>
      <w:bookmarkStart w:id="37" w:name="_Toc144974503"/>
      <w:bookmarkStart w:id="38" w:name="_Toc179632552"/>
      <w:bookmarkStart w:id="39" w:name="_Toc152045535"/>
      <w:bookmarkStart w:id="40" w:name="_Toc152042311"/>
      <w:r>
        <w:rPr>
          <w:rFonts w:hint="eastAsia" w:ascii="宋体" w:hAnsi="宋体"/>
          <w:sz w:val="26"/>
        </w:rPr>
        <w:t>1.5 费用承担</w:t>
      </w:r>
      <w:bookmarkEnd w:id="36"/>
      <w:bookmarkEnd w:id="37"/>
      <w:bookmarkEnd w:id="38"/>
      <w:bookmarkEnd w:id="39"/>
      <w:bookmarkEnd w:id="40"/>
    </w:p>
    <w:p w14:paraId="1A5C621F">
      <w:pPr>
        <w:spacing w:line="360" w:lineRule="auto"/>
        <w:rPr>
          <w:rFonts w:ascii="宋体" w:hAnsi="宋体"/>
          <w:sz w:val="26"/>
        </w:rPr>
      </w:pPr>
      <w:r>
        <w:rPr>
          <w:rFonts w:hint="eastAsia" w:ascii="宋体" w:hAnsi="宋体"/>
          <w:sz w:val="26"/>
        </w:rPr>
        <w:t>供应商准备和参加政府采购活动发生的费用自理。</w:t>
      </w:r>
    </w:p>
    <w:p w14:paraId="45189AAC">
      <w:pPr>
        <w:spacing w:line="360" w:lineRule="auto"/>
        <w:rPr>
          <w:rFonts w:ascii="宋体" w:hAnsi="宋体"/>
          <w:sz w:val="26"/>
        </w:rPr>
      </w:pPr>
      <w:bookmarkStart w:id="41" w:name="_Toc179632553"/>
      <w:bookmarkStart w:id="42" w:name="_Toc403382379"/>
      <w:bookmarkStart w:id="43" w:name="_Toc144974504"/>
      <w:bookmarkStart w:id="44" w:name="_Toc152042312"/>
      <w:bookmarkStart w:id="45" w:name="_Toc152045536"/>
      <w:r>
        <w:rPr>
          <w:rFonts w:hint="eastAsia" w:ascii="宋体" w:hAnsi="宋体"/>
          <w:sz w:val="26"/>
        </w:rPr>
        <w:t>1.6 保密</w:t>
      </w:r>
      <w:bookmarkEnd w:id="41"/>
      <w:bookmarkEnd w:id="42"/>
      <w:bookmarkEnd w:id="43"/>
      <w:bookmarkEnd w:id="44"/>
      <w:bookmarkEnd w:id="45"/>
    </w:p>
    <w:p w14:paraId="0D01BF5E">
      <w:pPr>
        <w:spacing w:line="360" w:lineRule="auto"/>
        <w:rPr>
          <w:rFonts w:ascii="宋体" w:hAnsi="宋体"/>
          <w:sz w:val="26"/>
        </w:rPr>
      </w:pPr>
      <w:r>
        <w:rPr>
          <w:rFonts w:hint="eastAsia" w:ascii="宋体" w:hAnsi="宋体"/>
          <w:sz w:val="26"/>
        </w:rPr>
        <w:t xml:space="preserve">参与政府采购活动的各方应对竞争性磋商文件和响应文件中的商业和技术等秘密保密，违者应对由此造成的后果承担法律责任。 </w:t>
      </w:r>
    </w:p>
    <w:p w14:paraId="147A7518">
      <w:pPr>
        <w:spacing w:line="360" w:lineRule="auto"/>
        <w:rPr>
          <w:rFonts w:ascii="宋体" w:hAnsi="宋体"/>
          <w:sz w:val="26"/>
        </w:rPr>
      </w:pPr>
      <w:bookmarkStart w:id="46" w:name="_Toc144974505"/>
      <w:bookmarkStart w:id="47" w:name="_Toc152045537"/>
      <w:bookmarkStart w:id="48" w:name="_Toc179632554"/>
      <w:bookmarkStart w:id="49" w:name="_Toc152042313"/>
      <w:bookmarkStart w:id="50" w:name="_Toc403382380"/>
      <w:r>
        <w:rPr>
          <w:rFonts w:hint="eastAsia" w:ascii="宋体" w:hAnsi="宋体"/>
          <w:sz w:val="26"/>
        </w:rPr>
        <w:t>1.7 语言</w:t>
      </w:r>
      <w:bookmarkEnd w:id="46"/>
      <w:r>
        <w:rPr>
          <w:rFonts w:hint="eastAsia" w:ascii="宋体" w:hAnsi="宋体"/>
          <w:sz w:val="26"/>
        </w:rPr>
        <w:t>文字</w:t>
      </w:r>
      <w:bookmarkEnd w:id="47"/>
      <w:bookmarkEnd w:id="48"/>
      <w:bookmarkEnd w:id="49"/>
      <w:bookmarkEnd w:id="50"/>
    </w:p>
    <w:p w14:paraId="1E573786">
      <w:pPr>
        <w:spacing w:line="360" w:lineRule="auto"/>
        <w:rPr>
          <w:rFonts w:ascii="宋体" w:hAnsi="宋体"/>
          <w:sz w:val="26"/>
        </w:rPr>
      </w:pPr>
      <w:r>
        <w:rPr>
          <w:rFonts w:hint="eastAsia" w:ascii="宋体" w:hAnsi="宋体"/>
          <w:sz w:val="26"/>
        </w:rPr>
        <w:t>除专用术语外，与磋商文件有关的语言均使用中文。必要时专用术语应附有中文注释。</w:t>
      </w:r>
    </w:p>
    <w:p w14:paraId="4C2120E2">
      <w:pPr>
        <w:spacing w:line="360" w:lineRule="auto"/>
        <w:rPr>
          <w:rFonts w:ascii="宋体" w:hAnsi="宋体"/>
          <w:sz w:val="26"/>
        </w:rPr>
      </w:pPr>
      <w:bookmarkStart w:id="51" w:name="_Toc144974506"/>
      <w:bookmarkStart w:id="52" w:name="_Toc152045538"/>
      <w:bookmarkStart w:id="53" w:name="_Toc403382381"/>
      <w:bookmarkStart w:id="54" w:name="_Toc179632555"/>
      <w:bookmarkStart w:id="55" w:name="_Toc152042314"/>
      <w:r>
        <w:rPr>
          <w:rFonts w:hint="eastAsia" w:ascii="宋体" w:hAnsi="宋体"/>
          <w:sz w:val="26"/>
        </w:rPr>
        <w:t>1.8 计量单位</w:t>
      </w:r>
      <w:bookmarkEnd w:id="51"/>
      <w:bookmarkEnd w:id="52"/>
      <w:bookmarkEnd w:id="53"/>
      <w:bookmarkEnd w:id="54"/>
      <w:bookmarkEnd w:id="55"/>
    </w:p>
    <w:p w14:paraId="3AC537A6">
      <w:pPr>
        <w:spacing w:line="360" w:lineRule="auto"/>
        <w:rPr>
          <w:rFonts w:ascii="宋体" w:hAnsi="宋体"/>
          <w:sz w:val="26"/>
        </w:rPr>
      </w:pPr>
      <w:r>
        <w:rPr>
          <w:rFonts w:hint="eastAsia" w:ascii="宋体" w:hAnsi="宋体"/>
          <w:sz w:val="26"/>
        </w:rPr>
        <w:t>所有计量均采用中华人民共和国法定计量单位。</w:t>
      </w:r>
    </w:p>
    <w:p w14:paraId="680D54F1">
      <w:pPr>
        <w:spacing w:line="360" w:lineRule="auto"/>
        <w:rPr>
          <w:rFonts w:ascii="宋体" w:hAnsi="宋体"/>
          <w:sz w:val="26"/>
        </w:rPr>
      </w:pPr>
      <w:bookmarkStart w:id="56" w:name="_Toc179632560"/>
      <w:bookmarkStart w:id="57" w:name="_Toc152042318"/>
      <w:bookmarkStart w:id="58" w:name="_Toc152045542"/>
      <w:bookmarkStart w:id="59" w:name="_Toc4133"/>
      <w:bookmarkStart w:id="60" w:name="_Toc403382386"/>
      <w:bookmarkStart w:id="61" w:name="_Toc144974510"/>
      <w:r>
        <w:rPr>
          <w:rFonts w:hint="eastAsia" w:ascii="宋体" w:hAnsi="宋体"/>
          <w:sz w:val="26"/>
        </w:rPr>
        <w:t xml:space="preserve">2. </w:t>
      </w:r>
      <w:bookmarkEnd w:id="56"/>
      <w:bookmarkEnd w:id="57"/>
      <w:bookmarkEnd w:id="58"/>
      <w:bookmarkEnd w:id="59"/>
      <w:bookmarkEnd w:id="60"/>
      <w:bookmarkEnd w:id="61"/>
      <w:r>
        <w:rPr>
          <w:rFonts w:hint="eastAsia" w:ascii="宋体" w:hAnsi="宋体"/>
          <w:sz w:val="26"/>
        </w:rPr>
        <w:t>竞争性磋商文件</w:t>
      </w:r>
    </w:p>
    <w:p w14:paraId="5D048091">
      <w:pPr>
        <w:spacing w:line="360" w:lineRule="auto"/>
        <w:rPr>
          <w:rFonts w:ascii="宋体" w:hAnsi="宋体"/>
          <w:sz w:val="26"/>
        </w:rPr>
      </w:pPr>
      <w:bookmarkStart w:id="62" w:name="_Toc152042319"/>
      <w:bookmarkStart w:id="63" w:name="_Toc152045543"/>
      <w:bookmarkStart w:id="64" w:name="_Toc179632561"/>
      <w:bookmarkStart w:id="65" w:name="_Toc403382387"/>
      <w:bookmarkStart w:id="66" w:name="_Toc144974511"/>
      <w:r>
        <w:rPr>
          <w:rFonts w:hint="eastAsia" w:ascii="宋体" w:hAnsi="宋体"/>
          <w:sz w:val="26"/>
        </w:rPr>
        <w:t>2.1 竞争性磋商文件的组成</w:t>
      </w:r>
      <w:bookmarkEnd w:id="62"/>
      <w:bookmarkEnd w:id="63"/>
      <w:bookmarkEnd w:id="64"/>
      <w:bookmarkEnd w:id="65"/>
      <w:bookmarkEnd w:id="66"/>
    </w:p>
    <w:p w14:paraId="75263D98">
      <w:pPr>
        <w:spacing w:line="360" w:lineRule="auto"/>
        <w:rPr>
          <w:rFonts w:ascii="宋体" w:hAnsi="宋体"/>
          <w:sz w:val="26"/>
        </w:rPr>
      </w:pPr>
      <w:r>
        <w:rPr>
          <w:rFonts w:hint="eastAsia" w:ascii="宋体" w:hAnsi="宋体"/>
          <w:sz w:val="26"/>
        </w:rPr>
        <w:t>　　本竞争性磋商文件包括：</w:t>
      </w:r>
    </w:p>
    <w:p w14:paraId="15494FB4">
      <w:pPr>
        <w:spacing w:line="360" w:lineRule="auto"/>
        <w:rPr>
          <w:rFonts w:ascii="宋体" w:hAnsi="宋体"/>
          <w:sz w:val="26"/>
        </w:rPr>
      </w:pPr>
      <w:r>
        <w:rPr>
          <w:rFonts w:hint="eastAsia" w:ascii="宋体" w:hAnsi="宋体"/>
          <w:sz w:val="26"/>
        </w:rPr>
        <w:t>（1）竞争性磋商公告（磋商邀请）；</w:t>
      </w:r>
    </w:p>
    <w:p w14:paraId="2D124757">
      <w:pPr>
        <w:spacing w:line="360" w:lineRule="auto"/>
        <w:rPr>
          <w:rFonts w:ascii="宋体" w:hAnsi="宋体"/>
          <w:sz w:val="26"/>
        </w:rPr>
      </w:pPr>
      <w:r>
        <w:rPr>
          <w:rFonts w:hint="eastAsia" w:ascii="宋体" w:hAnsi="宋体"/>
          <w:sz w:val="26"/>
        </w:rPr>
        <w:t>（2）供应商须知；</w:t>
      </w:r>
    </w:p>
    <w:p w14:paraId="6C6EFD75">
      <w:pPr>
        <w:spacing w:line="360" w:lineRule="auto"/>
        <w:rPr>
          <w:rFonts w:ascii="宋体" w:hAnsi="宋体"/>
          <w:sz w:val="26"/>
        </w:rPr>
      </w:pPr>
      <w:r>
        <w:rPr>
          <w:rFonts w:hint="eastAsia" w:ascii="宋体" w:hAnsi="宋体"/>
          <w:sz w:val="26"/>
        </w:rPr>
        <w:t>（3）评审办法；</w:t>
      </w:r>
    </w:p>
    <w:p w14:paraId="1EB2A16A">
      <w:pPr>
        <w:spacing w:line="360" w:lineRule="auto"/>
        <w:rPr>
          <w:rFonts w:ascii="宋体" w:hAnsi="宋体"/>
          <w:sz w:val="26"/>
        </w:rPr>
      </w:pPr>
      <w:r>
        <w:rPr>
          <w:rFonts w:hint="eastAsia" w:ascii="宋体" w:hAnsi="宋体"/>
          <w:sz w:val="26"/>
        </w:rPr>
        <w:t>（4）合同条款及格式；</w:t>
      </w:r>
    </w:p>
    <w:p w14:paraId="5606B542">
      <w:pPr>
        <w:spacing w:line="360" w:lineRule="auto"/>
        <w:rPr>
          <w:rFonts w:ascii="宋体" w:hAnsi="宋体"/>
          <w:sz w:val="26"/>
        </w:rPr>
      </w:pPr>
      <w:r>
        <w:rPr>
          <w:rFonts w:hint="eastAsia" w:ascii="宋体" w:hAnsi="宋体"/>
          <w:sz w:val="26"/>
        </w:rPr>
        <w:t>（5）技术标准和要求；</w:t>
      </w:r>
    </w:p>
    <w:p w14:paraId="4B0D24F7">
      <w:pPr>
        <w:spacing w:line="360" w:lineRule="auto"/>
        <w:rPr>
          <w:rFonts w:ascii="宋体" w:hAnsi="宋体"/>
          <w:sz w:val="26"/>
        </w:rPr>
      </w:pPr>
      <w:r>
        <w:rPr>
          <w:rFonts w:hint="eastAsia" w:ascii="宋体" w:hAnsi="宋体"/>
          <w:sz w:val="26"/>
        </w:rPr>
        <w:t>（6）响应文件格式；</w:t>
      </w:r>
    </w:p>
    <w:p w14:paraId="79266FCF">
      <w:pPr>
        <w:spacing w:line="360" w:lineRule="auto"/>
        <w:rPr>
          <w:rFonts w:ascii="宋体" w:hAnsi="宋体"/>
          <w:sz w:val="26"/>
        </w:rPr>
      </w:pPr>
      <w:r>
        <w:rPr>
          <w:rFonts w:hint="eastAsia" w:ascii="宋体" w:hAnsi="宋体"/>
          <w:sz w:val="26"/>
        </w:rPr>
        <w:t>（7）供应商须知前附表规定的其他材料。</w:t>
      </w:r>
    </w:p>
    <w:p w14:paraId="7FCC96D1">
      <w:pPr>
        <w:spacing w:line="360" w:lineRule="auto"/>
        <w:rPr>
          <w:rFonts w:ascii="宋体" w:hAnsi="宋体"/>
          <w:sz w:val="26"/>
        </w:rPr>
      </w:pPr>
      <w:r>
        <w:rPr>
          <w:rFonts w:hint="eastAsia" w:ascii="宋体" w:hAnsi="宋体"/>
          <w:sz w:val="26"/>
        </w:rPr>
        <w:t>对竞争性磋商文件所作的澄清、修改，构成竞争性磋商文件的组成部分。</w:t>
      </w:r>
    </w:p>
    <w:p w14:paraId="0A941228">
      <w:pPr>
        <w:spacing w:line="360" w:lineRule="auto"/>
        <w:rPr>
          <w:rFonts w:ascii="宋体" w:hAnsi="宋体"/>
          <w:sz w:val="26"/>
        </w:rPr>
      </w:pPr>
      <w:bookmarkStart w:id="67" w:name="_Toc179632562"/>
      <w:bookmarkStart w:id="68" w:name="_Toc403382388"/>
      <w:bookmarkStart w:id="69" w:name="_Toc152042320"/>
      <w:bookmarkStart w:id="70" w:name="_Toc152045544"/>
      <w:bookmarkStart w:id="71" w:name="_Toc144974512"/>
      <w:r>
        <w:rPr>
          <w:rFonts w:hint="eastAsia" w:ascii="宋体" w:hAnsi="宋体"/>
          <w:sz w:val="26"/>
        </w:rPr>
        <w:t>2.2 竞争性磋商文件的澄清</w:t>
      </w:r>
      <w:bookmarkEnd w:id="67"/>
      <w:bookmarkEnd w:id="68"/>
      <w:bookmarkEnd w:id="69"/>
      <w:bookmarkEnd w:id="70"/>
      <w:bookmarkEnd w:id="71"/>
    </w:p>
    <w:p w14:paraId="7059BFF6">
      <w:pPr>
        <w:spacing w:line="360" w:lineRule="auto"/>
        <w:rPr>
          <w:rFonts w:ascii="宋体" w:hAnsi="宋体"/>
          <w:sz w:val="26"/>
        </w:rPr>
      </w:pPr>
      <w:r>
        <w:rPr>
          <w:rFonts w:hint="eastAsia" w:ascii="宋体" w:hAnsi="宋体"/>
          <w:sz w:val="26"/>
        </w:rPr>
        <w:t>2.2.1供应商应仔细阅读和检查竞争性磋商文件的全部内容。如发现缺页或附件不全，应及时向采购人提出，以便补齐。如有疑问，应在供应商须知前附表规定的时间前，以书面形式要求采购人对竞争性磋商文件予以澄清。</w:t>
      </w:r>
    </w:p>
    <w:p w14:paraId="07A0B6C5">
      <w:pPr>
        <w:spacing w:line="360" w:lineRule="auto"/>
        <w:rPr>
          <w:rFonts w:ascii="宋体" w:hAnsi="宋体"/>
          <w:sz w:val="26"/>
        </w:rPr>
      </w:pPr>
      <w:r>
        <w:rPr>
          <w:rFonts w:hint="eastAsia" w:ascii="宋体" w:hAnsi="宋体"/>
          <w:sz w:val="26"/>
        </w:rPr>
        <w:t>2.2.2 提交首次响应文件截止之日前，采购人、采购代理机构或者磋商小组可以对已发出的磋商文件进行必要的澄清，澄清的内容作为磋商文件的组成部分。澄清的内容可能影响响应文件编制的，采购人、采购代理机构或者磋商小组应当在提交首次响应文件截止之日5日前，在“政采云”平台（https://www.zcygov.cn）发布。供应商自行在“政采云”平台（https://www.zcygov.cn）下载更正文件，不足5日的，将顺延提交首次响应文件截止之日。</w:t>
      </w:r>
    </w:p>
    <w:p w14:paraId="186F1A66">
      <w:pPr>
        <w:spacing w:line="360" w:lineRule="auto"/>
        <w:rPr>
          <w:rFonts w:ascii="宋体" w:hAnsi="宋体"/>
          <w:sz w:val="26"/>
        </w:rPr>
      </w:pPr>
      <w:r>
        <w:rPr>
          <w:rFonts w:hint="eastAsia" w:ascii="宋体" w:hAnsi="宋体"/>
          <w:sz w:val="26"/>
        </w:rPr>
        <w:t>2.2.3 澄清通知发出的同时,会在竞争性磋商公告发布媒体上发布变更公告（更正公告）供应商应注意及时浏览网上发出的变更公告（更正公告），因供应商自身原因未及时获知澄清内容而导致的任何后果将由供应商自行承担。</w:t>
      </w:r>
    </w:p>
    <w:p w14:paraId="1B20A1A3">
      <w:pPr>
        <w:spacing w:line="360" w:lineRule="auto"/>
        <w:rPr>
          <w:rFonts w:ascii="宋体" w:hAnsi="宋体"/>
          <w:sz w:val="26"/>
        </w:rPr>
      </w:pPr>
      <w:bookmarkStart w:id="72" w:name="_Toc152042321"/>
      <w:bookmarkStart w:id="73" w:name="_Toc152045545"/>
      <w:bookmarkStart w:id="74" w:name="_Toc144974513"/>
      <w:bookmarkStart w:id="75" w:name="_Toc179632563"/>
      <w:bookmarkStart w:id="76" w:name="_Toc403382389"/>
      <w:r>
        <w:rPr>
          <w:rFonts w:hint="eastAsia" w:ascii="宋体" w:hAnsi="宋体"/>
          <w:sz w:val="26"/>
        </w:rPr>
        <w:t>2.3 竞争性磋商文件的修改</w:t>
      </w:r>
      <w:bookmarkEnd w:id="72"/>
      <w:bookmarkEnd w:id="73"/>
      <w:bookmarkEnd w:id="74"/>
      <w:bookmarkEnd w:id="75"/>
      <w:bookmarkEnd w:id="76"/>
    </w:p>
    <w:p w14:paraId="685F2AE9">
      <w:pPr>
        <w:spacing w:line="360" w:lineRule="auto"/>
        <w:rPr>
          <w:rFonts w:ascii="宋体" w:hAnsi="宋体"/>
          <w:sz w:val="26"/>
        </w:rPr>
      </w:pPr>
      <w:r>
        <w:rPr>
          <w:rFonts w:hint="eastAsia" w:ascii="宋体" w:hAnsi="宋体"/>
          <w:sz w:val="26"/>
        </w:rPr>
        <w:t>2.3.1 提交首次响应文件截止之日前，采购人、采购代理机构或者磋商小组可以对已发出的磋商文件进行必要的修改，修改的内容作为磋商文件的组成部分。修改的内容可能影响响应文件编制的，采购人、采购代理机构或者磋商小组应当在提交首次响应文件截止时间至少5日前，在“政采云”平台（https://www.zcygov.cn）发布，不足5日的，将顺延提交首次响应文件截止时间。</w:t>
      </w:r>
    </w:p>
    <w:p w14:paraId="4AA4009C">
      <w:pPr>
        <w:spacing w:line="360" w:lineRule="auto"/>
        <w:rPr>
          <w:rFonts w:ascii="宋体" w:hAnsi="宋体"/>
          <w:sz w:val="26"/>
        </w:rPr>
      </w:pPr>
      <w:r>
        <w:rPr>
          <w:rFonts w:hint="eastAsia" w:ascii="宋体" w:hAnsi="宋体"/>
          <w:sz w:val="26"/>
        </w:rPr>
        <w:t>2.3.2 修改通知发出的同时,会在竞争性磋商公告发布媒体上发布变更公告（更正公告）供应商应注意及时浏览网上发出的变更公告（更正公告），因供应商自身原因未及时获知修改内容而导致的任何后果将由供应商自行承担。</w:t>
      </w:r>
    </w:p>
    <w:p w14:paraId="3A00A1D9">
      <w:pPr>
        <w:spacing w:line="360" w:lineRule="auto"/>
        <w:rPr>
          <w:rFonts w:ascii="宋体" w:hAnsi="宋体"/>
          <w:sz w:val="26"/>
        </w:rPr>
      </w:pPr>
      <w:bookmarkStart w:id="77" w:name="_Toc403382390"/>
      <w:r>
        <w:rPr>
          <w:rFonts w:hint="eastAsia" w:ascii="宋体" w:hAnsi="宋体"/>
          <w:sz w:val="26"/>
        </w:rPr>
        <w:t>2.4 竞争性磋商的</w:t>
      </w:r>
      <w:bookmarkEnd w:id="77"/>
      <w:r>
        <w:rPr>
          <w:rFonts w:hint="eastAsia" w:ascii="宋体" w:hAnsi="宋体"/>
          <w:sz w:val="26"/>
        </w:rPr>
        <w:t>询问与质疑</w:t>
      </w:r>
    </w:p>
    <w:p w14:paraId="3518D51E">
      <w:pPr>
        <w:spacing w:line="360" w:lineRule="auto"/>
        <w:rPr>
          <w:rFonts w:ascii="宋体" w:hAnsi="宋体"/>
          <w:sz w:val="26"/>
        </w:rPr>
      </w:pPr>
      <w:r>
        <w:rPr>
          <w:rFonts w:hint="eastAsia" w:ascii="宋体" w:hAnsi="宋体"/>
          <w:sz w:val="26"/>
        </w:rPr>
        <w:t>2.4.1供应商对政府采购活动事项有疑问的，可以向采购人提出询问，采购人或者采购代理机构应当在2个工作日内对供应商依法提出的询问作出答复。</w:t>
      </w:r>
    </w:p>
    <w:p w14:paraId="5C8C7B15">
      <w:pPr>
        <w:spacing w:line="360" w:lineRule="auto"/>
        <w:rPr>
          <w:rFonts w:ascii="宋体" w:hAnsi="宋体"/>
          <w:sz w:val="26"/>
        </w:rPr>
      </w:pPr>
      <w:r>
        <w:rPr>
          <w:rFonts w:hint="eastAsia" w:ascii="宋体" w:hAnsi="宋体"/>
          <w:sz w:val="26"/>
        </w:rPr>
        <w:t>2.4.2  供应商认为磋商文件、采购过程和成交、成交结果使自己的权益受到损害的，可以在知道或者应知其权益受到损害之日起七个工作日内，以书面形式向采购人提出质疑。</w:t>
      </w:r>
    </w:p>
    <w:p w14:paraId="5AAC3AD5">
      <w:pPr>
        <w:spacing w:line="360" w:lineRule="auto"/>
        <w:rPr>
          <w:rFonts w:ascii="宋体" w:hAnsi="宋体"/>
          <w:sz w:val="26"/>
        </w:rPr>
      </w:pPr>
      <w:r>
        <w:rPr>
          <w:rFonts w:hint="eastAsia" w:ascii="宋体" w:hAnsi="宋体"/>
          <w:sz w:val="26"/>
        </w:rPr>
        <w:t>2.4.3 供应商应知其权益受到损害之日，是指：</w:t>
      </w:r>
    </w:p>
    <w:p w14:paraId="5138E50B">
      <w:pPr>
        <w:spacing w:line="360" w:lineRule="auto"/>
        <w:rPr>
          <w:rFonts w:ascii="宋体" w:hAnsi="宋体"/>
          <w:sz w:val="26"/>
        </w:rPr>
      </w:pPr>
      <w:r>
        <w:rPr>
          <w:rFonts w:hint="eastAsia" w:ascii="宋体" w:hAnsi="宋体"/>
          <w:sz w:val="26"/>
        </w:rPr>
        <w:t>对可以质疑的磋商文件提出质疑的，为收到竞争性磋商文件之日；</w:t>
      </w:r>
    </w:p>
    <w:p w14:paraId="5FB7B7C2">
      <w:pPr>
        <w:spacing w:line="360" w:lineRule="auto"/>
        <w:rPr>
          <w:rFonts w:ascii="宋体" w:hAnsi="宋体"/>
          <w:sz w:val="26"/>
        </w:rPr>
      </w:pPr>
      <w:r>
        <w:rPr>
          <w:rFonts w:hint="eastAsia" w:ascii="宋体" w:hAnsi="宋体"/>
          <w:sz w:val="26"/>
        </w:rPr>
        <w:t>对采购过程提出质疑的，为各采购程序环节结束之日；</w:t>
      </w:r>
    </w:p>
    <w:p w14:paraId="64406C05">
      <w:pPr>
        <w:spacing w:line="360" w:lineRule="auto"/>
        <w:rPr>
          <w:rFonts w:ascii="宋体" w:hAnsi="宋体"/>
          <w:sz w:val="26"/>
        </w:rPr>
      </w:pPr>
      <w:r>
        <w:rPr>
          <w:rFonts w:hint="eastAsia" w:ascii="宋体" w:hAnsi="宋体"/>
          <w:sz w:val="26"/>
        </w:rPr>
        <w:t>对成交或者成交结果提出质疑的，为成交或者成交结果公告期限届满之日</w:t>
      </w:r>
    </w:p>
    <w:p w14:paraId="593046A8">
      <w:pPr>
        <w:spacing w:line="360" w:lineRule="auto"/>
        <w:rPr>
          <w:rFonts w:ascii="宋体" w:hAnsi="宋体"/>
          <w:sz w:val="26"/>
        </w:rPr>
      </w:pPr>
      <w:r>
        <w:rPr>
          <w:rFonts w:hint="eastAsia" w:ascii="宋体" w:hAnsi="宋体"/>
          <w:sz w:val="26"/>
        </w:rPr>
        <w:t>2.4.4 采购人对质疑的答复构成对竞争性磋商文件澄清或者修改的，采购人将按照本章第2.2款、第2.3款规定办理。</w:t>
      </w:r>
    </w:p>
    <w:p w14:paraId="748DE75F">
      <w:pPr>
        <w:spacing w:line="360" w:lineRule="auto"/>
        <w:rPr>
          <w:rFonts w:ascii="宋体" w:hAnsi="宋体"/>
          <w:sz w:val="26"/>
        </w:rPr>
      </w:pPr>
      <w:bookmarkStart w:id="78" w:name="_Toc152042322"/>
      <w:bookmarkStart w:id="79" w:name="_Toc179632564"/>
      <w:bookmarkStart w:id="80" w:name="_Toc152045546"/>
      <w:bookmarkStart w:id="81" w:name="_Toc26173"/>
      <w:bookmarkStart w:id="82" w:name="_Toc144974514"/>
      <w:bookmarkStart w:id="83" w:name="_Toc403382391"/>
      <w:r>
        <w:rPr>
          <w:rFonts w:hint="eastAsia" w:ascii="宋体" w:hAnsi="宋体"/>
          <w:sz w:val="26"/>
        </w:rPr>
        <w:t xml:space="preserve">3. </w:t>
      </w:r>
      <w:bookmarkEnd w:id="78"/>
      <w:bookmarkEnd w:id="79"/>
      <w:bookmarkEnd w:id="80"/>
      <w:bookmarkEnd w:id="81"/>
      <w:bookmarkEnd w:id="82"/>
      <w:bookmarkEnd w:id="83"/>
      <w:r>
        <w:rPr>
          <w:rFonts w:hint="eastAsia" w:ascii="宋体" w:hAnsi="宋体"/>
          <w:sz w:val="26"/>
        </w:rPr>
        <w:t>响应文件</w:t>
      </w:r>
    </w:p>
    <w:p w14:paraId="061A5DE6">
      <w:pPr>
        <w:spacing w:line="360" w:lineRule="auto"/>
        <w:rPr>
          <w:rFonts w:ascii="宋体" w:hAnsi="宋体"/>
          <w:sz w:val="26"/>
        </w:rPr>
      </w:pPr>
      <w:bookmarkStart w:id="84" w:name="_Toc144974515"/>
      <w:bookmarkStart w:id="85" w:name="_Toc403382392"/>
      <w:bookmarkStart w:id="86" w:name="_Toc152045547"/>
      <w:bookmarkStart w:id="87" w:name="_Toc179632565"/>
      <w:bookmarkStart w:id="88" w:name="_Toc152042323"/>
      <w:r>
        <w:rPr>
          <w:rFonts w:hint="eastAsia" w:ascii="宋体" w:hAnsi="宋体"/>
          <w:sz w:val="26"/>
        </w:rPr>
        <w:t>3.1 响应文件的组成</w:t>
      </w:r>
      <w:bookmarkEnd w:id="84"/>
      <w:bookmarkEnd w:id="85"/>
      <w:bookmarkEnd w:id="86"/>
      <w:bookmarkEnd w:id="87"/>
      <w:bookmarkEnd w:id="88"/>
    </w:p>
    <w:p w14:paraId="3A0FD8C0">
      <w:pPr>
        <w:spacing w:line="360" w:lineRule="auto"/>
        <w:rPr>
          <w:rFonts w:ascii="宋体" w:hAnsi="宋体"/>
          <w:sz w:val="26"/>
        </w:rPr>
      </w:pPr>
      <w:r>
        <w:rPr>
          <w:rFonts w:hint="eastAsia" w:ascii="宋体" w:hAnsi="宋体"/>
          <w:sz w:val="26"/>
        </w:rPr>
        <w:t>　　3.1.1响应文件应包括下列内容：</w:t>
      </w:r>
    </w:p>
    <w:p w14:paraId="40BD73D9">
      <w:pPr>
        <w:spacing w:line="360" w:lineRule="auto"/>
        <w:rPr>
          <w:rFonts w:ascii="宋体" w:hAnsi="宋体"/>
          <w:sz w:val="26"/>
        </w:rPr>
      </w:pPr>
      <w:r>
        <w:rPr>
          <w:rFonts w:hint="eastAsia" w:ascii="宋体" w:hAnsi="宋体"/>
          <w:sz w:val="26"/>
        </w:rPr>
        <w:t>（1）响应函及报价一览表；</w:t>
      </w:r>
    </w:p>
    <w:p w14:paraId="1DEE2798">
      <w:pPr>
        <w:spacing w:line="360" w:lineRule="auto"/>
        <w:rPr>
          <w:rFonts w:ascii="宋体" w:hAnsi="宋体"/>
          <w:sz w:val="26"/>
        </w:rPr>
      </w:pPr>
      <w:r>
        <w:rPr>
          <w:rFonts w:hint="eastAsia" w:ascii="宋体" w:hAnsi="宋体"/>
          <w:sz w:val="26"/>
        </w:rPr>
        <w:t>（2）法定代表人身份证明；</w:t>
      </w:r>
    </w:p>
    <w:p w14:paraId="3B281234">
      <w:pPr>
        <w:spacing w:line="360" w:lineRule="auto"/>
        <w:rPr>
          <w:rFonts w:ascii="宋体" w:hAnsi="宋体"/>
          <w:sz w:val="26"/>
        </w:rPr>
      </w:pPr>
      <w:r>
        <w:rPr>
          <w:rFonts w:hint="eastAsia" w:ascii="宋体" w:hAnsi="宋体"/>
          <w:sz w:val="26"/>
        </w:rPr>
        <w:t>（3）授权委托书；</w:t>
      </w:r>
    </w:p>
    <w:p w14:paraId="08FBA4BF">
      <w:pPr>
        <w:spacing w:line="360" w:lineRule="auto"/>
        <w:rPr>
          <w:rFonts w:ascii="宋体" w:hAnsi="宋体"/>
          <w:sz w:val="26"/>
        </w:rPr>
      </w:pPr>
      <w:r>
        <w:rPr>
          <w:rFonts w:hint="eastAsia" w:ascii="宋体" w:hAnsi="宋体"/>
          <w:sz w:val="26"/>
        </w:rPr>
        <w:t>（</w:t>
      </w:r>
      <w:r>
        <w:rPr>
          <w:rFonts w:ascii="宋体" w:hAnsi="宋体"/>
          <w:sz w:val="26"/>
        </w:rPr>
        <w:t>4</w:t>
      </w:r>
      <w:r>
        <w:rPr>
          <w:rFonts w:hint="eastAsia" w:ascii="宋体" w:hAnsi="宋体"/>
          <w:sz w:val="26"/>
        </w:rPr>
        <w:t>）投标人基本情况；</w:t>
      </w:r>
    </w:p>
    <w:p w14:paraId="388B43E3">
      <w:pPr>
        <w:spacing w:line="360" w:lineRule="auto"/>
        <w:rPr>
          <w:rFonts w:ascii="宋体" w:hAnsi="宋体"/>
          <w:sz w:val="26"/>
        </w:rPr>
      </w:pPr>
      <w:r>
        <w:rPr>
          <w:rFonts w:hint="eastAsia" w:ascii="宋体" w:hAnsi="宋体"/>
          <w:sz w:val="26"/>
        </w:rPr>
        <w:t>（</w:t>
      </w:r>
      <w:r>
        <w:rPr>
          <w:rFonts w:ascii="宋体" w:hAnsi="宋体"/>
          <w:sz w:val="26"/>
        </w:rPr>
        <w:t>5</w:t>
      </w:r>
      <w:r>
        <w:rPr>
          <w:rFonts w:hint="eastAsia" w:ascii="宋体" w:hAnsi="宋体"/>
          <w:sz w:val="26"/>
        </w:rPr>
        <w:t xml:space="preserve">）供应商承诺函； </w:t>
      </w:r>
    </w:p>
    <w:p w14:paraId="1F1517E1">
      <w:pPr>
        <w:spacing w:line="360" w:lineRule="auto"/>
        <w:rPr>
          <w:rFonts w:ascii="宋体" w:hAnsi="宋体"/>
          <w:sz w:val="26"/>
        </w:rPr>
      </w:pPr>
      <w:r>
        <w:rPr>
          <w:rFonts w:hint="eastAsia" w:ascii="宋体" w:hAnsi="宋体"/>
          <w:sz w:val="26"/>
        </w:rPr>
        <w:t>（</w:t>
      </w:r>
      <w:r>
        <w:rPr>
          <w:rFonts w:ascii="宋体" w:hAnsi="宋体"/>
          <w:sz w:val="26"/>
        </w:rPr>
        <w:t>6</w:t>
      </w:r>
      <w:r>
        <w:rPr>
          <w:rFonts w:hint="eastAsia" w:ascii="宋体" w:hAnsi="宋体"/>
          <w:sz w:val="26"/>
        </w:rPr>
        <w:t>）保证金；</w:t>
      </w:r>
    </w:p>
    <w:p w14:paraId="0DE83AA2">
      <w:pPr>
        <w:spacing w:line="360" w:lineRule="auto"/>
        <w:rPr>
          <w:rFonts w:ascii="宋体" w:hAnsi="宋体"/>
          <w:sz w:val="26"/>
        </w:rPr>
      </w:pPr>
      <w:r>
        <w:rPr>
          <w:rFonts w:hint="eastAsia" w:ascii="宋体" w:hAnsi="宋体"/>
          <w:sz w:val="26"/>
        </w:rPr>
        <w:t>（</w:t>
      </w:r>
      <w:r>
        <w:rPr>
          <w:rFonts w:ascii="宋体" w:hAnsi="宋体"/>
          <w:sz w:val="26"/>
        </w:rPr>
        <w:t>7</w:t>
      </w:r>
      <w:r>
        <w:rPr>
          <w:rFonts w:hint="eastAsia" w:ascii="宋体" w:hAnsi="宋体"/>
          <w:sz w:val="26"/>
        </w:rPr>
        <w:t>）服务实施方案；</w:t>
      </w:r>
    </w:p>
    <w:p w14:paraId="72D74085">
      <w:pPr>
        <w:spacing w:line="360" w:lineRule="auto"/>
        <w:rPr>
          <w:rFonts w:ascii="宋体" w:hAnsi="宋体"/>
          <w:sz w:val="26"/>
        </w:rPr>
      </w:pPr>
      <w:r>
        <w:rPr>
          <w:rFonts w:hint="eastAsia" w:ascii="宋体" w:hAnsi="宋体"/>
          <w:sz w:val="26"/>
        </w:rPr>
        <w:t>（8）项目管理机构；</w:t>
      </w:r>
    </w:p>
    <w:p w14:paraId="09523241">
      <w:pPr>
        <w:spacing w:line="360" w:lineRule="auto"/>
        <w:rPr>
          <w:rFonts w:ascii="宋体" w:hAnsi="宋体"/>
          <w:sz w:val="26"/>
        </w:rPr>
      </w:pPr>
      <w:r>
        <w:rPr>
          <w:rFonts w:hint="eastAsia" w:ascii="宋体" w:hAnsi="宋体"/>
          <w:sz w:val="26"/>
        </w:rPr>
        <w:t>（9）资格审查资料；</w:t>
      </w:r>
    </w:p>
    <w:p w14:paraId="1F3B02AA">
      <w:pPr>
        <w:spacing w:line="360" w:lineRule="auto"/>
        <w:rPr>
          <w:rFonts w:ascii="宋体" w:hAnsi="宋体"/>
          <w:sz w:val="26"/>
        </w:rPr>
      </w:pPr>
      <w:r>
        <w:rPr>
          <w:rFonts w:hint="eastAsia" w:ascii="宋体" w:hAnsi="宋体"/>
          <w:sz w:val="26"/>
        </w:rPr>
        <w:t>（10）其他材料。</w:t>
      </w:r>
    </w:p>
    <w:p w14:paraId="0D271A1F">
      <w:pPr>
        <w:spacing w:line="360" w:lineRule="auto"/>
        <w:rPr>
          <w:rFonts w:ascii="宋体" w:hAnsi="宋体"/>
          <w:sz w:val="26"/>
        </w:rPr>
      </w:pPr>
      <w:r>
        <w:rPr>
          <w:rFonts w:hint="eastAsia" w:ascii="宋体" w:hAnsi="宋体"/>
          <w:sz w:val="26"/>
        </w:rPr>
        <w:t xml:space="preserve">3.1.2 供应商须知前附表规定不接受联合体的，或供应商没有组成联合体的，响应文件不包括本章第3.1.1（3）目所指的联合体协议书。 </w:t>
      </w:r>
    </w:p>
    <w:p w14:paraId="653346D8">
      <w:pPr>
        <w:spacing w:line="360" w:lineRule="auto"/>
        <w:rPr>
          <w:rFonts w:ascii="宋体" w:hAnsi="宋体"/>
          <w:sz w:val="26"/>
        </w:rPr>
      </w:pPr>
      <w:r>
        <w:rPr>
          <w:rFonts w:hint="eastAsia" w:ascii="宋体" w:hAnsi="宋体"/>
          <w:sz w:val="26"/>
        </w:rPr>
        <w:t>3.1.3 供应商应当按照竞争性磋商文件的要求编制响应文件，并对其提交的响应文件的真实性、合法性承担法律责任。</w:t>
      </w:r>
    </w:p>
    <w:p w14:paraId="334A9C36">
      <w:pPr>
        <w:spacing w:line="360" w:lineRule="auto"/>
        <w:rPr>
          <w:rFonts w:ascii="宋体" w:hAnsi="宋体"/>
          <w:sz w:val="26"/>
        </w:rPr>
      </w:pPr>
      <w:bookmarkStart w:id="89" w:name="_Toc152045548"/>
      <w:bookmarkStart w:id="90" w:name="_Toc152042324"/>
      <w:bookmarkStart w:id="91" w:name="_Toc144974516"/>
      <w:bookmarkStart w:id="92" w:name="_Toc403382393"/>
      <w:bookmarkStart w:id="93" w:name="_Toc179632566"/>
      <w:r>
        <w:rPr>
          <w:rFonts w:hint="eastAsia" w:ascii="宋体" w:hAnsi="宋体"/>
          <w:sz w:val="26"/>
        </w:rPr>
        <w:t>3.2 报价</w:t>
      </w:r>
      <w:bookmarkEnd w:id="89"/>
      <w:bookmarkEnd w:id="90"/>
      <w:bookmarkEnd w:id="91"/>
      <w:bookmarkEnd w:id="92"/>
      <w:bookmarkEnd w:id="93"/>
      <w:r>
        <w:rPr>
          <w:rFonts w:hint="eastAsia" w:ascii="宋体" w:hAnsi="宋体"/>
          <w:sz w:val="26"/>
        </w:rPr>
        <w:t>要求</w:t>
      </w:r>
    </w:p>
    <w:p w14:paraId="44F8F63A">
      <w:pPr>
        <w:spacing w:line="360" w:lineRule="auto"/>
        <w:rPr>
          <w:rFonts w:ascii="宋体" w:hAnsi="宋体"/>
          <w:sz w:val="26"/>
        </w:rPr>
      </w:pPr>
      <w:r>
        <w:rPr>
          <w:rFonts w:hint="eastAsia" w:ascii="宋体" w:hAnsi="宋体"/>
          <w:sz w:val="26"/>
        </w:rPr>
        <w:t>3.2.1 供应商应按竞争性磋商的要求填写相应表格。</w:t>
      </w:r>
    </w:p>
    <w:p w14:paraId="419A284B">
      <w:pPr>
        <w:spacing w:line="360" w:lineRule="auto"/>
        <w:rPr>
          <w:rFonts w:ascii="宋体" w:hAnsi="宋体"/>
          <w:sz w:val="26"/>
        </w:rPr>
      </w:pPr>
      <w:r>
        <w:rPr>
          <w:rFonts w:hint="eastAsia" w:ascii="宋体" w:hAnsi="宋体"/>
          <w:sz w:val="26"/>
        </w:rPr>
        <w:t>3.2.2 采购人按供应商须知前附表的规定设置或不设置预算控制价，设置预算控制价的，预算控制价明细在竞争性磋商文件中发给所有购买竞争性磋商文件的供应商。</w:t>
      </w:r>
    </w:p>
    <w:p w14:paraId="2183BC06">
      <w:pPr>
        <w:spacing w:line="360" w:lineRule="auto"/>
        <w:rPr>
          <w:rFonts w:ascii="宋体" w:hAnsi="宋体"/>
          <w:sz w:val="26"/>
        </w:rPr>
      </w:pPr>
      <w:r>
        <w:rPr>
          <w:rFonts w:hint="eastAsia" w:ascii="宋体" w:hAnsi="宋体"/>
          <w:sz w:val="26"/>
        </w:rPr>
        <w:t>供应商响应函及报价一览表中的大写报价或算术错误修正后的报价大于预算控制价的，其磋商响应无效。</w:t>
      </w:r>
    </w:p>
    <w:p w14:paraId="1421E6AA">
      <w:pPr>
        <w:spacing w:line="360" w:lineRule="auto"/>
        <w:rPr>
          <w:rFonts w:ascii="宋体" w:hAnsi="宋体"/>
          <w:sz w:val="26"/>
        </w:rPr>
      </w:pPr>
      <w:bookmarkStart w:id="94" w:name="_Toc152045549"/>
      <w:bookmarkStart w:id="95" w:name="_Toc179632567"/>
      <w:bookmarkStart w:id="96" w:name="_Toc152042325"/>
      <w:bookmarkStart w:id="97" w:name="_Toc144974517"/>
      <w:bookmarkStart w:id="98" w:name="_Toc403382394"/>
      <w:r>
        <w:rPr>
          <w:rFonts w:hint="eastAsia" w:ascii="宋体" w:hAnsi="宋体"/>
          <w:sz w:val="26"/>
        </w:rPr>
        <w:t>3.3 响应文件有效期</w:t>
      </w:r>
      <w:bookmarkEnd w:id="94"/>
      <w:bookmarkEnd w:id="95"/>
      <w:bookmarkEnd w:id="96"/>
      <w:bookmarkEnd w:id="97"/>
      <w:bookmarkEnd w:id="98"/>
    </w:p>
    <w:p w14:paraId="7C8057AD">
      <w:pPr>
        <w:spacing w:line="360" w:lineRule="auto"/>
        <w:rPr>
          <w:rFonts w:ascii="宋体" w:hAnsi="宋体"/>
          <w:sz w:val="26"/>
        </w:rPr>
      </w:pPr>
      <w:r>
        <w:rPr>
          <w:rFonts w:hint="eastAsia" w:ascii="宋体" w:hAnsi="宋体"/>
          <w:sz w:val="26"/>
        </w:rPr>
        <w:t>3.3.1 在供应商须知前附表规定的响应文件有效期内，供应商不得要求撤销或修改其响应文件。</w:t>
      </w:r>
    </w:p>
    <w:p w14:paraId="152D3073">
      <w:pPr>
        <w:spacing w:line="360" w:lineRule="auto"/>
        <w:rPr>
          <w:rFonts w:ascii="宋体" w:hAnsi="宋体"/>
          <w:sz w:val="26"/>
        </w:rPr>
      </w:pPr>
      <w:r>
        <w:rPr>
          <w:rFonts w:hint="eastAsia" w:ascii="宋体" w:hAnsi="宋体"/>
          <w:sz w:val="26"/>
        </w:rPr>
        <w:t xml:space="preserve">3.3.2出现特殊情况需要延长响应文件有效期的，采购人以书面形式通知所有供应商（或在“政采云”平台（https://www.zcygov.cn）发布信息）延长响应文件有效期。供应商同意延长的，应相应延长其磋商保证金的有效期，但不得要求或被允许修改或撤销其响应文件；供应商拒绝延长的，其磋商响应无效，但供应商有权收回其磋商保证金。 </w:t>
      </w:r>
    </w:p>
    <w:p w14:paraId="0F85AA6E">
      <w:pPr>
        <w:spacing w:line="360" w:lineRule="auto"/>
        <w:rPr>
          <w:rFonts w:ascii="宋体" w:hAnsi="宋体"/>
          <w:sz w:val="26"/>
        </w:rPr>
      </w:pPr>
      <w:bookmarkStart w:id="99" w:name="_Toc179632568"/>
      <w:bookmarkStart w:id="100" w:name="_Toc403382395"/>
      <w:bookmarkStart w:id="101" w:name="_Toc152045550"/>
      <w:bookmarkStart w:id="102" w:name="_Toc152042326"/>
      <w:bookmarkStart w:id="103" w:name="_Toc144974518"/>
      <w:r>
        <w:rPr>
          <w:rFonts w:hint="eastAsia" w:ascii="宋体" w:hAnsi="宋体"/>
          <w:sz w:val="26"/>
        </w:rPr>
        <w:t xml:space="preserve">3.4 </w:t>
      </w:r>
      <w:bookmarkEnd w:id="99"/>
      <w:bookmarkEnd w:id="100"/>
      <w:bookmarkEnd w:id="101"/>
      <w:bookmarkEnd w:id="102"/>
      <w:bookmarkEnd w:id="103"/>
      <w:r>
        <w:rPr>
          <w:rFonts w:hint="eastAsia" w:ascii="宋体" w:hAnsi="宋体"/>
          <w:sz w:val="26"/>
        </w:rPr>
        <w:t>磋商保证金</w:t>
      </w:r>
    </w:p>
    <w:p w14:paraId="6ABA2661">
      <w:pPr>
        <w:spacing w:line="360" w:lineRule="auto"/>
        <w:rPr>
          <w:rFonts w:ascii="宋体" w:hAnsi="宋体"/>
          <w:sz w:val="26"/>
        </w:rPr>
      </w:pPr>
      <w:r>
        <w:rPr>
          <w:rFonts w:hint="eastAsia" w:ascii="宋体" w:hAnsi="宋体"/>
          <w:sz w:val="26"/>
        </w:rPr>
        <w:t>3.4.1供应商须知前附表规定提交磋商保证金的，供应商在递交响应文件的同时，应按供应商须知前附表规定的形式、金额、递交截止时间、递交方式提交磋商保证金，并作为其响应文件的组成部分。联合体参与磋商的，可以由联合体中的一方或者多方共同交纳保证金，其交纳的保证金对联合体各方均具有约束力，并应符合供应商须知前附表的规定。</w:t>
      </w:r>
    </w:p>
    <w:p w14:paraId="507380AF">
      <w:pPr>
        <w:spacing w:line="360" w:lineRule="auto"/>
        <w:rPr>
          <w:rFonts w:ascii="宋体" w:hAnsi="宋体"/>
          <w:sz w:val="26"/>
        </w:rPr>
      </w:pPr>
      <w:r>
        <w:rPr>
          <w:rFonts w:hint="eastAsia" w:ascii="宋体" w:hAnsi="宋体"/>
          <w:sz w:val="26"/>
        </w:rPr>
        <w:t>3.4.2 供应商不按本章第3.4.1项要求提交磋商保证金的，其磋商响应无效。</w:t>
      </w:r>
    </w:p>
    <w:p w14:paraId="66F74018">
      <w:pPr>
        <w:spacing w:line="360" w:lineRule="auto"/>
        <w:rPr>
          <w:rFonts w:ascii="宋体" w:hAnsi="宋体"/>
          <w:sz w:val="26"/>
        </w:rPr>
      </w:pPr>
      <w:r>
        <w:rPr>
          <w:rFonts w:hint="eastAsia" w:ascii="宋体" w:hAnsi="宋体"/>
          <w:sz w:val="26"/>
        </w:rPr>
        <w:t>3.4.3 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p w14:paraId="7ACDBADE">
      <w:pPr>
        <w:spacing w:line="360" w:lineRule="auto"/>
        <w:rPr>
          <w:rFonts w:ascii="宋体" w:hAnsi="宋体"/>
          <w:sz w:val="26"/>
        </w:rPr>
      </w:pPr>
      <w:r>
        <w:rPr>
          <w:rFonts w:hint="eastAsia" w:ascii="宋体" w:hAnsi="宋体"/>
          <w:sz w:val="26"/>
        </w:rPr>
        <w:t xml:space="preserve">3.4.4 有下列情形之一的，磋商保证金将不予退还： </w:t>
      </w:r>
    </w:p>
    <w:p w14:paraId="11770C5F">
      <w:pPr>
        <w:spacing w:line="360" w:lineRule="auto"/>
        <w:rPr>
          <w:rFonts w:ascii="宋体" w:hAnsi="宋体"/>
          <w:sz w:val="26"/>
        </w:rPr>
      </w:pPr>
      <w:bookmarkStart w:id="104" w:name="_Toc144974519"/>
      <w:bookmarkStart w:id="105" w:name="_Toc179632569"/>
      <w:bookmarkStart w:id="106" w:name="_Toc152042327"/>
      <w:bookmarkStart w:id="107" w:name="_Toc152045551"/>
      <w:bookmarkStart w:id="108" w:name="_Toc403382396"/>
      <w:r>
        <w:rPr>
          <w:rFonts w:hint="eastAsia" w:ascii="宋体" w:hAnsi="宋体"/>
          <w:sz w:val="26"/>
        </w:rPr>
        <w:t>供应商在提交响应文件截止时间后撤回响应文件的；</w:t>
      </w:r>
    </w:p>
    <w:p w14:paraId="100B7B55">
      <w:pPr>
        <w:spacing w:line="360" w:lineRule="auto"/>
        <w:rPr>
          <w:rFonts w:ascii="宋体" w:hAnsi="宋体"/>
          <w:sz w:val="26"/>
        </w:rPr>
      </w:pPr>
      <w:r>
        <w:rPr>
          <w:rFonts w:hint="eastAsia" w:ascii="宋体" w:hAnsi="宋体"/>
          <w:sz w:val="26"/>
        </w:rPr>
        <w:t>供应商在响应文件中提供虚假材料的；</w:t>
      </w:r>
    </w:p>
    <w:p w14:paraId="25CCED69">
      <w:pPr>
        <w:spacing w:line="360" w:lineRule="auto"/>
        <w:rPr>
          <w:rFonts w:ascii="宋体" w:hAnsi="宋体"/>
          <w:sz w:val="26"/>
        </w:rPr>
      </w:pPr>
      <w:r>
        <w:rPr>
          <w:rFonts w:hint="eastAsia" w:ascii="宋体" w:hAnsi="宋体"/>
          <w:sz w:val="26"/>
        </w:rPr>
        <w:t>除因不可抗力或磋商文件认可的情形以外，成交供应商不与采购人签订合同的；</w:t>
      </w:r>
    </w:p>
    <w:p w14:paraId="18C6CA70">
      <w:pPr>
        <w:spacing w:line="360" w:lineRule="auto"/>
        <w:rPr>
          <w:rFonts w:ascii="宋体" w:hAnsi="宋体"/>
          <w:sz w:val="26"/>
        </w:rPr>
      </w:pPr>
      <w:r>
        <w:rPr>
          <w:rFonts w:hint="eastAsia" w:ascii="宋体" w:hAnsi="宋体"/>
          <w:sz w:val="26"/>
        </w:rPr>
        <w:t>供应商与采购人、其他供应商或者采购代理机构恶意串通的；</w:t>
      </w:r>
    </w:p>
    <w:p w14:paraId="40A20633">
      <w:pPr>
        <w:spacing w:line="360" w:lineRule="auto"/>
        <w:rPr>
          <w:rFonts w:ascii="宋体" w:hAnsi="宋体"/>
          <w:sz w:val="26"/>
        </w:rPr>
      </w:pPr>
      <w:r>
        <w:rPr>
          <w:rFonts w:hint="eastAsia" w:ascii="宋体" w:hAnsi="宋体"/>
          <w:sz w:val="26"/>
        </w:rPr>
        <w:t xml:space="preserve">磋商文件规定的其他情形。 </w:t>
      </w:r>
    </w:p>
    <w:bookmarkEnd w:id="104"/>
    <w:bookmarkEnd w:id="105"/>
    <w:bookmarkEnd w:id="106"/>
    <w:bookmarkEnd w:id="107"/>
    <w:bookmarkEnd w:id="108"/>
    <w:p w14:paraId="1FDF1A21">
      <w:pPr>
        <w:spacing w:line="360" w:lineRule="auto"/>
        <w:rPr>
          <w:rFonts w:ascii="宋体" w:hAnsi="宋体"/>
          <w:sz w:val="26"/>
        </w:rPr>
      </w:pPr>
      <w:bookmarkStart w:id="109" w:name="_Toc403382397"/>
      <w:bookmarkStart w:id="110" w:name="_Toc179632570"/>
      <w:bookmarkStart w:id="111" w:name="_Toc152042328"/>
      <w:bookmarkStart w:id="112" w:name="_Toc152045552"/>
      <w:bookmarkStart w:id="113" w:name="_Toc144974520"/>
      <w:r>
        <w:rPr>
          <w:rFonts w:hint="eastAsia" w:ascii="宋体" w:hAnsi="宋体"/>
          <w:sz w:val="26"/>
        </w:rPr>
        <w:t>3.5 资格审查资料</w:t>
      </w:r>
      <w:bookmarkEnd w:id="109"/>
      <w:bookmarkEnd w:id="110"/>
      <w:bookmarkEnd w:id="111"/>
      <w:bookmarkEnd w:id="112"/>
      <w:bookmarkEnd w:id="113"/>
    </w:p>
    <w:p w14:paraId="4FBEFA68">
      <w:pPr>
        <w:spacing w:line="360" w:lineRule="auto"/>
        <w:rPr>
          <w:rFonts w:ascii="宋体" w:hAnsi="宋体"/>
          <w:sz w:val="26"/>
        </w:rPr>
      </w:pPr>
      <w:bookmarkStart w:id="114" w:name="_Toc152042329"/>
      <w:bookmarkStart w:id="115" w:name="_Toc144974521"/>
      <w:bookmarkStart w:id="116" w:name="_Toc179632571"/>
      <w:bookmarkStart w:id="117" w:name="_Toc152045553"/>
      <w:bookmarkStart w:id="118" w:name="_Toc403382398"/>
      <w:r>
        <w:rPr>
          <w:rFonts w:hint="eastAsia" w:ascii="宋体" w:hAnsi="宋体"/>
          <w:sz w:val="26"/>
        </w:rPr>
        <w:t>3.5.1 “供应商基本情况表”应附供应商营业执照副本、资质证书副本等材料的复印件。</w:t>
      </w:r>
    </w:p>
    <w:p w14:paraId="3B53D952">
      <w:pPr>
        <w:spacing w:line="360" w:lineRule="auto"/>
        <w:rPr>
          <w:rFonts w:ascii="宋体" w:hAnsi="宋体"/>
          <w:sz w:val="26"/>
        </w:rPr>
      </w:pPr>
      <w:r>
        <w:rPr>
          <w:rFonts w:hint="eastAsia" w:ascii="宋体" w:hAnsi="宋体"/>
          <w:sz w:val="26"/>
        </w:rPr>
        <w:t>3.5.2 “近年完成的类似项目情况表”应附成交通知书和（或）合同协议书及其他证明材料（如需要）的复印件。每张表格只填写一个项目，并标明序号。</w:t>
      </w:r>
    </w:p>
    <w:p w14:paraId="7A95D41E">
      <w:pPr>
        <w:spacing w:line="360" w:lineRule="auto"/>
        <w:rPr>
          <w:rFonts w:ascii="宋体" w:hAnsi="宋体"/>
          <w:sz w:val="26"/>
        </w:rPr>
      </w:pPr>
      <w:r>
        <w:rPr>
          <w:rFonts w:hint="eastAsia" w:ascii="宋体" w:hAnsi="宋体"/>
          <w:sz w:val="26"/>
        </w:rPr>
        <w:t>3.5.3供应商须知前附表规定接受联合体参与磋商的，本章第3.5项规定的表格和资料应包括联合体各方相关情况。</w:t>
      </w:r>
    </w:p>
    <w:p w14:paraId="722F0320">
      <w:pPr>
        <w:spacing w:line="360" w:lineRule="auto"/>
        <w:rPr>
          <w:rFonts w:ascii="宋体" w:hAnsi="宋体"/>
          <w:sz w:val="26"/>
        </w:rPr>
      </w:pPr>
      <w:r>
        <w:rPr>
          <w:rFonts w:hint="eastAsia" w:ascii="宋体" w:hAnsi="宋体"/>
          <w:sz w:val="26"/>
        </w:rPr>
        <w:t>3.5.4 本竞争性磋商文件中“类似项目”的定义见供应商须知前附表。</w:t>
      </w:r>
    </w:p>
    <w:p w14:paraId="5CE5BEA0">
      <w:pPr>
        <w:spacing w:line="360" w:lineRule="auto"/>
        <w:rPr>
          <w:rFonts w:ascii="宋体" w:hAnsi="宋体"/>
          <w:sz w:val="26"/>
        </w:rPr>
      </w:pPr>
      <w:r>
        <w:rPr>
          <w:rFonts w:hint="eastAsia" w:ascii="宋体" w:hAnsi="宋体"/>
          <w:sz w:val="26"/>
        </w:rPr>
        <w:t>3.5.5 “竞争性磋商公告要求的其他资格证明材料”应根据本项目竞争性磋商公告的要求提供资格证明材料的复印件和（或）原件。</w:t>
      </w:r>
    </w:p>
    <w:p w14:paraId="5218B795">
      <w:pPr>
        <w:spacing w:line="360" w:lineRule="auto"/>
        <w:rPr>
          <w:rFonts w:ascii="宋体" w:hAnsi="宋体"/>
          <w:sz w:val="26"/>
        </w:rPr>
      </w:pPr>
      <w:r>
        <w:rPr>
          <w:rFonts w:hint="eastAsia" w:ascii="宋体" w:hAnsi="宋体"/>
          <w:sz w:val="26"/>
        </w:rPr>
        <w:t>3.6 备选方案</w:t>
      </w:r>
      <w:bookmarkEnd w:id="114"/>
      <w:bookmarkEnd w:id="115"/>
      <w:bookmarkEnd w:id="116"/>
      <w:bookmarkEnd w:id="117"/>
      <w:bookmarkEnd w:id="118"/>
    </w:p>
    <w:p w14:paraId="783A6EAF">
      <w:pPr>
        <w:spacing w:line="360" w:lineRule="auto"/>
        <w:rPr>
          <w:rFonts w:ascii="宋体" w:hAnsi="宋体"/>
          <w:sz w:val="26"/>
        </w:rPr>
      </w:pPr>
      <w:r>
        <w:rPr>
          <w:rFonts w:hint="eastAsia" w:ascii="宋体" w:hAnsi="宋体"/>
          <w:sz w:val="26"/>
        </w:rPr>
        <w:t>除供应商须知前附表另有规定外，供应商不得递交备选方案。允许供应商递交备选方案的，只有成交供应商所递交的备选方案方可予以考虑。磋商小组认为成交候选人的备选方案优于其按照竞争性磋商文件要求编制的磋商响应方案的，该成交候选人被确定成交供应商后，采购人可以接受该备选方案。</w:t>
      </w:r>
    </w:p>
    <w:p w14:paraId="0A6C611B">
      <w:pPr>
        <w:spacing w:line="360" w:lineRule="auto"/>
        <w:rPr>
          <w:rFonts w:ascii="宋体" w:hAnsi="宋体"/>
          <w:sz w:val="26"/>
        </w:rPr>
      </w:pPr>
      <w:bookmarkStart w:id="119" w:name="_Toc152042330"/>
      <w:bookmarkStart w:id="120" w:name="_Toc179632572"/>
      <w:bookmarkStart w:id="121" w:name="_Toc144974522"/>
      <w:bookmarkStart w:id="122" w:name="_Toc403382399"/>
      <w:bookmarkStart w:id="123" w:name="_Toc152045554"/>
      <w:r>
        <w:rPr>
          <w:rFonts w:hint="eastAsia" w:ascii="宋体" w:hAnsi="宋体"/>
          <w:sz w:val="26"/>
        </w:rPr>
        <w:t>3.7 响应文件的编制</w:t>
      </w:r>
      <w:bookmarkEnd w:id="119"/>
      <w:bookmarkEnd w:id="120"/>
      <w:bookmarkEnd w:id="121"/>
      <w:bookmarkEnd w:id="122"/>
      <w:bookmarkEnd w:id="123"/>
    </w:p>
    <w:p w14:paraId="42360A9C">
      <w:pPr>
        <w:spacing w:line="360" w:lineRule="auto"/>
        <w:rPr>
          <w:rFonts w:ascii="宋体" w:hAnsi="宋体"/>
          <w:sz w:val="26"/>
        </w:rPr>
      </w:pPr>
      <w:r>
        <w:rPr>
          <w:rFonts w:hint="eastAsia" w:ascii="宋体" w:hAnsi="宋体"/>
          <w:sz w:val="26"/>
        </w:rPr>
        <w:t>3.7.1响应文件应按第六章“响应文件格式”进行编写，如有必要，可以增加附页，作为响应文件的组成部分。</w:t>
      </w:r>
    </w:p>
    <w:p w14:paraId="449F7871">
      <w:pPr>
        <w:spacing w:line="360" w:lineRule="auto"/>
        <w:rPr>
          <w:rFonts w:ascii="宋体" w:hAnsi="宋体"/>
          <w:sz w:val="26"/>
        </w:rPr>
      </w:pPr>
      <w:r>
        <w:rPr>
          <w:rFonts w:hint="eastAsia" w:ascii="宋体" w:hAnsi="宋体"/>
          <w:sz w:val="26"/>
        </w:rPr>
        <w:t>3.7.2 响应文件应当对竞争性磋商文件有关服务期、响应文件有效期、质量要求、技术标准和要求、采购范围等实质性内容作出响应。</w:t>
      </w:r>
    </w:p>
    <w:p w14:paraId="1EA2AB2D">
      <w:pPr>
        <w:spacing w:line="360" w:lineRule="auto"/>
        <w:rPr>
          <w:rFonts w:ascii="宋体" w:hAnsi="宋体"/>
          <w:sz w:val="26"/>
        </w:rPr>
      </w:pPr>
      <w:r>
        <w:rPr>
          <w:rFonts w:hint="eastAsia" w:ascii="宋体" w:hAnsi="宋体"/>
          <w:sz w:val="26"/>
        </w:rPr>
        <w:t>3.7.3 响应文件制作</w:t>
      </w:r>
    </w:p>
    <w:p w14:paraId="4A9500B4">
      <w:pPr>
        <w:spacing w:line="360" w:lineRule="auto"/>
        <w:rPr>
          <w:rFonts w:ascii="宋体" w:hAnsi="宋体"/>
          <w:sz w:val="26"/>
        </w:rPr>
      </w:pPr>
      <w:r>
        <w:rPr>
          <w:rFonts w:hint="eastAsia" w:ascii="宋体" w:hAnsi="宋体"/>
          <w:sz w:val="26"/>
        </w:rPr>
        <w:t>（1）纸质响应文件应以已完成的电子响应文件为蓝本，采用A4规格纸张（图表可例外）直接打印。其内容应与电子响应文件内容保持一致。</w:t>
      </w:r>
    </w:p>
    <w:p w14:paraId="34203344">
      <w:pPr>
        <w:spacing w:line="360" w:lineRule="auto"/>
        <w:rPr>
          <w:rFonts w:ascii="宋体" w:hAnsi="宋体"/>
          <w:sz w:val="26"/>
        </w:rPr>
      </w:pPr>
      <w:r>
        <w:rPr>
          <w:rFonts w:hint="eastAsia" w:ascii="宋体" w:hAnsi="宋体"/>
          <w:sz w:val="26"/>
        </w:rPr>
        <w:t>（2）第六章响应文件格式文件要求盖单位章和（或）签字的地方，供应商均应加盖供应商的单位章和（或）法定代表人、负责人的个人印章或签字。</w:t>
      </w:r>
    </w:p>
    <w:p w14:paraId="70612AF8">
      <w:pPr>
        <w:spacing w:line="360" w:lineRule="auto"/>
        <w:rPr>
          <w:rFonts w:ascii="宋体" w:hAnsi="宋体"/>
          <w:sz w:val="26"/>
        </w:rPr>
      </w:pPr>
      <w:r>
        <w:rPr>
          <w:rFonts w:hint="eastAsia" w:ascii="宋体" w:hAnsi="宋体"/>
          <w:sz w:val="26"/>
        </w:rPr>
        <w:t>（3）纸质响应文件的正本和副本应分别装订成册，左侧装订，装订方式应牢固。纸质响应文件正本和副本的封面右上角上应清楚地标记“正本”或“副本”的字样。当副本和正本不一致时，以正本为准。</w:t>
      </w:r>
    </w:p>
    <w:p w14:paraId="5F9F87D2">
      <w:pPr>
        <w:pStyle w:val="5"/>
      </w:pPr>
      <w:r>
        <w:rPr>
          <w:rFonts w:hint="eastAsia"/>
        </w:rPr>
        <w:t>注：除第一中标候选人外无需提交纸质响应文件</w:t>
      </w:r>
    </w:p>
    <w:p w14:paraId="307AD3C6">
      <w:pPr>
        <w:spacing w:line="360" w:lineRule="auto"/>
        <w:rPr>
          <w:rFonts w:ascii="宋体" w:hAnsi="宋体"/>
          <w:sz w:val="26"/>
        </w:rPr>
      </w:pPr>
      <w:bookmarkStart w:id="124" w:name="_Toc403382400"/>
      <w:bookmarkStart w:id="125" w:name="_Toc144974523"/>
      <w:bookmarkStart w:id="126" w:name="_Toc152042331"/>
      <w:bookmarkStart w:id="127" w:name="_Toc152045555"/>
      <w:bookmarkStart w:id="128" w:name="_Toc179632573"/>
      <w:bookmarkStart w:id="129" w:name="_Toc1087"/>
      <w:r>
        <w:rPr>
          <w:rFonts w:hint="eastAsia" w:ascii="宋体" w:hAnsi="宋体"/>
          <w:sz w:val="26"/>
        </w:rPr>
        <w:t xml:space="preserve">4. </w:t>
      </w:r>
      <w:bookmarkEnd w:id="124"/>
      <w:bookmarkEnd w:id="125"/>
      <w:bookmarkEnd w:id="126"/>
      <w:bookmarkEnd w:id="127"/>
      <w:bookmarkEnd w:id="128"/>
      <w:r>
        <w:rPr>
          <w:rFonts w:hint="eastAsia" w:ascii="宋体" w:hAnsi="宋体"/>
          <w:sz w:val="26"/>
        </w:rPr>
        <w:t>响应文件的递交</w:t>
      </w:r>
      <w:bookmarkEnd w:id="129"/>
    </w:p>
    <w:p w14:paraId="39C13B81">
      <w:pPr>
        <w:spacing w:line="360" w:lineRule="auto"/>
        <w:rPr>
          <w:rFonts w:ascii="宋体" w:hAnsi="宋体"/>
          <w:sz w:val="26"/>
        </w:rPr>
      </w:pPr>
      <w:bookmarkStart w:id="130" w:name="_Toc179632574"/>
      <w:bookmarkStart w:id="131" w:name="_Toc152045556"/>
      <w:bookmarkStart w:id="132" w:name="_Toc152042332"/>
      <w:bookmarkStart w:id="133" w:name="_Toc144974524"/>
      <w:bookmarkStart w:id="134" w:name="_Toc403382401"/>
      <w:r>
        <w:rPr>
          <w:rFonts w:hint="eastAsia" w:ascii="宋体" w:hAnsi="宋体"/>
          <w:sz w:val="26"/>
        </w:rPr>
        <w:t>4.1 响应文件的密封和标</w:t>
      </w:r>
      <w:bookmarkEnd w:id="130"/>
      <w:bookmarkEnd w:id="131"/>
      <w:bookmarkEnd w:id="132"/>
      <w:bookmarkEnd w:id="133"/>
      <w:r>
        <w:rPr>
          <w:rFonts w:hint="eastAsia" w:ascii="宋体" w:hAnsi="宋体"/>
          <w:sz w:val="26"/>
        </w:rPr>
        <w:t>识</w:t>
      </w:r>
      <w:bookmarkEnd w:id="134"/>
      <w:r>
        <w:rPr>
          <w:rFonts w:hint="eastAsia" w:ascii="宋体" w:hAnsi="宋体"/>
          <w:sz w:val="26"/>
        </w:rPr>
        <w:t>（本项目不适应）</w:t>
      </w:r>
    </w:p>
    <w:p w14:paraId="41F476B5">
      <w:pPr>
        <w:spacing w:line="360" w:lineRule="auto"/>
        <w:rPr>
          <w:rFonts w:ascii="宋体" w:hAnsi="宋体"/>
          <w:sz w:val="26"/>
        </w:rPr>
      </w:pPr>
      <w:r>
        <w:rPr>
          <w:rFonts w:hint="eastAsia" w:ascii="宋体" w:hAnsi="宋体"/>
          <w:sz w:val="26"/>
        </w:rPr>
        <w:t>4.1.1 响应文件的密封和标识</w:t>
      </w:r>
    </w:p>
    <w:p w14:paraId="41DCF213">
      <w:pPr>
        <w:spacing w:line="360" w:lineRule="auto"/>
        <w:rPr>
          <w:rFonts w:ascii="宋体" w:hAnsi="宋体"/>
          <w:sz w:val="26"/>
        </w:rPr>
      </w:pPr>
      <w:r>
        <w:rPr>
          <w:rFonts w:hint="eastAsia" w:ascii="宋体" w:hAnsi="宋体"/>
          <w:sz w:val="26"/>
        </w:rPr>
        <w:t>（1）纸质响应文件的正本和副本装入封包后密封提交（可合封或分别密封），并在封套的封口处加盖供应商单位章。</w:t>
      </w:r>
    </w:p>
    <w:p w14:paraId="781E0391">
      <w:pPr>
        <w:spacing w:line="360" w:lineRule="auto"/>
        <w:rPr>
          <w:rFonts w:ascii="宋体" w:hAnsi="宋体"/>
          <w:sz w:val="26"/>
        </w:rPr>
      </w:pPr>
      <w:r>
        <w:rPr>
          <w:rFonts w:hint="eastAsia" w:ascii="宋体" w:hAnsi="宋体"/>
          <w:sz w:val="26"/>
        </w:rPr>
        <w:t>（2）电子响应文件（平台格式的）响应截止前上传至平台，电子响应文件（U盘）应随纸质响应文件一并提交（单独密封）。</w:t>
      </w:r>
    </w:p>
    <w:p w14:paraId="01DF0957">
      <w:pPr>
        <w:spacing w:line="360" w:lineRule="auto"/>
        <w:rPr>
          <w:rFonts w:ascii="宋体" w:hAnsi="宋体"/>
          <w:sz w:val="26"/>
        </w:rPr>
      </w:pPr>
      <w:r>
        <w:rPr>
          <w:rFonts w:hint="eastAsia" w:ascii="宋体" w:hAnsi="宋体"/>
          <w:sz w:val="26"/>
        </w:rPr>
        <w:t>（3）响应文件的封套上应写明以下内容：</w:t>
      </w:r>
    </w:p>
    <w:p w14:paraId="6384D394">
      <w:pPr>
        <w:spacing w:line="360" w:lineRule="auto"/>
        <w:rPr>
          <w:rFonts w:ascii="宋体" w:hAnsi="宋体"/>
          <w:sz w:val="26"/>
        </w:rPr>
      </w:pPr>
      <w:r>
        <w:rPr>
          <w:rFonts w:hint="eastAsia" w:ascii="宋体" w:hAnsi="宋体"/>
          <w:sz w:val="26"/>
        </w:rPr>
        <w:t>1）采购人的名称；</w:t>
      </w:r>
    </w:p>
    <w:p w14:paraId="5B92F05E">
      <w:pPr>
        <w:spacing w:line="360" w:lineRule="auto"/>
        <w:rPr>
          <w:rFonts w:ascii="宋体" w:hAnsi="宋体"/>
          <w:sz w:val="26"/>
        </w:rPr>
      </w:pPr>
      <w:r>
        <w:rPr>
          <w:rFonts w:hint="eastAsia" w:ascii="宋体" w:hAnsi="宋体"/>
          <w:sz w:val="26"/>
        </w:rPr>
        <w:t>2）“     项目响应文件”和“在响应文件送达截止时间之前不得开启”字样；</w:t>
      </w:r>
    </w:p>
    <w:p w14:paraId="0B9ABD09">
      <w:pPr>
        <w:spacing w:line="360" w:lineRule="auto"/>
        <w:rPr>
          <w:rFonts w:ascii="宋体" w:hAnsi="宋体"/>
          <w:sz w:val="26"/>
        </w:rPr>
      </w:pPr>
      <w:r>
        <w:rPr>
          <w:rFonts w:hint="eastAsia" w:ascii="宋体" w:hAnsi="宋体"/>
          <w:sz w:val="26"/>
        </w:rPr>
        <w:t>3）供应商的名称，并加盖单位章。（供应商为联合体形式时，应当注明联合体名称）</w:t>
      </w:r>
    </w:p>
    <w:p w14:paraId="632998C1">
      <w:pPr>
        <w:spacing w:line="360" w:lineRule="auto"/>
        <w:rPr>
          <w:rFonts w:ascii="宋体" w:hAnsi="宋体"/>
          <w:sz w:val="26"/>
        </w:rPr>
      </w:pPr>
      <w:r>
        <w:rPr>
          <w:rFonts w:hint="eastAsia" w:ascii="宋体" w:hAnsi="宋体"/>
          <w:sz w:val="26"/>
        </w:rPr>
        <w:t>（4）未按本章第4.1.1（1）、（2）、（3）目要求密封和加写标记的响应文件，采购人或采购代理机构将拒收。</w:t>
      </w:r>
    </w:p>
    <w:p w14:paraId="270BE629">
      <w:pPr>
        <w:spacing w:line="360" w:lineRule="auto"/>
        <w:rPr>
          <w:rFonts w:ascii="宋体" w:hAnsi="宋体"/>
          <w:sz w:val="26"/>
        </w:rPr>
      </w:pPr>
      <w:bookmarkStart w:id="135" w:name="_Toc152045557"/>
      <w:bookmarkStart w:id="136" w:name="_Toc403382402"/>
      <w:bookmarkStart w:id="137" w:name="_Toc152042333"/>
      <w:bookmarkStart w:id="138" w:name="_Toc179632575"/>
      <w:bookmarkStart w:id="139" w:name="_Toc144974525"/>
      <w:r>
        <w:rPr>
          <w:rFonts w:hint="eastAsia" w:ascii="宋体" w:hAnsi="宋体"/>
          <w:sz w:val="26"/>
        </w:rPr>
        <w:t>4.2 响应文件的递交</w:t>
      </w:r>
      <w:bookmarkEnd w:id="135"/>
      <w:bookmarkEnd w:id="136"/>
      <w:bookmarkEnd w:id="137"/>
      <w:bookmarkEnd w:id="138"/>
      <w:bookmarkEnd w:id="139"/>
    </w:p>
    <w:p w14:paraId="1CA8881F">
      <w:pPr>
        <w:spacing w:line="360" w:lineRule="auto"/>
        <w:rPr>
          <w:rFonts w:ascii="宋体" w:hAnsi="宋体"/>
          <w:sz w:val="26"/>
        </w:rPr>
      </w:pPr>
      <w:r>
        <w:rPr>
          <w:rFonts w:hint="eastAsia" w:ascii="宋体" w:hAnsi="宋体"/>
          <w:sz w:val="26"/>
        </w:rPr>
        <w:t>4.2.1 供应商递交响应文件的截止时间（磋商截止时间）：见供应商须知前附表。</w:t>
      </w:r>
    </w:p>
    <w:p w14:paraId="74CB6314">
      <w:pPr>
        <w:spacing w:line="360" w:lineRule="auto"/>
        <w:rPr>
          <w:rFonts w:ascii="宋体" w:hAnsi="宋体"/>
          <w:sz w:val="26"/>
        </w:rPr>
      </w:pPr>
      <w:r>
        <w:rPr>
          <w:rFonts w:hint="eastAsia" w:ascii="宋体" w:hAnsi="宋体"/>
          <w:sz w:val="26"/>
        </w:rPr>
        <w:t>4.2.2现场递交：供应商应当在响应文件送达截止时间前，将响应文件，按照本章第4.1的要求密封和加写标记后递交，递交地点见供应商须知前附表。采购人收到响应文件后，向供应商出具签收凭证。逾期送达的或者未送达指定地点的，采购人将拒收。</w:t>
      </w:r>
    </w:p>
    <w:p w14:paraId="577D7E62">
      <w:pPr>
        <w:spacing w:line="360" w:lineRule="auto"/>
        <w:rPr>
          <w:rFonts w:ascii="宋体" w:hAnsi="宋体"/>
          <w:sz w:val="26"/>
        </w:rPr>
      </w:pPr>
      <w:r>
        <w:rPr>
          <w:rFonts w:hint="eastAsia" w:ascii="宋体" w:hAnsi="宋体"/>
          <w:sz w:val="26"/>
        </w:rPr>
        <w:t>4.2.3根据本章第4.1.1第（1）项、第（2）项、第（3）项的规定，供应商递交的响应文件，只要出现任何一种响应文件应当拒收的情形，其磋商将被拒绝。</w:t>
      </w:r>
    </w:p>
    <w:p w14:paraId="57E62970">
      <w:pPr>
        <w:spacing w:line="360" w:lineRule="auto"/>
        <w:rPr>
          <w:rFonts w:ascii="宋体" w:hAnsi="宋体"/>
          <w:sz w:val="26"/>
        </w:rPr>
      </w:pPr>
      <w:r>
        <w:rPr>
          <w:rFonts w:hint="eastAsia" w:ascii="宋体" w:hAnsi="宋体"/>
          <w:sz w:val="26"/>
        </w:rPr>
        <w:t>4.2.4 除供应商须知前附表另有规定外，供应商所递交的响应文件不予退还。</w:t>
      </w:r>
    </w:p>
    <w:p w14:paraId="3405E6AD">
      <w:pPr>
        <w:pStyle w:val="5"/>
      </w:pPr>
      <w:r>
        <w:rPr>
          <w:rFonts w:hint="eastAsia" w:ascii="宋体" w:hAnsi="宋体" w:cs="宋体"/>
          <w:sz w:val="24"/>
          <w:szCs w:val="24"/>
          <w:highlight w:val="yellow"/>
          <w:lang w:val="zh-CN"/>
        </w:rPr>
        <w:t>注</w:t>
      </w:r>
      <w:r>
        <w:rPr>
          <w:rFonts w:hint="eastAsia" w:ascii="宋体" w:hAnsi="宋体" w:cs="宋体"/>
          <w:sz w:val="24"/>
          <w:szCs w:val="24"/>
          <w:highlight w:val="yellow"/>
        </w:rPr>
        <w:t>：</w:t>
      </w:r>
      <w:r>
        <w:rPr>
          <w:rFonts w:hint="eastAsia" w:ascii="宋体" w:hAnsi="宋体" w:cs="宋体"/>
          <w:sz w:val="24"/>
          <w:szCs w:val="24"/>
          <w:highlight w:val="yellow"/>
          <w:lang w:val="zh-CN"/>
        </w:rPr>
        <w:t>本项目仅需上传电子投标文件到</w:t>
      </w:r>
      <w:r>
        <w:rPr>
          <w:rFonts w:hint="eastAsia" w:ascii="宋体" w:hAnsi="宋体" w:cs="宋体"/>
          <w:sz w:val="24"/>
          <w:szCs w:val="24"/>
          <w:highlight w:val="yellow"/>
        </w:rPr>
        <w:t>“</w:t>
      </w:r>
      <w:r>
        <w:rPr>
          <w:rFonts w:hint="eastAsia" w:ascii="宋体" w:hAnsi="宋体" w:cs="宋体"/>
          <w:sz w:val="24"/>
          <w:szCs w:val="24"/>
          <w:highlight w:val="yellow"/>
          <w:lang w:val="zh-CN"/>
        </w:rPr>
        <w:t>政采云</w:t>
      </w:r>
      <w:r>
        <w:rPr>
          <w:rFonts w:hint="eastAsia" w:ascii="宋体" w:hAnsi="宋体" w:cs="宋体"/>
          <w:sz w:val="24"/>
          <w:szCs w:val="24"/>
          <w:highlight w:val="yellow"/>
        </w:rPr>
        <w:t>”</w:t>
      </w:r>
      <w:r>
        <w:rPr>
          <w:rFonts w:hint="eastAsia" w:ascii="宋体" w:hAnsi="宋体" w:cs="宋体"/>
          <w:sz w:val="24"/>
          <w:szCs w:val="24"/>
          <w:highlight w:val="yellow"/>
          <w:lang w:val="zh-CN"/>
        </w:rPr>
        <w:t>平台</w:t>
      </w:r>
      <w:r>
        <w:rPr>
          <w:rFonts w:hint="eastAsia" w:ascii="宋体" w:hAnsi="宋体" w:cs="宋体"/>
          <w:sz w:val="24"/>
          <w:szCs w:val="24"/>
          <w:highlight w:val="yellow"/>
        </w:rPr>
        <w:t>（https://www.zcygov.cn）</w:t>
      </w:r>
      <w:r>
        <w:rPr>
          <w:rFonts w:hint="eastAsia" w:ascii="宋体" w:hAnsi="宋体" w:cs="宋体"/>
          <w:sz w:val="24"/>
          <w:szCs w:val="24"/>
          <w:highlight w:val="yellow"/>
          <w:lang w:val="zh-CN"/>
        </w:rPr>
        <w:t>。否则按无效投标处理。</w:t>
      </w:r>
    </w:p>
    <w:p w14:paraId="45D5B3ED">
      <w:pPr>
        <w:spacing w:line="360" w:lineRule="auto"/>
        <w:rPr>
          <w:rFonts w:ascii="宋体" w:hAnsi="宋体"/>
          <w:sz w:val="26"/>
        </w:rPr>
      </w:pPr>
      <w:bookmarkStart w:id="140" w:name="_Toc144974526"/>
      <w:bookmarkStart w:id="141" w:name="_Toc403382403"/>
      <w:bookmarkStart w:id="142" w:name="_Toc152045558"/>
      <w:bookmarkStart w:id="143" w:name="_Toc152042334"/>
      <w:bookmarkStart w:id="144" w:name="_Toc179632576"/>
      <w:r>
        <w:rPr>
          <w:rFonts w:hint="eastAsia" w:ascii="宋体" w:hAnsi="宋体"/>
          <w:sz w:val="26"/>
        </w:rPr>
        <w:t>4.3 响应文件的修改与撤回</w:t>
      </w:r>
      <w:bookmarkEnd w:id="140"/>
      <w:bookmarkEnd w:id="141"/>
      <w:bookmarkEnd w:id="142"/>
      <w:bookmarkEnd w:id="143"/>
      <w:bookmarkEnd w:id="144"/>
    </w:p>
    <w:p w14:paraId="0E693F00">
      <w:pPr>
        <w:spacing w:line="360" w:lineRule="auto"/>
        <w:rPr>
          <w:rFonts w:ascii="宋体" w:hAnsi="宋体"/>
          <w:sz w:val="26"/>
        </w:rPr>
      </w:pPr>
      <w:r>
        <w:rPr>
          <w:rFonts w:hint="eastAsia" w:ascii="宋体" w:hAnsi="宋体"/>
          <w:sz w:val="26"/>
        </w:rPr>
        <w:t>4.3.1 在本章第4.2.1项规定的响应文件送达截止时间前，供应商可以对所提交的响应文件进行补充、修改或者撤回，并书面通知采购人、采购代理机构。补充、修改的内容作为响应文件的组成部分。补充、修改的内容与响应文件不一致的，以补充、修改的内容为准。</w:t>
      </w:r>
    </w:p>
    <w:p w14:paraId="5766012E">
      <w:pPr>
        <w:spacing w:line="360" w:lineRule="auto"/>
        <w:rPr>
          <w:rFonts w:ascii="宋体" w:hAnsi="宋体"/>
          <w:sz w:val="26"/>
        </w:rPr>
      </w:pPr>
      <w:r>
        <w:rPr>
          <w:rFonts w:hint="eastAsia" w:ascii="宋体" w:hAnsi="宋体"/>
          <w:sz w:val="26"/>
        </w:rPr>
        <w:t>4.3.2 供应商补充、修改或撤回已递交响应文件的书面通知应按照本章第3.7.3（2）的要求签字和盖章。</w:t>
      </w:r>
    </w:p>
    <w:p w14:paraId="504FC65F">
      <w:pPr>
        <w:spacing w:line="360" w:lineRule="auto"/>
        <w:rPr>
          <w:rFonts w:ascii="宋体" w:hAnsi="宋体"/>
          <w:sz w:val="26"/>
        </w:rPr>
      </w:pPr>
      <w:r>
        <w:rPr>
          <w:rFonts w:hint="eastAsia" w:ascii="宋体" w:hAnsi="宋体"/>
          <w:sz w:val="26"/>
        </w:rPr>
        <w:t>4.3.3 供应商修改响应文件的，应当按照本章第3条、第4条规定进行编制、密封、标识和递交。其中，对现场递交的响应文件在封套上还应标明“修改”字样。</w:t>
      </w:r>
    </w:p>
    <w:p w14:paraId="7ECC7CBB">
      <w:pPr>
        <w:spacing w:line="360" w:lineRule="auto"/>
        <w:rPr>
          <w:rFonts w:ascii="宋体" w:hAnsi="宋体"/>
          <w:sz w:val="26"/>
        </w:rPr>
      </w:pPr>
      <w:bookmarkStart w:id="145" w:name="_Toc152042335"/>
      <w:bookmarkStart w:id="146" w:name="_Toc152045559"/>
      <w:bookmarkStart w:id="147" w:name="_Toc403382404"/>
      <w:bookmarkStart w:id="148" w:name="_Toc179632577"/>
      <w:bookmarkStart w:id="149" w:name="_Toc144974527"/>
      <w:r>
        <w:rPr>
          <w:rFonts w:hint="eastAsia" w:ascii="宋体" w:hAnsi="宋体"/>
          <w:sz w:val="26"/>
        </w:rPr>
        <w:t>4.3.4 在本章第4.2.1项规定的响应文件送达截止时间前，供应商撤回响应文件的，采购人自收到供应商书面撤回通知后，根据本磋商文件附件关于保证金缴纳的规定无息退还已收取的磋商保证金。</w:t>
      </w:r>
    </w:p>
    <w:p w14:paraId="51EA2D3A">
      <w:pPr>
        <w:spacing w:line="360" w:lineRule="auto"/>
        <w:rPr>
          <w:rFonts w:ascii="宋体" w:hAnsi="宋体"/>
          <w:sz w:val="26"/>
        </w:rPr>
      </w:pPr>
      <w:bookmarkStart w:id="150" w:name="_Toc965"/>
      <w:r>
        <w:rPr>
          <w:rFonts w:hint="eastAsia" w:ascii="宋体" w:hAnsi="宋体"/>
          <w:sz w:val="26"/>
        </w:rPr>
        <w:t>磋商仪式及</w:t>
      </w:r>
      <w:bookmarkEnd w:id="150"/>
      <w:r>
        <w:rPr>
          <w:rFonts w:hint="eastAsia" w:ascii="宋体" w:hAnsi="宋体"/>
          <w:sz w:val="26"/>
        </w:rPr>
        <w:t>磋商程序</w:t>
      </w:r>
    </w:p>
    <w:p w14:paraId="738B6F62">
      <w:pPr>
        <w:spacing w:line="360" w:lineRule="auto"/>
        <w:rPr>
          <w:rFonts w:ascii="宋体" w:hAnsi="宋体"/>
          <w:sz w:val="26"/>
        </w:rPr>
      </w:pPr>
      <w:r>
        <w:rPr>
          <w:rFonts w:hint="eastAsia" w:ascii="宋体" w:hAnsi="宋体"/>
          <w:sz w:val="26"/>
        </w:rPr>
        <w:t>5.1 响应文件开启时间和地点</w:t>
      </w:r>
    </w:p>
    <w:p w14:paraId="5568463C">
      <w:pPr>
        <w:spacing w:line="360" w:lineRule="auto"/>
        <w:rPr>
          <w:rFonts w:ascii="宋体" w:hAnsi="宋体"/>
          <w:sz w:val="26"/>
        </w:rPr>
      </w:pPr>
      <w:r>
        <w:rPr>
          <w:rFonts w:hint="eastAsia" w:ascii="宋体" w:hAnsi="宋体"/>
          <w:sz w:val="26"/>
        </w:rPr>
        <w:t>5.1.1 采购人在本章第4.2.1项规定的响应文件送达截止时间和供应商须知前附表规定的地点（网络平台）举行磋商，并邀请所有供应商代表准时参加。</w:t>
      </w:r>
    </w:p>
    <w:p w14:paraId="04B98D8D">
      <w:pPr>
        <w:spacing w:line="360" w:lineRule="auto"/>
        <w:rPr>
          <w:rFonts w:ascii="宋体" w:hAnsi="宋体"/>
          <w:sz w:val="26"/>
        </w:rPr>
      </w:pPr>
      <w:r>
        <w:rPr>
          <w:rFonts w:hint="eastAsia" w:ascii="宋体" w:hAnsi="宋体"/>
          <w:sz w:val="26"/>
        </w:rPr>
        <w:t>5.1.2采购代理机构按“竞争性磋商公告”中规定的日期、时间和地点（网络平台）组织现场磋商仪式。供应商须派竞争性磋商会由代理机构主持，邀请采购人和监管部门参加出席，供应商拟派的授权代表应按时参加网上磋商仪式。</w:t>
      </w:r>
    </w:p>
    <w:p w14:paraId="5A9CABF8">
      <w:pPr>
        <w:spacing w:line="360" w:lineRule="auto"/>
        <w:rPr>
          <w:rFonts w:ascii="宋体" w:hAnsi="宋体"/>
          <w:sz w:val="26"/>
        </w:rPr>
      </w:pPr>
      <w:r>
        <w:rPr>
          <w:rFonts w:hint="eastAsia" w:ascii="宋体" w:hAnsi="宋体"/>
          <w:sz w:val="26"/>
        </w:rPr>
        <w:t>5.2 磋商顺序</w:t>
      </w:r>
    </w:p>
    <w:p w14:paraId="37E5C635">
      <w:pPr>
        <w:spacing w:line="360" w:lineRule="auto"/>
        <w:rPr>
          <w:rFonts w:ascii="宋体" w:hAnsi="宋体"/>
          <w:sz w:val="26"/>
        </w:rPr>
      </w:pPr>
      <w:r>
        <w:rPr>
          <w:rFonts w:hint="eastAsia" w:ascii="宋体" w:hAnsi="宋体"/>
          <w:sz w:val="26"/>
        </w:rPr>
        <w:t>按上传递交磋商响应文件的顺序。</w:t>
      </w:r>
    </w:p>
    <w:p w14:paraId="39B6231C">
      <w:pPr>
        <w:spacing w:line="360" w:lineRule="auto"/>
        <w:rPr>
          <w:rFonts w:ascii="宋体" w:hAnsi="宋体"/>
          <w:sz w:val="26"/>
        </w:rPr>
      </w:pPr>
      <w:r>
        <w:rPr>
          <w:rFonts w:hint="eastAsia" w:ascii="宋体" w:hAnsi="宋体"/>
          <w:sz w:val="26"/>
        </w:rPr>
        <w:t>5.3初步审查</w:t>
      </w:r>
    </w:p>
    <w:p w14:paraId="7A9EBF66">
      <w:pPr>
        <w:spacing w:line="360" w:lineRule="auto"/>
        <w:rPr>
          <w:rFonts w:ascii="宋体" w:hAnsi="宋体"/>
          <w:sz w:val="26"/>
        </w:rPr>
      </w:pPr>
      <w:r>
        <w:rPr>
          <w:rFonts w:hint="eastAsia" w:ascii="宋体" w:hAnsi="宋体"/>
          <w:sz w:val="26"/>
        </w:rPr>
        <w:t>磋商小组应当对各供应商的响应文件进行初步审查（具体审查标准详见第三章“评审办法”）。未通过初步审查的响应文件按无效处理，磋商小组应当告知有关供应商。</w:t>
      </w:r>
    </w:p>
    <w:p w14:paraId="740909D8">
      <w:pPr>
        <w:spacing w:line="360" w:lineRule="auto"/>
        <w:rPr>
          <w:rFonts w:ascii="宋体" w:hAnsi="宋体"/>
          <w:sz w:val="26"/>
        </w:rPr>
      </w:pPr>
      <w:r>
        <w:rPr>
          <w:rFonts w:hint="eastAsia" w:ascii="宋体" w:hAnsi="宋体"/>
          <w:sz w:val="26"/>
        </w:rPr>
        <w:t>5.4竞争性磋商程序</w:t>
      </w:r>
    </w:p>
    <w:p w14:paraId="3854564B">
      <w:pPr>
        <w:spacing w:line="360" w:lineRule="auto"/>
        <w:rPr>
          <w:rFonts w:ascii="宋体" w:hAnsi="宋体"/>
          <w:sz w:val="26"/>
        </w:rPr>
      </w:pPr>
      <w:r>
        <w:rPr>
          <w:rFonts w:hint="eastAsia" w:ascii="宋体" w:hAnsi="宋体"/>
          <w:sz w:val="26"/>
        </w:rPr>
        <w:t>5.4.1 初步审查完毕后，磋商小组对通过初步审查的供应商按其递交磋商响应文件的逆顺序依次进行磋商。</w:t>
      </w:r>
    </w:p>
    <w:p w14:paraId="31CAFA12">
      <w:pPr>
        <w:spacing w:line="360" w:lineRule="auto"/>
        <w:rPr>
          <w:rFonts w:ascii="宋体" w:hAnsi="宋体"/>
          <w:sz w:val="26"/>
        </w:rPr>
      </w:pPr>
      <w:r>
        <w:rPr>
          <w:rFonts w:hint="eastAsia" w:ascii="宋体" w:hAnsi="宋体"/>
          <w:sz w:val="26"/>
        </w:rPr>
        <w:t>⑴ 磋商最初报价；</w:t>
      </w:r>
    </w:p>
    <w:p w14:paraId="05EB1AD4">
      <w:pPr>
        <w:spacing w:line="360" w:lineRule="auto"/>
        <w:rPr>
          <w:rFonts w:ascii="宋体" w:hAnsi="宋体"/>
          <w:sz w:val="26"/>
        </w:rPr>
      </w:pPr>
      <w:r>
        <w:rPr>
          <w:rFonts w:hint="eastAsia" w:ascii="宋体" w:hAnsi="宋体"/>
          <w:sz w:val="26"/>
        </w:rPr>
        <w:t>⑵ 供应商介绍企业情况；</w:t>
      </w:r>
    </w:p>
    <w:p w14:paraId="75B02F7D">
      <w:pPr>
        <w:spacing w:line="360" w:lineRule="auto"/>
        <w:rPr>
          <w:rFonts w:ascii="宋体" w:hAnsi="宋体"/>
          <w:sz w:val="26"/>
        </w:rPr>
      </w:pPr>
      <w:r>
        <w:rPr>
          <w:rFonts w:hint="eastAsia" w:ascii="宋体" w:hAnsi="宋体"/>
          <w:sz w:val="26"/>
        </w:rPr>
        <w:t>⑶ 供应商阐述本项目技术、服务要求以及合同草案条款的各项响应方案；</w:t>
      </w:r>
    </w:p>
    <w:p w14:paraId="7BCFDF9E">
      <w:pPr>
        <w:spacing w:line="360" w:lineRule="auto"/>
        <w:rPr>
          <w:rFonts w:ascii="宋体" w:hAnsi="宋体"/>
          <w:sz w:val="26"/>
        </w:rPr>
      </w:pPr>
      <w:r>
        <w:rPr>
          <w:rFonts w:hint="eastAsia" w:ascii="宋体" w:hAnsi="宋体"/>
          <w:sz w:val="26"/>
        </w:rPr>
        <w:t>⑷ 供应商需要说明的其他事项及其他优惠说明；</w:t>
      </w:r>
    </w:p>
    <w:p w14:paraId="2CE470F2">
      <w:pPr>
        <w:spacing w:line="360" w:lineRule="auto"/>
        <w:rPr>
          <w:rFonts w:ascii="宋体" w:hAnsi="宋体"/>
          <w:sz w:val="26"/>
        </w:rPr>
      </w:pPr>
      <w:r>
        <w:rPr>
          <w:rFonts w:hint="eastAsia" w:ascii="宋体" w:hAnsi="宋体"/>
          <w:sz w:val="26"/>
        </w:rPr>
        <w:t>⑸ 磋商小组对供应商提问，供应商答复及承诺；</w:t>
      </w:r>
    </w:p>
    <w:p w14:paraId="7316C75A">
      <w:pPr>
        <w:spacing w:line="360" w:lineRule="auto"/>
        <w:rPr>
          <w:rFonts w:ascii="宋体" w:hAnsi="宋体"/>
          <w:sz w:val="26"/>
        </w:rPr>
      </w:pPr>
      <w:r>
        <w:rPr>
          <w:rFonts w:hint="eastAsia" w:ascii="宋体" w:hAnsi="宋体"/>
          <w:sz w:val="26"/>
        </w:rPr>
        <w:t>⑹ 磋商小组所有成员应当集中与单一供应商分别进行磋商，并给予所有参加磋商的供应商平等的磋商机会</w:t>
      </w:r>
    </w:p>
    <w:p w14:paraId="10AC3316">
      <w:pPr>
        <w:spacing w:line="360" w:lineRule="auto"/>
        <w:rPr>
          <w:rFonts w:ascii="宋体" w:hAnsi="宋体"/>
          <w:sz w:val="26"/>
        </w:rPr>
      </w:pPr>
      <w:r>
        <w:rPr>
          <w:rFonts w:hint="eastAsia" w:ascii="宋体" w:hAnsi="宋体"/>
          <w:sz w:val="26"/>
        </w:rPr>
        <w:t>5.4.2磋商变动</w:t>
      </w:r>
    </w:p>
    <w:p w14:paraId="261B2A21">
      <w:pPr>
        <w:spacing w:line="360" w:lineRule="auto"/>
        <w:rPr>
          <w:rFonts w:ascii="宋体" w:hAnsi="宋体"/>
          <w:sz w:val="26"/>
        </w:rPr>
      </w:pPr>
      <w:r>
        <w:rPr>
          <w:rFonts w:hint="eastAsia" w:ascii="宋体" w:hAnsi="宋体"/>
          <w:sz w:val="26"/>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7B023D24">
      <w:pPr>
        <w:spacing w:line="360" w:lineRule="auto"/>
        <w:rPr>
          <w:rFonts w:ascii="宋体" w:hAnsi="宋体"/>
          <w:sz w:val="26"/>
        </w:rPr>
      </w:pPr>
      <w:r>
        <w:rPr>
          <w:rFonts w:hint="eastAsia" w:ascii="宋体" w:hAnsi="宋体"/>
          <w:sz w:val="26"/>
        </w:rPr>
        <w:t>5.4.3磋商变动后响应文件的变更</w:t>
      </w:r>
    </w:p>
    <w:p w14:paraId="2F821F1C">
      <w:pPr>
        <w:spacing w:line="360" w:lineRule="auto"/>
        <w:rPr>
          <w:rFonts w:ascii="宋体" w:hAnsi="宋体"/>
          <w:sz w:val="26"/>
        </w:rPr>
      </w:pPr>
      <w:r>
        <w:rPr>
          <w:rFonts w:hint="eastAsia" w:ascii="宋体" w:hAnsi="宋体"/>
          <w:sz w:val="26"/>
        </w:rPr>
        <w:t>供应商应当按照磋商文件的变动情况和磋商小组的要求重新提交响应文件，并由其法定代表人、负责人或授权代表签字或加盖公章。由授权代表签字的，应当附法定代表人授权书。供应商为自然人的，应当由本人签字并附身份证明。</w:t>
      </w:r>
    </w:p>
    <w:p w14:paraId="62B9C0BD">
      <w:pPr>
        <w:spacing w:line="360" w:lineRule="auto"/>
        <w:rPr>
          <w:rFonts w:ascii="宋体" w:hAnsi="宋体"/>
          <w:sz w:val="26"/>
        </w:rPr>
      </w:pPr>
      <w:r>
        <w:rPr>
          <w:rFonts w:hint="eastAsia" w:ascii="宋体" w:hAnsi="宋体"/>
          <w:sz w:val="26"/>
        </w:rPr>
        <w:t>5.4.4最后报价</w:t>
      </w:r>
    </w:p>
    <w:p w14:paraId="210463F0">
      <w:pPr>
        <w:spacing w:line="360" w:lineRule="auto"/>
        <w:rPr>
          <w:rFonts w:ascii="宋体" w:hAnsi="宋体"/>
          <w:sz w:val="26"/>
        </w:rPr>
      </w:pPr>
      <w:r>
        <w:rPr>
          <w:rFonts w:hint="eastAsia" w:ascii="宋体" w:hAnsi="宋体"/>
          <w:sz w:val="26"/>
        </w:rPr>
        <w:t>5.4.4.1 竞争性磋商文件能够详细列明采购标的的技术、服务要求的，磋商结束后，磋商小组应当要求所有继续参加磋商的供应商在规定时间内</w:t>
      </w:r>
      <w:r>
        <w:rPr>
          <w:rFonts w:hint="eastAsia" w:ascii="宋体" w:hAnsi="宋体"/>
          <w:sz w:val="26"/>
          <w:highlight w:val="yellow"/>
        </w:rPr>
        <w:t>网上提交最后报价。所有投标响应人开评标阶段应时刻关注政采云平台，在平台提示进行二次报价（最终报价）时及时提交对应报价。</w:t>
      </w:r>
    </w:p>
    <w:p w14:paraId="50C4EECE">
      <w:pPr>
        <w:spacing w:line="360" w:lineRule="auto"/>
        <w:rPr>
          <w:rFonts w:ascii="宋体" w:hAnsi="宋体"/>
          <w:sz w:val="26"/>
        </w:rPr>
      </w:pPr>
      <w:r>
        <w:rPr>
          <w:rFonts w:hint="eastAsia" w:ascii="宋体" w:hAnsi="宋体"/>
          <w:sz w:val="26"/>
        </w:rPr>
        <w:t>5.4.4.2 磋商文件不能详细列明采购标的的技术、服务要求，需经磋商由供应商提供最终设计方案或解决方案的，磋商结束后，磋商小组应当按照少数服从多数的原则投票推荐3家（含）以上供应商的设计方案或者解决方案，并要求其在规定时间内提交最后报价。</w:t>
      </w:r>
    </w:p>
    <w:p w14:paraId="42BFFCE1">
      <w:pPr>
        <w:spacing w:line="360" w:lineRule="auto"/>
        <w:rPr>
          <w:rFonts w:ascii="宋体" w:hAnsi="宋体"/>
          <w:sz w:val="26"/>
        </w:rPr>
      </w:pPr>
      <w:r>
        <w:rPr>
          <w:rFonts w:hint="eastAsia" w:ascii="宋体" w:hAnsi="宋体"/>
          <w:sz w:val="26"/>
        </w:rPr>
        <w:t>5.4.4.3 最后报价是供应商响应文件的有效组成部分。</w:t>
      </w:r>
    </w:p>
    <w:p w14:paraId="03942AC3">
      <w:pPr>
        <w:spacing w:line="360" w:lineRule="auto"/>
        <w:rPr>
          <w:rFonts w:ascii="宋体" w:hAnsi="宋体"/>
          <w:sz w:val="26"/>
        </w:rPr>
      </w:pPr>
      <w:r>
        <w:rPr>
          <w:rFonts w:hint="eastAsia" w:ascii="宋体" w:hAnsi="宋体"/>
          <w:sz w:val="26"/>
        </w:rPr>
        <w:t>5.4.4.4 已提交响应文件的供应商，在提交最后报价之前，可以根据磋商情况退出磋商。</w:t>
      </w:r>
    </w:p>
    <w:bookmarkEnd w:id="145"/>
    <w:bookmarkEnd w:id="146"/>
    <w:bookmarkEnd w:id="147"/>
    <w:bookmarkEnd w:id="148"/>
    <w:bookmarkEnd w:id="149"/>
    <w:p w14:paraId="7D593F76">
      <w:pPr>
        <w:spacing w:line="360" w:lineRule="auto"/>
        <w:rPr>
          <w:rFonts w:ascii="宋体" w:hAnsi="宋体"/>
          <w:sz w:val="26"/>
        </w:rPr>
      </w:pPr>
      <w:bookmarkStart w:id="151" w:name="_Toc152045562"/>
      <w:bookmarkStart w:id="152" w:name="_Toc179632580"/>
      <w:bookmarkStart w:id="153" w:name="_Toc403382409"/>
      <w:bookmarkStart w:id="154" w:name="_Toc152042338"/>
      <w:bookmarkStart w:id="155" w:name="_Toc144974530"/>
      <w:bookmarkStart w:id="156" w:name="_Toc2367"/>
      <w:r>
        <w:rPr>
          <w:rFonts w:hint="eastAsia" w:ascii="宋体" w:hAnsi="宋体"/>
          <w:sz w:val="26"/>
        </w:rPr>
        <w:t>6. 评</w:t>
      </w:r>
      <w:bookmarkEnd w:id="151"/>
      <w:bookmarkEnd w:id="152"/>
      <w:bookmarkEnd w:id="153"/>
      <w:bookmarkEnd w:id="154"/>
      <w:bookmarkEnd w:id="155"/>
      <w:r>
        <w:rPr>
          <w:rFonts w:hint="eastAsia" w:ascii="宋体" w:hAnsi="宋体"/>
          <w:sz w:val="26"/>
        </w:rPr>
        <w:t>审</w:t>
      </w:r>
      <w:bookmarkEnd w:id="156"/>
    </w:p>
    <w:p w14:paraId="2F1491B3">
      <w:pPr>
        <w:spacing w:line="360" w:lineRule="auto"/>
        <w:rPr>
          <w:rFonts w:ascii="宋体" w:hAnsi="宋体"/>
          <w:sz w:val="26"/>
        </w:rPr>
      </w:pPr>
      <w:bookmarkStart w:id="157" w:name="_Toc144974531"/>
      <w:bookmarkStart w:id="158" w:name="_Toc179632581"/>
      <w:bookmarkStart w:id="159" w:name="_Toc152042339"/>
      <w:bookmarkStart w:id="160" w:name="_Toc403382410"/>
      <w:bookmarkStart w:id="161" w:name="_Toc152045563"/>
      <w:r>
        <w:rPr>
          <w:rFonts w:hint="eastAsia" w:ascii="宋体" w:hAnsi="宋体"/>
          <w:sz w:val="26"/>
        </w:rPr>
        <w:t xml:space="preserve">6.1 </w:t>
      </w:r>
      <w:bookmarkEnd w:id="157"/>
      <w:bookmarkEnd w:id="158"/>
      <w:bookmarkEnd w:id="159"/>
      <w:bookmarkEnd w:id="160"/>
      <w:bookmarkEnd w:id="161"/>
      <w:r>
        <w:rPr>
          <w:rFonts w:hint="eastAsia" w:ascii="宋体" w:hAnsi="宋体"/>
          <w:sz w:val="26"/>
        </w:rPr>
        <w:t>磋商小组</w:t>
      </w:r>
    </w:p>
    <w:p w14:paraId="52F35D1A">
      <w:pPr>
        <w:spacing w:line="360" w:lineRule="auto"/>
        <w:rPr>
          <w:rFonts w:ascii="宋体" w:hAnsi="宋体"/>
          <w:sz w:val="26"/>
        </w:rPr>
      </w:pPr>
      <w:bookmarkStart w:id="162" w:name="_Toc152042340"/>
      <w:bookmarkStart w:id="163" w:name="_Toc152045564"/>
      <w:bookmarkStart w:id="164" w:name="_Toc403382411"/>
      <w:bookmarkStart w:id="165" w:name="_Toc144974532"/>
      <w:bookmarkStart w:id="166" w:name="_Toc179632582"/>
      <w:r>
        <w:rPr>
          <w:rFonts w:hint="eastAsia" w:ascii="宋体" w:hAnsi="宋体"/>
          <w:sz w:val="26"/>
        </w:rPr>
        <w:t>6.1.1采购代理机构将按照《中华人民共和国政府采购法》《中华人民共和国政府采购法实施条例》和《政府采购竞争性磋商采购方式管理暂行办法》有关规定组建磋商小组。</w:t>
      </w:r>
    </w:p>
    <w:p w14:paraId="3996EEE1">
      <w:pPr>
        <w:spacing w:line="360" w:lineRule="auto"/>
        <w:rPr>
          <w:rFonts w:ascii="宋体" w:hAnsi="宋体"/>
          <w:sz w:val="26"/>
        </w:rPr>
      </w:pPr>
      <w:r>
        <w:rPr>
          <w:rFonts w:hint="eastAsia" w:ascii="宋体" w:hAnsi="宋体"/>
          <w:sz w:val="26"/>
        </w:rPr>
        <w:t>6.1.2 磋商小组由采购人代表和评审专家共3人以上单数组成，其中评审专家人数不得少于竞争性磋商小组成员总数的三分之二，采购人不得以评审专家身份参加本部门或本单位采购项目的评审。</w:t>
      </w:r>
    </w:p>
    <w:p w14:paraId="1C7DDF71">
      <w:pPr>
        <w:spacing w:line="360" w:lineRule="auto"/>
        <w:rPr>
          <w:rFonts w:ascii="宋体" w:hAnsi="宋体"/>
          <w:sz w:val="26"/>
        </w:rPr>
      </w:pPr>
      <w:r>
        <w:rPr>
          <w:rFonts w:hint="eastAsia" w:ascii="宋体" w:hAnsi="宋体"/>
          <w:sz w:val="26"/>
        </w:rPr>
        <w:t>6.1.3 在政府采购活动中，采购人员及相关人员与供应商有下列利害关系之一的，应当回避：</w:t>
      </w:r>
    </w:p>
    <w:p w14:paraId="0DB7FDC2">
      <w:pPr>
        <w:spacing w:line="360" w:lineRule="auto"/>
        <w:rPr>
          <w:rFonts w:ascii="宋体" w:hAnsi="宋体"/>
          <w:sz w:val="26"/>
        </w:rPr>
      </w:pPr>
      <w:r>
        <w:rPr>
          <w:rFonts w:hint="eastAsia" w:ascii="宋体" w:hAnsi="宋体"/>
          <w:sz w:val="26"/>
        </w:rPr>
        <w:t>参加采购活动前3年内与供应商存在劳动关系；</w:t>
      </w:r>
    </w:p>
    <w:p w14:paraId="519762BA">
      <w:pPr>
        <w:spacing w:line="360" w:lineRule="auto"/>
        <w:rPr>
          <w:rFonts w:ascii="宋体" w:hAnsi="宋体"/>
          <w:sz w:val="26"/>
        </w:rPr>
      </w:pPr>
      <w:r>
        <w:rPr>
          <w:rFonts w:hint="eastAsia" w:ascii="宋体" w:hAnsi="宋体"/>
          <w:sz w:val="26"/>
        </w:rPr>
        <w:t>参加采购活动前3年内担任供应商的董事、监事；</w:t>
      </w:r>
    </w:p>
    <w:p w14:paraId="3221E68A">
      <w:pPr>
        <w:spacing w:line="360" w:lineRule="auto"/>
        <w:rPr>
          <w:rFonts w:ascii="宋体" w:hAnsi="宋体"/>
          <w:sz w:val="26"/>
        </w:rPr>
      </w:pPr>
      <w:r>
        <w:rPr>
          <w:rFonts w:hint="eastAsia" w:ascii="宋体" w:hAnsi="宋体"/>
          <w:sz w:val="26"/>
        </w:rPr>
        <w:t>参加采购活动前3年内是供应商的控股股东或者实际控制人；</w:t>
      </w:r>
    </w:p>
    <w:p w14:paraId="3D69C7AE">
      <w:pPr>
        <w:spacing w:line="360" w:lineRule="auto"/>
        <w:rPr>
          <w:rFonts w:ascii="宋体" w:hAnsi="宋体"/>
          <w:sz w:val="26"/>
        </w:rPr>
      </w:pPr>
      <w:r>
        <w:rPr>
          <w:rFonts w:hint="eastAsia" w:ascii="宋体" w:hAnsi="宋体"/>
          <w:sz w:val="26"/>
        </w:rPr>
        <w:t>与供应商的法定代表人或者负责人有夫妻、直系血亲、三代以内旁系血亲或者近姻亲关系；</w:t>
      </w:r>
    </w:p>
    <w:p w14:paraId="1C38F03B">
      <w:pPr>
        <w:spacing w:line="360" w:lineRule="auto"/>
        <w:rPr>
          <w:rFonts w:ascii="宋体" w:hAnsi="宋体"/>
          <w:sz w:val="26"/>
        </w:rPr>
      </w:pPr>
      <w:r>
        <w:rPr>
          <w:rFonts w:hint="eastAsia" w:ascii="宋体" w:hAnsi="宋体"/>
          <w:sz w:val="26"/>
        </w:rPr>
        <w:t>与供应商有其他可能影响政府采购活动公平、公正进行的关系。</w:t>
      </w:r>
    </w:p>
    <w:p w14:paraId="1785C234">
      <w:pPr>
        <w:spacing w:line="360" w:lineRule="auto"/>
        <w:rPr>
          <w:rFonts w:ascii="宋体" w:hAnsi="宋体"/>
          <w:sz w:val="26"/>
        </w:rPr>
      </w:pPr>
      <w:r>
        <w:rPr>
          <w:rFonts w:hint="eastAsia" w:ascii="宋体" w:hAnsi="宋体"/>
          <w:sz w:val="26"/>
        </w:rPr>
        <w:t>6.2 评审原则</w:t>
      </w:r>
      <w:bookmarkEnd w:id="162"/>
      <w:bookmarkEnd w:id="163"/>
      <w:bookmarkEnd w:id="164"/>
      <w:bookmarkEnd w:id="165"/>
      <w:bookmarkEnd w:id="166"/>
      <w:r>
        <w:rPr>
          <w:rFonts w:hint="eastAsia" w:ascii="宋体" w:hAnsi="宋体"/>
          <w:sz w:val="26"/>
        </w:rPr>
        <w:tab/>
      </w:r>
    </w:p>
    <w:p w14:paraId="374D4412">
      <w:pPr>
        <w:spacing w:line="360" w:lineRule="auto"/>
        <w:rPr>
          <w:rFonts w:ascii="宋体" w:hAnsi="宋体"/>
          <w:sz w:val="26"/>
        </w:rPr>
      </w:pPr>
      <w:bookmarkStart w:id="167" w:name="_Toc179632583"/>
      <w:bookmarkStart w:id="168" w:name="_Toc144974533"/>
      <w:bookmarkStart w:id="169" w:name="_Toc152042341"/>
      <w:bookmarkStart w:id="170" w:name="_Toc152045565"/>
      <w:bookmarkStart w:id="171" w:name="_Toc403382412"/>
      <w:r>
        <w:rPr>
          <w:rFonts w:hint="eastAsia" w:ascii="宋体" w:hAnsi="宋体"/>
          <w:sz w:val="26"/>
        </w:rPr>
        <w:t xml:space="preserve">    竞争性磋商小组成员按照客观、公正、审慎的原则，根据磋商文件规定的评审程序、评审方法和评审标准进行独立评审。</w:t>
      </w:r>
    </w:p>
    <w:p w14:paraId="69502026">
      <w:pPr>
        <w:spacing w:line="360" w:lineRule="auto"/>
        <w:rPr>
          <w:rFonts w:ascii="宋体" w:hAnsi="宋体"/>
          <w:sz w:val="26"/>
        </w:rPr>
      </w:pPr>
      <w:r>
        <w:rPr>
          <w:rFonts w:hint="eastAsia" w:ascii="宋体" w:hAnsi="宋体"/>
          <w:sz w:val="26"/>
        </w:rPr>
        <w:t>6.3 评</w:t>
      </w:r>
      <w:bookmarkEnd w:id="167"/>
      <w:bookmarkEnd w:id="168"/>
      <w:bookmarkEnd w:id="169"/>
      <w:bookmarkEnd w:id="170"/>
      <w:bookmarkEnd w:id="171"/>
      <w:r>
        <w:rPr>
          <w:rFonts w:hint="eastAsia" w:ascii="宋体" w:hAnsi="宋体"/>
          <w:sz w:val="26"/>
        </w:rPr>
        <w:t>审</w:t>
      </w:r>
    </w:p>
    <w:p w14:paraId="25CD80A6">
      <w:pPr>
        <w:spacing w:line="360" w:lineRule="auto"/>
        <w:rPr>
          <w:rFonts w:ascii="宋体" w:hAnsi="宋体"/>
          <w:sz w:val="26"/>
        </w:rPr>
      </w:pPr>
      <w:r>
        <w:rPr>
          <w:rFonts w:hint="eastAsia" w:ascii="宋体" w:hAnsi="宋体"/>
          <w:sz w:val="26"/>
        </w:rPr>
        <w:t>6.3.1磋商小组按照第三章“评审办法”规定的方法、评审因素、标准和程序对响应文件进行评审。第三章“评审办法”没有规定的方法、评审因素和标准，不作为评审依据。</w:t>
      </w:r>
    </w:p>
    <w:p w14:paraId="2A465821">
      <w:pPr>
        <w:spacing w:line="360" w:lineRule="auto"/>
        <w:rPr>
          <w:rFonts w:ascii="宋体" w:hAnsi="宋体"/>
          <w:sz w:val="26"/>
        </w:rPr>
      </w:pPr>
      <w:r>
        <w:rPr>
          <w:rFonts w:hint="eastAsia" w:ascii="宋体" w:hAnsi="宋体"/>
          <w:sz w:val="26"/>
        </w:rPr>
        <w:t>6.4磋商及评审过程保密</w:t>
      </w:r>
    </w:p>
    <w:p w14:paraId="2CF07521">
      <w:pPr>
        <w:spacing w:line="360" w:lineRule="auto"/>
        <w:rPr>
          <w:rFonts w:ascii="宋体" w:hAnsi="宋体"/>
          <w:sz w:val="26"/>
        </w:rPr>
      </w:pPr>
      <w:r>
        <w:rPr>
          <w:rFonts w:hint="eastAsia" w:ascii="宋体" w:hAnsi="宋体"/>
          <w:sz w:val="26"/>
        </w:rPr>
        <w:t>6.4.1凡是属于审查、澄清、评价和比较各供应商的有关资料以及推荐意向等，磋商小组及有关工作人员自始至终均不得向供应商或其它无关的人员透露。</w:t>
      </w:r>
    </w:p>
    <w:p w14:paraId="44AA2329">
      <w:pPr>
        <w:spacing w:line="360" w:lineRule="auto"/>
        <w:rPr>
          <w:rFonts w:ascii="宋体" w:hAnsi="宋体"/>
          <w:sz w:val="26"/>
        </w:rPr>
      </w:pPr>
      <w:r>
        <w:rPr>
          <w:rFonts w:hint="eastAsia" w:ascii="宋体" w:hAnsi="宋体"/>
          <w:sz w:val="26"/>
        </w:rPr>
        <w:t>6.4.2在磋商评审期间，供应商企图影响采购人、采购代理机构和磋商小组而获得评审信息的任何活动，都将导致其响应文件被拒绝，并承担相应的法律责任。</w:t>
      </w:r>
    </w:p>
    <w:p w14:paraId="729EF9AA">
      <w:pPr>
        <w:spacing w:line="360" w:lineRule="auto"/>
        <w:rPr>
          <w:rFonts w:ascii="宋体" w:hAnsi="宋体"/>
          <w:sz w:val="26"/>
        </w:rPr>
      </w:pPr>
      <w:r>
        <w:rPr>
          <w:rFonts w:hint="eastAsia" w:ascii="宋体" w:hAnsi="宋体"/>
          <w:sz w:val="26"/>
        </w:rPr>
        <w:t>6.4.3采购人、采购代理机构应当按照政府采购法和本办法的规定组织开展非招标采购活动，并采取必要措施，保证评审在严格保密的情况下进行。 </w:t>
      </w:r>
    </w:p>
    <w:p w14:paraId="68E0BED8">
      <w:pPr>
        <w:spacing w:line="360" w:lineRule="auto"/>
        <w:rPr>
          <w:rFonts w:ascii="宋体" w:hAnsi="宋体"/>
          <w:sz w:val="26"/>
        </w:rPr>
      </w:pPr>
      <w:r>
        <w:rPr>
          <w:rFonts w:hint="eastAsia" w:ascii="宋体" w:hAnsi="宋体"/>
          <w:sz w:val="26"/>
        </w:rPr>
        <w:t>6.4.4 磋商小组成员以及与评审工作有关的人员不得泄露评审情况以及评审过程中获悉的国家秘密、商业秘密。</w:t>
      </w:r>
    </w:p>
    <w:p w14:paraId="2B30C850">
      <w:pPr>
        <w:spacing w:line="360" w:lineRule="auto"/>
        <w:rPr>
          <w:rFonts w:ascii="宋体" w:hAnsi="宋体"/>
          <w:sz w:val="26"/>
        </w:rPr>
      </w:pPr>
      <w:bookmarkStart w:id="172" w:name="_Toc152042342"/>
      <w:bookmarkStart w:id="173" w:name="_Toc403382413"/>
      <w:bookmarkStart w:id="174" w:name="_Toc179632584"/>
      <w:bookmarkStart w:id="175" w:name="_Toc144974534"/>
      <w:bookmarkStart w:id="176" w:name="_Toc152045566"/>
      <w:bookmarkStart w:id="177" w:name="_Toc31393"/>
      <w:r>
        <w:rPr>
          <w:rFonts w:hint="eastAsia" w:ascii="宋体" w:hAnsi="宋体"/>
          <w:sz w:val="26"/>
        </w:rPr>
        <w:t>7. 合同授予</w:t>
      </w:r>
      <w:bookmarkEnd w:id="172"/>
      <w:bookmarkEnd w:id="173"/>
      <w:bookmarkEnd w:id="174"/>
      <w:bookmarkEnd w:id="175"/>
      <w:bookmarkEnd w:id="176"/>
      <w:bookmarkEnd w:id="177"/>
    </w:p>
    <w:p w14:paraId="2CC94D96">
      <w:pPr>
        <w:spacing w:line="360" w:lineRule="auto"/>
        <w:rPr>
          <w:rFonts w:ascii="宋体" w:hAnsi="宋体"/>
          <w:sz w:val="26"/>
        </w:rPr>
      </w:pPr>
      <w:bookmarkStart w:id="178" w:name="_Toc144974535"/>
      <w:bookmarkStart w:id="179" w:name="_Toc152042343"/>
      <w:bookmarkStart w:id="180" w:name="_Toc403382414"/>
      <w:bookmarkStart w:id="181" w:name="_Toc179632585"/>
      <w:bookmarkStart w:id="182" w:name="_Toc152045567"/>
      <w:r>
        <w:rPr>
          <w:rFonts w:hint="eastAsia" w:ascii="宋体" w:hAnsi="宋体"/>
          <w:sz w:val="26"/>
        </w:rPr>
        <w:t>7.</w:t>
      </w:r>
      <w:bookmarkEnd w:id="178"/>
      <w:bookmarkEnd w:id="179"/>
      <w:bookmarkEnd w:id="180"/>
      <w:bookmarkEnd w:id="181"/>
      <w:bookmarkEnd w:id="182"/>
      <w:r>
        <w:rPr>
          <w:rFonts w:hint="eastAsia" w:ascii="宋体" w:hAnsi="宋体"/>
          <w:sz w:val="26"/>
        </w:rPr>
        <w:t>1确定成交供应商</w:t>
      </w:r>
    </w:p>
    <w:p w14:paraId="063CE310">
      <w:pPr>
        <w:spacing w:line="360" w:lineRule="auto"/>
        <w:rPr>
          <w:rFonts w:ascii="宋体" w:hAnsi="宋体"/>
          <w:sz w:val="26"/>
        </w:rPr>
      </w:pPr>
      <w:r>
        <w:rPr>
          <w:rFonts w:hint="eastAsia" w:ascii="宋体" w:hAnsi="宋体"/>
          <w:sz w:val="26"/>
        </w:rPr>
        <w:t>采购代理机构应当在评审结束后2个工作日内将评审报告送采购人确认。采购人应当在收到评审报告后5个工作日内，从评审报告提出的成交候选供应商中，按照排序由高到低的原则确定成交供应商。</w:t>
      </w:r>
    </w:p>
    <w:p w14:paraId="23D943D0">
      <w:pPr>
        <w:spacing w:line="360" w:lineRule="auto"/>
        <w:rPr>
          <w:rFonts w:ascii="宋体" w:hAnsi="宋体"/>
          <w:sz w:val="26"/>
        </w:rPr>
      </w:pPr>
      <w:bookmarkStart w:id="183" w:name="_Toc403382415"/>
      <w:r>
        <w:rPr>
          <w:rFonts w:hint="eastAsia" w:ascii="宋体" w:hAnsi="宋体"/>
          <w:sz w:val="26"/>
        </w:rPr>
        <w:t>7.2 评审结果公</w:t>
      </w:r>
      <w:bookmarkEnd w:id="183"/>
      <w:r>
        <w:rPr>
          <w:rFonts w:hint="eastAsia" w:ascii="宋体" w:hAnsi="宋体"/>
          <w:sz w:val="26"/>
        </w:rPr>
        <w:t>告</w:t>
      </w:r>
    </w:p>
    <w:p w14:paraId="0E48C2D6">
      <w:pPr>
        <w:spacing w:line="360" w:lineRule="auto"/>
        <w:rPr>
          <w:rFonts w:ascii="宋体" w:hAnsi="宋体"/>
          <w:sz w:val="26"/>
        </w:rPr>
      </w:pPr>
      <w:r>
        <w:rPr>
          <w:rFonts w:hint="eastAsia" w:ascii="宋体" w:hAnsi="宋体"/>
          <w:sz w:val="26"/>
        </w:rPr>
        <w:t>7.2.1采购人应当在收到评审报告后5个工作日内确定成交供应商，并在供应商须知前附表规定的媒介公告成交结果。</w:t>
      </w:r>
    </w:p>
    <w:p w14:paraId="7827D7FA">
      <w:pPr>
        <w:spacing w:line="360" w:lineRule="auto"/>
        <w:rPr>
          <w:rFonts w:ascii="宋体" w:hAnsi="宋体"/>
          <w:sz w:val="26"/>
        </w:rPr>
      </w:pPr>
      <w:r>
        <w:rPr>
          <w:rFonts w:hint="eastAsia" w:ascii="宋体" w:hAnsi="宋体"/>
          <w:sz w:val="26"/>
        </w:rPr>
        <w:t>7.2.2采购人或者采购代理机构应当自成交供应商确定之日起2个工作日内，发出成交通知书，并在省级以上人民政府财政部门指定的媒体上公告成交结果，同时公告竞争性磋商文件。</w:t>
      </w:r>
    </w:p>
    <w:p w14:paraId="01D3B772">
      <w:pPr>
        <w:spacing w:line="360" w:lineRule="auto"/>
        <w:rPr>
          <w:rFonts w:ascii="宋体" w:hAnsi="宋体"/>
          <w:sz w:val="26"/>
        </w:rPr>
      </w:pPr>
      <w:r>
        <w:rPr>
          <w:rFonts w:hint="eastAsia" w:ascii="宋体" w:hAnsi="宋体"/>
          <w:sz w:val="26"/>
        </w:rPr>
        <w:t>7.2.3供应商对成交结果提出质疑的，应在成交结果公告期限届满之日前按规定提出。采购人自收到异议之日后将在规定内作出答复；作出答复前，暂停政府采购活动。</w:t>
      </w:r>
    </w:p>
    <w:p w14:paraId="55A1CE58">
      <w:pPr>
        <w:spacing w:line="360" w:lineRule="auto"/>
        <w:rPr>
          <w:rFonts w:ascii="宋体" w:hAnsi="宋体"/>
          <w:sz w:val="26"/>
        </w:rPr>
      </w:pPr>
      <w:bookmarkStart w:id="184" w:name="_Toc152042344"/>
      <w:bookmarkStart w:id="185" w:name="_Toc403382417"/>
      <w:bookmarkStart w:id="186" w:name="_Toc152045568"/>
      <w:bookmarkStart w:id="187" w:name="_Toc144974536"/>
      <w:bookmarkStart w:id="188" w:name="_Toc179632586"/>
      <w:r>
        <w:rPr>
          <w:rFonts w:hint="eastAsia" w:ascii="宋体" w:hAnsi="宋体"/>
          <w:sz w:val="26"/>
        </w:rPr>
        <w:t xml:space="preserve">7.3 </w:t>
      </w:r>
      <w:bookmarkEnd w:id="184"/>
      <w:bookmarkEnd w:id="185"/>
      <w:bookmarkEnd w:id="186"/>
      <w:bookmarkEnd w:id="187"/>
      <w:bookmarkEnd w:id="188"/>
      <w:r>
        <w:rPr>
          <w:rFonts w:hint="eastAsia" w:ascii="宋体" w:hAnsi="宋体"/>
          <w:sz w:val="26"/>
        </w:rPr>
        <w:t>成交通知</w:t>
      </w:r>
    </w:p>
    <w:p w14:paraId="1B933B29">
      <w:pPr>
        <w:spacing w:line="360" w:lineRule="auto"/>
        <w:rPr>
          <w:rFonts w:ascii="宋体" w:hAnsi="宋体"/>
          <w:sz w:val="26"/>
        </w:rPr>
      </w:pPr>
      <w:r>
        <w:rPr>
          <w:rFonts w:hint="eastAsia" w:ascii="宋体" w:hAnsi="宋体"/>
          <w:sz w:val="26"/>
        </w:rPr>
        <w:t>采购人或者采购代理机构将自成交结果公告发布同时，以书面形式向成交供应商发出成交通知书。</w:t>
      </w:r>
    </w:p>
    <w:p w14:paraId="40C18928">
      <w:pPr>
        <w:spacing w:line="360" w:lineRule="auto"/>
        <w:rPr>
          <w:rFonts w:ascii="宋体" w:hAnsi="宋体"/>
          <w:sz w:val="26"/>
        </w:rPr>
      </w:pPr>
      <w:bookmarkStart w:id="189" w:name="_Toc152045569"/>
      <w:bookmarkStart w:id="190" w:name="_Toc144974537"/>
      <w:bookmarkStart w:id="191" w:name="_Toc152042345"/>
      <w:bookmarkStart w:id="192" w:name="_Toc179632587"/>
      <w:bookmarkStart w:id="193" w:name="_Toc403382418"/>
      <w:r>
        <w:rPr>
          <w:rFonts w:hint="eastAsia" w:ascii="宋体" w:hAnsi="宋体"/>
          <w:sz w:val="26"/>
        </w:rPr>
        <w:t>7.4 履约</w:t>
      </w:r>
      <w:bookmarkEnd w:id="189"/>
      <w:bookmarkEnd w:id="190"/>
      <w:bookmarkEnd w:id="191"/>
      <w:bookmarkEnd w:id="192"/>
      <w:r>
        <w:rPr>
          <w:rFonts w:hint="eastAsia" w:ascii="宋体" w:hAnsi="宋体"/>
          <w:sz w:val="26"/>
        </w:rPr>
        <w:t>保证金</w:t>
      </w:r>
      <w:bookmarkEnd w:id="193"/>
    </w:p>
    <w:p w14:paraId="1E71DE0F">
      <w:pPr>
        <w:spacing w:line="360" w:lineRule="auto"/>
        <w:rPr>
          <w:rFonts w:ascii="宋体" w:hAnsi="宋体"/>
          <w:sz w:val="26"/>
        </w:rPr>
      </w:pPr>
      <w:r>
        <w:rPr>
          <w:rFonts w:hint="eastAsia" w:ascii="宋体" w:hAnsi="宋体"/>
          <w:sz w:val="26"/>
        </w:rPr>
        <w:t>7.4.1在签订合同前，成交供应商应按供应商须知前附表规定的金额、担保形式和竞争性磋商文件第四章“合同条款及格式”规定的履约保证金格式或者事先经过采购人书面认可的履约保证金格式向采购人提交履约担保。联合体成交的，其履约保证金由牵头人递交，并应符合供应商须知前附表的规定。</w:t>
      </w:r>
    </w:p>
    <w:p w14:paraId="05EA15C9">
      <w:pPr>
        <w:spacing w:line="360" w:lineRule="auto"/>
        <w:rPr>
          <w:rFonts w:ascii="宋体" w:hAnsi="宋体"/>
          <w:sz w:val="26"/>
        </w:rPr>
      </w:pPr>
      <w:r>
        <w:rPr>
          <w:rFonts w:hint="eastAsia" w:ascii="宋体" w:hAnsi="宋体"/>
          <w:sz w:val="26"/>
        </w:rPr>
        <w:t>7.4.2 成交供应商不能按要求提交履约保证金的，视为放弃成交，其磋商保证金不予退还，给采购人造成的损失超过磋商保证金数额的，成交供应商还应当对超过部分予以赔偿。</w:t>
      </w:r>
    </w:p>
    <w:p w14:paraId="2FF0D00E">
      <w:pPr>
        <w:spacing w:line="360" w:lineRule="auto"/>
        <w:rPr>
          <w:rFonts w:ascii="宋体" w:hAnsi="宋体"/>
          <w:sz w:val="26"/>
        </w:rPr>
      </w:pPr>
      <w:bookmarkStart w:id="194" w:name="_Toc403382419"/>
      <w:bookmarkStart w:id="195" w:name="_Toc144974538"/>
      <w:bookmarkStart w:id="196" w:name="_Toc179632588"/>
      <w:bookmarkStart w:id="197" w:name="_Toc152042346"/>
      <w:bookmarkStart w:id="198" w:name="_Toc152045570"/>
      <w:r>
        <w:rPr>
          <w:rFonts w:hint="eastAsia" w:ascii="宋体" w:hAnsi="宋体"/>
          <w:sz w:val="26"/>
        </w:rPr>
        <w:t>7.5 签订合同</w:t>
      </w:r>
      <w:bookmarkEnd w:id="194"/>
      <w:bookmarkEnd w:id="195"/>
      <w:bookmarkEnd w:id="196"/>
      <w:bookmarkEnd w:id="197"/>
      <w:bookmarkEnd w:id="198"/>
    </w:p>
    <w:p w14:paraId="5A082390">
      <w:pPr>
        <w:spacing w:line="360" w:lineRule="auto"/>
        <w:rPr>
          <w:rFonts w:ascii="宋体" w:hAnsi="宋体"/>
          <w:sz w:val="26"/>
        </w:rPr>
      </w:pPr>
      <w:r>
        <w:rPr>
          <w:rFonts w:hint="eastAsia" w:ascii="宋体" w:hAnsi="宋体"/>
          <w:sz w:val="26"/>
        </w:rPr>
        <w:t>7.5.1采购人和成交供应商应当在响应文件有效期内并自成交通知书发出之日起</w:t>
      </w:r>
      <w:r>
        <w:rPr>
          <w:rFonts w:ascii="宋体" w:hAnsi="宋体"/>
          <w:sz w:val="26"/>
        </w:rPr>
        <w:t>7</w:t>
      </w:r>
      <w:r>
        <w:rPr>
          <w:rFonts w:hint="eastAsia" w:ascii="宋体" w:hAnsi="宋体"/>
          <w:sz w:val="26"/>
        </w:rPr>
        <w:t>日内，根据竞争性磋商文件和成交供应商的响应文件订立书面合同。成交供应商无正当理由拒签合同或在签订合同时向采购人提出附加条件的，采购人取消其成交资格，其磋商保证金不予退还；给采购人造成的损失超过磋商保证金数额的，成交供应商还应当对超过部分予以赔偿。成交供应商拒绝与采购人签订合同的，采购人可以按照评审报告推荐的成交候选人名单排序，确定下一候选人为成交供应商，也可以重新开展政府采购活动。</w:t>
      </w:r>
    </w:p>
    <w:p w14:paraId="5883EEEF">
      <w:pPr>
        <w:spacing w:line="360" w:lineRule="auto"/>
        <w:rPr>
          <w:rFonts w:ascii="宋体" w:hAnsi="宋体"/>
          <w:sz w:val="26"/>
        </w:rPr>
      </w:pPr>
      <w:r>
        <w:rPr>
          <w:rFonts w:hint="eastAsia" w:ascii="宋体" w:hAnsi="宋体"/>
          <w:sz w:val="26"/>
        </w:rPr>
        <w:t>7.5.2  签约合同价的确定原则如下：</w:t>
      </w:r>
    </w:p>
    <w:p w14:paraId="0C314A51">
      <w:pPr>
        <w:spacing w:line="360" w:lineRule="auto"/>
        <w:rPr>
          <w:rFonts w:ascii="宋体" w:hAnsi="宋体"/>
          <w:sz w:val="26"/>
        </w:rPr>
      </w:pPr>
      <w:r>
        <w:rPr>
          <w:rFonts w:hint="eastAsia" w:ascii="宋体" w:hAnsi="宋体"/>
          <w:sz w:val="26"/>
        </w:rPr>
        <w:t>磋商时响应函中大写总价应为签约合同价。按照第三章“评审办法”的规定，如报价有算术错误的，修正的价格经供应商书面确认后，以修正后的总价为签约合同价。</w:t>
      </w:r>
    </w:p>
    <w:p w14:paraId="2FC1BA9E">
      <w:pPr>
        <w:spacing w:line="360" w:lineRule="auto"/>
        <w:rPr>
          <w:rFonts w:ascii="宋体" w:hAnsi="宋体"/>
          <w:sz w:val="26"/>
        </w:rPr>
      </w:pPr>
      <w:bookmarkStart w:id="199" w:name="_Toc14138"/>
      <w:r>
        <w:rPr>
          <w:rFonts w:hint="eastAsia" w:ascii="宋体" w:hAnsi="宋体"/>
          <w:sz w:val="26"/>
        </w:rPr>
        <w:t>8.重新评审、重新组织采购活动和终止采购</w:t>
      </w:r>
      <w:bookmarkEnd w:id="199"/>
    </w:p>
    <w:p w14:paraId="68E6CC70">
      <w:pPr>
        <w:spacing w:line="360" w:lineRule="auto"/>
        <w:rPr>
          <w:rFonts w:ascii="宋体" w:hAnsi="宋体"/>
          <w:sz w:val="26"/>
        </w:rPr>
      </w:pPr>
      <w:r>
        <w:rPr>
          <w:rFonts w:hint="eastAsia" w:ascii="宋体" w:hAnsi="宋体"/>
          <w:sz w:val="26"/>
        </w:rPr>
        <w:t>8.1 重新评审</w:t>
      </w:r>
    </w:p>
    <w:p w14:paraId="7ACD26F3">
      <w:pPr>
        <w:spacing w:line="360" w:lineRule="auto"/>
        <w:rPr>
          <w:rFonts w:ascii="宋体" w:hAnsi="宋体"/>
          <w:sz w:val="26"/>
        </w:rPr>
      </w:pPr>
      <w:r>
        <w:rPr>
          <w:rFonts w:hint="eastAsia" w:ascii="宋体" w:hAnsi="宋体"/>
          <w:sz w:val="26"/>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549BE34D">
      <w:pPr>
        <w:spacing w:line="360" w:lineRule="auto"/>
        <w:rPr>
          <w:rFonts w:ascii="宋体" w:hAnsi="宋体"/>
          <w:sz w:val="26"/>
        </w:rPr>
      </w:pPr>
      <w:r>
        <w:rPr>
          <w:rFonts w:hint="eastAsia" w:ascii="宋体" w:hAnsi="宋体"/>
          <w:sz w:val="26"/>
        </w:rPr>
        <w:t>8.2 重新开展采购活动</w:t>
      </w:r>
    </w:p>
    <w:p w14:paraId="6477D1C5">
      <w:pPr>
        <w:spacing w:line="360" w:lineRule="auto"/>
        <w:rPr>
          <w:rFonts w:ascii="宋体" w:hAnsi="宋体"/>
          <w:sz w:val="26"/>
        </w:rPr>
      </w:pPr>
      <w:r>
        <w:rPr>
          <w:rFonts w:hint="eastAsia" w:ascii="宋体" w:hAnsi="宋体"/>
          <w:sz w:val="26"/>
        </w:rPr>
        <w:t xml:space="preserve"> 相关政府采购当事人有政府采购法第七十一条、第七十二条规定的违法行为之一，影响或者可能影响成交、成交结果的，依照下列规定处理：</w:t>
      </w:r>
    </w:p>
    <w:p w14:paraId="318BEF66">
      <w:pPr>
        <w:spacing w:line="360" w:lineRule="auto"/>
        <w:rPr>
          <w:rFonts w:ascii="宋体" w:hAnsi="宋体"/>
          <w:sz w:val="26"/>
        </w:rPr>
      </w:pPr>
      <w:r>
        <w:rPr>
          <w:rFonts w:hint="eastAsia" w:ascii="宋体" w:hAnsi="宋体"/>
          <w:sz w:val="26"/>
        </w:rPr>
        <w:t>　⑴ 未确定成交供应商的，终止本次政府采购活动，重新开展政府采购活动。</w:t>
      </w:r>
    </w:p>
    <w:p w14:paraId="2C05E314">
      <w:pPr>
        <w:spacing w:line="360" w:lineRule="auto"/>
        <w:rPr>
          <w:rFonts w:ascii="宋体" w:hAnsi="宋体"/>
          <w:sz w:val="26"/>
        </w:rPr>
      </w:pPr>
      <w:r>
        <w:rPr>
          <w:rFonts w:hint="eastAsia" w:ascii="宋体" w:hAnsi="宋体"/>
          <w:sz w:val="26"/>
        </w:rPr>
        <w:t>　⑵ 已确定成交供应商但尚未签订政府采购合同的，成交结果无效，从合格的成交候选人中另行确定成交供应商；没有合格的成交候选人的，重新开展政府采购活动。</w:t>
      </w:r>
    </w:p>
    <w:p w14:paraId="2DE25F2A">
      <w:pPr>
        <w:spacing w:line="360" w:lineRule="auto"/>
        <w:rPr>
          <w:rFonts w:ascii="宋体" w:hAnsi="宋体"/>
          <w:sz w:val="26"/>
        </w:rPr>
      </w:pPr>
      <w:r>
        <w:rPr>
          <w:rFonts w:hint="eastAsia" w:ascii="宋体" w:hAnsi="宋体"/>
          <w:sz w:val="26"/>
        </w:rPr>
        <w:t>　⑶ 政府采购合同已签订但尚未履行的，撤销合同，从合格的成交候选人中另行确定成交供应商；没有合格的成交候选人的，重新开展政府采购活动。</w:t>
      </w:r>
    </w:p>
    <w:p w14:paraId="09B79D26">
      <w:pPr>
        <w:spacing w:line="360" w:lineRule="auto"/>
        <w:rPr>
          <w:rFonts w:ascii="宋体" w:hAnsi="宋体"/>
          <w:sz w:val="26"/>
        </w:rPr>
      </w:pPr>
      <w:r>
        <w:rPr>
          <w:rFonts w:hint="eastAsia" w:ascii="宋体" w:hAnsi="宋体"/>
          <w:sz w:val="26"/>
        </w:rPr>
        <w:t>　⑷ 政府采购合同已经履行，给采购人、供应商造成损失的，由责任人承担赔偿责任。</w:t>
      </w:r>
    </w:p>
    <w:p w14:paraId="20C1ACD3">
      <w:pPr>
        <w:spacing w:line="360" w:lineRule="auto"/>
        <w:rPr>
          <w:rFonts w:ascii="宋体" w:hAnsi="宋体"/>
          <w:sz w:val="26"/>
        </w:rPr>
      </w:pPr>
      <w:r>
        <w:rPr>
          <w:rFonts w:hint="eastAsia" w:ascii="宋体" w:hAnsi="宋体"/>
          <w:sz w:val="26"/>
        </w:rPr>
        <w:t>8.3 终止采购</w:t>
      </w:r>
    </w:p>
    <w:p w14:paraId="4F3410EA">
      <w:pPr>
        <w:spacing w:line="360" w:lineRule="auto"/>
        <w:rPr>
          <w:rFonts w:ascii="宋体" w:hAnsi="宋体"/>
          <w:sz w:val="26"/>
        </w:rPr>
      </w:pPr>
      <w:r>
        <w:rPr>
          <w:rFonts w:hint="eastAsia" w:ascii="宋体" w:hAnsi="宋体"/>
          <w:sz w:val="26"/>
        </w:rPr>
        <w:t>出现下列情形之一的，采购人或者采购代理机构应当终止竞争性磋商采购活动，发布项目终止公告并说明原因，重新开展采购活动：</w:t>
      </w:r>
    </w:p>
    <w:p w14:paraId="3F4C5489">
      <w:pPr>
        <w:spacing w:line="360" w:lineRule="auto"/>
        <w:rPr>
          <w:rFonts w:ascii="宋体" w:hAnsi="宋体"/>
          <w:sz w:val="26"/>
        </w:rPr>
      </w:pPr>
      <w:r>
        <w:rPr>
          <w:rFonts w:hint="eastAsia" w:ascii="宋体" w:hAnsi="宋体"/>
          <w:sz w:val="26"/>
        </w:rPr>
        <w:t>⑴ 因情况变化，不再符合规定的竞争性磋商采购方式适用情形的；</w:t>
      </w:r>
    </w:p>
    <w:p w14:paraId="6B651FF4">
      <w:pPr>
        <w:spacing w:line="360" w:lineRule="auto"/>
        <w:rPr>
          <w:rFonts w:ascii="宋体" w:hAnsi="宋体"/>
          <w:sz w:val="26"/>
        </w:rPr>
      </w:pPr>
      <w:r>
        <w:rPr>
          <w:rFonts w:hint="eastAsia" w:ascii="宋体" w:hAnsi="宋体"/>
          <w:sz w:val="26"/>
        </w:rPr>
        <w:t>⑵ 出现影响采购公正的违法、违规行为的；</w:t>
      </w:r>
    </w:p>
    <w:p w14:paraId="13CA8E7B">
      <w:pPr>
        <w:spacing w:line="360" w:lineRule="auto"/>
        <w:rPr>
          <w:rFonts w:ascii="宋体" w:hAnsi="宋体"/>
          <w:sz w:val="26"/>
        </w:rPr>
      </w:pPr>
      <w:r>
        <w:rPr>
          <w:rFonts w:hint="eastAsia" w:ascii="宋体" w:hAnsi="宋体"/>
          <w:sz w:val="26"/>
        </w:rPr>
        <w:t>⑶ 在采购过程中符合要求的供应商或者报价未超过采购预算的供应商不足3家的，但《政府采购竞争性磋商采购方式管理暂行办法》第二十一条第三款规定的情形除外，</w:t>
      </w:r>
    </w:p>
    <w:p w14:paraId="6D72927A">
      <w:pPr>
        <w:spacing w:line="360" w:lineRule="auto"/>
        <w:rPr>
          <w:rFonts w:ascii="宋体" w:hAnsi="宋体"/>
          <w:sz w:val="26"/>
        </w:rPr>
      </w:pPr>
    </w:p>
    <w:p w14:paraId="7D0FA39B">
      <w:pPr>
        <w:spacing w:line="360" w:lineRule="auto"/>
        <w:rPr>
          <w:rFonts w:ascii="宋体" w:hAnsi="宋体"/>
          <w:sz w:val="26"/>
        </w:rPr>
      </w:pPr>
      <w:bookmarkStart w:id="200" w:name="_Toc152042350"/>
      <w:bookmarkStart w:id="201" w:name="_Toc19614"/>
      <w:bookmarkStart w:id="202" w:name="_Toc144974542"/>
      <w:bookmarkStart w:id="203" w:name="_Toc179632592"/>
      <w:bookmarkStart w:id="204" w:name="_Toc152045574"/>
      <w:bookmarkStart w:id="205" w:name="_Toc403382424"/>
      <w:r>
        <w:rPr>
          <w:rFonts w:hint="eastAsia" w:ascii="宋体" w:hAnsi="宋体"/>
          <w:sz w:val="26"/>
        </w:rPr>
        <w:t>9. 纪律和监督</w:t>
      </w:r>
      <w:bookmarkEnd w:id="200"/>
      <w:bookmarkEnd w:id="201"/>
      <w:bookmarkEnd w:id="202"/>
      <w:bookmarkEnd w:id="203"/>
      <w:bookmarkEnd w:id="204"/>
      <w:bookmarkEnd w:id="205"/>
    </w:p>
    <w:p w14:paraId="0117F4B1">
      <w:pPr>
        <w:spacing w:line="360" w:lineRule="auto"/>
        <w:rPr>
          <w:rFonts w:ascii="宋体" w:hAnsi="宋体"/>
          <w:sz w:val="26"/>
        </w:rPr>
      </w:pPr>
      <w:bookmarkStart w:id="206" w:name="_Toc152045575"/>
      <w:bookmarkStart w:id="207" w:name="_Toc179632593"/>
      <w:bookmarkStart w:id="208" w:name="_Toc144974543"/>
      <w:bookmarkStart w:id="209" w:name="_Toc403382425"/>
      <w:bookmarkStart w:id="210" w:name="_Toc152042351"/>
      <w:r>
        <w:rPr>
          <w:rFonts w:hint="eastAsia" w:ascii="宋体" w:hAnsi="宋体"/>
          <w:sz w:val="26"/>
        </w:rPr>
        <w:t>9.1 对采购人的纪律要求</w:t>
      </w:r>
      <w:bookmarkEnd w:id="206"/>
      <w:bookmarkEnd w:id="207"/>
      <w:bookmarkEnd w:id="208"/>
      <w:bookmarkEnd w:id="209"/>
      <w:bookmarkEnd w:id="210"/>
    </w:p>
    <w:p w14:paraId="12C43EE1">
      <w:pPr>
        <w:spacing w:line="360" w:lineRule="auto"/>
        <w:rPr>
          <w:rFonts w:ascii="宋体" w:hAnsi="宋体"/>
          <w:sz w:val="26"/>
        </w:rPr>
      </w:pPr>
      <w:r>
        <w:rPr>
          <w:rFonts w:hint="eastAsia" w:ascii="宋体" w:hAnsi="宋体"/>
          <w:sz w:val="26"/>
        </w:rPr>
        <w:t>采购人不得泄漏政府采购活动中应当保密的情况和资料，不得与供应商串通损害国家利益、社会公共利益或者他人合法权益。</w:t>
      </w:r>
    </w:p>
    <w:p w14:paraId="10328AB9">
      <w:pPr>
        <w:spacing w:line="360" w:lineRule="auto"/>
        <w:rPr>
          <w:rFonts w:ascii="宋体" w:hAnsi="宋体"/>
          <w:sz w:val="26"/>
        </w:rPr>
      </w:pPr>
      <w:bookmarkStart w:id="211" w:name="_Toc152042352"/>
      <w:bookmarkStart w:id="212" w:name="_Toc152045576"/>
      <w:bookmarkStart w:id="213" w:name="_Toc179632594"/>
      <w:bookmarkStart w:id="214" w:name="_Toc144974544"/>
      <w:bookmarkStart w:id="215" w:name="_Toc403382426"/>
      <w:r>
        <w:rPr>
          <w:rFonts w:hint="eastAsia" w:ascii="宋体" w:hAnsi="宋体"/>
          <w:sz w:val="26"/>
        </w:rPr>
        <w:t>9.2 对供应商的纪律要求</w:t>
      </w:r>
      <w:bookmarkEnd w:id="211"/>
      <w:bookmarkEnd w:id="212"/>
      <w:bookmarkEnd w:id="213"/>
      <w:bookmarkEnd w:id="214"/>
      <w:bookmarkEnd w:id="215"/>
    </w:p>
    <w:p w14:paraId="65DFFEC8">
      <w:pPr>
        <w:spacing w:line="360" w:lineRule="auto"/>
        <w:rPr>
          <w:rFonts w:ascii="宋体" w:hAnsi="宋体"/>
          <w:sz w:val="26"/>
        </w:rPr>
      </w:pPr>
      <w:r>
        <w:rPr>
          <w:rFonts w:hint="eastAsia" w:ascii="宋体" w:hAnsi="宋体"/>
          <w:sz w:val="26"/>
        </w:rPr>
        <w:t>供应商不得相互串通或者与采购人串通，不得向采购人或者磋商小组成员行贿谋取成交，不得以他人名义参与磋商或者以其他方式弄虚作假骗取成交；供应商不得以任何方式干扰、影响评审工作。</w:t>
      </w:r>
    </w:p>
    <w:p w14:paraId="4D5FF16C">
      <w:pPr>
        <w:spacing w:line="360" w:lineRule="auto"/>
        <w:rPr>
          <w:rFonts w:ascii="宋体" w:hAnsi="宋体"/>
          <w:sz w:val="26"/>
        </w:rPr>
      </w:pPr>
      <w:bookmarkStart w:id="216" w:name="_Toc179632595"/>
      <w:bookmarkStart w:id="217" w:name="_Toc152045577"/>
      <w:bookmarkStart w:id="218" w:name="_Toc144974545"/>
      <w:bookmarkStart w:id="219" w:name="_Toc403382427"/>
      <w:bookmarkStart w:id="220" w:name="_Toc152042353"/>
      <w:r>
        <w:rPr>
          <w:rFonts w:hint="eastAsia" w:ascii="宋体" w:hAnsi="宋体"/>
          <w:sz w:val="26"/>
        </w:rPr>
        <w:t>9.3 对磋商小组成员的纪律要求</w:t>
      </w:r>
      <w:bookmarkEnd w:id="216"/>
      <w:bookmarkEnd w:id="217"/>
      <w:bookmarkEnd w:id="218"/>
      <w:bookmarkEnd w:id="219"/>
      <w:bookmarkEnd w:id="220"/>
    </w:p>
    <w:p w14:paraId="5E6AF241">
      <w:pPr>
        <w:spacing w:line="360" w:lineRule="auto"/>
        <w:rPr>
          <w:rFonts w:ascii="宋体" w:hAnsi="宋体"/>
          <w:sz w:val="26"/>
        </w:rPr>
      </w:pPr>
      <w:r>
        <w:rPr>
          <w:rFonts w:hint="eastAsia" w:ascii="宋体" w:hAnsi="宋体"/>
          <w:sz w:val="26"/>
        </w:rPr>
        <w:t>磋商小组成员不得与任何供应商或者与评审结果有利害关系的人进行私下接触，不得收受供应商、中介人、其他利害关系人的财物或者其他好处，不得向他人透漏对响应文件的评审和比较、成交候选人的推荐情况以及评审有关的其他情况。在评审活动中，磋商小组成员不得应当回避而不回避，不得擅离职守，影响评审程序正常进行，不得向采购人征询其确定成交供应商的意向，不得接受任何单位或者个人明示或者暗示提出的倾向或者排斥特定供应商的要求，不得暗示或者诱导供应商作出澄清、说明或者接受供应商主动提出的澄清、说明；不得使用第三章“评审办法”没有规定的评审因素和标准进行评审。</w:t>
      </w:r>
    </w:p>
    <w:p w14:paraId="170E3A87">
      <w:pPr>
        <w:spacing w:line="360" w:lineRule="auto"/>
        <w:rPr>
          <w:rFonts w:ascii="宋体" w:hAnsi="宋体"/>
          <w:sz w:val="26"/>
        </w:rPr>
      </w:pPr>
      <w:bookmarkStart w:id="221" w:name="_Toc152042354"/>
      <w:bookmarkStart w:id="222" w:name="_Toc403382428"/>
      <w:bookmarkStart w:id="223" w:name="_Toc152045578"/>
      <w:bookmarkStart w:id="224" w:name="_Toc179632596"/>
      <w:bookmarkStart w:id="225" w:name="_Toc144974546"/>
      <w:r>
        <w:rPr>
          <w:rFonts w:hint="eastAsia" w:ascii="宋体" w:hAnsi="宋体"/>
          <w:sz w:val="26"/>
        </w:rPr>
        <w:t>9.4 对与评审活动有关的工作人员的纪律要求</w:t>
      </w:r>
      <w:bookmarkEnd w:id="221"/>
      <w:bookmarkEnd w:id="222"/>
      <w:bookmarkEnd w:id="223"/>
      <w:bookmarkEnd w:id="224"/>
    </w:p>
    <w:p w14:paraId="2F3E6A34">
      <w:pPr>
        <w:spacing w:line="360" w:lineRule="auto"/>
        <w:rPr>
          <w:rFonts w:ascii="宋体" w:hAnsi="宋体"/>
          <w:sz w:val="26"/>
        </w:rPr>
      </w:pPr>
      <w:bookmarkStart w:id="226" w:name="_Toc152042355"/>
      <w:r>
        <w:rPr>
          <w:rFonts w:hint="eastAsia" w:ascii="宋体" w:hAnsi="宋体"/>
          <w:sz w:val="26"/>
        </w:rPr>
        <w:t>与评审活动有关的工作人员不得收受他人的财物或者其他好处，不得向他人透漏对响应文件的评审和比较、成交候选人的推荐情况以及评审有关的其他情况。</w:t>
      </w:r>
      <w:bookmarkEnd w:id="226"/>
    </w:p>
    <w:p w14:paraId="5EFD3D9C">
      <w:pPr>
        <w:spacing w:line="360" w:lineRule="auto"/>
        <w:rPr>
          <w:rFonts w:ascii="宋体" w:hAnsi="宋体"/>
          <w:sz w:val="26"/>
        </w:rPr>
      </w:pPr>
      <w:bookmarkStart w:id="227" w:name="_Toc179632597"/>
      <w:bookmarkStart w:id="228" w:name="_Toc152042356"/>
      <w:bookmarkStart w:id="229" w:name="_Toc403382429"/>
      <w:bookmarkStart w:id="230" w:name="_Toc152045579"/>
      <w:r>
        <w:rPr>
          <w:rFonts w:hint="eastAsia" w:ascii="宋体" w:hAnsi="宋体"/>
          <w:sz w:val="26"/>
        </w:rPr>
        <w:t>9.5 投诉</w:t>
      </w:r>
      <w:bookmarkEnd w:id="225"/>
      <w:bookmarkEnd w:id="227"/>
      <w:bookmarkEnd w:id="228"/>
      <w:bookmarkEnd w:id="229"/>
      <w:bookmarkEnd w:id="230"/>
    </w:p>
    <w:p w14:paraId="3209007D">
      <w:pPr>
        <w:spacing w:line="360" w:lineRule="auto"/>
        <w:rPr>
          <w:rFonts w:ascii="宋体" w:hAnsi="宋体"/>
          <w:sz w:val="26"/>
        </w:rPr>
      </w:pPr>
      <w:r>
        <w:rPr>
          <w:rFonts w:hint="eastAsia" w:ascii="宋体" w:hAnsi="宋体"/>
          <w:sz w:val="26"/>
        </w:rPr>
        <w:t>本次政府采购活动及其相关当事人应当接受有关行政监督部门依法实施的监督。</w:t>
      </w:r>
    </w:p>
    <w:p w14:paraId="7BA91F15">
      <w:pPr>
        <w:spacing w:line="360" w:lineRule="auto"/>
        <w:rPr>
          <w:rFonts w:ascii="宋体" w:hAnsi="宋体"/>
          <w:sz w:val="26"/>
        </w:rPr>
      </w:pPr>
      <w:r>
        <w:rPr>
          <w:rFonts w:hint="eastAsia" w:ascii="宋体" w:hAnsi="宋体"/>
          <w:sz w:val="26"/>
        </w:rPr>
        <w:t>质疑供应商对采购人、采购代理机构的答复不满意或者采购人、采购代理机构未在规定的时间内作出答复的，可以在答复期满后十五个工作日内向同级政府采购监督管理部门投诉。其中对竞争性磋商文件的内容、磋商程序、评审结果进行投诉的，应当按本章第2.4款、第7.2款的规定先向采购人或采购代理机构提出书面质疑后，方可向有关行政监督部门投诉。</w:t>
      </w:r>
    </w:p>
    <w:p w14:paraId="1E036172">
      <w:pPr>
        <w:spacing w:line="360" w:lineRule="auto"/>
        <w:rPr>
          <w:rFonts w:ascii="宋体" w:hAnsi="宋体"/>
          <w:sz w:val="26"/>
        </w:rPr>
      </w:pPr>
      <w:r>
        <w:rPr>
          <w:rFonts w:hint="eastAsia" w:ascii="宋体" w:hAnsi="宋体"/>
          <w:sz w:val="26"/>
        </w:rPr>
        <w:t>供应商的投诉应按照《政府采购供应商投诉处理办法》的规定进行。</w:t>
      </w:r>
    </w:p>
    <w:p w14:paraId="07876A6C">
      <w:pPr>
        <w:spacing w:line="360" w:lineRule="auto"/>
        <w:rPr>
          <w:rFonts w:ascii="宋体" w:hAnsi="宋体"/>
          <w:sz w:val="26"/>
        </w:rPr>
      </w:pPr>
      <w:bookmarkStart w:id="231" w:name="_Toc152045580"/>
      <w:bookmarkStart w:id="232" w:name="_Toc144974547"/>
      <w:bookmarkStart w:id="233" w:name="_Toc403382430"/>
      <w:bookmarkStart w:id="234" w:name="_Toc29336"/>
      <w:bookmarkStart w:id="235" w:name="_Toc179632598"/>
      <w:bookmarkStart w:id="236" w:name="_Toc152042357"/>
      <w:r>
        <w:rPr>
          <w:rFonts w:hint="eastAsia" w:ascii="宋体" w:hAnsi="宋体"/>
          <w:sz w:val="26"/>
        </w:rPr>
        <w:t>10. 需要补充的其他内容</w:t>
      </w:r>
      <w:bookmarkEnd w:id="231"/>
      <w:bookmarkEnd w:id="232"/>
      <w:bookmarkEnd w:id="233"/>
      <w:bookmarkEnd w:id="234"/>
      <w:bookmarkEnd w:id="235"/>
      <w:bookmarkEnd w:id="236"/>
    </w:p>
    <w:p w14:paraId="0CB548EF">
      <w:pPr>
        <w:spacing w:line="360" w:lineRule="auto"/>
        <w:rPr>
          <w:rFonts w:ascii="宋体" w:hAnsi="宋体"/>
          <w:sz w:val="26"/>
        </w:rPr>
      </w:pPr>
      <w:bookmarkStart w:id="237" w:name="_Toc403382431"/>
      <w:r>
        <w:rPr>
          <w:rFonts w:hint="eastAsia" w:ascii="宋体" w:hAnsi="宋体"/>
          <w:sz w:val="26"/>
        </w:rPr>
        <w:t>10.1 多项目包</w:t>
      </w:r>
      <w:bookmarkEnd w:id="237"/>
      <w:r>
        <w:rPr>
          <w:rFonts w:hint="eastAsia" w:ascii="宋体" w:hAnsi="宋体"/>
          <w:sz w:val="26"/>
        </w:rPr>
        <w:t>响应</w:t>
      </w:r>
    </w:p>
    <w:p w14:paraId="75AC9494">
      <w:pPr>
        <w:spacing w:line="360" w:lineRule="auto"/>
        <w:rPr>
          <w:rFonts w:ascii="宋体" w:hAnsi="宋体"/>
          <w:sz w:val="26"/>
        </w:rPr>
      </w:pPr>
      <w:r>
        <w:rPr>
          <w:rFonts w:hint="eastAsia" w:ascii="宋体" w:hAnsi="宋体"/>
          <w:sz w:val="26"/>
        </w:rPr>
        <w:t>多项目包响应规定：见供应商须知前附表。</w:t>
      </w:r>
    </w:p>
    <w:p w14:paraId="5E0954DD">
      <w:pPr>
        <w:spacing w:line="360" w:lineRule="auto"/>
        <w:rPr>
          <w:rFonts w:ascii="宋体" w:hAnsi="宋体"/>
          <w:sz w:val="26"/>
        </w:rPr>
      </w:pPr>
      <w:bookmarkStart w:id="238" w:name="_Toc403382432"/>
      <w:r>
        <w:rPr>
          <w:rFonts w:hint="eastAsia" w:ascii="宋体" w:hAnsi="宋体"/>
          <w:sz w:val="26"/>
        </w:rPr>
        <w:t>10.2 知识产权</w:t>
      </w:r>
      <w:bookmarkEnd w:id="238"/>
    </w:p>
    <w:p w14:paraId="3ED041F3">
      <w:pPr>
        <w:spacing w:line="360" w:lineRule="auto"/>
        <w:rPr>
          <w:rFonts w:ascii="宋体" w:hAnsi="宋体"/>
          <w:sz w:val="26"/>
        </w:rPr>
      </w:pPr>
      <w:r>
        <w:rPr>
          <w:rFonts w:hint="eastAsia" w:ascii="宋体" w:hAnsi="宋体"/>
          <w:sz w:val="26"/>
        </w:rPr>
        <w:t>有关知识产权的规定：见供应商须知前附表。</w:t>
      </w:r>
    </w:p>
    <w:p w14:paraId="095BA337">
      <w:pPr>
        <w:spacing w:line="360" w:lineRule="auto"/>
        <w:rPr>
          <w:rFonts w:ascii="宋体" w:hAnsi="宋体"/>
          <w:sz w:val="26"/>
        </w:rPr>
      </w:pPr>
      <w:bookmarkStart w:id="239" w:name="_Toc403382433"/>
      <w:r>
        <w:rPr>
          <w:rFonts w:hint="eastAsia" w:ascii="宋体" w:hAnsi="宋体"/>
          <w:sz w:val="26"/>
        </w:rPr>
        <w:t>10.3 同义词语</w:t>
      </w:r>
      <w:bookmarkEnd w:id="239"/>
    </w:p>
    <w:p w14:paraId="4FBDD4D2">
      <w:pPr>
        <w:spacing w:line="360" w:lineRule="auto"/>
        <w:rPr>
          <w:rFonts w:ascii="宋体" w:hAnsi="宋体"/>
          <w:sz w:val="26"/>
        </w:rPr>
      </w:pPr>
      <w:r>
        <w:rPr>
          <w:rFonts w:hint="eastAsia" w:ascii="宋体" w:hAnsi="宋体"/>
          <w:sz w:val="26"/>
        </w:rPr>
        <w:t>本竞争性磋商文件的同义词语：见供应商须知前附表。</w:t>
      </w:r>
    </w:p>
    <w:p w14:paraId="6187D4C4">
      <w:pPr>
        <w:spacing w:line="360" w:lineRule="auto"/>
        <w:rPr>
          <w:rFonts w:ascii="宋体" w:hAnsi="宋体"/>
          <w:sz w:val="26"/>
        </w:rPr>
      </w:pPr>
      <w:bookmarkStart w:id="240" w:name="_Toc403382434"/>
      <w:r>
        <w:rPr>
          <w:rFonts w:hint="eastAsia" w:ascii="宋体" w:hAnsi="宋体"/>
          <w:sz w:val="26"/>
        </w:rPr>
        <w:t>10.4 解释权</w:t>
      </w:r>
      <w:bookmarkEnd w:id="240"/>
    </w:p>
    <w:p w14:paraId="0488228E">
      <w:pPr>
        <w:rPr>
          <w:rFonts w:ascii="宋体" w:hAnsi="宋体"/>
          <w:sz w:val="26"/>
        </w:rPr>
      </w:pPr>
      <w:r>
        <w:rPr>
          <w:rFonts w:hint="eastAsia" w:ascii="宋体" w:hAnsi="宋体"/>
          <w:sz w:val="26"/>
        </w:rPr>
        <w:t>有关竞争性磋商文件的解释权：见供应商须知前附表。</w:t>
      </w:r>
    </w:p>
    <w:p w14:paraId="4A4803DD">
      <w:pPr>
        <w:widowControl/>
        <w:jc w:val="left"/>
        <w:rPr>
          <w:rFonts w:ascii="宋体" w:hAnsi="宋体"/>
          <w:sz w:val="26"/>
        </w:rPr>
      </w:pPr>
      <w:r>
        <w:rPr>
          <w:rFonts w:ascii="宋体" w:hAnsi="宋体"/>
          <w:sz w:val="26"/>
        </w:rPr>
        <w:br w:type="page"/>
      </w:r>
    </w:p>
    <w:p w14:paraId="5F2E6799">
      <w:pPr>
        <w:pStyle w:val="5"/>
        <w:jc w:val="center"/>
      </w:pPr>
      <w:bookmarkStart w:id="241" w:name="_Toc20916"/>
      <w:bookmarkStart w:id="242" w:name="_Toc505691142"/>
      <w:r>
        <w:rPr>
          <w:rFonts w:hint="eastAsia"/>
        </w:rPr>
        <w:t>第三章评审办法</w:t>
      </w:r>
      <w:bookmarkEnd w:id="241"/>
      <w:bookmarkEnd w:id="242"/>
    </w:p>
    <w:p w14:paraId="6FDCB03E">
      <w:pPr>
        <w:spacing w:line="360" w:lineRule="auto"/>
        <w:jc w:val="center"/>
        <w:rPr>
          <w:rFonts w:ascii="宋体" w:hAnsi="宋体"/>
          <w:b/>
          <w:bCs/>
          <w:sz w:val="26"/>
        </w:rPr>
      </w:pPr>
      <w:bookmarkStart w:id="243" w:name="_Toc19236"/>
      <w:bookmarkStart w:id="244" w:name="_Toc403382450"/>
      <w:r>
        <w:rPr>
          <w:rFonts w:hint="eastAsia" w:ascii="宋体" w:hAnsi="宋体"/>
          <w:b/>
          <w:bCs/>
          <w:sz w:val="26"/>
        </w:rPr>
        <w:t>评审办法前附表</w:t>
      </w:r>
      <w:bookmarkEnd w:id="243"/>
      <w:bookmarkEnd w:id="244"/>
      <w:r>
        <w:rPr>
          <w:rFonts w:hint="eastAsia" w:ascii="宋体" w:hAnsi="宋体"/>
          <w:b/>
          <w:bCs/>
          <w:sz w:val="26"/>
        </w:rPr>
        <w:t>（一）</w:t>
      </w:r>
    </w:p>
    <w:tbl>
      <w:tblPr>
        <w:tblStyle w:val="19"/>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1440"/>
        <w:gridCol w:w="2529"/>
        <w:gridCol w:w="3260"/>
      </w:tblGrid>
      <w:tr w14:paraId="3F7A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gridSpan w:val="2"/>
            <w:vAlign w:val="center"/>
          </w:tcPr>
          <w:p w14:paraId="6A47EBE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条款号</w:t>
            </w:r>
          </w:p>
        </w:tc>
        <w:tc>
          <w:tcPr>
            <w:tcW w:w="1440" w:type="dxa"/>
            <w:vAlign w:val="center"/>
          </w:tcPr>
          <w:p w14:paraId="43E8FD8C">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评审因素</w:t>
            </w:r>
          </w:p>
        </w:tc>
        <w:tc>
          <w:tcPr>
            <w:tcW w:w="2529" w:type="dxa"/>
            <w:vAlign w:val="center"/>
          </w:tcPr>
          <w:p w14:paraId="10D5A59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依据</w:t>
            </w:r>
          </w:p>
        </w:tc>
        <w:tc>
          <w:tcPr>
            <w:tcW w:w="3260" w:type="dxa"/>
            <w:vAlign w:val="center"/>
          </w:tcPr>
          <w:p w14:paraId="1248071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评审标准</w:t>
            </w:r>
          </w:p>
        </w:tc>
      </w:tr>
      <w:tr w14:paraId="62F8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4B4A14E7">
            <w:pPr>
              <w:autoSpaceDE w:val="0"/>
              <w:autoSpaceDN w:val="0"/>
              <w:adjustRightInd w:val="0"/>
              <w:spacing w:line="0" w:lineRule="atLeast"/>
              <w:jc w:val="center"/>
              <w:rPr>
                <w:rFonts w:ascii="微软雅黑" w:hAnsi="微软雅黑" w:eastAsia="微软雅黑" w:cs="宋体"/>
                <w:bCs/>
                <w:szCs w:val="21"/>
                <w:lang w:val="zh-CN"/>
              </w:rPr>
            </w:pPr>
            <w:r>
              <w:rPr>
                <w:rFonts w:ascii="微软雅黑" w:hAnsi="微软雅黑" w:eastAsia="微软雅黑" w:cs="宋体"/>
                <w:bCs/>
                <w:szCs w:val="21"/>
                <w:lang w:val="zh-CN"/>
              </w:rPr>
              <w:t>2.1.1</w:t>
            </w:r>
          </w:p>
        </w:tc>
        <w:tc>
          <w:tcPr>
            <w:tcW w:w="780" w:type="dxa"/>
            <w:vMerge w:val="restart"/>
            <w:vAlign w:val="center"/>
          </w:tcPr>
          <w:p w14:paraId="2D96C59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形</w:t>
            </w:r>
          </w:p>
          <w:p w14:paraId="4C2A3FC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式</w:t>
            </w:r>
          </w:p>
          <w:p w14:paraId="1B48E3B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38C4F0F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1F905C8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7C582E6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tc>
        <w:tc>
          <w:tcPr>
            <w:tcW w:w="1440" w:type="dxa"/>
            <w:vAlign w:val="center"/>
          </w:tcPr>
          <w:p w14:paraId="6772EB6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供应商名称</w:t>
            </w:r>
          </w:p>
        </w:tc>
        <w:tc>
          <w:tcPr>
            <w:tcW w:w="2529" w:type="dxa"/>
            <w:vAlign w:val="center"/>
          </w:tcPr>
          <w:p w14:paraId="0EC1C63F">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第二章“评标办法前附表”</w:t>
            </w:r>
          </w:p>
        </w:tc>
        <w:tc>
          <w:tcPr>
            <w:tcW w:w="3260" w:type="dxa"/>
            <w:vAlign w:val="center"/>
          </w:tcPr>
          <w:p w14:paraId="3188F65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与营业执照一致</w:t>
            </w:r>
          </w:p>
        </w:tc>
      </w:tr>
      <w:tr w14:paraId="6B8C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32531582">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B5E04F3">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6BC9BDC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投标函签字盖章</w:t>
            </w:r>
          </w:p>
        </w:tc>
        <w:tc>
          <w:tcPr>
            <w:tcW w:w="2529" w:type="dxa"/>
            <w:vAlign w:val="center"/>
          </w:tcPr>
          <w:p w14:paraId="7E6A31ED">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第二章“投标人须知”</w:t>
            </w:r>
          </w:p>
        </w:tc>
        <w:tc>
          <w:tcPr>
            <w:tcW w:w="3260" w:type="dxa"/>
            <w:vAlign w:val="center"/>
          </w:tcPr>
          <w:p w14:paraId="64AE000B">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有法定代表人或其委托代理人签字且加盖单位章。</w:t>
            </w:r>
          </w:p>
        </w:tc>
      </w:tr>
      <w:tr w14:paraId="464D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2046A1BE">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E28475C">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84BC9CF">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响应文件</w:t>
            </w:r>
          </w:p>
          <w:p w14:paraId="7B16F39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格式</w:t>
            </w:r>
          </w:p>
        </w:tc>
        <w:tc>
          <w:tcPr>
            <w:tcW w:w="2529" w:type="dxa"/>
            <w:vAlign w:val="center"/>
          </w:tcPr>
          <w:p w14:paraId="2EA41653">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第六章“磋商响应文件格式”</w:t>
            </w:r>
          </w:p>
        </w:tc>
        <w:tc>
          <w:tcPr>
            <w:tcW w:w="3260" w:type="dxa"/>
            <w:vAlign w:val="center"/>
          </w:tcPr>
          <w:p w14:paraId="572189EE">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符合第六章“磋商响应文件格式”的要求。</w:t>
            </w:r>
          </w:p>
        </w:tc>
      </w:tr>
      <w:tr w14:paraId="3C91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40" w:type="dxa"/>
            <w:vMerge w:val="continue"/>
            <w:vAlign w:val="center"/>
          </w:tcPr>
          <w:p w14:paraId="473CAAA7">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01D1B4D1">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D678048">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报价唯一</w:t>
            </w:r>
          </w:p>
        </w:tc>
        <w:tc>
          <w:tcPr>
            <w:tcW w:w="2529" w:type="dxa"/>
            <w:vAlign w:val="center"/>
          </w:tcPr>
          <w:p w14:paraId="3FC0505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第三章“评标办法前附表”</w:t>
            </w:r>
          </w:p>
        </w:tc>
        <w:tc>
          <w:tcPr>
            <w:tcW w:w="3260" w:type="dxa"/>
            <w:vAlign w:val="center"/>
          </w:tcPr>
          <w:p w14:paraId="77E1B219">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只能有一个有效报价</w:t>
            </w:r>
          </w:p>
        </w:tc>
      </w:tr>
      <w:tr w14:paraId="2C6A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240E3136">
            <w:pPr>
              <w:autoSpaceDE w:val="0"/>
              <w:autoSpaceDN w:val="0"/>
              <w:adjustRightInd w:val="0"/>
              <w:spacing w:line="0" w:lineRule="atLeast"/>
              <w:jc w:val="center"/>
              <w:rPr>
                <w:rFonts w:ascii="微软雅黑" w:hAnsi="微软雅黑" w:eastAsia="微软雅黑" w:cs="宋体"/>
                <w:bCs/>
                <w:szCs w:val="21"/>
                <w:lang w:val="zh-CN"/>
              </w:rPr>
            </w:pPr>
            <w:r>
              <w:rPr>
                <w:rFonts w:ascii="微软雅黑" w:hAnsi="微软雅黑" w:eastAsia="微软雅黑" w:cs="宋体"/>
                <w:bCs/>
                <w:szCs w:val="21"/>
                <w:lang w:val="zh-CN"/>
              </w:rPr>
              <w:t>2.1.2</w:t>
            </w:r>
          </w:p>
        </w:tc>
        <w:tc>
          <w:tcPr>
            <w:tcW w:w="780" w:type="dxa"/>
            <w:vMerge w:val="restart"/>
            <w:vAlign w:val="center"/>
          </w:tcPr>
          <w:p w14:paraId="124F7D1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资</w:t>
            </w:r>
          </w:p>
          <w:p w14:paraId="7CDBB4B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格</w:t>
            </w:r>
          </w:p>
          <w:p w14:paraId="5CEDF1FF">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0972F87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7A4067EE">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0C1084FC">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p w14:paraId="1C73BD50">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41F1F97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营业执照</w:t>
            </w:r>
          </w:p>
        </w:tc>
        <w:tc>
          <w:tcPr>
            <w:tcW w:w="2529" w:type="dxa"/>
            <w:vAlign w:val="center"/>
          </w:tcPr>
          <w:p w14:paraId="686843A7">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12FD899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具备有效的营业执照</w:t>
            </w:r>
          </w:p>
        </w:tc>
      </w:tr>
      <w:tr w14:paraId="7B07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40" w:type="dxa"/>
            <w:vMerge w:val="continue"/>
            <w:vAlign w:val="center"/>
          </w:tcPr>
          <w:p w14:paraId="169E4C02">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32C95D8A">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3F84037">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财务要求</w:t>
            </w:r>
          </w:p>
        </w:tc>
        <w:tc>
          <w:tcPr>
            <w:tcW w:w="2529" w:type="dxa"/>
            <w:vAlign w:val="center"/>
          </w:tcPr>
          <w:p w14:paraId="12D28A2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5DEB6CB8">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近三年良好（有效证明材料并提供复印件加盖公章）</w:t>
            </w:r>
          </w:p>
        </w:tc>
      </w:tr>
      <w:tr w14:paraId="47A5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840" w:type="dxa"/>
            <w:vMerge w:val="continue"/>
            <w:vAlign w:val="center"/>
          </w:tcPr>
          <w:p w14:paraId="10DE3BEF">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D64CFFD">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472AF1F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信誉要求</w:t>
            </w:r>
          </w:p>
        </w:tc>
        <w:tc>
          <w:tcPr>
            <w:tcW w:w="2529" w:type="dxa"/>
            <w:vAlign w:val="center"/>
          </w:tcPr>
          <w:p w14:paraId="66C09816">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3F502A32">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tc>
      </w:tr>
      <w:tr w14:paraId="305D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40" w:type="dxa"/>
            <w:vMerge w:val="continue"/>
            <w:vAlign w:val="center"/>
          </w:tcPr>
          <w:p w14:paraId="0EAE0F5C">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49E3037C">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13E9E31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其他要求</w:t>
            </w:r>
          </w:p>
        </w:tc>
        <w:tc>
          <w:tcPr>
            <w:tcW w:w="2529" w:type="dxa"/>
            <w:vAlign w:val="center"/>
          </w:tcPr>
          <w:p w14:paraId="028474C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竞争性磋商文件</w:t>
            </w:r>
          </w:p>
        </w:tc>
        <w:tc>
          <w:tcPr>
            <w:tcW w:w="3260" w:type="dxa"/>
            <w:vAlign w:val="center"/>
          </w:tcPr>
          <w:p w14:paraId="1B23728C">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磋商文件列明的其他废标条件</w:t>
            </w:r>
          </w:p>
        </w:tc>
      </w:tr>
      <w:tr w14:paraId="7288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0C820575">
            <w:pPr>
              <w:autoSpaceDE w:val="0"/>
              <w:autoSpaceDN w:val="0"/>
              <w:adjustRightInd w:val="0"/>
              <w:spacing w:line="0" w:lineRule="atLeast"/>
              <w:rPr>
                <w:rFonts w:ascii="微软雅黑" w:hAnsi="微软雅黑" w:eastAsia="微软雅黑" w:cs="宋体"/>
                <w:bCs/>
                <w:szCs w:val="21"/>
                <w:lang w:val="zh-CN"/>
              </w:rPr>
            </w:pPr>
            <w:r>
              <w:rPr>
                <w:rFonts w:ascii="微软雅黑" w:hAnsi="微软雅黑" w:eastAsia="微软雅黑" w:cs="宋体"/>
                <w:bCs/>
                <w:szCs w:val="21"/>
                <w:lang w:val="zh-CN"/>
              </w:rPr>
              <w:t>2.1.3</w:t>
            </w:r>
          </w:p>
        </w:tc>
        <w:tc>
          <w:tcPr>
            <w:tcW w:w="780" w:type="dxa"/>
            <w:vMerge w:val="restart"/>
            <w:vAlign w:val="center"/>
          </w:tcPr>
          <w:p w14:paraId="39B6580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响</w:t>
            </w:r>
          </w:p>
          <w:p w14:paraId="0AB2B91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应</w:t>
            </w:r>
          </w:p>
          <w:p w14:paraId="52254A2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性</w:t>
            </w:r>
          </w:p>
          <w:p w14:paraId="11807738">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25ED724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37BEEF8B">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1AFFF79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p w14:paraId="75C511A0">
            <w:pPr>
              <w:autoSpaceDE w:val="0"/>
              <w:autoSpaceDN w:val="0"/>
              <w:adjustRightInd w:val="0"/>
              <w:spacing w:line="0" w:lineRule="atLeast"/>
              <w:rPr>
                <w:rFonts w:ascii="微软雅黑" w:hAnsi="微软雅黑" w:eastAsia="微软雅黑" w:cs="宋体"/>
                <w:bCs/>
                <w:szCs w:val="21"/>
                <w:lang w:val="zh-CN"/>
              </w:rPr>
            </w:pPr>
          </w:p>
        </w:tc>
        <w:tc>
          <w:tcPr>
            <w:tcW w:w="1440" w:type="dxa"/>
            <w:vAlign w:val="center"/>
          </w:tcPr>
          <w:p w14:paraId="0751700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投标内容</w:t>
            </w:r>
          </w:p>
        </w:tc>
        <w:tc>
          <w:tcPr>
            <w:tcW w:w="2529" w:type="dxa"/>
            <w:vAlign w:val="center"/>
          </w:tcPr>
          <w:p w14:paraId="3666AD6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694055F2">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符合第二章“供应商须知前附表”规定</w:t>
            </w:r>
          </w:p>
        </w:tc>
      </w:tr>
      <w:tr w14:paraId="7201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40" w:type="dxa"/>
            <w:vMerge w:val="continue"/>
          </w:tcPr>
          <w:p w14:paraId="067FB534">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09DEFA2B">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48F91EC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服务期</w:t>
            </w:r>
          </w:p>
        </w:tc>
        <w:tc>
          <w:tcPr>
            <w:tcW w:w="2529" w:type="dxa"/>
            <w:vAlign w:val="center"/>
          </w:tcPr>
          <w:p w14:paraId="2AD570D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6FE19E5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符合第二章“供应商须知前附表”规定</w:t>
            </w:r>
          </w:p>
        </w:tc>
      </w:tr>
      <w:tr w14:paraId="2963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EB781F8">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C2FC883">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64B0BD5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质量要求</w:t>
            </w:r>
          </w:p>
        </w:tc>
        <w:tc>
          <w:tcPr>
            <w:tcW w:w="2529" w:type="dxa"/>
            <w:vAlign w:val="center"/>
          </w:tcPr>
          <w:p w14:paraId="32C125B2">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1A9D3E98">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符合国家及行业现行相关标准的合格要求</w:t>
            </w:r>
          </w:p>
        </w:tc>
      </w:tr>
      <w:tr w14:paraId="65D5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06AFDC9">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F82403E">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61C94C39">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投标有效期</w:t>
            </w:r>
          </w:p>
        </w:tc>
        <w:tc>
          <w:tcPr>
            <w:tcW w:w="2529" w:type="dxa"/>
            <w:vAlign w:val="center"/>
          </w:tcPr>
          <w:p w14:paraId="749A7DB0">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245BBB4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60天</w:t>
            </w:r>
          </w:p>
        </w:tc>
      </w:tr>
      <w:tr w14:paraId="2B7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5CAD7EA">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C7919CC">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1B26299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磋商保证金</w:t>
            </w:r>
          </w:p>
        </w:tc>
        <w:tc>
          <w:tcPr>
            <w:tcW w:w="2529" w:type="dxa"/>
            <w:vAlign w:val="center"/>
          </w:tcPr>
          <w:p w14:paraId="3BDC703B">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5200CBC9">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w:t>
            </w:r>
          </w:p>
        </w:tc>
      </w:tr>
      <w:tr w14:paraId="0202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8B6FF78">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2B45D6D4">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064BD4C5">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技术标准和要求</w:t>
            </w:r>
          </w:p>
        </w:tc>
        <w:tc>
          <w:tcPr>
            <w:tcW w:w="2529" w:type="dxa"/>
            <w:vAlign w:val="center"/>
          </w:tcPr>
          <w:p w14:paraId="51CC2E3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第五章“技术标准和要求”</w:t>
            </w:r>
          </w:p>
        </w:tc>
        <w:tc>
          <w:tcPr>
            <w:tcW w:w="3260" w:type="dxa"/>
            <w:vAlign w:val="center"/>
          </w:tcPr>
          <w:p w14:paraId="252541EB">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符合磋商文件“技术标准和要求”规定</w:t>
            </w:r>
          </w:p>
        </w:tc>
      </w:tr>
      <w:tr w14:paraId="3EA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072BBF65">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79A1EE5C">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3D312E12">
            <w:pPr>
              <w:autoSpaceDE w:val="0"/>
              <w:autoSpaceDN w:val="0"/>
              <w:adjustRightInd w:val="0"/>
              <w:spacing w:line="0" w:lineRule="atLeast"/>
              <w:jc w:val="center"/>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投标报价</w:t>
            </w:r>
          </w:p>
        </w:tc>
        <w:tc>
          <w:tcPr>
            <w:tcW w:w="2529" w:type="dxa"/>
            <w:vAlign w:val="center"/>
          </w:tcPr>
          <w:p w14:paraId="6E00AF49">
            <w:pPr>
              <w:autoSpaceDE w:val="0"/>
              <w:autoSpaceDN w:val="0"/>
              <w:adjustRightInd w:val="0"/>
              <w:spacing w:line="0" w:lineRule="atLeast"/>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0718520F">
            <w:pPr>
              <w:autoSpaceDE w:val="0"/>
              <w:autoSpaceDN w:val="0"/>
              <w:adjustRightInd w:val="0"/>
              <w:spacing w:line="0" w:lineRule="atLeast"/>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投标报价总价不超过招标控制价（超过招标控制价为废标）</w:t>
            </w:r>
          </w:p>
        </w:tc>
      </w:tr>
      <w:tr w14:paraId="60B8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9" w:type="dxa"/>
            <w:gridSpan w:val="5"/>
            <w:tcBorders>
              <w:bottom w:val="single" w:color="auto" w:sz="4" w:space="0"/>
            </w:tcBorders>
            <w:vAlign w:val="center"/>
          </w:tcPr>
          <w:p w14:paraId="087F4C3E">
            <w:pPr>
              <w:pStyle w:val="13"/>
              <w:pBdr>
                <w:bottom w:val="none" w:color="auto" w:sz="0" w:space="0"/>
              </w:pBdr>
              <w:tabs>
                <w:tab w:val="clear" w:pos="4153"/>
                <w:tab w:val="clear" w:pos="8306"/>
              </w:tabs>
              <w:autoSpaceDE w:val="0"/>
              <w:autoSpaceDN w:val="0"/>
              <w:adjustRightInd w:val="0"/>
              <w:snapToGrid/>
              <w:spacing w:line="0" w:lineRule="atLeast"/>
              <w:rPr>
                <w:rFonts w:ascii="微软雅黑" w:hAnsi="微软雅黑" w:eastAsia="微软雅黑" w:cs="宋体"/>
                <w:b/>
                <w:bCs/>
                <w:sz w:val="21"/>
                <w:szCs w:val="21"/>
                <w:lang w:val="zh-CN"/>
              </w:rPr>
            </w:pPr>
            <w:r>
              <w:rPr>
                <w:rFonts w:hint="eastAsia" w:ascii="微软雅黑" w:hAnsi="微软雅黑" w:eastAsia="微软雅黑" w:cs="宋体"/>
                <w:b/>
                <w:bCs/>
                <w:sz w:val="21"/>
                <w:szCs w:val="21"/>
                <w:lang w:val="zh-CN"/>
              </w:rPr>
              <w:t>评审结果</w:t>
            </w:r>
          </w:p>
        </w:tc>
      </w:tr>
    </w:tbl>
    <w:p w14:paraId="6BF07271">
      <w:pPr>
        <w:spacing w:line="360" w:lineRule="auto"/>
        <w:rPr>
          <w:rFonts w:ascii="宋体" w:hAnsi="宋体"/>
          <w:sz w:val="26"/>
        </w:rPr>
      </w:pPr>
    </w:p>
    <w:p w14:paraId="3B3A4313">
      <w:pPr>
        <w:widowControl/>
        <w:jc w:val="left"/>
        <w:rPr>
          <w:rFonts w:ascii="宋体" w:hAnsi="宋体"/>
          <w:b/>
          <w:bCs/>
          <w:sz w:val="26"/>
        </w:rPr>
      </w:pPr>
      <w:r>
        <w:rPr>
          <w:rFonts w:ascii="宋体" w:hAnsi="宋体"/>
          <w:b/>
          <w:bCs/>
          <w:sz w:val="26"/>
        </w:rPr>
        <w:br w:type="page"/>
      </w:r>
    </w:p>
    <w:p w14:paraId="27A31DA5">
      <w:pPr>
        <w:spacing w:line="360" w:lineRule="auto"/>
        <w:jc w:val="center"/>
        <w:rPr>
          <w:rFonts w:ascii="宋体" w:hAnsi="宋体"/>
          <w:b/>
          <w:bCs/>
          <w:sz w:val="26"/>
        </w:rPr>
      </w:pPr>
      <w:r>
        <w:rPr>
          <w:rFonts w:hint="eastAsia" w:ascii="宋体" w:hAnsi="宋体"/>
          <w:b/>
          <w:bCs/>
          <w:sz w:val="26"/>
        </w:rPr>
        <w:t>评审办法前附表（二）</w:t>
      </w:r>
    </w:p>
    <w:tbl>
      <w:tblPr>
        <w:tblStyle w:val="19"/>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5"/>
        <w:gridCol w:w="1398"/>
        <w:gridCol w:w="7067"/>
      </w:tblGrid>
      <w:tr w14:paraId="55A3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3" w:type="dxa"/>
            <w:gridSpan w:val="2"/>
            <w:tcBorders>
              <w:top w:val="single" w:color="auto" w:sz="4" w:space="0"/>
              <w:left w:val="single" w:color="auto" w:sz="4" w:space="0"/>
              <w:bottom w:val="single" w:color="auto" w:sz="4" w:space="0"/>
              <w:right w:val="single" w:color="auto" w:sz="4" w:space="0"/>
            </w:tcBorders>
            <w:noWrap w:val="0"/>
            <w:vAlign w:val="center"/>
          </w:tcPr>
          <w:p w14:paraId="0EFAD922">
            <w:pPr>
              <w:spacing w:line="46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评分因素</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1543C01C">
            <w:pPr>
              <w:spacing w:line="460" w:lineRule="exact"/>
              <w:jc w:val="center"/>
              <w:rPr>
                <w:rFonts w:hint="eastAsia" w:ascii="宋体" w:hAnsi="宋体" w:eastAsia="宋体" w:cs="宋体"/>
                <w:b/>
                <w:szCs w:val="21"/>
                <w:lang w:val="en-US" w:eastAsia="zh-CN"/>
              </w:rPr>
            </w:pPr>
            <w:r>
              <w:rPr>
                <w:rFonts w:hint="eastAsia" w:ascii="宋体" w:hAnsi="宋体" w:cs="宋体"/>
                <w:b/>
                <w:szCs w:val="21"/>
                <w:lang w:val="en-US" w:eastAsia="zh-CN"/>
              </w:rPr>
              <w:t>评分点</w:t>
            </w:r>
          </w:p>
        </w:tc>
        <w:tc>
          <w:tcPr>
            <w:tcW w:w="7067" w:type="dxa"/>
            <w:tcBorders>
              <w:top w:val="single" w:color="auto" w:sz="4" w:space="0"/>
              <w:left w:val="single" w:color="auto" w:sz="4" w:space="0"/>
              <w:right w:val="single" w:color="auto" w:sz="4" w:space="0"/>
            </w:tcBorders>
            <w:noWrap w:val="0"/>
            <w:vAlign w:val="center"/>
          </w:tcPr>
          <w:p w14:paraId="2ACCFEA1">
            <w:pPr>
              <w:spacing w:line="460" w:lineRule="exact"/>
              <w:jc w:val="center"/>
              <w:rPr>
                <w:rFonts w:hint="eastAsia" w:ascii="宋体" w:hAnsi="宋体" w:cs="宋体"/>
                <w:szCs w:val="21"/>
              </w:rPr>
            </w:pPr>
            <w:r>
              <w:rPr>
                <w:rFonts w:hint="eastAsia" w:ascii="宋体" w:hAnsi="宋体" w:cs="宋体"/>
                <w:b/>
                <w:bCs/>
                <w:szCs w:val="21"/>
              </w:rPr>
              <w:t>评分标准</w:t>
            </w:r>
          </w:p>
        </w:tc>
      </w:tr>
      <w:tr w14:paraId="37CA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18" w:type="dxa"/>
            <w:tcBorders>
              <w:top w:val="single" w:color="auto" w:sz="4" w:space="0"/>
              <w:left w:val="single" w:color="auto" w:sz="4" w:space="0"/>
              <w:right w:val="single" w:color="auto" w:sz="4" w:space="0"/>
            </w:tcBorders>
            <w:noWrap w:val="0"/>
            <w:vAlign w:val="center"/>
          </w:tcPr>
          <w:p w14:paraId="132C7E46">
            <w:pPr>
              <w:widowControl/>
              <w:spacing w:line="460" w:lineRule="exact"/>
              <w:jc w:val="center"/>
              <w:textAlignment w:val="center"/>
              <w:rPr>
                <w:rFonts w:hint="eastAsia" w:ascii="宋体" w:hAnsi="宋体" w:cs="宋体"/>
                <w:szCs w:val="21"/>
              </w:rPr>
            </w:pPr>
            <w:r>
              <w:rPr>
                <w:rFonts w:hint="eastAsia" w:ascii="宋体" w:hAnsi="宋体" w:cs="宋体"/>
                <w:color w:val="000000"/>
                <w:kern w:val="0"/>
                <w:szCs w:val="21"/>
                <w:lang w:bidi="ar"/>
              </w:rPr>
              <w:t>价格因素（10分）</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781B2FAF">
            <w:pPr>
              <w:widowControl/>
              <w:spacing w:line="4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投标报价</w:t>
            </w:r>
          </w:p>
          <w:p w14:paraId="3E903F77">
            <w:pPr>
              <w:pStyle w:val="2"/>
              <w:ind w:left="0" w:leftChars="0" w:firstLine="0" w:firstLineChars="0"/>
              <w:jc w:val="center"/>
              <w:rPr>
                <w:rFonts w:hint="default" w:eastAsia="宋体"/>
                <w:lang w:val="en-US" w:eastAsia="zh-CN"/>
              </w:rPr>
            </w:pPr>
            <w:r>
              <w:rPr>
                <w:rFonts w:hint="eastAsia"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10分</w:t>
            </w:r>
            <w:r>
              <w:rPr>
                <w:rFonts w:hint="eastAsia" w:eastAsia="宋体" w:cs="宋体"/>
                <w:color w:val="000000"/>
                <w:kern w:val="0"/>
                <w:sz w:val="21"/>
                <w:szCs w:val="21"/>
                <w:lang w:val="en-US" w:eastAsia="zh-CN" w:bidi="ar"/>
              </w:rPr>
              <w:t>）</w:t>
            </w:r>
          </w:p>
        </w:tc>
        <w:tc>
          <w:tcPr>
            <w:tcW w:w="7067" w:type="dxa"/>
            <w:tcBorders>
              <w:left w:val="single" w:color="auto" w:sz="4" w:space="0"/>
              <w:bottom w:val="single" w:color="auto" w:sz="4" w:space="0"/>
              <w:right w:val="single" w:color="auto" w:sz="4" w:space="0"/>
            </w:tcBorders>
            <w:noWrap w:val="0"/>
            <w:vAlign w:val="center"/>
          </w:tcPr>
          <w:p w14:paraId="57B9E62C">
            <w:pPr>
              <w:widowControl/>
              <w:spacing w:line="4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投标报价得分：</w:t>
            </w:r>
          </w:p>
          <w:p w14:paraId="2555CB6D">
            <w:pPr>
              <w:widowControl/>
              <w:spacing w:line="460" w:lineRule="exact"/>
              <w:jc w:val="left"/>
              <w:textAlignment w:val="center"/>
              <w:rPr>
                <w:rFonts w:hint="eastAsia" w:ascii="宋体" w:hAnsi="宋体" w:cs="宋体"/>
                <w:bCs/>
                <w:szCs w:val="21"/>
              </w:rPr>
            </w:pPr>
            <w:r>
              <w:rPr>
                <w:rFonts w:hint="eastAsia" w:ascii="宋体" w:hAnsi="宋体" w:cs="宋体"/>
                <w:bCs/>
                <w:szCs w:val="21"/>
                <w:lang w:val="en-US" w:eastAsia="zh-CN"/>
              </w:rPr>
              <w:t xml:space="preserve">价格分统一采用低价优先法，即满足招标文件要求且投标价格最低的投标报价为评标基准价，其价格分为满分10分。其他投标供应商的价格分统一按照下列公式计算： </w:t>
            </w:r>
          </w:p>
          <w:p w14:paraId="11110DA6">
            <w:pPr>
              <w:widowControl/>
              <w:spacing w:line="460" w:lineRule="exact"/>
              <w:jc w:val="left"/>
              <w:textAlignment w:val="center"/>
              <w:rPr>
                <w:rFonts w:hint="eastAsia" w:ascii="宋体" w:hAnsi="宋体" w:cs="宋体"/>
                <w:bCs/>
                <w:szCs w:val="21"/>
              </w:rPr>
            </w:pPr>
            <w:r>
              <w:rPr>
                <w:rFonts w:hint="eastAsia" w:ascii="宋体" w:hAnsi="宋体" w:cs="宋体"/>
                <w:bCs/>
                <w:szCs w:val="21"/>
                <w:lang w:val="en-US" w:eastAsia="zh-CN"/>
              </w:rPr>
              <w:t>投标报价得分＝（评标基准价/投标报价）×10</w:t>
            </w:r>
          </w:p>
        </w:tc>
      </w:tr>
      <w:tr w14:paraId="5ECE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218" w:type="dxa"/>
            <w:vMerge w:val="restart"/>
            <w:tcBorders>
              <w:left w:val="single" w:color="auto" w:sz="4" w:space="0"/>
              <w:right w:val="single" w:color="auto" w:sz="4" w:space="0"/>
            </w:tcBorders>
            <w:noWrap w:val="0"/>
            <w:vAlign w:val="center"/>
          </w:tcPr>
          <w:p w14:paraId="1DF49240">
            <w:pPr>
              <w:widowControl/>
              <w:spacing w:line="460" w:lineRule="exact"/>
              <w:jc w:val="center"/>
              <w:textAlignment w:val="center"/>
              <w:rPr>
                <w:rFonts w:hint="eastAsia" w:ascii="宋体" w:hAnsi="宋体" w:cs="宋体"/>
                <w:bCs/>
                <w:szCs w:val="21"/>
                <w:lang w:val="zh-CN"/>
              </w:rPr>
            </w:pPr>
            <w:r>
              <w:rPr>
                <w:rFonts w:hint="eastAsia" w:ascii="宋体" w:hAnsi="宋体" w:cs="宋体"/>
                <w:color w:val="000000"/>
                <w:kern w:val="0"/>
                <w:szCs w:val="21"/>
                <w:lang w:bidi="ar"/>
              </w:rPr>
              <w:t>商务部分（</w:t>
            </w:r>
            <w:r>
              <w:rPr>
                <w:rFonts w:hint="eastAsia" w:ascii="宋体" w:hAnsi="宋体" w:cs="宋体"/>
                <w:color w:val="000000"/>
                <w:kern w:val="0"/>
                <w:szCs w:val="21"/>
                <w:lang w:val="en-US" w:eastAsia="zh-CN" w:bidi="ar"/>
              </w:rPr>
              <w:t>26</w:t>
            </w:r>
            <w:r>
              <w:rPr>
                <w:rFonts w:hint="eastAsia" w:ascii="宋体" w:hAnsi="宋体" w:cs="宋体"/>
                <w:color w:val="000000"/>
                <w:kern w:val="0"/>
                <w:szCs w:val="21"/>
                <w:lang w:bidi="ar"/>
              </w:rPr>
              <w:t>分）</w:t>
            </w:r>
          </w:p>
        </w:tc>
        <w:tc>
          <w:tcPr>
            <w:tcW w:w="1403" w:type="dxa"/>
            <w:gridSpan w:val="2"/>
            <w:tcBorders>
              <w:top w:val="single" w:color="auto" w:sz="4" w:space="0"/>
              <w:left w:val="single" w:color="auto" w:sz="4" w:space="0"/>
              <w:right w:val="single" w:color="auto" w:sz="4" w:space="0"/>
            </w:tcBorders>
            <w:noWrap w:val="0"/>
            <w:vAlign w:val="center"/>
          </w:tcPr>
          <w:p w14:paraId="01B6B22F">
            <w:pPr>
              <w:widowControl/>
              <w:spacing w:line="4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综合实力</w:t>
            </w:r>
          </w:p>
          <w:p w14:paraId="571C71D8">
            <w:pPr>
              <w:pStyle w:val="2"/>
              <w:ind w:left="0" w:leftChars="0" w:firstLine="0" w:firstLineChars="0"/>
              <w:jc w:val="center"/>
              <w:rPr>
                <w:rFonts w:hint="default" w:eastAsia="宋体"/>
                <w:lang w:val="en-US" w:eastAsia="zh-CN"/>
              </w:rPr>
            </w:pPr>
            <w:r>
              <w:rPr>
                <w:rFonts w:hint="eastAsia" w:ascii="宋体" w:hAnsi="宋体" w:eastAsia="宋体" w:cs="宋体"/>
                <w:color w:val="000000"/>
                <w:kern w:val="0"/>
                <w:sz w:val="21"/>
                <w:szCs w:val="21"/>
                <w:lang w:val="en-US" w:eastAsia="zh-CN" w:bidi="ar"/>
              </w:rPr>
              <w:t>（12分）</w:t>
            </w:r>
          </w:p>
        </w:tc>
        <w:tc>
          <w:tcPr>
            <w:tcW w:w="7067" w:type="dxa"/>
            <w:tcBorders>
              <w:top w:val="single" w:color="auto" w:sz="4" w:space="0"/>
              <w:left w:val="single" w:color="auto" w:sz="4" w:space="0"/>
              <w:bottom w:val="single" w:color="auto" w:sz="4" w:space="0"/>
              <w:right w:val="single" w:color="auto" w:sz="4" w:space="0"/>
            </w:tcBorders>
            <w:noWrap w:val="0"/>
            <w:vAlign w:val="center"/>
          </w:tcPr>
          <w:p w14:paraId="3EE1CD53">
            <w:pPr>
              <w:widowControl/>
              <w:numPr>
                <w:ilvl w:val="0"/>
                <w:numId w:val="1"/>
              </w:numPr>
              <w:spacing w:line="460" w:lineRule="exact"/>
              <w:jc w:val="left"/>
              <w:textAlignment w:val="center"/>
              <w:rPr>
                <w:rFonts w:hint="eastAsia" w:ascii="宋体" w:hAnsi="宋体" w:cs="宋体"/>
                <w:szCs w:val="21"/>
              </w:rPr>
            </w:pPr>
            <w:r>
              <w:rPr>
                <w:rFonts w:hint="eastAsia" w:ascii="宋体" w:hAnsi="宋体" w:cs="宋体"/>
                <w:szCs w:val="21"/>
                <w:lang w:val="en-US" w:eastAsia="zh-CN"/>
              </w:rPr>
              <w:t>投标人具有</w:t>
            </w:r>
            <w:r>
              <w:rPr>
                <w:rFonts w:hint="eastAsia" w:ascii="宋体" w:hAnsi="宋体" w:cs="宋体"/>
                <w:szCs w:val="21"/>
              </w:rPr>
              <w:t>ISO9001质量管理体系认证</w:t>
            </w:r>
            <w:r>
              <w:rPr>
                <w:rFonts w:hint="eastAsia" w:ascii="宋体" w:hAnsi="宋体" w:cs="宋体"/>
                <w:szCs w:val="21"/>
                <w:lang w:eastAsia="zh-CN"/>
              </w:rPr>
              <w:t>、ISO14001环境管理体系</w:t>
            </w:r>
            <w:r>
              <w:rPr>
                <w:rFonts w:hint="eastAsia" w:ascii="宋体" w:hAnsi="宋体" w:cs="宋体"/>
                <w:szCs w:val="21"/>
                <w:lang w:val="en-US" w:eastAsia="zh-CN"/>
              </w:rPr>
              <w:t>认证、ISO45001职业健康安全管理体系认证、1SO27001信息安全管理体系认证、1SO20000IT服务管理体系认证、ISO22301业务连续性管理体系认证证书的，</w:t>
            </w:r>
            <w:r>
              <w:rPr>
                <w:rFonts w:hint="eastAsia" w:ascii="宋体" w:hAnsi="宋体" w:eastAsia="宋体" w:cs="宋体"/>
                <w:szCs w:val="21"/>
                <w:lang w:val="en-US" w:eastAsia="zh-CN"/>
              </w:rPr>
              <w:t>每有一项得1分，最高</w:t>
            </w:r>
            <w:r>
              <w:rPr>
                <w:rFonts w:hint="eastAsia" w:ascii="宋体" w:hAnsi="宋体" w:cs="宋体"/>
                <w:szCs w:val="21"/>
                <w:lang w:val="en-US" w:eastAsia="zh-CN"/>
              </w:rPr>
              <w:t>得6分</w:t>
            </w:r>
            <w:r>
              <w:rPr>
                <w:rFonts w:hint="eastAsia" w:ascii="宋体" w:hAnsi="宋体" w:cs="宋体"/>
                <w:szCs w:val="21"/>
              </w:rPr>
              <w:t>；</w:t>
            </w:r>
          </w:p>
          <w:p w14:paraId="3EB1AFC5">
            <w:pPr>
              <w:widowControl/>
              <w:numPr>
                <w:ilvl w:val="0"/>
                <w:numId w:val="1"/>
              </w:numPr>
              <w:spacing w:line="46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投标人具有AAA信用等级证书、高新技术企业证书的，每有一项得1分，最高得2分；</w:t>
            </w:r>
          </w:p>
          <w:p w14:paraId="3905C412">
            <w:pPr>
              <w:widowControl/>
              <w:numPr>
                <w:ilvl w:val="0"/>
                <w:numId w:val="1"/>
              </w:numPr>
              <w:spacing w:line="460" w:lineRule="exact"/>
              <w:jc w:val="left"/>
              <w:textAlignment w:val="center"/>
              <w:rPr>
                <w:rFonts w:hint="default"/>
                <w:lang w:val="en-US" w:eastAsia="zh-CN"/>
              </w:rPr>
            </w:pPr>
            <w:r>
              <w:rPr>
                <w:rFonts w:hint="eastAsia" w:ascii="宋体" w:hAnsi="宋体" w:eastAsia="宋体" w:cs="宋体"/>
                <w:szCs w:val="21"/>
                <w:lang w:val="en-US" w:eastAsia="zh-CN"/>
              </w:rPr>
              <w:t>投标人具有</w:t>
            </w:r>
            <w:r>
              <w:rPr>
                <w:rFonts w:hint="eastAsia" w:ascii="宋体" w:hAnsi="宋体" w:cs="宋体"/>
                <w:szCs w:val="21"/>
                <w:lang w:val="en-US" w:eastAsia="zh-CN"/>
              </w:rPr>
              <w:t>五星级售后服务证书</w:t>
            </w:r>
            <w:r>
              <w:rPr>
                <w:rFonts w:hint="eastAsia" w:ascii="宋体" w:hAnsi="宋体" w:eastAsia="宋体" w:cs="宋体"/>
                <w:szCs w:val="21"/>
                <w:lang w:val="en-US" w:eastAsia="zh-CN"/>
              </w:rPr>
              <w:t>、信息安全服务资质认证证书的，每有一项得2分，最高得4分。</w:t>
            </w:r>
          </w:p>
          <w:p w14:paraId="23199CCF">
            <w:pPr>
              <w:spacing w:line="460" w:lineRule="exact"/>
              <w:rPr>
                <w:rFonts w:hint="eastAsia" w:ascii="宋体" w:hAnsi="宋体" w:eastAsia="宋体" w:cs="宋体"/>
                <w:szCs w:val="21"/>
                <w:lang w:val="zh-CN" w:eastAsia="zh-CN"/>
              </w:rPr>
            </w:pPr>
            <w:r>
              <w:rPr>
                <w:rFonts w:hint="eastAsia" w:ascii="宋体" w:hAnsi="宋体" w:cs="宋体"/>
                <w:b/>
                <w:bCs/>
                <w:color w:val="000000"/>
                <w:kern w:val="0"/>
                <w:szCs w:val="21"/>
                <w:lang w:bidi="ar"/>
              </w:rPr>
              <w:t>【评审依据：</w:t>
            </w:r>
            <w:r>
              <w:rPr>
                <w:rFonts w:hint="eastAsia" w:ascii="宋体" w:hAnsi="宋体" w:cs="宋体"/>
                <w:b/>
                <w:bCs/>
                <w:color w:val="000000"/>
                <w:kern w:val="0"/>
                <w:szCs w:val="21"/>
                <w:lang w:val="en-US" w:eastAsia="zh-CN" w:bidi="ar"/>
              </w:rPr>
              <w:t>投标文件中</w:t>
            </w:r>
            <w:r>
              <w:rPr>
                <w:rFonts w:hint="eastAsia" w:ascii="宋体" w:hAnsi="宋体" w:cs="宋体"/>
                <w:b/>
                <w:bCs/>
                <w:color w:val="000000"/>
                <w:kern w:val="0"/>
                <w:szCs w:val="21"/>
                <w:lang w:bidi="ar"/>
              </w:rPr>
              <w:t>需</w:t>
            </w:r>
            <w:r>
              <w:rPr>
                <w:rFonts w:hint="eastAsia" w:ascii="宋体" w:hAnsi="宋体" w:cs="宋体"/>
                <w:b/>
                <w:bCs/>
                <w:color w:val="000000"/>
                <w:kern w:val="0"/>
                <w:szCs w:val="21"/>
                <w:lang w:val="en-US" w:eastAsia="zh-CN" w:bidi="ar"/>
              </w:rPr>
              <w:t>提供</w:t>
            </w:r>
            <w:r>
              <w:rPr>
                <w:rFonts w:hint="eastAsia" w:ascii="宋体" w:hAnsi="宋体" w:cs="宋体"/>
                <w:b/>
                <w:bCs/>
                <w:color w:val="000000"/>
                <w:kern w:val="0"/>
                <w:szCs w:val="21"/>
                <w:lang w:bidi="ar"/>
              </w:rPr>
              <w:t>以上证书复印件加盖公章，不提供的不得分</w:t>
            </w:r>
            <w:r>
              <w:rPr>
                <w:rFonts w:hint="eastAsia" w:ascii="宋体" w:hAnsi="宋体" w:cs="宋体"/>
                <w:b/>
                <w:bCs/>
                <w:color w:val="000000"/>
                <w:kern w:val="0"/>
                <w:szCs w:val="21"/>
                <w:lang w:eastAsia="zh-CN" w:bidi="ar"/>
              </w:rPr>
              <w:t>】</w:t>
            </w:r>
          </w:p>
        </w:tc>
      </w:tr>
      <w:tr w14:paraId="0479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18" w:type="dxa"/>
            <w:vMerge w:val="continue"/>
            <w:tcBorders>
              <w:left w:val="single" w:color="auto" w:sz="4" w:space="0"/>
              <w:right w:val="single" w:color="auto" w:sz="4" w:space="0"/>
            </w:tcBorders>
            <w:noWrap w:val="0"/>
            <w:vAlign w:val="center"/>
          </w:tcPr>
          <w:p w14:paraId="535995F2">
            <w:pPr>
              <w:spacing w:line="460" w:lineRule="exact"/>
              <w:jc w:val="center"/>
              <w:rPr>
                <w:rFonts w:hint="eastAsia" w:ascii="宋体" w:hAnsi="宋体" w:cs="宋体"/>
                <w:bCs/>
                <w:szCs w:val="21"/>
                <w:lang w:val="zh-CN"/>
              </w:rPr>
            </w:pPr>
          </w:p>
        </w:tc>
        <w:tc>
          <w:tcPr>
            <w:tcW w:w="1403" w:type="dxa"/>
            <w:gridSpan w:val="2"/>
            <w:tcBorders>
              <w:top w:val="single" w:color="auto" w:sz="4" w:space="0"/>
              <w:left w:val="single" w:color="auto" w:sz="4" w:space="0"/>
              <w:right w:val="single" w:color="auto" w:sz="4" w:space="0"/>
            </w:tcBorders>
            <w:noWrap w:val="0"/>
            <w:vAlign w:val="center"/>
          </w:tcPr>
          <w:p w14:paraId="112A9215">
            <w:pPr>
              <w:widowControl/>
              <w:spacing w:line="4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业绩状况</w:t>
            </w:r>
          </w:p>
          <w:p w14:paraId="075A8CC0">
            <w:pPr>
              <w:pStyle w:val="2"/>
              <w:ind w:left="0" w:leftChars="0" w:firstLine="0" w:firstLineChars="0"/>
              <w:jc w:val="center"/>
              <w:rPr>
                <w:rFonts w:hint="eastAsia" w:eastAsia="宋体"/>
                <w:lang w:eastAsia="zh-CN"/>
              </w:rPr>
            </w:pPr>
            <w:r>
              <w:rPr>
                <w:rFonts w:hint="eastAsia" w:ascii="宋体" w:hAnsi="宋体" w:eastAsia="宋体" w:cs="宋体"/>
                <w:color w:val="000000"/>
                <w:kern w:val="0"/>
                <w:sz w:val="21"/>
                <w:szCs w:val="21"/>
                <w:lang w:val="en-US" w:eastAsia="zh-CN" w:bidi="ar"/>
              </w:rPr>
              <w:t>（14分）</w:t>
            </w:r>
          </w:p>
        </w:tc>
        <w:tc>
          <w:tcPr>
            <w:tcW w:w="7067" w:type="dxa"/>
            <w:tcBorders>
              <w:top w:val="single" w:color="auto" w:sz="4" w:space="0"/>
              <w:left w:val="single" w:color="auto" w:sz="4" w:space="0"/>
              <w:bottom w:val="single" w:color="auto" w:sz="4" w:space="0"/>
              <w:right w:val="single" w:color="auto" w:sz="4" w:space="0"/>
            </w:tcBorders>
            <w:noWrap w:val="0"/>
            <w:vAlign w:val="center"/>
          </w:tcPr>
          <w:p w14:paraId="2FF62558">
            <w:pPr>
              <w:widowControl/>
              <w:spacing w:line="460" w:lineRule="exact"/>
              <w:jc w:val="lef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1、投标人具有不动产或自然资源确权数据相关技术研究案例，每提供一个得2分，最多得4分；</w:t>
            </w:r>
          </w:p>
          <w:p w14:paraId="67925957">
            <w:pPr>
              <w:widowControl/>
              <w:spacing w:line="4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2、投标人具有林权、不动产房地一体、集体土地所有权、农村土地承包经营权、自然资源确权数据相关业绩，每提供一个类型案例得2分，最多得10分。</w:t>
            </w:r>
          </w:p>
          <w:p w14:paraId="5CB7AC65">
            <w:pPr>
              <w:widowControl/>
              <w:spacing w:line="460" w:lineRule="exact"/>
              <w:jc w:val="left"/>
              <w:textAlignment w:val="center"/>
              <w:rPr>
                <w:rFonts w:hint="eastAsia" w:ascii="宋体" w:hAnsi="宋体" w:eastAsia="宋体" w:cs="宋体"/>
                <w:bCs/>
                <w:szCs w:val="21"/>
                <w:lang w:val="zh-CN" w:eastAsia="zh-CN"/>
              </w:rPr>
            </w:pPr>
            <w:r>
              <w:rPr>
                <w:rFonts w:hint="eastAsia" w:ascii="宋体" w:hAnsi="宋体" w:cs="宋体"/>
                <w:b/>
                <w:bCs/>
                <w:color w:val="000000"/>
                <w:kern w:val="0"/>
                <w:szCs w:val="21"/>
                <w:lang w:bidi="ar"/>
              </w:rPr>
              <w:t>【评审依据：投标文件中需</w:t>
            </w:r>
            <w:r>
              <w:rPr>
                <w:rFonts w:hint="eastAsia" w:ascii="宋体" w:hAnsi="宋体" w:cs="宋体"/>
                <w:b/>
                <w:bCs/>
                <w:color w:val="000000"/>
                <w:kern w:val="0"/>
                <w:szCs w:val="21"/>
                <w:lang w:val="en-US" w:eastAsia="zh-CN" w:bidi="ar"/>
              </w:rPr>
              <w:t>提供上述内容</w:t>
            </w:r>
            <w:r>
              <w:rPr>
                <w:rFonts w:hint="eastAsia" w:ascii="宋体" w:hAnsi="宋体" w:cs="宋体"/>
                <w:b/>
                <w:bCs/>
                <w:color w:val="000000"/>
                <w:kern w:val="0"/>
                <w:szCs w:val="21"/>
                <w:lang w:bidi="ar"/>
              </w:rPr>
              <w:t>复印件加盖公章，以合同或中标通知书为准，不提供的不得分</w:t>
            </w:r>
            <w:r>
              <w:rPr>
                <w:rFonts w:hint="eastAsia" w:ascii="宋体" w:hAnsi="宋体" w:cs="宋体"/>
                <w:b/>
                <w:bCs/>
                <w:color w:val="000000"/>
                <w:kern w:val="0"/>
                <w:szCs w:val="21"/>
                <w:lang w:eastAsia="zh-CN" w:bidi="ar"/>
              </w:rPr>
              <w:t>。】</w:t>
            </w:r>
          </w:p>
        </w:tc>
      </w:tr>
      <w:tr w14:paraId="7443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218" w:type="dxa"/>
            <w:vMerge w:val="restart"/>
            <w:tcBorders>
              <w:top w:val="single" w:color="auto" w:sz="4" w:space="0"/>
              <w:left w:val="single" w:color="auto" w:sz="4" w:space="0"/>
              <w:right w:val="single" w:color="auto" w:sz="4" w:space="0"/>
            </w:tcBorders>
            <w:noWrap w:val="0"/>
            <w:vAlign w:val="center"/>
          </w:tcPr>
          <w:p w14:paraId="1BA5B6F5">
            <w:pPr>
              <w:widowControl/>
              <w:spacing w:line="460" w:lineRule="exact"/>
              <w:jc w:val="center"/>
              <w:textAlignment w:val="center"/>
              <w:rPr>
                <w:rFonts w:hint="eastAsia" w:ascii="宋体" w:hAnsi="宋体" w:cs="宋体"/>
                <w:bCs/>
                <w:szCs w:val="21"/>
              </w:rPr>
            </w:pPr>
            <w:r>
              <w:rPr>
                <w:rFonts w:hint="eastAsia" w:ascii="宋体" w:hAnsi="宋体" w:cs="宋体"/>
                <w:color w:val="000000"/>
                <w:kern w:val="0"/>
                <w:szCs w:val="21"/>
                <w:lang w:bidi="ar"/>
              </w:rPr>
              <w:t>技术部分（</w:t>
            </w:r>
            <w:r>
              <w:rPr>
                <w:rFonts w:hint="eastAsia" w:ascii="宋体" w:hAnsi="宋体" w:cs="宋体"/>
                <w:color w:val="000000"/>
                <w:kern w:val="0"/>
                <w:szCs w:val="21"/>
                <w:lang w:val="en-US" w:eastAsia="zh-CN" w:bidi="ar"/>
              </w:rPr>
              <w:t>64</w:t>
            </w:r>
            <w:r>
              <w:rPr>
                <w:rFonts w:hint="eastAsia" w:ascii="宋体" w:hAnsi="宋体" w:cs="宋体"/>
                <w:color w:val="000000"/>
                <w:kern w:val="0"/>
                <w:szCs w:val="21"/>
                <w:lang w:bidi="ar"/>
              </w:rPr>
              <w:t>分）</w:t>
            </w:r>
          </w:p>
        </w:tc>
        <w:tc>
          <w:tcPr>
            <w:tcW w:w="1403" w:type="dxa"/>
            <w:gridSpan w:val="2"/>
            <w:tcBorders>
              <w:top w:val="single" w:color="auto" w:sz="4" w:space="0"/>
              <w:left w:val="single" w:color="auto" w:sz="4" w:space="0"/>
              <w:right w:val="single" w:color="auto" w:sz="4" w:space="0"/>
            </w:tcBorders>
            <w:noWrap w:val="0"/>
            <w:vAlign w:val="center"/>
          </w:tcPr>
          <w:p w14:paraId="0F4485C1">
            <w:pPr>
              <w:spacing w:line="460" w:lineRule="exact"/>
              <w:ind w:left="105" w:leftChars="50" w:right="105" w:rightChars="50"/>
              <w:jc w:val="center"/>
              <w:rPr>
                <w:rFonts w:hint="eastAsia" w:ascii="宋体" w:hAnsi="宋体" w:cs="宋体"/>
                <w:szCs w:val="21"/>
              </w:rPr>
            </w:pPr>
            <w:r>
              <w:rPr>
                <w:rFonts w:hint="eastAsia" w:ascii="宋体" w:hAnsi="宋体" w:cs="宋体"/>
                <w:szCs w:val="21"/>
                <w:lang w:val="en-US" w:eastAsia="zh-CN"/>
              </w:rPr>
              <w:t>技术</w:t>
            </w:r>
            <w:r>
              <w:rPr>
                <w:rFonts w:hint="eastAsia" w:ascii="宋体" w:hAnsi="宋体" w:cs="宋体"/>
                <w:szCs w:val="21"/>
              </w:rPr>
              <w:t>方案</w:t>
            </w:r>
          </w:p>
          <w:p w14:paraId="25ED5640">
            <w:pPr>
              <w:pStyle w:val="2"/>
              <w:ind w:left="0" w:leftChars="0" w:firstLine="0" w:firstLineChars="0"/>
              <w:jc w:val="center"/>
              <w:rPr>
                <w:rFonts w:hint="eastAsia" w:eastAsia="宋体"/>
                <w:lang w:eastAsia="zh-CN"/>
              </w:rPr>
            </w:pPr>
            <w:r>
              <w:rPr>
                <w:rFonts w:hint="eastAsia" w:ascii="宋体" w:hAnsi="宋体" w:eastAsia="宋体" w:cs="宋体"/>
                <w:color w:val="000000"/>
                <w:kern w:val="0"/>
                <w:sz w:val="21"/>
                <w:szCs w:val="21"/>
                <w:lang w:val="en-US" w:eastAsia="zh-CN" w:bidi="ar"/>
              </w:rPr>
              <w:t>（39分）</w:t>
            </w:r>
          </w:p>
        </w:tc>
        <w:tc>
          <w:tcPr>
            <w:tcW w:w="7067" w:type="dxa"/>
            <w:tcBorders>
              <w:top w:val="single" w:color="auto" w:sz="4" w:space="0"/>
              <w:left w:val="single" w:color="auto" w:sz="4" w:space="0"/>
              <w:bottom w:val="single" w:color="auto" w:sz="4" w:space="0"/>
              <w:right w:val="single" w:color="auto" w:sz="4" w:space="0"/>
            </w:tcBorders>
            <w:noWrap w:val="0"/>
            <w:vAlign w:val="center"/>
          </w:tcPr>
          <w:p w14:paraId="106ACDCC">
            <w:pPr>
              <w:spacing w:line="460" w:lineRule="exact"/>
              <w:ind w:left="105" w:leftChars="50" w:right="105" w:rightChars="50"/>
              <w:rPr>
                <w:rFonts w:hint="eastAsia" w:ascii="宋体" w:hAnsi="宋体" w:cs="宋体"/>
                <w:szCs w:val="21"/>
              </w:rPr>
            </w:pPr>
            <w:r>
              <w:rPr>
                <w:rFonts w:hint="eastAsia" w:ascii="宋体" w:hAnsi="宋体" w:cs="宋体"/>
                <w:szCs w:val="21"/>
              </w:rPr>
              <w:t>投标人编制的《技术方案》符合国家相关规定和实际情况及业务需求，</w:t>
            </w:r>
            <w:r>
              <w:rPr>
                <w:rFonts w:hint="eastAsia" w:ascii="宋体" w:hAnsi="宋体" w:cs="宋体"/>
                <w:szCs w:val="21"/>
                <w:lang w:val="en-US" w:eastAsia="zh-CN"/>
              </w:rPr>
              <w:t>对方案内容</w:t>
            </w:r>
            <w:r>
              <w:rPr>
                <w:rFonts w:hint="eastAsia" w:ascii="宋体" w:hAnsi="宋体" w:cs="宋体"/>
                <w:szCs w:val="21"/>
              </w:rPr>
              <w:t>进行综合评审：</w:t>
            </w:r>
          </w:p>
          <w:p w14:paraId="7C3DAD34">
            <w:pPr>
              <w:numPr>
                <w:ilvl w:val="0"/>
                <w:numId w:val="2"/>
              </w:numPr>
              <w:spacing w:line="460" w:lineRule="exact"/>
              <w:ind w:left="105" w:leftChars="50" w:right="105" w:rightChars="50"/>
              <w:rPr>
                <w:rFonts w:hint="eastAsia" w:ascii="宋体" w:hAnsi="宋体" w:cs="宋体"/>
                <w:szCs w:val="21"/>
                <w:lang w:val="en-US" w:eastAsia="zh-CN"/>
              </w:rPr>
            </w:pPr>
            <w:r>
              <w:rPr>
                <w:rFonts w:hint="eastAsia" w:ascii="宋体" w:hAnsi="宋体" w:cs="宋体"/>
                <w:szCs w:val="21"/>
                <w:lang w:val="en-US" w:eastAsia="zh-CN"/>
              </w:rPr>
              <w:t>投标人根据本项目需求提供项目需求方案，</w:t>
            </w:r>
            <w:r>
              <w:rPr>
                <w:rFonts w:hint="eastAsia" w:ascii="宋体" w:hAnsi="宋体" w:eastAsia="宋体" w:cs="宋体"/>
                <w:kern w:val="2"/>
                <w:sz w:val="21"/>
                <w:szCs w:val="21"/>
                <w:highlight w:val="none"/>
                <w:lang w:val="en-US" w:eastAsia="zh-CN" w:bidi="ar-SA"/>
              </w:rPr>
              <w:t>方案内容包括但不限于①项目背景，②需求分析等。</w:t>
            </w:r>
          </w:p>
          <w:p w14:paraId="5FC7F4F3">
            <w:pPr>
              <w:numPr>
                <w:ilvl w:val="0"/>
                <w:numId w:val="0"/>
              </w:numPr>
              <w:spacing w:line="460" w:lineRule="exact"/>
              <w:ind w:right="105" w:rightChars="50" w:firstLine="420" w:firstLineChars="200"/>
              <w:rPr>
                <w:rFonts w:hint="eastAsia" w:ascii="宋体" w:hAnsi="宋体" w:cs="宋体"/>
                <w:szCs w:val="21"/>
                <w:lang w:val="en-US" w:eastAsia="zh-CN"/>
              </w:rPr>
            </w:pPr>
            <w:r>
              <w:rPr>
                <w:rFonts w:hint="eastAsia" w:ascii="宋体" w:hAnsi="宋体" w:cs="宋体"/>
                <w:szCs w:val="21"/>
                <w:lang w:val="en-US" w:eastAsia="zh-CN"/>
              </w:rPr>
              <w:t>方案涵盖以上所有内容，且完全符合项目实际的得满分8分；</w:t>
            </w:r>
          </w:p>
          <w:p w14:paraId="5D912653">
            <w:pPr>
              <w:numPr>
                <w:ilvl w:val="0"/>
                <w:numId w:val="0"/>
              </w:numPr>
              <w:spacing w:line="460" w:lineRule="exact"/>
              <w:ind w:right="105" w:rightChars="50" w:firstLine="420" w:firstLineChars="200"/>
              <w:rPr>
                <w:rFonts w:hint="eastAsia" w:ascii="宋体" w:hAnsi="宋体" w:cs="宋体"/>
                <w:szCs w:val="21"/>
                <w:lang w:val="en-US" w:eastAsia="zh-CN"/>
              </w:rPr>
            </w:pPr>
            <w:r>
              <w:rPr>
                <w:rFonts w:hint="eastAsia" w:ascii="宋体" w:hAnsi="宋体" w:cs="宋体"/>
                <w:szCs w:val="21"/>
                <w:lang w:val="en-US" w:eastAsia="zh-CN"/>
              </w:rPr>
              <w:t>方案存在一般缺陷（包括内容逻辑不一致、内容有缺失等，但不影响项目的实施）的得4分；</w:t>
            </w:r>
          </w:p>
          <w:p w14:paraId="033C7A5A">
            <w:pPr>
              <w:numPr>
                <w:ilvl w:val="0"/>
                <w:numId w:val="0"/>
              </w:numPr>
              <w:spacing w:line="460" w:lineRule="exact"/>
              <w:ind w:right="105" w:rightChars="50" w:firstLine="420" w:firstLineChars="200"/>
              <w:rPr>
                <w:rFonts w:hint="eastAsia" w:ascii="宋体" w:hAnsi="宋体" w:cs="宋体"/>
                <w:szCs w:val="21"/>
                <w:lang w:val="en-US" w:eastAsia="zh-CN"/>
              </w:rPr>
            </w:pPr>
            <w:r>
              <w:rPr>
                <w:rFonts w:hint="eastAsia" w:ascii="宋体" w:hAnsi="宋体" w:cs="宋体"/>
                <w:szCs w:val="21"/>
                <w:lang w:val="en-US" w:eastAsia="zh-CN"/>
              </w:rPr>
              <w:t>方案存在重大缺陷的不得分。</w:t>
            </w:r>
          </w:p>
          <w:p w14:paraId="5581A9A7">
            <w:pPr>
              <w:numPr>
                <w:ilvl w:val="0"/>
                <w:numId w:val="2"/>
              </w:numPr>
              <w:spacing w:line="460" w:lineRule="exact"/>
              <w:ind w:left="105" w:leftChars="50" w:right="105" w:rightChars="50"/>
              <w:rPr>
                <w:rFonts w:hint="eastAsia" w:ascii="宋体" w:hAnsi="宋体" w:cs="宋体"/>
                <w:szCs w:val="21"/>
                <w:lang w:val="en-US" w:eastAsia="zh-CN"/>
              </w:rPr>
            </w:pPr>
            <w:r>
              <w:rPr>
                <w:rFonts w:hint="eastAsia" w:ascii="宋体" w:hAnsi="宋体" w:cs="宋体"/>
                <w:szCs w:val="21"/>
                <w:lang w:val="en-US" w:eastAsia="zh-CN"/>
              </w:rPr>
              <w:t>投标人根据本项目需求提供项目工作方案，</w:t>
            </w:r>
            <w:r>
              <w:rPr>
                <w:rFonts w:hint="eastAsia" w:ascii="宋体" w:hAnsi="宋体" w:eastAsia="宋体" w:cs="宋体"/>
                <w:kern w:val="2"/>
                <w:sz w:val="21"/>
                <w:szCs w:val="21"/>
                <w:highlight w:val="none"/>
                <w:lang w:val="en-US" w:eastAsia="zh-CN" w:bidi="ar-SA"/>
              </w:rPr>
              <w:t>方案内容包括但不限于①技术路线，②工作内容描述等。</w:t>
            </w:r>
          </w:p>
          <w:p w14:paraId="08034C57">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方案涵盖以上所有内容，且完全符合项目实际的得满分8分；</w:t>
            </w:r>
          </w:p>
          <w:p w14:paraId="19A5A518">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方案存在一般缺陷（包括内容逻辑不一致、内容有缺失等，但不影响项目的实施）的得4分；</w:t>
            </w:r>
          </w:p>
          <w:p w14:paraId="539813FA">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方案存在重大缺陷的不得分。</w:t>
            </w:r>
          </w:p>
          <w:p w14:paraId="3A9FF3B5">
            <w:pPr>
              <w:numPr>
                <w:ilvl w:val="0"/>
                <w:numId w:val="2"/>
              </w:numPr>
              <w:spacing w:line="460" w:lineRule="exact"/>
              <w:ind w:left="105" w:leftChars="50" w:right="105" w:rightChars="50"/>
              <w:rPr>
                <w:rFonts w:hint="eastAsia" w:ascii="宋体" w:hAnsi="宋体" w:eastAsia="宋体" w:cs="宋体"/>
                <w:szCs w:val="21"/>
                <w:lang w:val="en-US" w:eastAsia="zh-CN"/>
              </w:rPr>
            </w:pPr>
            <w:r>
              <w:rPr>
                <w:rFonts w:hint="eastAsia" w:ascii="宋体" w:hAnsi="宋体" w:eastAsia="宋体" w:cs="宋体"/>
                <w:szCs w:val="21"/>
                <w:lang w:val="en-US" w:eastAsia="zh-CN"/>
              </w:rPr>
              <w:t>投标人根据本项目需求提供项目实施方案，方案内容包括但不限于①项目组织架构及人员分工，②实施进度计划等。</w:t>
            </w:r>
          </w:p>
          <w:p w14:paraId="1A5059C7">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方案涵盖以上所有内容，且完全符合项目实际的得满分8分；</w:t>
            </w:r>
          </w:p>
          <w:p w14:paraId="6632D098">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方案存在一般缺陷（包括内容逻辑不一致、内容有缺失等，但不影响项目的实施）的得4分；</w:t>
            </w:r>
          </w:p>
          <w:p w14:paraId="1FDED905">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方案存在重大缺陷的不得分。</w:t>
            </w:r>
          </w:p>
          <w:p w14:paraId="4B831714">
            <w:pPr>
              <w:numPr>
                <w:ilvl w:val="0"/>
                <w:numId w:val="2"/>
              </w:numPr>
              <w:spacing w:line="460" w:lineRule="exact"/>
              <w:ind w:left="105" w:leftChars="50" w:right="105" w:rightChars="50"/>
              <w:rPr>
                <w:rFonts w:hint="eastAsia" w:ascii="宋体" w:hAnsi="宋体" w:cs="宋体"/>
                <w:color w:val="000000"/>
                <w:kern w:val="0"/>
                <w:szCs w:val="21"/>
                <w:lang w:bidi="ar"/>
              </w:rPr>
            </w:pPr>
            <w:r>
              <w:rPr>
                <w:rFonts w:hint="eastAsia" w:ascii="宋体" w:hAnsi="宋体" w:cs="宋体"/>
                <w:szCs w:val="21"/>
                <w:lang w:val="en-US" w:eastAsia="zh-CN"/>
              </w:rPr>
              <w:t>投标人根据本项目需求提供项目</w:t>
            </w:r>
            <w:r>
              <w:rPr>
                <w:rFonts w:hint="eastAsia" w:ascii="宋体" w:hAnsi="宋体" w:eastAsia="宋体"/>
                <w:sz w:val="21"/>
                <w:lang w:val="en-US" w:eastAsia="zh-CN"/>
              </w:rPr>
              <w:t>质量保障</w:t>
            </w:r>
            <w:r>
              <w:rPr>
                <w:rFonts w:ascii="宋体" w:hAnsi="宋体" w:eastAsia="宋体"/>
                <w:sz w:val="21"/>
              </w:rPr>
              <w:t>方案</w:t>
            </w:r>
            <w:r>
              <w:rPr>
                <w:rFonts w:hint="eastAsia" w:ascii="宋体" w:hAnsi="宋体" w:cs="宋体"/>
                <w:szCs w:val="21"/>
                <w:lang w:val="en-US" w:eastAsia="zh-CN"/>
              </w:rPr>
              <w:t>，</w:t>
            </w:r>
            <w:r>
              <w:rPr>
                <w:rFonts w:hint="eastAsia" w:ascii="宋体" w:hAnsi="宋体" w:eastAsia="宋体" w:cs="宋体"/>
                <w:kern w:val="2"/>
                <w:sz w:val="21"/>
                <w:szCs w:val="21"/>
                <w:highlight w:val="none"/>
                <w:lang w:val="en-US" w:eastAsia="zh-CN" w:bidi="ar-SA"/>
              </w:rPr>
              <w:t>方案内容包括但不限于①质量管理制度，②质量保障措施等。</w:t>
            </w:r>
          </w:p>
          <w:p w14:paraId="57C58302">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方案涵盖以上所有内容，且完全符合项目实际的得满分5分；</w:t>
            </w:r>
          </w:p>
          <w:p w14:paraId="507CC64D">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方案存在一般缺陷（包括内容逻辑不一致、内容有缺失等，但不影响项目的实施）的得3分；</w:t>
            </w:r>
          </w:p>
          <w:p w14:paraId="54324687">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方案存在重大缺陷的不得分。</w:t>
            </w:r>
          </w:p>
          <w:p w14:paraId="27A8EEE7">
            <w:pPr>
              <w:numPr>
                <w:ilvl w:val="0"/>
                <w:numId w:val="2"/>
              </w:numPr>
              <w:spacing w:line="460" w:lineRule="exact"/>
              <w:ind w:left="105" w:leftChars="50" w:right="105" w:rightChars="50"/>
              <w:rPr>
                <w:rFonts w:hint="eastAsia"/>
              </w:rPr>
            </w:pPr>
            <w:r>
              <w:rPr>
                <w:rFonts w:hint="eastAsia" w:ascii="宋体" w:hAnsi="宋体" w:cs="宋体"/>
                <w:szCs w:val="21"/>
                <w:lang w:val="en-US" w:eastAsia="zh-CN"/>
              </w:rPr>
              <w:t>投标人根据本项目需求提供项目风险应急管理</w:t>
            </w:r>
            <w:r>
              <w:rPr>
                <w:rFonts w:ascii="宋体" w:hAnsi="宋体" w:eastAsia="宋体"/>
                <w:sz w:val="21"/>
              </w:rPr>
              <w:t>方案</w:t>
            </w:r>
            <w:r>
              <w:rPr>
                <w:rFonts w:hint="eastAsia" w:ascii="宋体" w:hAnsi="宋体" w:cs="宋体"/>
                <w:szCs w:val="21"/>
                <w:lang w:val="en-US" w:eastAsia="zh-CN"/>
              </w:rPr>
              <w:t>，</w:t>
            </w:r>
            <w:r>
              <w:rPr>
                <w:rFonts w:hint="eastAsia" w:ascii="宋体" w:hAnsi="宋体" w:eastAsia="宋体" w:cs="宋体"/>
                <w:kern w:val="2"/>
                <w:sz w:val="21"/>
                <w:szCs w:val="21"/>
                <w:highlight w:val="none"/>
                <w:lang w:val="en-US" w:eastAsia="zh-CN" w:bidi="ar-SA"/>
              </w:rPr>
              <w:t>方案内容包括但不限于①风险规避措施，②应急管理制度等。</w:t>
            </w:r>
          </w:p>
          <w:p w14:paraId="6183F7C9">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方案涵盖以上所有内容，且完全符合项目实际的得满分5分；</w:t>
            </w:r>
          </w:p>
          <w:p w14:paraId="7F85039D">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方案存在一般缺陷（包括内容逻辑不一致、内容有缺失等，但不影响项目的实施）的得3分；</w:t>
            </w:r>
          </w:p>
          <w:p w14:paraId="53BF76D7">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方案存在重大缺陷的不得分。</w:t>
            </w:r>
          </w:p>
          <w:p w14:paraId="504B0E64">
            <w:pPr>
              <w:numPr>
                <w:ilvl w:val="0"/>
                <w:numId w:val="2"/>
              </w:numPr>
              <w:spacing w:line="460" w:lineRule="exact"/>
              <w:ind w:left="105" w:leftChars="50" w:right="105" w:rightChars="50"/>
              <w:rPr>
                <w:rFonts w:hint="eastAsia"/>
              </w:rPr>
            </w:pPr>
            <w:r>
              <w:rPr>
                <w:rFonts w:hint="eastAsia" w:ascii="宋体" w:hAnsi="宋体" w:cs="宋体"/>
                <w:szCs w:val="21"/>
                <w:lang w:val="en-US" w:eastAsia="zh-CN"/>
              </w:rPr>
              <w:t>投标人根据本项目需求提供项目售后服务</w:t>
            </w:r>
            <w:r>
              <w:rPr>
                <w:rFonts w:ascii="宋体" w:hAnsi="宋体" w:eastAsia="宋体"/>
                <w:sz w:val="21"/>
              </w:rPr>
              <w:t>方案</w:t>
            </w:r>
            <w:r>
              <w:rPr>
                <w:rFonts w:hint="eastAsia" w:ascii="宋体" w:hAnsi="宋体" w:cs="宋体"/>
                <w:szCs w:val="21"/>
                <w:lang w:val="en-US" w:eastAsia="zh-CN"/>
              </w:rPr>
              <w:t>，方案内容包括但不限于</w:t>
            </w:r>
            <w:r>
              <w:rPr>
                <w:rFonts w:hint="eastAsia" w:ascii="宋体" w:hAnsi="宋体" w:eastAsia="宋体" w:cs="宋体"/>
                <w:kern w:val="2"/>
                <w:sz w:val="21"/>
                <w:szCs w:val="21"/>
                <w:highlight w:val="none"/>
                <w:lang w:val="en-US" w:eastAsia="zh-CN" w:bidi="ar-SA"/>
              </w:rPr>
              <w:t>①服务响应时间，②服务方式等。</w:t>
            </w:r>
          </w:p>
          <w:p w14:paraId="47D2D1F1">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方案涵盖以上所有内容，且完全符合项目实际的得满分5分；</w:t>
            </w:r>
          </w:p>
          <w:p w14:paraId="3C1AC70F">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方案存在一般缺陷（包括内容逻辑不一致、内容有缺失等，但不影响项目的实施）的得3分；</w:t>
            </w:r>
          </w:p>
          <w:p w14:paraId="104B3CEB">
            <w:pPr>
              <w:numPr>
                <w:ilvl w:val="0"/>
                <w:numId w:val="0"/>
              </w:numPr>
              <w:spacing w:line="460" w:lineRule="exact"/>
              <w:ind w:right="105" w:rightChars="50" w:firstLine="420" w:firstLineChars="200"/>
              <w:rPr>
                <w:rFonts w:hint="eastAsia"/>
              </w:rPr>
            </w:pPr>
            <w:r>
              <w:rPr>
                <w:rFonts w:hint="eastAsia" w:ascii="宋体" w:hAnsi="宋体" w:eastAsia="宋体" w:cs="宋体"/>
                <w:szCs w:val="21"/>
                <w:lang w:val="en-US" w:eastAsia="zh-CN"/>
              </w:rPr>
              <w:t>方案存在重大缺陷的不得分。</w:t>
            </w:r>
          </w:p>
        </w:tc>
      </w:tr>
      <w:tr w14:paraId="5E6C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18" w:type="dxa"/>
            <w:vMerge w:val="continue"/>
            <w:tcBorders>
              <w:left w:val="single" w:color="auto" w:sz="4" w:space="0"/>
              <w:right w:val="single" w:color="auto" w:sz="4" w:space="0"/>
            </w:tcBorders>
            <w:noWrap w:val="0"/>
            <w:vAlign w:val="center"/>
          </w:tcPr>
          <w:p w14:paraId="5158744F">
            <w:pPr>
              <w:spacing w:line="460" w:lineRule="exact"/>
              <w:jc w:val="center"/>
              <w:rPr>
                <w:rFonts w:hint="eastAsia" w:ascii="宋体" w:hAnsi="宋体" w:cs="宋体"/>
                <w:bCs/>
                <w:szCs w:val="21"/>
                <w:lang w:val="zh-CN"/>
              </w:rPr>
            </w:pPr>
          </w:p>
        </w:tc>
        <w:tc>
          <w:tcPr>
            <w:tcW w:w="1403" w:type="dxa"/>
            <w:gridSpan w:val="2"/>
            <w:tcBorders>
              <w:left w:val="single" w:color="auto" w:sz="4" w:space="0"/>
              <w:bottom w:val="single" w:color="auto" w:sz="4" w:space="0"/>
              <w:right w:val="single" w:color="auto" w:sz="4" w:space="0"/>
            </w:tcBorders>
            <w:noWrap w:val="0"/>
            <w:vAlign w:val="center"/>
          </w:tcPr>
          <w:p w14:paraId="7C54F252">
            <w:pPr>
              <w:spacing w:line="460" w:lineRule="exact"/>
              <w:ind w:left="105" w:leftChars="50" w:right="105" w:rightChars="50"/>
              <w:jc w:val="center"/>
              <w:rPr>
                <w:rFonts w:hint="eastAsia" w:ascii="宋体" w:hAnsi="宋体" w:cs="宋体"/>
                <w:szCs w:val="21"/>
                <w:lang w:val="en-US" w:eastAsia="zh-CN"/>
              </w:rPr>
            </w:pPr>
            <w:r>
              <w:rPr>
                <w:rFonts w:hint="eastAsia" w:ascii="宋体" w:hAnsi="宋体" w:cs="宋体"/>
                <w:szCs w:val="21"/>
                <w:lang w:val="en-US" w:eastAsia="zh-CN"/>
              </w:rPr>
              <w:t>人员配备</w:t>
            </w:r>
          </w:p>
          <w:p w14:paraId="2234F1AA">
            <w:pPr>
              <w:spacing w:line="460" w:lineRule="exact"/>
              <w:ind w:left="105" w:leftChars="50" w:right="105" w:rightChars="50"/>
              <w:jc w:val="center"/>
              <w:rPr>
                <w:rFonts w:hint="default" w:ascii="宋体" w:hAnsi="宋体" w:eastAsia="宋体" w:cs="宋体"/>
                <w:bCs/>
                <w:szCs w:val="21"/>
                <w:lang w:val="en-US" w:eastAsia="zh-CN"/>
              </w:rPr>
            </w:pPr>
            <w:r>
              <w:rPr>
                <w:rFonts w:hint="eastAsia" w:ascii="宋体" w:hAnsi="宋体" w:eastAsia="宋体" w:cs="宋体"/>
                <w:color w:val="000000"/>
                <w:kern w:val="0"/>
                <w:sz w:val="21"/>
                <w:szCs w:val="21"/>
                <w:lang w:val="en-US" w:eastAsia="zh-CN" w:bidi="ar"/>
              </w:rPr>
              <w:t>（13分）</w:t>
            </w:r>
          </w:p>
        </w:tc>
        <w:tc>
          <w:tcPr>
            <w:tcW w:w="7067" w:type="dxa"/>
            <w:tcBorders>
              <w:top w:val="single" w:color="auto" w:sz="4" w:space="0"/>
              <w:left w:val="single" w:color="auto" w:sz="4" w:space="0"/>
              <w:bottom w:val="single" w:color="auto" w:sz="4" w:space="0"/>
              <w:right w:val="single" w:color="auto" w:sz="4" w:space="0"/>
            </w:tcBorders>
            <w:noWrap w:val="0"/>
            <w:vAlign w:val="center"/>
          </w:tcPr>
          <w:p w14:paraId="296CDDC6">
            <w:pPr>
              <w:numPr>
                <w:ilvl w:val="0"/>
                <w:numId w:val="3"/>
              </w:numPr>
              <w:spacing w:line="460" w:lineRule="exact"/>
              <w:ind w:left="105" w:leftChars="50" w:right="105" w:rightChars="50"/>
              <w:rPr>
                <w:rFonts w:hint="eastAsia"/>
                <w:lang w:val="en-US" w:eastAsia="zh-CN"/>
              </w:rPr>
            </w:pPr>
            <w:r>
              <w:rPr>
                <w:rFonts w:hint="eastAsia" w:ascii="宋体" w:hAnsi="宋体" w:cs="宋体"/>
                <w:szCs w:val="21"/>
                <w:lang w:val="en-US" w:eastAsia="zh-CN"/>
              </w:rPr>
              <w:t>投标人拟投入的项目负责人同时具有高级信息系统项目管理师证书、不动产登记代理人证书、中级或中级以上测绘工程师证书的得5分，缺项的不得分；</w:t>
            </w:r>
          </w:p>
          <w:p w14:paraId="7E927968">
            <w:pPr>
              <w:numPr>
                <w:ilvl w:val="0"/>
                <w:numId w:val="3"/>
              </w:numPr>
              <w:spacing w:line="460" w:lineRule="exact"/>
              <w:ind w:left="105" w:leftChars="50" w:right="105" w:rightChars="50"/>
              <w:rPr>
                <w:rFonts w:hint="eastAsia" w:eastAsia="宋体" w:cs="Times New Roman"/>
                <w:lang w:val="en-US" w:eastAsia="zh-CN"/>
              </w:rPr>
            </w:pPr>
            <w:r>
              <w:rPr>
                <w:rFonts w:hint="eastAsia" w:ascii="宋体" w:hAnsi="宋体" w:eastAsia="宋体" w:cs="宋体"/>
                <w:szCs w:val="21"/>
                <w:lang w:val="en-US" w:eastAsia="zh-CN"/>
              </w:rPr>
              <w:t>投标人拟投入的项目成员中，具有测绘类中级及以上职称的，每提供一个得2分，最多得4分；</w:t>
            </w:r>
          </w:p>
          <w:p w14:paraId="39D71A69">
            <w:pPr>
              <w:numPr>
                <w:ilvl w:val="0"/>
                <w:numId w:val="3"/>
              </w:numPr>
              <w:spacing w:line="460" w:lineRule="exact"/>
              <w:ind w:left="105" w:leftChars="50" w:right="105" w:rightChars="50"/>
              <w:rPr>
                <w:rFonts w:hint="eastAsia"/>
                <w:lang w:val="en-US" w:eastAsia="zh-CN"/>
              </w:rPr>
            </w:pPr>
            <w:r>
              <w:rPr>
                <w:rFonts w:hint="eastAsia" w:ascii="宋体" w:hAnsi="宋体" w:eastAsia="宋体" w:cs="宋体"/>
                <w:szCs w:val="21"/>
                <w:lang w:val="en-US" w:eastAsia="zh-CN"/>
              </w:rPr>
              <w:t>投标人拟投入的项目成员中，具有不动产登记代理人证书的，每提供一个得2分，最多得4分。</w:t>
            </w:r>
          </w:p>
          <w:p w14:paraId="0102F210">
            <w:pPr>
              <w:spacing w:line="460" w:lineRule="exact"/>
              <w:ind w:left="105" w:leftChars="50" w:right="105" w:rightChars="50"/>
              <w:rPr>
                <w:rFonts w:hint="eastAsia" w:ascii="宋体" w:hAnsi="宋体" w:eastAsia="宋体" w:cs="宋体"/>
                <w:spacing w:val="-9"/>
                <w:szCs w:val="21"/>
                <w:lang w:eastAsia="zh-CN"/>
              </w:rPr>
            </w:pPr>
            <w:r>
              <w:rPr>
                <w:rFonts w:hint="eastAsia" w:ascii="宋体" w:hAnsi="宋体" w:eastAsia="宋体" w:cs="宋体"/>
                <w:b/>
                <w:bCs/>
                <w:color w:val="000000"/>
                <w:kern w:val="0"/>
                <w:szCs w:val="21"/>
                <w:lang w:val="en-US" w:eastAsia="zh-CN" w:bidi="ar"/>
              </w:rPr>
              <w:t>【评审依据</w:t>
            </w:r>
            <w:r>
              <w:rPr>
                <w:rFonts w:hint="eastAsia" w:ascii="宋体" w:hAnsi="宋体" w:eastAsia="宋体" w:cs="宋体"/>
                <w:b/>
                <w:bCs/>
                <w:color w:val="000000"/>
                <w:kern w:val="0"/>
                <w:szCs w:val="21"/>
                <w:lang w:bidi="ar"/>
              </w:rPr>
              <w:t>：以上人员证件或证书不重复计分</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bidi="ar"/>
              </w:rPr>
              <w:t>投标文件中须附相关证书加盖公章的复印件，并提供开标截止时间前6个月内</w:t>
            </w:r>
            <w:r>
              <w:rPr>
                <w:rFonts w:hint="eastAsia" w:ascii="宋体" w:hAnsi="宋体" w:eastAsia="宋体" w:cs="宋体"/>
                <w:b/>
                <w:bCs/>
                <w:color w:val="000000"/>
                <w:kern w:val="0"/>
                <w:szCs w:val="21"/>
                <w:lang w:val="en-US" w:eastAsia="zh-CN" w:bidi="ar"/>
              </w:rPr>
              <w:t>至少1</w:t>
            </w:r>
            <w:r>
              <w:rPr>
                <w:rFonts w:hint="eastAsia" w:ascii="宋体" w:hAnsi="宋体" w:eastAsia="宋体" w:cs="宋体"/>
                <w:b/>
                <w:bCs/>
                <w:color w:val="000000"/>
                <w:kern w:val="0"/>
                <w:szCs w:val="21"/>
                <w:lang w:bidi="ar"/>
              </w:rPr>
              <w:t>个月的社保证明，不提供不得分。</w:t>
            </w:r>
            <w:r>
              <w:rPr>
                <w:rFonts w:hint="eastAsia" w:ascii="宋体" w:hAnsi="宋体" w:eastAsia="宋体" w:cs="宋体"/>
                <w:b/>
                <w:bCs/>
                <w:color w:val="000000"/>
                <w:kern w:val="0"/>
                <w:szCs w:val="21"/>
                <w:lang w:eastAsia="zh-CN" w:bidi="ar"/>
              </w:rPr>
              <w:t>】</w:t>
            </w:r>
          </w:p>
        </w:tc>
      </w:tr>
      <w:tr w14:paraId="5619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18" w:type="dxa"/>
            <w:vMerge w:val="continue"/>
            <w:tcBorders>
              <w:left w:val="single" w:color="auto" w:sz="4" w:space="0"/>
              <w:right w:val="single" w:color="auto" w:sz="4" w:space="0"/>
            </w:tcBorders>
            <w:noWrap w:val="0"/>
            <w:vAlign w:val="center"/>
          </w:tcPr>
          <w:p w14:paraId="049B538F">
            <w:pPr>
              <w:spacing w:line="460" w:lineRule="exact"/>
              <w:jc w:val="center"/>
              <w:rPr>
                <w:rFonts w:hint="eastAsia" w:ascii="宋体" w:hAnsi="宋体" w:cs="宋体"/>
                <w:bCs/>
                <w:szCs w:val="21"/>
                <w:lang w:val="zh-CN"/>
              </w:rPr>
            </w:pPr>
          </w:p>
        </w:tc>
        <w:tc>
          <w:tcPr>
            <w:tcW w:w="1403" w:type="dxa"/>
            <w:gridSpan w:val="2"/>
            <w:tcBorders>
              <w:left w:val="single" w:color="auto" w:sz="4" w:space="0"/>
              <w:bottom w:val="single" w:color="auto" w:sz="4" w:space="0"/>
              <w:right w:val="single" w:color="auto" w:sz="4" w:space="0"/>
            </w:tcBorders>
            <w:noWrap w:val="0"/>
            <w:vAlign w:val="center"/>
          </w:tcPr>
          <w:p w14:paraId="41F0A957">
            <w:pPr>
              <w:spacing w:line="460" w:lineRule="exact"/>
              <w:ind w:left="105" w:leftChars="50" w:right="105" w:rightChars="50"/>
              <w:jc w:val="center"/>
              <w:rPr>
                <w:rFonts w:hint="eastAsia" w:ascii="宋体" w:hAnsi="宋体" w:cs="宋体"/>
                <w:szCs w:val="21"/>
                <w:lang w:val="en-US" w:eastAsia="zh-CN"/>
              </w:rPr>
            </w:pPr>
            <w:r>
              <w:rPr>
                <w:rFonts w:hint="eastAsia" w:ascii="宋体" w:hAnsi="宋体" w:cs="宋体"/>
                <w:szCs w:val="21"/>
                <w:lang w:val="en-US" w:eastAsia="zh-CN"/>
              </w:rPr>
              <w:t>履约能力</w:t>
            </w:r>
          </w:p>
          <w:p w14:paraId="59B46891">
            <w:pPr>
              <w:spacing w:line="460" w:lineRule="exact"/>
              <w:ind w:left="105" w:leftChars="50" w:right="105" w:rightChars="50"/>
              <w:jc w:val="center"/>
              <w:rPr>
                <w:rFonts w:hint="default" w:ascii="宋体" w:hAnsi="宋体" w:eastAsia="宋体" w:cs="宋体"/>
                <w:szCs w:val="21"/>
                <w:lang w:val="en-US" w:eastAsia="zh-CN"/>
              </w:rPr>
            </w:pPr>
            <w:r>
              <w:rPr>
                <w:rFonts w:hint="eastAsia" w:ascii="宋体" w:hAnsi="宋体" w:eastAsia="宋体" w:cs="宋体"/>
                <w:color w:val="000000"/>
                <w:kern w:val="0"/>
                <w:sz w:val="21"/>
                <w:szCs w:val="21"/>
                <w:lang w:val="en-US" w:eastAsia="zh-CN" w:bidi="ar"/>
              </w:rPr>
              <w:t>（12分）</w:t>
            </w:r>
          </w:p>
        </w:tc>
        <w:tc>
          <w:tcPr>
            <w:tcW w:w="7067" w:type="dxa"/>
            <w:tcBorders>
              <w:top w:val="single" w:color="auto" w:sz="4" w:space="0"/>
              <w:left w:val="single" w:color="auto" w:sz="4" w:space="0"/>
              <w:bottom w:val="single" w:color="auto" w:sz="4" w:space="0"/>
              <w:right w:val="single" w:color="auto" w:sz="4" w:space="0"/>
            </w:tcBorders>
            <w:noWrap w:val="0"/>
            <w:vAlign w:val="center"/>
          </w:tcPr>
          <w:p w14:paraId="2BCADE7A">
            <w:pPr>
              <w:numPr>
                <w:ilvl w:val="0"/>
                <w:numId w:val="4"/>
              </w:numPr>
              <w:spacing w:line="460" w:lineRule="exact"/>
              <w:ind w:left="105" w:leftChars="50" w:right="105" w:rightChars="50"/>
              <w:rPr>
                <w:rFonts w:hint="eastAsia"/>
                <w:lang w:val="en-US" w:eastAsia="zh-CN"/>
              </w:rPr>
            </w:pPr>
            <w:r>
              <w:rPr>
                <w:rFonts w:hint="eastAsia" w:ascii="宋体" w:hAnsi="宋体" w:cs="宋体"/>
                <w:szCs w:val="21"/>
                <w:lang w:val="en-US" w:eastAsia="zh-CN"/>
              </w:rPr>
              <w:t>投标人具有林权不动产数据入库、不动产多源数据融合、不动产登记数据治理、不动产数据成果质量核查、地籍数据库建库、地籍数据质检、地籍调查业务管理、地籍数据库管理相关</w:t>
            </w:r>
            <w:r>
              <w:rPr>
                <w:rFonts w:hint="eastAsia" w:ascii="宋体" w:hAnsi="宋体" w:eastAsia="宋体"/>
                <w:sz w:val="21"/>
                <w:lang w:val="en-US" w:eastAsia="zh-CN"/>
              </w:rPr>
              <w:t>软件著作权登记证书的，每提供一个得1分，最多得8分；</w:t>
            </w:r>
          </w:p>
          <w:p w14:paraId="3DC56F04">
            <w:pPr>
              <w:numPr>
                <w:ilvl w:val="0"/>
                <w:numId w:val="4"/>
              </w:numPr>
              <w:spacing w:line="460" w:lineRule="exact"/>
              <w:ind w:left="105" w:leftChars="50" w:right="105" w:rightChars="50"/>
              <w:rPr>
                <w:rFonts w:hint="eastAsia" w:ascii="宋体" w:hAnsi="宋体" w:eastAsia="宋体" w:cs="宋体"/>
                <w:bCs/>
                <w:szCs w:val="21"/>
                <w:lang w:val="en-US" w:eastAsia="zh-CN"/>
              </w:rPr>
            </w:pPr>
            <w:r>
              <w:rPr>
                <w:rFonts w:hint="eastAsia" w:ascii="宋体" w:hAnsi="宋体" w:cs="宋体"/>
                <w:szCs w:val="21"/>
                <w:lang w:val="en-US" w:eastAsia="zh-CN"/>
              </w:rPr>
              <w:t>投标人具有</w:t>
            </w:r>
            <w:r>
              <w:rPr>
                <w:rFonts w:hint="eastAsia" w:ascii="宋体" w:hAnsi="宋体" w:eastAsia="宋体"/>
                <w:sz w:val="21"/>
                <w:lang w:val="en-US" w:eastAsia="zh-CN"/>
              </w:rPr>
              <w:t>地籍数据建库软件、自然资源数据治理软件产品证书的，每提供一个得2分，最多得4分</w:t>
            </w:r>
            <w:r>
              <w:rPr>
                <w:rFonts w:hint="eastAsia" w:ascii="宋体" w:hAnsi="宋体" w:cs="宋体"/>
                <w:szCs w:val="21"/>
                <w:lang w:val="en-US" w:eastAsia="zh-CN"/>
              </w:rPr>
              <w:t>。</w:t>
            </w:r>
          </w:p>
          <w:p w14:paraId="1B98917D">
            <w:pPr>
              <w:pStyle w:val="2"/>
              <w:ind w:left="0" w:leftChars="0" w:firstLine="0" w:firstLineChars="0"/>
              <w:rPr>
                <w:rFonts w:hint="eastAsia"/>
                <w:lang w:val="en-US" w:eastAsia="zh-CN"/>
              </w:rPr>
            </w:pPr>
            <w:r>
              <w:rPr>
                <w:rFonts w:hint="eastAsia" w:ascii="宋体" w:hAnsi="宋体" w:eastAsia="宋体" w:cs="宋体"/>
                <w:b/>
                <w:bCs/>
                <w:color w:val="000000"/>
                <w:kern w:val="0"/>
                <w:sz w:val="21"/>
                <w:szCs w:val="21"/>
                <w:lang w:val="en-US" w:eastAsia="zh-CN" w:bidi="ar"/>
              </w:rPr>
              <w:t>【评审依据：提供相关证书复印件并加盖响应供应商公章，未提供或提供无效者不得分。】</w:t>
            </w:r>
          </w:p>
        </w:tc>
      </w:tr>
    </w:tbl>
    <w:p w14:paraId="4F2EF758">
      <w:pPr>
        <w:pStyle w:val="5"/>
        <w:rPr>
          <w:rFonts w:hint="eastAsia"/>
          <w:sz w:val="24"/>
          <w:szCs w:val="24"/>
        </w:rPr>
      </w:pPr>
    </w:p>
    <w:p w14:paraId="74E607B9">
      <w:pPr>
        <w:pStyle w:val="5"/>
        <w:rPr>
          <w:sz w:val="24"/>
          <w:szCs w:val="24"/>
        </w:rPr>
      </w:pPr>
      <w:r>
        <w:rPr>
          <w:rFonts w:hint="eastAsia"/>
          <w:sz w:val="24"/>
          <w:szCs w:val="24"/>
        </w:rPr>
        <w:t>注：上述涉及到的证明材料，在双方签订合同前，中标单位须携带原件到采购方进行核实。</w:t>
      </w:r>
    </w:p>
    <w:p w14:paraId="01BCACFC">
      <w:pPr>
        <w:spacing w:line="360" w:lineRule="auto"/>
        <w:jc w:val="center"/>
        <w:rPr>
          <w:rFonts w:ascii="宋体" w:hAnsi="宋体"/>
          <w:sz w:val="26"/>
        </w:rPr>
      </w:pPr>
    </w:p>
    <w:p w14:paraId="70AD5DBC">
      <w:pPr>
        <w:widowControl/>
        <w:jc w:val="left"/>
        <w:rPr>
          <w:rFonts w:ascii="宋体" w:hAnsi="宋体"/>
          <w:sz w:val="26"/>
        </w:rPr>
      </w:pPr>
      <w:bookmarkStart w:id="245" w:name="_Toc387647234"/>
      <w:bookmarkStart w:id="246" w:name="_Toc183492166"/>
      <w:bookmarkStart w:id="247" w:name="_Toc6803"/>
      <w:r>
        <w:rPr>
          <w:rFonts w:ascii="宋体" w:hAnsi="宋体"/>
          <w:sz w:val="26"/>
        </w:rPr>
        <w:br w:type="page"/>
      </w:r>
    </w:p>
    <w:p w14:paraId="5DF3D38E">
      <w:pPr>
        <w:spacing w:line="360" w:lineRule="auto"/>
        <w:rPr>
          <w:rFonts w:ascii="宋体" w:hAnsi="宋体"/>
          <w:sz w:val="26"/>
        </w:rPr>
      </w:pPr>
      <w:r>
        <w:rPr>
          <w:rFonts w:hint="eastAsia" w:ascii="宋体" w:hAnsi="宋体"/>
          <w:sz w:val="26"/>
        </w:rPr>
        <w:t>1.评审方法</w:t>
      </w:r>
      <w:bookmarkEnd w:id="245"/>
      <w:bookmarkEnd w:id="246"/>
      <w:bookmarkEnd w:id="247"/>
    </w:p>
    <w:p w14:paraId="1F13DAB5">
      <w:pPr>
        <w:spacing w:line="360" w:lineRule="auto"/>
        <w:rPr>
          <w:rFonts w:ascii="宋体" w:hAnsi="宋体"/>
          <w:sz w:val="26"/>
        </w:rPr>
      </w:pPr>
      <w:r>
        <w:rPr>
          <w:rFonts w:hint="eastAsia" w:ascii="宋体" w:hAnsi="宋体"/>
          <w:sz w:val="26"/>
        </w:rPr>
        <w:t xml:space="preserve">    本次评审采用综合评分法。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02C247C0">
      <w:pPr>
        <w:spacing w:line="360" w:lineRule="auto"/>
        <w:rPr>
          <w:rFonts w:ascii="宋体" w:hAnsi="宋体"/>
          <w:sz w:val="26"/>
        </w:rPr>
      </w:pPr>
      <w:bookmarkStart w:id="248" w:name="_Toc14561"/>
      <w:bookmarkStart w:id="249" w:name="_Toc387647235"/>
      <w:bookmarkStart w:id="250" w:name="_Toc183492167"/>
      <w:r>
        <w:rPr>
          <w:rFonts w:hint="eastAsia" w:ascii="宋体" w:hAnsi="宋体"/>
          <w:sz w:val="26"/>
        </w:rPr>
        <w:t>2.评审标准</w:t>
      </w:r>
      <w:bookmarkEnd w:id="248"/>
      <w:bookmarkEnd w:id="249"/>
      <w:bookmarkEnd w:id="250"/>
    </w:p>
    <w:p w14:paraId="176D810B">
      <w:pPr>
        <w:spacing w:line="360" w:lineRule="auto"/>
        <w:rPr>
          <w:rFonts w:ascii="宋体" w:hAnsi="宋体"/>
          <w:sz w:val="26"/>
        </w:rPr>
      </w:pPr>
      <w:bookmarkStart w:id="251" w:name="_Toc387647236"/>
      <w:bookmarkStart w:id="252" w:name="_Toc183492168"/>
      <w:r>
        <w:rPr>
          <w:rFonts w:hint="eastAsia" w:ascii="宋体" w:hAnsi="宋体"/>
          <w:sz w:val="26"/>
        </w:rPr>
        <w:t>2.1初步评审标准</w:t>
      </w:r>
      <w:bookmarkEnd w:id="251"/>
      <w:bookmarkEnd w:id="252"/>
      <w:r>
        <w:rPr>
          <w:rFonts w:hint="eastAsia" w:ascii="宋体" w:hAnsi="宋体"/>
          <w:sz w:val="26"/>
        </w:rPr>
        <w:t>（判定是否出现无效响应）</w:t>
      </w:r>
    </w:p>
    <w:p w14:paraId="18C099CB">
      <w:pPr>
        <w:spacing w:line="360" w:lineRule="auto"/>
        <w:rPr>
          <w:rFonts w:ascii="宋体" w:hAnsi="宋体"/>
          <w:sz w:val="26"/>
        </w:rPr>
      </w:pPr>
      <w:r>
        <w:rPr>
          <w:rFonts w:hint="eastAsia" w:ascii="宋体" w:hAnsi="宋体"/>
          <w:sz w:val="26"/>
        </w:rPr>
        <w:t xml:space="preserve">2.2 </w:t>
      </w:r>
      <w:bookmarkStart w:id="253" w:name="_Toc403382455"/>
      <w:bookmarkStart w:id="254" w:name="_Toc144974570"/>
      <w:bookmarkStart w:id="255" w:name="_Toc152042380"/>
      <w:bookmarkStart w:id="256" w:name="_Toc152045603"/>
      <w:bookmarkStart w:id="257" w:name="_Toc179632621"/>
      <w:r>
        <w:rPr>
          <w:rFonts w:hint="eastAsia" w:ascii="宋体" w:hAnsi="宋体"/>
          <w:sz w:val="26"/>
        </w:rPr>
        <w:t>分值构成与评分标准</w:t>
      </w:r>
      <w:bookmarkEnd w:id="253"/>
      <w:bookmarkEnd w:id="254"/>
      <w:bookmarkEnd w:id="255"/>
      <w:bookmarkEnd w:id="256"/>
      <w:bookmarkEnd w:id="257"/>
    </w:p>
    <w:p w14:paraId="6E109F23">
      <w:pPr>
        <w:spacing w:line="360" w:lineRule="auto"/>
        <w:rPr>
          <w:rFonts w:ascii="宋体" w:hAnsi="宋体"/>
          <w:sz w:val="26"/>
        </w:rPr>
      </w:pPr>
      <w:r>
        <w:rPr>
          <w:rFonts w:hint="eastAsia" w:ascii="宋体" w:hAnsi="宋体"/>
          <w:sz w:val="26"/>
        </w:rPr>
        <w:t>2.2.1 分值构成</w:t>
      </w:r>
    </w:p>
    <w:p w14:paraId="6B65498B">
      <w:pPr>
        <w:spacing w:line="360" w:lineRule="auto"/>
        <w:rPr>
          <w:rFonts w:ascii="宋体" w:hAnsi="宋体"/>
          <w:sz w:val="26"/>
        </w:rPr>
      </w:pPr>
      <w:r>
        <w:rPr>
          <w:rFonts w:hint="eastAsia" w:ascii="宋体" w:hAnsi="宋体"/>
          <w:sz w:val="26"/>
        </w:rPr>
        <w:t>见评审办法前附表</w:t>
      </w:r>
    </w:p>
    <w:p w14:paraId="75F13023">
      <w:pPr>
        <w:spacing w:line="360" w:lineRule="auto"/>
        <w:rPr>
          <w:rFonts w:ascii="宋体" w:hAnsi="宋体"/>
          <w:sz w:val="26"/>
        </w:rPr>
      </w:pPr>
      <w:r>
        <w:rPr>
          <w:rFonts w:hint="eastAsia" w:ascii="宋体" w:hAnsi="宋体"/>
          <w:sz w:val="26"/>
        </w:rPr>
        <w:t>2.2.2 磋商基准价计算</w:t>
      </w:r>
    </w:p>
    <w:p w14:paraId="3CAF7C65">
      <w:pPr>
        <w:spacing w:line="360" w:lineRule="auto"/>
        <w:rPr>
          <w:rFonts w:ascii="宋体" w:hAnsi="宋体"/>
          <w:sz w:val="26"/>
        </w:rPr>
      </w:pPr>
      <w:r>
        <w:rPr>
          <w:rFonts w:hint="eastAsia" w:ascii="宋体" w:hAnsi="宋体"/>
          <w:sz w:val="26"/>
        </w:rPr>
        <w:t>（1）最后磋商报价确定方法：见评审办法前附表；</w:t>
      </w:r>
    </w:p>
    <w:p w14:paraId="3BEF40B6">
      <w:pPr>
        <w:spacing w:line="360" w:lineRule="auto"/>
        <w:rPr>
          <w:rFonts w:ascii="宋体" w:hAnsi="宋体"/>
          <w:sz w:val="26"/>
        </w:rPr>
      </w:pPr>
      <w:r>
        <w:rPr>
          <w:rFonts w:hint="eastAsia" w:ascii="宋体" w:hAnsi="宋体"/>
          <w:sz w:val="26"/>
        </w:rPr>
        <w:t>（2）磋商基准价计算方法：见评审办法前附表。</w:t>
      </w:r>
    </w:p>
    <w:p w14:paraId="450662C1">
      <w:pPr>
        <w:spacing w:line="360" w:lineRule="auto"/>
        <w:rPr>
          <w:rFonts w:ascii="宋体" w:hAnsi="宋体"/>
          <w:sz w:val="26"/>
        </w:rPr>
      </w:pPr>
      <w:r>
        <w:rPr>
          <w:rFonts w:hint="eastAsia" w:ascii="宋体" w:hAnsi="宋体"/>
          <w:sz w:val="26"/>
        </w:rPr>
        <w:t xml:space="preserve">    2.2.3 评分标准：见评审办法前附表。</w:t>
      </w:r>
    </w:p>
    <w:p w14:paraId="48D453E5">
      <w:pPr>
        <w:spacing w:line="360" w:lineRule="auto"/>
        <w:jc w:val="left"/>
        <w:rPr>
          <w:rFonts w:ascii="宋体" w:hAnsi="宋体"/>
          <w:sz w:val="26"/>
        </w:rPr>
      </w:pPr>
      <w:bookmarkStart w:id="258" w:name="_Toc183492170"/>
      <w:bookmarkStart w:id="259" w:name="_Toc387647238"/>
      <w:bookmarkStart w:id="260" w:name="_Toc27668"/>
      <w:r>
        <w:rPr>
          <w:rFonts w:hint="eastAsia" w:ascii="宋体" w:hAnsi="宋体"/>
          <w:sz w:val="26"/>
        </w:rPr>
        <w:t>3.</w:t>
      </w:r>
      <w:bookmarkEnd w:id="258"/>
      <w:bookmarkEnd w:id="259"/>
      <w:r>
        <w:rPr>
          <w:rFonts w:hint="eastAsia" w:ascii="宋体" w:hAnsi="宋体"/>
          <w:sz w:val="26"/>
        </w:rPr>
        <w:t>评审程序</w:t>
      </w:r>
      <w:bookmarkEnd w:id="260"/>
    </w:p>
    <w:p w14:paraId="259E8B63">
      <w:pPr>
        <w:spacing w:line="360" w:lineRule="auto"/>
        <w:rPr>
          <w:rFonts w:ascii="宋体" w:hAnsi="宋体"/>
          <w:sz w:val="26"/>
        </w:rPr>
      </w:pPr>
      <w:bookmarkStart w:id="261" w:name="_Toc387647239"/>
      <w:bookmarkStart w:id="262" w:name="_Toc183492171"/>
      <w:r>
        <w:rPr>
          <w:rFonts w:hint="eastAsia" w:ascii="宋体" w:hAnsi="宋体"/>
          <w:sz w:val="26"/>
        </w:rPr>
        <w:t>3.1初步评审</w:t>
      </w:r>
      <w:bookmarkEnd w:id="261"/>
      <w:bookmarkEnd w:id="262"/>
    </w:p>
    <w:p w14:paraId="235A8260">
      <w:pPr>
        <w:spacing w:line="360" w:lineRule="auto"/>
        <w:rPr>
          <w:rFonts w:ascii="宋体" w:hAnsi="宋体"/>
          <w:sz w:val="26"/>
        </w:rPr>
      </w:pPr>
      <w:r>
        <w:rPr>
          <w:rFonts w:hint="eastAsia" w:ascii="宋体" w:hAnsi="宋体"/>
          <w:sz w:val="26"/>
        </w:rPr>
        <w:t>3.1.1磋商小组依据本章第2.1款规定的标准对响应文件进行初步评审。有一项不符合评审标准的，磋商小组应当判定其响应文件无效。</w:t>
      </w:r>
    </w:p>
    <w:p w14:paraId="5051CB82">
      <w:pPr>
        <w:spacing w:line="360" w:lineRule="auto"/>
        <w:rPr>
          <w:rFonts w:ascii="宋体" w:hAnsi="宋体"/>
          <w:sz w:val="26"/>
        </w:rPr>
      </w:pPr>
      <w:r>
        <w:rPr>
          <w:rFonts w:hint="eastAsia" w:ascii="宋体" w:hAnsi="宋体"/>
          <w:sz w:val="26"/>
        </w:rPr>
        <w:t>3.1.2 磋商小组依据本章附件A：判定为无效响应的条件对响应文件进行初步评审。有一项不符合评审标准的，磋商小组应当判定其响应文件无效。</w:t>
      </w:r>
    </w:p>
    <w:p w14:paraId="68287BFD">
      <w:pPr>
        <w:spacing w:line="360" w:lineRule="auto"/>
        <w:rPr>
          <w:rFonts w:ascii="宋体" w:hAnsi="宋体"/>
          <w:sz w:val="26"/>
        </w:rPr>
      </w:pPr>
      <w:bookmarkStart w:id="263" w:name="_Toc387647241"/>
      <w:bookmarkStart w:id="264" w:name="_Toc183492173"/>
      <w:r>
        <w:rPr>
          <w:rFonts w:hint="eastAsia" w:ascii="宋体" w:hAnsi="宋体"/>
          <w:sz w:val="26"/>
        </w:rPr>
        <w:t>3.2响应文件的澄清和补正</w:t>
      </w:r>
      <w:bookmarkEnd w:id="263"/>
      <w:bookmarkEnd w:id="264"/>
    </w:p>
    <w:p w14:paraId="386DC9A6">
      <w:pPr>
        <w:spacing w:line="360" w:lineRule="auto"/>
        <w:rPr>
          <w:rFonts w:ascii="宋体" w:hAnsi="宋体"/>
          <w:sz w:val="26"/>
        </w:rPr>
      </w:pPr>
      <w:r>
        <w:rPr>
          <w:rFonts w:hint="eastAsia" w:ascii="宋体" w:hAnsi="宋体"/>
          <w:sz w:val="26"/>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C6EF8C">
      <w:pPr>
        <w:spacing w:line="360" w:lineRule="auto"/>
        <w:rPr>
          <w:rFonts w:ascii="宋体" w:hAnsi="宋体"/>
          <w:sz w:val="26"/>
        </w:rPr>
      </w:pPr>
      <w:r>
        <w:rPr>
          <w:rFonts w:hint="eastAsia" w:ascii="宋体" w:hAnsi="宋体"/>
          <w:sz w:val="26"/>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4F56B71B">
      <w:pPr>
        <w:spacing w:line="360" w:lineRule="auto"/>
        <w:rPr>
          <w:rFonts w:ascii="宋体" w:hAnsi="宋体"/>
          <w:sz w:val="26"/>
        </w:rPr>
      </w:pPr>
      <w:r>
        <w:rPr>
          <w:rFonts w:hint="eastAsia" w:ascii="宋体" w:hAnsi="宋体"/>
          <w:sz w:val="26"/>
        </w:rPr>
        <w:t>3.3 供应商成本评审</w:t>
      </w:r>
    </w:p>
    <w:p w14:paraId="34047E22">
      <w:pPr>
        <w:spacing w:line="360" w:lineRule="auto"/>
        <w:rPr>
          <w:rFonts w:ascii="宋体" w:hAnsi="宋体"/>
          <w:sz w:val="26"/>
        </w:rPr>
      </w:pPr>
      <w:r>
        <w:rPr>
          <w:rFonts w:hint="eastAsia" w:ascii="宋体" w:hAnsi="宋体"/>
          <w:sz w:val="26"/>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4F93DCE1">
      <w:pPr>
        <w:spacing w:line="360" w:lineRule="auto"/>
        <w:rPr>
          <w:rFonts w:ascii="宋体" w:hAnsi="宋体"/>
          <w:sz w:val="26"/>
        </w:rPr>
      </w:pPr>
      <w:bookmarkStart w:id="265" w:name="_Toc387647242"/>
      <w:bookmarkStart w:id="266" w:name="_Toc183492174"/>
      <w:r>
        <w:rPr>
          <w:rFonts w:hint="eastAsia" w:ascii="宋体" w:hAnsi="宋体"/>
          <w:sz w:val="26"/>
        </w:rPr>
        <w:t>3.4 详细评审</w:t>
      </w:r>
    </w:p>
    <w:p w14:paraId="69094A07">
      <w:pPr>
        <w:spacing w:line="360" w:lineRule="auto"/>
        <w:rPr>
          <w:rFonts w:ascii="宋体" w:hAnsi="宋体"/>
          <w:sz w:val="26"/>
        </w:rPr>
      </w:pPr>
      <w:r>
        <w:rPr>
          <w:rFonts w:hint="eastAsia" w:ascii="宋体" w:hAnsi="宋体"/>
          <w:sz w:val="26"/>
        </w:rPr>
        <w:t>3.4.1 磋商小组对通过了初步评审的响应文件进行详细评审。</w:t>
      </w:r>
    </w:p>
    <w:p w14:paraId="7C8663C5">
      <w:pPr>
        <w:spacing w:line="360" w:lineRule="auto"/>
        <w:rPr>
          <w:rFonts w:ascii="宋体" w:hAnsi="宋体"/>
          <w:sz w:val="26"/>
        </w:rPr>
      </w:pPr>
      <w:r>
        <w:rPr>
          <w:rFonts w:hint="eastAsia" w:ascii="宋体" w:hAnsi="宋体"/>
          <w:sz w:val="26"/>
        </w:rPr>
        <w:t>3.4.2 磋商小组按本章前附表（二）规定的量化因素和分值进行打分，并计算出综合评估得分。</w:t>
      </w:r>
    </w:p>
    <w:p w14:paraId="4B701922">
      <w:pPr>
        <w:spacing w:line="360" w:lineRule="auto"/>
        <w:rPr>
          <w:rFonts w:ascii="宋体" w:hAnsi="宋体"/>
          <w:sz w:val="26"/>
        </w:rPr>
      </w:pPr>
      <w:r>
        <w:rPr>
          <w:rFonts w:hint="eastAsia" w:ascii="宋体" w:hAnsi="宋体"/>
          <w:sz w:val="26"/>
        </w:rPr>
        <w:t>按本章评审办法前附表（二）目规定的评审因素和分值分别计算出得分A、B、C；</w:t>
      </w:r>
    </w:p>
    <w:p w14:paraId="6597BEA9">
      <w:pPr>
        <w:spacing w:line="360" w:lineRule="auto"/>
        <w:rPr>
          <w:rFonts w:ascii="宋体" w:hAnsi="宋体"/>
          <w:sz w:val="26"/>
        </w:rPr>
      </w:pPr>
      <w:r>
        <w:rPr>
          <w:rFonts w:hint="eastAsia" w:ascii="宋体" w:hAnsi="宋体"/>
          <w:sz w:val="26"/>
        </w:rPr>
        <w:t>3.2.3 评分分值计算保留小数点后两位，小数点后第三位“四舍五入”。</w:t>
      </w:r>
    </w:p>
    <w:p w14:paraId="57C14AFC">
      <w:pPr>
        <w:spacing w:line="360" w:lineRule="auto"/>
        <w:rPr>
          <w:rFonts w:ascii="宋体" w:hAnsi="宋体"/>
          <w:sz w:val="26"/>
        </w:rPr>
      </w:pPr>
      <w:r>
        <w:rPr>
          <w:rFonts w:hint="eastAsia" w:ascii="宋体" w:hAnsi="宋体"/>
          <w:sz w:val="26"/>
        </w:rPr>
        <w:t>3.2.4 供应商得分=A+B+C。</w:t>
      </w:r>
    </w:p>
    <w:p w14:paraId="073789C2">
      <w:pPr>
        <w:spacing w:line="360" w:lineRule="auto"/>
        <w:rPr>
          <w:rFonts w:ascii="宋体" w:hAnsi="宋体"/>
          <w:sz w:val="26"/>
        </w:rPr>
      </w:pPr>
      <w:r>
        <w:rPr>
          <w:rFonts w:hint="eastAsia" w:ascii="宋体" w:hAnsi="宋体"/>
          <w:sz w:val="26"/>
        </w:rPr>
        <w:t>3.2.5 各供应商最终得分的确定办法为：所有磋商小组成员的综合评分的算术平均值。</w:t>
      </w:r>
    </w:p>
    <w:p w14:paraId="4A3090AD">
      <w:pPr>
        <w:spacing w:line="360" w:lineRule="auto"/>
        <w:rPr>
          <w:rFonts w:ascii="宋体" w:hAnsi="宋体"/>
          <w:sz w:val="26"/>
        </w:rPr>
      </w:pPr>
      <w:r>
        <w:rPr>
          <w:rFonts w:hint="eastAsia" w:ascii="宋体" w:hAnsi="宋体"/>
          <w:sz w:val="26"/>
        </w:rPr>
        <w:t>3.6评审结果</w:t>
      </w:r>
      <w:bookmarkEnd w:id="265"/>
      <w:bookmarkEnd w:id="266"/>
    </w:p>
    <w:p w14:paraId="536FB73B">
      <w:pPr>
        <w:spacing w:line="360" w:lineRule="auto"/>
        <w:rPr>
          <w:rFonts w:ascii="宋体" w:hAnsi="宋体"/>
          <w:sz w:val="26"/>
        </w:rPr>
      </w:pPr>
      <w:r>
        <w:rPr>
          <w:rFonts w:hint="eastAsia" w:ascii="宋体" w:hAnsi="宋体"/>
          <w:sz w:val="26"/>
        </w:rPr>
        <w:t xml:space="preserve">    3.6.1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3E765FB7">
      <w:pPr>
        <w:spacing w:line="360" w:lineRule="auto"/>
        <w:rPr>
          <w:rFonts w:ascii="宋体" w:hAnsi="宋体"/>
          <w:sz w:val="26"/>
        </w:rPr>
      </w:pPr>
      <w:r>
        <w:rPr>
          <w:rFonts w:hint="eastAsia" w:ascii="宋体" w:hAnsi="宋体"/>
          <w:sz w:val="26"/>
        </w:rPr>
        <w:t xml:space="preserve">    3.6.2竞争性磋商文件允许多项目包响应、多项目包成交的，各项目包成交候选供应商的推荐按第二章“供应商须知”的规定执行，对某些项目包由此产生的空缺由排序在后的供应商依次替补。</w:t>
      </w:r>
    </w:p>
    <w:p w14:paraId="6306242D">
      <w:pPr>
        <w:rPr>
          <w:rFonts w:ascii="宋体" w:hAnsi="宋体"/>
          <w:sz w:val="26"/>
        </w:rPr>
      </w:pPr>
      <w:r>
        <w:rPr>
          <w:rFonts w:hint="eastAsia" w:ascii="宋体" w:hAnsi="宋体"/>
          <w:sz w:val="26"/>
        </w:rPr>
        <w:t>3.6.3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15814A">
      <w:pPr>
        <w:widowControl/>
        <w:jc w:val="left"/>
        <w:rPr>
          <w:rFonts w:ascii="宋体" w:hAnsi="宋体"/>
          <w:sz w:val="26"/>
        </w:rPr>
      </w:pPr>
      <w:r>
        <w:rPr>
          <w:rFonts w:ascii="宋体" w:hAnsi="宋体"/>
          <w:sz w:val="26"/>
        </w:rPr>
        <w:br w:type="page"/>
      </w:r>
    </w:p>
    <w:p w14:paraId="4033DC1D">
      <w:pPr>
        <w:spacing w:line="360" w:lineRule="auto"/>
        <w:rPr>
          <w:rFonts w:ascii="宋体" w:hAnsi="宋体"/>
          <w:sz w:val="26"/>
        </w:rPr>
      </w:pPr>
      <w:r>
        <w:rPr>
          <w:rFonts w:hint="eastAsia" w:ascii="宋体" w:hAnsi="宋体"/>
          <w:sz w:val="26"/>
        </w:rPr>
        <w:t>评审标准附件A：判定为无效响应文件的条件</w:t>
      </w:r>
    </w:p>
    <w:p w14:paraId="0C07B1BD">
      <w:pPr>
        <w:spacing w:line="360" w:lineRule="auto"/>
        <w:rPr>
          <w:rFonts w:ascii="宋体" w:hAnsi="宋体"/>
          <w:sz w:val="26"/>
        </w:rPr>
      </w:pPr>
      <w:bookmarkStart w:id="267" w:name="_Toc403382497"/>
      <w:r>
        <w:rPr>
          <w:rFonts w:hint="eastAsia" w:ascii="宋体" w:hAnsi="宋体"/>
          <w:sz w:val="26"/>
        </w:rPr>
        <w:t>判定为无效响应文件的条件</w:t>
      </w:r>
    </w:p>
    <w:p w14:paraId="19B7B8E8">
      <w:pPr>
        <w:spacing w:line="360" w:lineRule="auto"/>
        <w:rPr>
          <w:rFonts w:ascii="宋体" w:hAnsi="宋体"/>
          <w:sz w:val="26"/>
        </w:rPr>
      </w:pPr>
      <w:r>
        <w:rPr>
          <w:rFonts w:hint="eastAsia" w:ascii="宋体" w:hAnsi="宋体"/>
          <w:sz w:val="26"/>
        </w:rPr>
        <w:t>A0.总  则</w:t>
      </w:r>
      <w:bookmarkEnd w:id="267"/>
    </w:p>
    <w:p w14:paraId="53BE0D1B">
      <w:pPr>
        <w:spacing w:line="360" w:lineRule="auto"/>
        <w:rPr>
          <w:rFonts w:ascii="宋体" w:hAnsi="宋体"/>
          <w:sz w:val="26"/>
        </w:rPr>
      </w:pPr>
      <w:r>
        <w:rPr>
          <w:rFonts w:hint="eastAsia" w:ascii="宋体" w:hAnsi="宋体"/>
          <w:sz w:val="26"/>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50D11838">
      <w:pPr>
        <w:spacing w:line="360" w:lineRule="auto"/>
        <w:rPr>
          <w:rFonts w:ascii="宋体" w:hAnsi="宋体"/>
          <w:sz w:val="26"/>
        </w:rPr>
      </w:pPr>
      <w:bookmarkStart w:id="268" w:name="_Toc403382498"/>
      <w:r>
        <w:rPr>
          <w:rFonts w:hint="eastAsia" w:ascii="宋体" w:hAnsi="宋体"/>
          <w:sz w:val="26"/>
        </w:rPr>
        <w:t xml:space="preserve">A1. </w:t>
      </w:r>
      <w:bookmarkEnd w:id="268"/>
      <w:r>
        <w:rPr>
          <w:rFonts w:hint="eastAsia" w:ascii="宋体" w:hAnsi="宋体"/>
          <w:sz w:val="26"/>
        </w:rPr>
        <w:t>无效响应文件的条件</w:t>
      </w:r>
    </w:p>
    <w:p w14:paraId="22CF6232">
      <w:pPr>
        <w:spacing w:line="360" w:lineRule="auto"/>
        <w:rPr>
          <w:rFonts w:ascii="宋体" w:hAnsi="宋体"/>
          <w:sz w:val="26"/>
        </w:rPr>
      </w:pPr>
      <w:r>
        <w:rPr>
          <w:rFonts w:hint="eastAsia" w:ascii="宋体" w:hAnsi="宋体"/>
          <w:sz w:val="26"/>
        </w:rPr>
        <w:t>供应商或其响应文件有下列情形之一的，磋商小组应当判定响应文件为无效：</w:t>
      </w:r>
    </w:p>
    <w:p w14:paraId="4397284D">
      <w:pPr>
        <w:spacing w:line="360" w:lineRule="auto"/>
        <w:rPr>
          <w:rFonts w:ascii="宋体" w:hAnsi="宋体"/>
          <w:sz w:val="26"/>
        </w:rPr>
      </w:pPr>
      <w:r>
        <w:rPr>
          <w:rFonts w:hint="eastAsia" w:ascii="宋体" w:hAnsi="宋体"/>
          <w:sz w:val="26"/>
        </w:rPr>
        <w:t>A1.1  在初步评审中，磋商小组认定供应商的响应文件不符合评审办法前附表中规定的任何一项评审标准的。</w:t>
      </w:r>
    </w:p>
    <w:p w14:paraId="596C5012">
      <w:pPr>
        <w:spacing w:line="360" w:lineRule="auto"/>
        <w:rPr>
          <w:rFonts w:ascii="宋体" w:hAnsi="宋体"/>
          <w:sz w:val="26"/>
        </w:rPr>
      </w:pPr>
      <w:r>
        <w:rPr>
          <w:rFonts w:hint="eastAsia" w:ascii="宋体" w:hAnsi="宋体"/>
          <w:sz w:val="26"/>
        </w:rPr>
        <w:t>A1.3  有串通响应或弄虚作假或有其他违法行为的。</w:t>
      </w:r>
    </w:p>
    <w:p w14:paraId="4BFD13EB">
      <w:pPr>
        <w:spacing w:line="360" w:lineRule="auto"/>
        <w:rPr>
          <w:rFonts w:ascii="宋体" w:hAnsi="宋体"/>
          <w:sz w:val="26"/>
        </w:rPr>
      </w:pPr>
      <w:r>
        <w:rPr>
          <w:rFonts w:hint="eastAsia" w:ascii="宋体" w:hAnsi="宋体"/>
          <w:sz w:val="26"/>
        </w:rPr>
        <w:t>A1.4  不按磋商小组要求澄清、说明或补正的。</w:t>
      </w:r>
    </w:p>
    <w:p w14:paraId="12B51C64">
      <w:pPr>
        <w:spacing w:line="360" w:lineRule="auto"/>
        <w:rPr>
          <w:rFonts w:ascii="宋体" w:hAnsi="宋体"/>
          <w:sz w:val="26"/>
        </w:rPr>
      </w:pPr>
      <w:r>
        <w:rPr>
          <w:rFonts w:hint="eastAsia" w:ascii="宋体" w:hAnsi="宋体"/>
          <w:sz w:val="26"/>
        </w:rPr>
        <w:t>A1.5  磋商小组认定供应商以低于成本报价竞标的。</w:t>
      </w:r>
    </w:p>
    <w:p w14:paraId="210E3010">
      <w:pPr>
        <w:spacing w:line="360" w:lineRule="auto"/>
        <w:rPr>
          <w:rFonts w:ascii="宋体" w:hAnsi="宋体"/>
          <w:sz w:val="26"/>
        </w:rPr>
      </w:pPr>
      <w:r>
        <w:rPr>
          <w:rFonts w:hint="eastAsia" w:ascii="宋体" w:hAnsi="宋体"/>
          <w:sz w:val="26"/>
        </w:rPr>
        <w:t>A1.6  其他磋商小组认为属于无效响应文件的。</w:t>
      </w:r>
    </w:p>
    <w:p w14:paraId="7735BB1E">
      <w:pPr>
        <w:rPr>
          <w:rFonts w:ascii="宋体" w:hAnsi="宋体"/>
          <w:sz w:val="26"/>
        </w:rPr>
      </w:pPr>
      <w:r>
        <w:rPr>
          <w:rFonts w:hint="eastAsia" w:ascii="宋体" w:hAnsi="宋体"/>
          <w:sz w:val="26"/>
        </w:rPr>
        <w:t>A1.7 供应商法定代表人或其授权代理人未按时出席竞争性磋商会或出席竞争性磋商会时,未携带竞争性磋商文件要求出示的有效身份证件的；</w:t>
      </w:r>
    </w:p>
    <w:p w14:paraId="0178902D">
      <w:pPr>
        <w:widowControl/>
        <w:jc w:val="left"/>
        <w:rPr>
          <w:rFonts w:ascii="宋体" w:hAnsi="宋体"/>
          <w:sz w:val="26"/>
        </w:rPr>
      </w:pPr>
      <w:r>
        <w:rPr>
          <w:rFonts w:ascii="宋体" w:hAnsi="宋体"/>
          <w:sz w:val="26"/>
        </w:rPr>
        <w:br w:type="page"/>
      </w:r>
    </w:p>
    <w:p w14:paraId="32FDB88F">
      <w:pPr>
        <w:pStyle w:val="5"/>
        <w:jc w:val="center"/>
        <w:rPr>
          <w:sz w:val="28"/>
          <w:szCs w:val="28"/>
        </w:rPr>
      </w:pPr>
      <w:bookmarkStart w:id="269" w:name="_Toc32756"/>
      <w:bookmarkStart w:id="270" w:name="_Toc505691143"/>
      <w:bookmarkStart w:id="271" w:name="_Toc403382830"/>
      <w:bookmarkStart w:id="272" w:name="_Toc10486"/>
      <w:bookmarkStart w:id="273" w:name="_Toc10661"/>
      <w:r>
        <w:rPr>
          <w:rFonts w:hint="eastAsia"/>
          <w:sz w:val="28"/>
          <w:szCs w:val="28"/>
        </w:rPr>
        <w:t>第四章  合同格式</w:t>
      </w:r>
      <w:r>
        <w:rPr>
          <w:sz w:val="28"/>
          <w:szCs w:val="28"/>
        </w:rPr>
        <w:t>(</w:t>
      </w:r>
      <w:r>
        <w:rPr>
          <w:rFonts w:hint="eastAsia"/>
          <w:sz w:val="28"/>
          <w:szCs w:val="28"/>
        </w:rPr>
        <w:t>参考</w:t>
      </w:r>
      <w:r>
        <w:rPr>
          <w:sz w:val="28"/>
          <w:szCs w:val="28"/>
        </w:rPr>
        <w:t>)</w:t>
      </w:r>
      <w:bookmarkStart w:id="274" w:name="_Toc158790289"/>
    </w:p>
    <w:bookmarkEnd w:id="269"/>
    <w:bookmarkEnd w:id="270"/>
    <w:bookmarkEnd w:id="271"/>
    <w:bookmarkEnd w:id="272"/>
    <w:bookmarkEnd w:id="273"/>
    <w:bookmarkEnd w:id="274"/>
    <w:p w14:paraId="720CF514">
      <w:pPr>
        <w:ind w:firstLine="4320" w:firstLineChars="1800"/>
        <w:rPr>
          <w:rFonts w:ascii="宋体" w:hAnsi="宋体" w:cs="Times New Roman"/>
          <w:sz w:val="24"/>
          <w:szCs w:val="24"/>
        </w:rPr>
      </w:pPr>
      <w:bookmarkStart w:id="275" w:name="_Hlt3013627"/>
      <w:bookmarkEnd w:id="275"/>
      <w:bookmarkStart w:id="276" w:name="_Hlt535834178"/>
      <w:bookmarkEnd w:id="276"/>
    </w:p>
    <w:p w14:paraId="152FE4E8">
      <w:pPr>
        <w:ind w:firstLine="2554" w:firstLineChars="795"/>
        <w:rPr>
          <w:rFonts w:ascii="Times New Roman" w:hAnsi="Times New Roman" w:cs="Times New Roman"/>
          <w:b/>
          <w:sz w:val="32"/>
          <w:szCs w:val="32"/>
        </w:rPr>
      </w:pPr>
      <w:r>
        <w:rPr>
          <w:rFonts w:hint="eastAsia" w:ascii="Times New Roman" w:hAnsi="Times New Roman" w:cs="Times New Roman"/>
          <w:b/>
          <w:sz w:val="32"/>
          <w:szCs w:val="32"/>
        </w:rPr>
        <w:t>政府采购（服务类）合同</w:t>
      </w:r>
    </w:p>
    <w:p w14:paraId="2BFB5C52">
      <w:pPr>
        <w:spacing w:line="400" w:lineRule="exact"/>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 xml:space="preserve">甲方（采购人签章） </w:t>
      </w:r>
    </w:p>
    <w:p w14:paraId="554B5C0D">
      <w:pPr>
        <w:spacing w:line="400" w:lineRule="exact"/>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 xml:space="preserve">乙方（供  方签章） </w:t>
      </w:r>
    </w:p>
    <w:p w14:paraId="6A683C3D">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根据《中华人民共和国合同法》、《中华人民共和国政府采购法》等规定，为保障双方的权利、权益，本着自愿、公平、公开、平等和协商一致的原则签订本合同。</w:t>
      </w:r>
    </w:p>
    <w:p w14:paraId="7E58C94E">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一、合同标的</w:t>
      </w:r>
    </w:p>
    <w:p w14:paraId="01D26F07">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本次采购商品为：    . 详细配置及货物明细见投标文件。</w:t>
      </w:r>
    </w:p>
    <w:p w14:paraId="458E0D97">
      <w:pPr>
        <w:spacing w:line="400" w:lineRule="exact"/>
        <w:ind w:firstLine="495"/>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二、合同价款</w:t>
      </w:r>
    </w:p>
    <w:p w14:paraId="7DB45575">
      <w:pPr>
        <w:spacing w:line="400" w:lineRule="exact"/>
        <w:ind w:firstLine="4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合同价款为</w:t>
      </w:r>
      <w:r>
        <w:rPr>
          <w:rFonts w:hint="eastAsia" w:ascii="仿宋_GB2312" w:hAnsi="Times New Roman" w:eastAsia="仿宋_GB2312" w:cs="Times New Roman"/>
          <w:b/>
          <w:sz w:val="24"/>
          <w:szCs w:val="24"/>
        </w:rPr>
        <w:t>：.00</w:t>
      </w:r>
      <w:r>
        <w:rPr>
          <w:rFonts w:hint="eastAsia" w:ascii="仿宋_GB2312" w:hAnsi="Times New Roman" w:eastAsia="仿宋_GB2312" w:cs="Times New Roman"/>
          <w:sz w:val="24"/>
          <w:szCs w:val="24"/>
        </w:rPr>
        <w:t>元  人民币大写：整。</w:t>
      </w:r>
    </w:p>
    <w:p w14:paraId="42F48A05">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三、交货方式、时间、地点</w:t>
      </w:r>
    </w:p>
    <w:p w14:paraId="7F0DD19F">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乙方须在本合同签订后 15个工作日内，送货至甲方指定地点，并负责安装调试，运送产生的费用由乙方负责。</w:t>
      </w:r>
    </w:p>
    <w:p w14:paraId="187B7ECD">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乙方在交付时应向甲方提供有关设备的操作手册、各种驱动程序及其他相关资料。</w:t>
      </w:r>
    </w:p>
    <w:p w14:paraId="7D592185">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四、质量要求</w:t>
      </w:r>
    </w:p>
    <w:p w14:paraId="44091D59">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乙方提供的货物必须是原厂生产的、全新的、未使用过的（包括零部件），并完全符合国家质量检测标准行业和质量检测标准以及合同规定的质量规格和性能要求。  </w:t>
      </w:r>
    </w:p>
    <w:p w14:paraId="52B84048">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乙方完成对货物安装调试后，由甲方对货物的质量、规格、数量、软件安装和运行状况及其他进行检验。如发现货物的质量、规格、数量与合同规定不符，甲方有权拒绝接收。</w:t>
      </w:r>
    </w:p>
    <w:p w14:paraId="78362069">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 xml:space="preserve"> 五、货款支付</w:t>
      </w:r>
    </w:p>
    <w:p w14:paraId="45CA4335">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乙方按合同要求所提供的货物经甲方全部验收合格并出具验收报告单，乙方向甲方开具正规销售发票后，甲方向乙方支付全部货款。</w:t>
      </w:r>
    </w:p>
    <w:p w14:paraId="18605DF0">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六、售后服务</w:t>
      </w:r>
    </w:p>
    <w:p w14:paraId="7D015505">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本合同所指的货物自甲方安装调试合格之日起，免费保修</w:t>
      </w:r>
      <w:r>
        <w:rPr>
          <w:rFonts w:hint="eastAsia" w:ascii="仿宋_GB2312" w:hAnsi="宋体" w:eastAsia="仿宋_GB2312" w:cs="Times New Roman"/>
          <w:sz w:val="24"/>
          <w:szCs w:val="24"/>
          <w:u w:val="single"/>
        </w:rPr>
        <w:t xml:space="preserve"> 一年</w:t>
      </w:r>
      <w:r>
        <w:rPr>
          <w:rFonts w:hint="eastAsia" w:ascii="仿宋_GB2312" w:hAnsi="宋体" w:eastAsia="仿宋_GB2312" w:cs="Times New Roman"/>
          <w:sz w:val="24"/>
          <w:szCs w:val="24"/>
        </w:rPr>
        <w:t>；（或12个月）对于超过保修期的货物，乙方终生优惠维修，维修时只收部件成本费。</w:t>
      </w:r>
    </w:p>
    <w:p w14:paraId="51281303">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如货物的质量、规格在保修期内被证明存在缺陷，包括潜在的缺陷或使用不合适的材料，乙方应及时修理或调换，若因乙方修理或调换不及时给甲方造成损失的，甲方有权凭有关证明、证据向乙方提出索赔。</w:t>
      </w:r>
    </w:p>
    <w:p w14:paraId="00892A37">
      <w:pPr>
        <w:spacing w:line="400" w:lineRule="exact"/>
        <w:ind w:firstLine="413" w:firstLineChars="147"/>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七、违约责任</w:t>
      </w:r>
    </w:p>
    <w:p w14:paraId="504EE486">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1、乙方在签订合同前应缴纳履约保证金人民币：元整 （成交总价款的%），在乙方按甲方要求的时间内交付货物后予以退还（无利息）。乙方若不能按甲方要求的时间交付货物，甲方有权没收乙方所缴纳的保证金。并向甲方每日偿付货款总额万分之五的赔偿金。</w:t>
      </w:r>
    </w:p>
    <w:p w14:paraId="781E5D11">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2、乙方所交货物品种、型号、规格、质量不符合同规定标准的，采购人有权拒收。对甲方造成损失的，甲方有权要求乙方赔偿损失。</w:t>
      </w:r>
    </w:p>
    <w:p w14:paraId="7A98649C">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3、乙方向甲方交纳质量保证金人民币元：    大写：   整（合同总价款的5%），在货款中扣留。质量保证金的保留期限与免费保修期相同。如乙方不履行售后服务的有关义务，甲方有权没收质量保证金；对甲方造成损失的，甲方有权要求乙方继续赔偿损失。</w:t>
      </w:r>
    </w:p>
    <w:p w14:paraId="442ACC32">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4、甲方无正当理由拒收货物、拒付货款对乙方造成损失的，乙方有权要求甲方赔偿损失。甲方逾期付款的，甲方向乙方每日偿付货款总额万分之五的滞纳金。</w:t>
      </w:r>
    </w:p>
    <w:p w14:paraId="6F84690D">
      <w:pPr>
        <w:spacing w:line="400" w:lineRule="exact"/>
        <w:ind w:firstLine="413" w:firstLineChars="147"/>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八、争议解决</w:t>
      </w:r>
    </w:p>
    <w:p w14:paraId="228778F0">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甲、乙双方因执行合同产生的争议，由双方协商解决。如果协商不成，可</w:t>
      </w:r>
      <w:r>
        <w:rPr>
          <w:rFonts w:hint="eastAsia" w:ascii="仿宋_GB2312" w:hAnsi="宋体" w:eastAsia="仿宋_GB2312" w:cs="Times New Roman"/>
          <w:sz w:val="24"/>
          <w:szCs w:val="24"/>
          <w:lang w:eastAsia="zh-CN"/>
        </w:rPr>
        <w:t>桦甸</w:t>
      </w:r>
      <w:r>
        <w:rPr>
          <w:rFonts w:hint="eastAsia" w:ascii="仿宋_GB2312" w:hAnsi="宋体" w:eastAsia="仿宋_GB2312" w:cs="Times New Roman"/>
          <w:sz w:val="24"/>
          <w:szCs w:val="24"/>
        </w:rPr>
        <w:t>市人民法院起诉、裁决。</w:t>
      </w:r>
    </w:p>
    <w:p w14:paraId="57364A3D">
      <w:pPr>
        <w:spacing w:line="400" w:lineRule="exact"/>
        <w:ind w:firstLine="413" w:firstLineChars="147"/>
        <w:rPr>
          <w:rFonts w:ascii="仿宋_GB2312" w:hAnsi="宋体" w:eastAsia="仿宋_GB2312" w:cs="Times New Roman"/>
          <w:sz w:val="24"/>
          <w:szCs w:val="24"/>
        </w:rPr>
      </w:pPr>
      <w:r>
        <w:rPr>
          <w:rFonts w:hint="eastAsia" w:ascii="仿宋_GB2312" w:hAnsi="Times New Roman" w:eastAsia="仿宋_GB2312" w:cs="Times New Roman"/>
          <w:b/>
          <w:sz w:val="28"/>
          <w:szCs w:val="28"/>
        </w:rPr>
        <w:t>九、本合同未尽事宜</w:t>
      </w:r>
      <w:r>
        <w:rPr>
          <w:rFonts w:hint="eastAsia" w:ascii="仿宋_GB2312" w:hAnsi="宋体" w:eastAsia="仿宋_GB2312" w:cs="Times New Roman"/>
          <w:sz w:val="24"/>
          <w:szCs w:val="24"/>
        </w:rPr>
        <w:t>，按照《中华人民共和国政府采购法》、《中华人民共和国合同法》等执行。</w:t>
      </w:r>
    </w:p>
    <w:p w14:paraId="44A1BE15">
      <w:pPr>
        <w:spacing w:line="400" w:lineRule="exact"/>
        <w:ind w:firstLine="600" w:firstLineChars="250"/>
        <w:rPr>
          <w:rFonts w:ascii="仿宋_GB2312" w:hAnsi="宋体" w:eastAsia="仿宋_GB2312" w:cs="Times New Roman"/>
          <w:sz w:val="24"/>
          <w:szCs w:val="24"/>
        </w:rPr>
      </w:pPr>
      <w:r>
        <w:rPr>
          <w:rFonts w:hint="eastAsia" w:ascii="仿宋_GB2312" w:hAnsi="宋体" w:eastAsia="仿宋_GB2312" w:cs="Times New Roman"/>
          <w:sz w:val="24"/>
          <w:szCs w:val="24"/>
        </w:rPr>
        <w:t>本合同一式四份，甲、乙双方、政府采购办、采购代理公司各执一份，合同自双方签字之日起生效。</w:t>
      </w:r>
    </w:p>
    <w:p w14:paraId="74C70FDC">
      <w:pPr>
        <w:spacing w:line="400" w:lineRule="exact"/>
        <w:ind w:firstLine="480"/>
        <w:rPr>
          <w:rFonts w:ascii="仿宋_GB2312" w:hAnsi="宋体" w:eastAsia="仿宋_GB2312" w:cs="Times New Roman"/>
          <w:sz w:val="24"/>
          <w:szCs w:val="24"/>
        </w:rPr>
      </w:pPr>
    </w:p>
    <w:p w14:paraId="08DD0115">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甲方：（签章）                  乙方：（签章）</w:t>
      </w:r>
    </w:p>
    <w:p w14:paraId="4241A1E6">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法定代表人：                   法定代表人：</w:t>
      </w:r>
    </w:p>
    <w:p w14:paraId="6704D004">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委托代理人：                   委托代理人：</w:t>
      </w:r>
    </w:p>
    <w:p w14:paraId="0C09C2A0">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联系电话：                     联系电话：</w:t>
      </w:r>
    </w:p>
    <w:p w14:paraId="6BB3B2DA">
      <w:pPr>
        <w:spacing w:line="400" w:lineRule="exact"/>
        <w:rPr>
          <w:rFonts w:ascii="仿宋_GB2312" w:hAnsi="宋体" w:eastAsia="仿宋_GB2312" w:cs="Times New Roman"/>
          <w:sz w:val="24"/>
          <w:szCs w:val="24"/>
        </w:rPr>
      </w:pPr>
    </w:p>
    <w:p w14:paraId="2DC45A0D">
      <w:pPr>
        <w:spacing w:line="400" w:lineRule="exact"/>
        <w:ind w:firstLine="480" w:firstLineChars="200"/>
        <w:rPr>
          <w:rFonts w:ascii="仿宋_GB2312" w:hAnsi="宋体" w:eastAsia="仿宋_GB2312" w:cs="Times New Roman"/>
          <w:sz w:val="24"/>
          <w:szCs w:val="24"/>
        </w:rPr>
      </w:pPr>
    </w:p>
    <w:p w14:paraId="56E84F53">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签约时间：  2024年  月  日</w:t>
      </w:r>
    </w:p>
    <w:p w14:paraId="51EDD1A6">
      <w:pPr>
        <w:adjustRightInd w:val="0"/>
        <w:snapToGrid w:val="0"/>
        <w:spacing w:line="720" w:lineRule="auto"/>
        <w:ind w:left="140" w:firstLine="420"/>
        <w:rPr>
          <w:b/>
          <w:color w:val="FF0000"/>
          <w:highlight w:val="yellow"/>
        </w:rPr>
      </w:pPr>
    </w:p>
    <w:p w14:paraId="3F10E827">
      <w:pPr>
        <w:adjustRightInd w:val="0"/>
        <w:snapToGrid w:val="0"/>
        <w:spacing w:line="720" w:lineRule="auto"/>
        <w:ind w:left="140" w:firstLine="420"/>
        <w:rPr>
          <w:rFonts w:ascii="仿宋_GB2312" w:hAnsi="Times New Roman" w:eastAsia="仿宋_GB2312" w:cs="Times New Roman"/>
          <w:sz w:val="28"/>
          <w:szCs w:val="28"/>
        </w:rPr>
      </w:pPr>
      <w:r>
        <w:rPr>
          <w:rFonts w:hint="eastAsia"/>
          <w:b/>
          <w:color w:val="FF0000"/>
          <w:highlight w:val="yellow"/>
        </w:rPr>
        <w:t>注：本合同格式仅供参考，具体以采购人与中标人实际签订为准</w:t>
      </w:r>
    </w:p>
    <w:p w14:paraId="50C8D74D">
      <w:pPr>
        <w:pStyle w:val="5"/>
        <w:jc w:val="center"/>
      </w:pPr>
      <w:bookmarkStart w:id="277" w:name="_Toc505691144"/>
      <w:bookmarkStart w:id="278" w:name="_Toc26625"/>
      <w:r>
        <w:rPr>
          <w:rFonts w:hint="eastAsia"/>
        </w:rPr>
        <w:t>第五章  技术标准和要求</w:t>
      </w:r>
      <w:bookmarkEnd w:id="277"/>
      <w:bookmarkEnd w:id="278"/>
    </w:p>
    <w:p w14:paraId="5DFF538B">
      <w:pPr>
        <w:keepNext/>
        <w:keepLines/>
        <w:widowControl w:val="0"/>
        <w:spacing w:before="260" w:after="260" w:line="416" w:lineRule="auto"/>
        <w:ind w:firstLine="803" w:firstLineChars="250"/>
        <w:jc w:val="both"/>
        <w:outlineLvl w:val="1"/>
        <w:rPr>
          <w:rFonts w:hint="default" w:ascii="仿宋_GB2312" w:hAnsi="Arial" w:eastAsia="仿宋_GB2312" w:cs="Times New Roman"/>
          <w:b/>
          <w:bCs/>
          <w:kern w:val="2"/>
          <w:sz w:val="32"/>
          <w:szCs w:val="32"/>
          <w:lang w:val="en-US" w:eastAsia="zh-CN" w:bidi="ar-SA"/>
        </w:rPr>
      </w:pPr>
      <w:bookmarkStart w:id="279" w:name="_Toc326570699"/>
      <w:bookmarkStart w:id="280" w:name="_Toc324775707"/>
      <w:r>
        <w:rPr>
          <w:rFonts w:hint="eastAsia" w:ascii="仿宋_GB2312" w:hAnsi="Arial" w:eastAsia="仿宋_GB2312" w:cs="Times New Roman"/>
          <w:b/>
          <w:bCs/>
          <w:kern w:val="2"/>
          <w:sz w:val="32"/>
          <w:szCs w:val="32"/>
          <w:lang w:val="en-US" w:eastAsia="zh-CN" w:bidi="ar-SA"/>
        </w:rPr>
        <w:t>一、项目背景</w:t>
      </w:r>
    </w:p>
    <w:p w14:paraId="76CABA4D">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根据《自然资源部办公厅国家林草局办公室关于强化业务协同加快推进林权登记资料移交数据整合和信息共享的通知》(自然资办发〔2023〕2号)、《吉林省自然资源厅吉林省林业和草原局关于全面有序完成原林权登记资料数据清理移交和整合汇交等工作的通知》(吉自然资办发〔2023〕57号)、《吉林省自然资源厅关于进一步提升不动产登记数据质量的通知》（吉自然资函〔2024〕369号）文件要求，桦甸市作为2024年吉林省林权资料移交及数据整合汇交工作现行点，需要在2024年底前完成林权登记资料移交共享、登记数据整合建库汇交、优化业务流程等工作，实现林权登记和林业管理工作衔接。</w:t>
      </w:r>
    </w:p>
    <w:p w14:paraId="6DD46EE8">
      <w:pPr>
        <w:keepNext/>
        <w:keepLines/>
        <w:widowControl w:val="0"/>
        <w:spacing w:before="260" w:after="260" w:line="416" w:lineRule="auto"/>
        <w:ind w:firstLine="803" w:firstLineChars="250"/>
        <w:jc w:val="both"/>
        <w:outlineLvl w:val="1"/>
        <w:rPr>
          <w:rFonts w:hint="eastAsia" w:ascii="仿宋_GB2312" w:hAnsi="Arial" w:eastAsia="仿宋_GB2312" w:cs="Times New Roman"/>
          <w:b/>
          <w:bCs/>
          <w:kern w:val="2"/>
          <w:sz w:val="32"/>
          <w:szCs w:val="32"/>
          <w:lang w:val="en-US" w:eastAsia="zh-CN" w:bidi="ar-SA"/>
        </w:rPr>
      </w:pPr>
      <w:r>
        <w:rPr>
          <w:rFonts w:hint="eastAsia" w:ascii="仿宋_GB2312" w:hAnsi="Arial" w:eastAsia="仿宋_GB2312" w:cs="Times New Roman"/>
          <w:b/>
          <w:bCs/>
          <w:kern w:val="2"/>
          <w:sz w:val="32"/>
          <w:szCs w:val="32"/>
          <w:lang w:val="en-US" w:eastAsia="zh-CN" w:bidi="ar-SA"/>
        </w:rPr>
        <w:t>二、项目范围</w:t>
      </w:r>
    </w:p>
    <w:p w14:paraId="590E0C24">
      <w:pPr>
        <w:spacing w:line="360" w:lineRule="auto"/>
        <w:ind w:firstLine="560" w:firstLineChars="200"/>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完成桦甸市2012年到2024年，不少于18000宗林权数据资料移交、数据整合和成果汇交。</w:t>
      </w:r>
    </w:p>
    <w:p w14:paraId="5CF07E78">
      <w:pPr>
        <w:keepNext/>
        <w:keepLines/>
        <w:widowControl w:val="0"/>
        <w:spacing w:before="260" w:after="260" w:line="416" w:lineRule="auto"/>
        <w:ind w:firstLine="803" w:firstLineChars="250"/>
        <w:jc w:val="both"/>
        <w:outlineLvl w:val="1"/>
        <w:rPr>
          <w:rFonts w:hint="eastAsia" w:ascii="仿宋_GB2312" w:hAnsi="Arial" w:eastAsia="仿宋_GB2312" w:cs="Times New Roman"/>
          <w:b/>
          <w:bCs/>
          <w:kern w:val="2"/>
          <w:sz w:val="32"/>
          <w:szCs w:val="32"/>
          <w:lang w:val="en-US" w:eastAsia="zh-CN" w:bidi="ar-SA"/>
        </w:rPr>
      </w:pPr>
      <w:r>
        <w:rPr>
          <w:rFonts w:hint="eastAsia" w:ascii="仿宋_GB2312" w:hAnsi="Arial" w:eastAsia="仿宋_GB2312" w:cs="Times New Roman"/>
          <w:b/>
          <w:bCs/>
          <w:kern w:val="2"/>
          <w:sz w:val="32"/>
          <w:szCs w:val="32"/>
          <w:lang w:val="en-US" w:eastAsia="zh-CN" w:bidi="ar-SA"/>
        </w:rPr>
        <w:t>三、项目内容</w:t>
      </w:r>
    </w:p>
    <w:tbl>
      <w:tblPr>
        <w:tblStyle w:val="19"/>
        <w:tblpPr w:leftFromText="180" w:rightFromText="180" w:vertAnchor="text" w:horzAnchor="page" w:tblpX="1453" w:tblpY="505"/>
        <w:tblOverlap w:val="never"/>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686"/>
        <w:gridCol w:w="7242"/>
      </w:tblGrid>
      <w:tr w14:paraId="0802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66" w:type="dxa"/>
            <w:noWrap/>
            <w:vAlign w:val="center"/>
          </w:tcPr>
          <w:p w14:paraId="1E46670B">
            <w:pPr>
              <w:widowControl/>
              <w:spacing w:line="240" w:lineRule="auto"/>
              <w:ind w:left="-126" w:leftChars="-60"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686" w:type="dxa"/>
            <w:noWrap w:val="0"/>
            <w:vAlign w:val="center"/>
          </w:tcPr>
          <w:p w14:paraId="43DF2344">
            <w:pPr>
              <w:widowControl/>
              <w:spacing w:line="240" w:lineRule="auto"/>
              <w:ind w:firstLine="0" w:firstLineChars="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工作项细类</w:t>
            </w:r>
          </w:p>
        </w:tc>
        <w:tc>
          <w:tcPr>
            <w:tcW w:w="7242" w:type="dxa"/>
            <w:noWrap w:val="0"/>
            <w:vAlign w:val="center"/>
          </w:tcPr>
          <w:p w14:paraId="59753FAA">
            <w:pPr>
              <w:widowControl/>
              <w:spacing w:line="240" w:lineRule="auto"/>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内容描述</w:t>
            </w:r>
          </w:p>
        </w:tc>
      </w:tr>
      <w:tr w14:paraId="251A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866" w:type="dxa"/>
            <w:shd w:val="clear" w:color="000000" w:fill="FFFFFF"/>
            <w:noWrap/>
            <w:vAlign w:val="center"/>
          </w:tcPr>
          <w:p w14:paraId="261820FF">
            <w:pPr>
              <w:widowControl/>
              <w:spacing w:line="240" w:lineRule="auto"/>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　</w:t>
            </w:r>
          </w:p>
        </w:tc>
        <w:tc>
          <w:tcPr>
            <w:tcW w:w="1686" w:type="dxa"/>
            <w:shd w:val="clear" w:color="000000" w:fill="FFFFFF"/>
            <w:noWrap w:val="0"/>
            <w:vAlign w:val="center"/>
          </w:tcPr>
          <w:p w14:paraId="59B630C4">
            <w:pPr>
              <w:widowControl/>
              <w:spacing w:line="240" w:lineRule="auto"/>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准备工作</w:t>
            </w:r>
          </w:p>
        </w:tc>
        <w:tc>
          <w:tcPr>
            <w:tcW w:w="7242" w:type="dxa"/>
            <w:shd w:val="clear" w:color="000000" w:fill="FFFFFF"/>
            <w:noWrap w:val="0"/>
            <w:vAlign w:val="center"/>
          </w:tcPr>
          <w:p w14:paraId="31A140A9">
            <w:pPr>
              <w:widowControl/>
              <w:spacing w:line="240" w:lineRule="auto"/>
              <w:ind w:firstLine="0" w:firstLineChars="0"/>
              <w:jc w:val="left"/>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资料收集分析：包括林权存量纸质材料和电子数据（空间数据、档案资料、簿册数据等）、林地“一张图”数据、最新遥感影像等基础地理数据、集体土地所有权等土地类登记数据等收集分析。</w:t>
            </w:r>
          </w:p>
          <w:p w14:paraId="781E6B06">
            <w:pPr>
              <w:widowControl/>
              <w:spacing w:line="240" w:lineRule="auto"/>
              <w:ind w:firstLine="0" w:firstLineChars="0"/>
              <w:jc w:val="left"/>
              <w:rPr>
                <w:rFonts w:hint="default" w:ascii="仿宋" w:hAnsi="仿宋" w:eastAsia="仿宋" w:cs="宋体"/>
                <w:bCs/>
                <w:color w:val="000000"/>
                <w:kern w:val="0"/>
                <w:sz w:val="24"/>
                <w:szCs w:val="24"/>
                <w:lang w:val="en-US" w:eastAsia="zh-CN"/>
              </w:rPr>
            </w:pPr>
            <w:r>
              <w:rPr>
                <w:rFonts w:hint="default" w:ascii="仿宋" w:hAnsi="仿宋" w:eastAsia="仿宋" w:cs="宋体"/>
                <w:bCs/>
                <w:color w:val="000000"/>
                <w:kern w:val="0"/>
                <w:sz w:val="24"/>
                <w:szCs w:val="24"/>
                <w:lang w:val="en-US" w:eastAsia="zh-CN"/>
              </w:rPr>
              <w:t>方案及设计书编制</w:t>
            </w:r>
            <w:r>
              <w:rPr>
                <w:rFonts w:hint="eastAsia" w:ascii="仿宋" w:hAnsi="仿宋" w:eastAsia="仿宋" w:cs="宋体"/>
                <w:bCs/>
                <w:color w:val="000000"/>
                <w:kern w:val="0"/>
                <w:sz w:val="24"/>
                <w:szCs w:val="24"/>
                <w:lang w:val="en-US" w:eastAsia="zh-CN"/>
              </w:rPr>
              <w:t>：编制实施方案、项目设计书等方案材料。</w:t>
            </w:r>
          </w:p>
        </w:tc>
      </w:tr>
      <w:tr w14:paraId="7C35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vMerge w:val="restart"/>
            <w:shd w:val="clear" w:color="000000" w:fill="FFFFFF"/>
            <w:noWrap/>
            <w:vAlign w:val="center"/>
          </w:tcPr>
          <w:p w14:paraId="62705C80">
            <w:pPr>
              <w:widowControl/>
              <w:spacing w:line="240" w:lineRule="auto"/>
              <w:ind w:firstLine="0" w:firstLineChars="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w:t>
            </w:r>
          </w:p>
        </w:tc>
        <w:tc>
          <w:tcPr>
            <w:tcW w:w="1686" w:type="dxa"/>
            <w:vMerge w:val="restart"/>
            <w:shd w:val="clear" w:color="000000" w:fill="FFFFFF"/>
            <w:noWrap w:val="0"/>
            <w:vAlign w:val="center"/>
          </w:tcPr>
          <w:p w14:paraId="19218523">
            <w:pPr>
              <w:widowControl/>
              <w:spacing w:line="240" w:lineRule="auto"/>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建立林权原始库（数据标准化、规范化整理）</w:t>
            </w:r>
          </w:p>
        </w:tc>
        <w:tc>
          <w:tcPr>
            <w:tcW w:w="7242" w:type="dxa"/>
            <w:shd w:val="clear" w:color="000000" w:fill="FFFFFF"/>
            <w:noWrap w:val="0"/>
            <w:vAlign w:val="center"/>
          </w:tcPr>
          <w:p w14:paraId="2744A1C9">
            <w:pPr>
              <w:widowControl/>
              <w:spacing w:line="240" w:lineRule="auto"/>
              <w:ind w:firstLine="0" w:firstLineChars="0"/>
              <w:jc w:val="left"/>
              <w:rPr>
                <w:rFonts w:hint="default" w:ascii="仿宋" w:hAnsi="仿宋" w:eastAsia="仿宋" w:cs="宋体"/>
                <w:color w:val="000000"/>
                <w:kern w:val="0"/>
                <w:sz w:val="24"/>
                <w:szCs w:val="24"/>
                <w:lang w:val="en-US" w:eastAsia="zh-CN"/>
              </w:rPr>
            </w:pPr>
            <w:r>
              <w:rPr>
                <w:rFonts w:hint="eastAsia" w:ascii="仿宋" w:hAnsi="仿宋" w:eastAsia="仿宋" w:cs="宋体"/>
                <w:bCs/>
                <w:color w:val="000000"/>
                <w:kern w:val="0"/>
                <w:sz w:val="24"/>
                <w:szCs w:val="24"/>
              </w:rPr>
              <w:t>档案整理（电子档案建立）</w:t>
            </w:r>
            <w:r>
              <w:rPr>
                <w:rFonts w:hint="eastAsia" w:ascii="仿宋" w:hAnsi="仿宋" w:eastAsia="仿宋" w:cs="宋体"/>
                <w:bCs/>
                <w:color w:val="000000"/>
                <w:kern w:val="0"/>
                <w:sz w:val="24"/>
                <w:szCs w:val="24"/>
                <w:lang w:eastAsia="zh-CN"/>
              </w:rPr>
              <w:t>：</w:t>
            </w:r>
            <w:r>
              <w:rPr>
                <w:rFonts w:hint="eastAsia" w:ascii="仿宋" w:hAnsi="仿宋" w:eastAsia="仿宋" w:cs="宋体"/>
                <w:bCs/>
                <w:color w:val="000000"/>
                <w:kern w:val="0"/>
                <w:sz w:val="24"/>
                <w:szCs w:val="24"/>
                <w:lang w:val="en-US" w:eastAsia="zh-CN"/>
              </w:rPr>
              <w:t>电子档案整理、纸质档案扫描整理、纸质空间数据整理等。</w:t>
            </w:r>
          </w:p>
        </w:tc>
      </w:tr>
      <w:tr w14:paraId="7B17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vMerge w:val="continue"/>
            <w:shd w:val="clear" w:color="000000" w:fill="FFFFFF"/>
            <w:noWrap/>
            <w:vAlign w:val="center"/>
          </w:tcPr>
          <w:p w14:paraId="06892033">
            <w:pPr>
              <w:widowControl/>
              <w:spacing w:line="240" w:lineRule="auto"/>
              <w:ind w:firstLine="0" w:firstLineChars="0"/>
              <w:jc w:val="center"/>
              <w:rPr>
                <w:rFonts w:hint="default" w:ascii="仿宋" w:hAnsi="仿宋" w:eastAsia="仿宋" w:cs="宋体"/>
                <w:color w:val="000000"/>
                <w:kern w:val="0"/>
                <w:sz w:val="24"/>
                <w:szCs w:val="24"/>
                <w:lang w:val="en-US" w:eastAsia="zh-CN"/>
              </w:rPr>
            </w:pPr>
          </w:p>
        </w:tc>
        <w:tc>
          <w:tcPr>
            <w:tcW w:w="1686" w:type="dxa"/>
            <w:vMerge w:val="continue"/>
            <w:shd w:val="clear" w:color="000000" w:fill="FFFFFF"/>
            <w:noWrap w:val="0"/>
            <w:vAlign w:val="center"/>
          </w:tcPr>
          <w:p w14:paraId="009DAA35">
            <w:pPr>
              <w:widowControl/>
              <w:spacing w:line="240" w:lineRule="auto"/>
              <w:ind w:firstLine="0" w:firstLineChars="0"/>
              <w:jc w:val="center"/>
              <w:rPr>
                <w:rFonts w:hint="eastAsia" w:ascii="仿宋" w:hAnsi="仿宋" w:eastAsia="仿宋" w:cs="宋体"/>
                <w:color w:val="000000"/>
                <w:kern w:val="0"/>
                <w:sz w:val="24"/>
                <w:szCs w:val="24"/>
              </w:rPr>
            </w:pPr>
          </w:p>
        </w:tc>
        <w:tc>
          <w:tcPr>
            <w:tcW w:w="7242" w:type="dxa"/>
            <w:shd w:val="clear" w:color="000000" w:fill="FFFFFF"/>
            <w:noWrap w:val="0"/>
            <w:vAlign w:val="center"/>
          </w:tcPr>
          <w:p w14:paraId="0E6C37C7">
            <w:pPr>
              <w:widowControl/>
              <w:spacing w:line="240" w:lineRule="auto"/>
              <w:ind w:firstLine="0" w:firstLineChars="0"/>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登记信息整理：电子登记信息整理、关键信息补录、标准化转换等。</w:t>
            </w:r>
          </w:p>
        </w:tc>
      </w:tr>
      <w:tr w14:paraId="6F9F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vMerge w:val="restart"/>
            <w:shd w:val="clear" w:color="000000" w:fill="FFFFFF"/>
            <w:noWrap/>
            <w:vAlign w:val="center"/>
          </w:tcPr>
          <w:p w14:paraId="36E6C29C">
            <w:pPr>
              <w:widowControl/>
              <w:spacing w:line="240" w:lineRule="auto"/>
              <w:ind w:firstLine="0" w:firstLineChars="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w:t>
            </w:r>
          </w:p>
        </w:tc>
        <w:tc>
          <w:tcPr>
            <w:tcW w:w="1686" w:type="dxa"/>
            <w:shd w:val="clear" w:color="000000" w:fill="FFFFFF"/>
            <w:noWrap w:val="0"/>
            <w:vAlign w:val="center"/>
          </w:tcPr>
          <w:p w14:paraId="6346C7F6">
            <w:pPr>
              <w:widowControl/>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数据清查与问题处理</w:t>
            </w:r>
          </w:p>
        </w:tc>
        <w:tc>
          <w:tcPr>
            <w:tcW w:w="7242" w:type="dxa"/>
            <w:shd w:val="clear" w:color="000000" w:fill="FFFFFF"/>
            <w:noWrap w:val="0"/>
            <w:vAlign w:val="center"/>
          </w:tcPr>
          <w:p w14:paraId="63C9E8CE">
            <w:pPr>
              <w:widowControl/>
              <w:spacing w:line="240" w:lineRule="auto"/>
              <w:ind w:firstLine="0" w:firstLineChars="0"/>
              <w:jc w:val="left"/>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林权数据清查与内业处理：电子空间数据处理、林地所有权数据整理、使用权数据整理。</w:t>
            </w:r>
          </w:p>
        </w:tc>
      </w:tr>
      <w:tr w14:paraId="64D9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vMerge w:val="continue"/>
            <w:shd w:val="clear" w:color="000000" w:fill="FFFFFF"/>
            <w:noWrap/>
            <w:vAlign w:val="center"/>
          </w:tcPr>
          <w:p w14:paraId="2F642603">
            <w:pPr>
              <w:widowControl/>
              <w:spacing w:line="240" w:lineRule="auto"/>
              <w:ind w:firstLine="0" w:firstLineChars="0"/>
              <w:jc w:val="center"/>
              <w:rPr>
                <w:rFonts w:hint="eastAsia" w:ascii="仿宋" w:hAnsi="仿宋" w:eastAsia="仿宋" w:cs="宋体"/>
                <w:color w:val="000000"/>
                <w:kern w:val="0"/>
                <w:sz w:val="24"/>
                <w:szCs w:val="24"/>
                <w:lang w:val="en-US" w:eastAsia="zh-CN"/>
              </w:rPr>
            </w:pPr>
          </w:p>
        </w:tc>
        <w:tc>
          <w:tcPr>
            <w:tcW w:w="1686" w:type="dxa"/>
            <w:shd w:val="clear" w:color="000000" w:fill="FFFFFF"/>
            <w:noWrap w:val="0"/>
            <w:vAlign w:val="center"/>
          </w:tcPr>
          <w:p w14:paraId="3EE40C75">
            <w:pPr>
              <w:widowControl/>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外业地籍调查</w:t>
            </w:r>
          </w:p>
        </w:tc>
        <w:tc>
          <w:tcPr>
            <w:tcW w:w="7242" w:type="dxa"/>
            <w:shd w:val="clear" w:color="000000" w:fill="FFFFFF"/>
            <w:noWrap w:val="0"/>
            <w:vAlign w:val="center"/>
          </w:tcPr>
          <w:p w14:paraId="794A346C">
            <w:pPr>
              <w:widowControl/>
              <w:spacing w:line="240" w:lineRule="auto"/>
              <w:ind w:firstLine="0" w:firstLineChars="0"/>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通过数据标准化和规范化整理、历史遗留问题清理及标记等工作，对需要开展林权地籍调查重新采集与补录数据的宗地进行统计和分析。对于资料缺失但能够直接在高清影像图上进行室内指界落宗, 当事人无异议的,无需实地调查，进行室内指界(图解)地籍调查，按照林权总量10%计算。</w:t>
            </w:r>
          </w:p>
        </w:tc>
      </w:tr>
      <w:tr w14:paraId="160B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shd w:val="clear" w:color="000000" w:fill="FFFFFF"/>
            <w:noWrap/>
            <w:vAlign w:val="center"/>
          </w:tcPr>
          <w:p w14:paraId="2C844563">
            <w:pPr>
              <w:widowControl/>
              <w:spacing w:line="240" w:lineRule="auto"/>
              <w:ind w:firstLine="0" w:firstLineChars="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w:t>
            </w:r>
          </w:p>
        </w:tc>
        <w:tc>
          <w:tcPr>
            <w:tcW w:w="1686" w:type="dxa"/>
            <w:shd w:val="clear" w:color="000000" w:fill="FFFFFF"/>
            <w:noWrap w:val="0"/>
            <w:vAlign w:val="center"/>
          </w:tcPr>
          <w:p w14:paraId="0201CECE">
            <w:pPr>
              <w:widowControl/>
              <w:spacing w:line="240" w:lineRule="auto"/>
              <w:ind w:firstLine="0" w:firstLineChars="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数据检查入库</w:t>
            </w:r>
          </w:p>
        </w:tc>
        <w:tc>
          <w:tcPr>
            <w:tcW w:w="7242" w:type="dxa"/>
            <w:shd w:val="clear" w:color="000000" w:fill="FFFFFF"/>
            <w:noWrap w:val="0"/>
            <w:vAlign w:val="center"/>
          </w:tcPr>
          <w:p w14:paraId="5E4297CC">
            <w:pPr>
              <w:widowControl/>
              <w:spacing w:line="240" w:lineRule="auto"/>
              <w:ind w:firstLine="0" w:firstLineChars="0"/>
              <w:jc w:val="left"/>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按照《不动产登记数据整合建库技术规范（试行）》</w:t>
            </w:r>
          </w:p>
          <w:p w14:paraId="7E2D96DC">
            <w:pPr>
              <w:widowControl/>
              <w:spacing w:line="240" w:lineRule="auto"/>
              <w:ind w:firstLine="0" w:firstLineChars="0"/>
              <w:jc w:val="left"/>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和《不动产登记数据库标准》对行政区、地籍区（子区）、林权宗地、权利数据、登记信息、档案成果等数据入库和检查，并生成不动产登记信息元数据，经验收合格后,将成果导入到不动产登记数据库，并去重。</w:t>
            </w:r>
          </w:p>
        </w:tc>
      </w:tr>
      <w:tr w14:paraId="3467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shd w:val="clear" w:color="000000" w:fill="FFFFFF"/>
            <w:noWrap/>
            <w:vAlign w:val="center"/>
          </w:tcPr>
          <w:p w14:paraId="073D7666">
            <w:pPr>
              <w:widowControl/>
              <w:spacing w:line="240" w:lineRule="auto"/>
              <w:ind w:firstLine="0" w:firstLineChars="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w:t>
            </w:r>
          </w:p>
        </w:tc>
        <w:tc>
          <w:tcPr>
            <w:tcW w:w="1686" w:type="dxa"/>
            <w:shd w:val="clear" w:color="000000" w:fill="FFFFFF"/>
            <w:noWrap w:val="0"/>
            <w:vAlign w:val="center"/>
          </w:tcPr>
          <w:p w14:paraId="156F0F4C">
            <w:pPr>
              <w:widowControl/>
              <w:spacing w:line="240" w:lineRule="auto"/>
              <w:ind w:firstLine="0" w:firstLineChars="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数据关联</w:t>
            </w:r>
          </w:p>
        </w:tc>
        <w:tc>
          <w:tcPr>
            <w:tcW w:w="7242" w:type="dxa"/>
            <w:shd w:val="clear" w:color="000000" w:fill="FFFFFF"/>
            <w:noWrap w:val="0"/>
            <w:vAlign w:val="center"/>
          </w:tcPr>
          <w:p w14:paraId="4ADC3A35">
            <w:pPr>
              <w:widowControl/>
              <w:spacing w:line="240" w:lineRule="auto"/>
              <w:ind w:firstLine="0" w:firstLineChars="0"/>
              <w:jc w:val="left"/>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建立关联关系与原登记资料挂接。</w:t>
            </w:r>
          </w:p>
        </w:tc>
      </w:tr>
      <w:tr w14:paraId="210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shd w:val="clear" w:color="000000" w:fill="FFFFFF"/>
            <w:noWrap/>
            <w:vAlign w:val="center"/>
          </w:tcPr>
          <w:p w14:paraId="7BCBBFAF">
            <w:pPr>
              <w:widowControl/>
              <w:spacing w:line="240" w:lineRule="auto"/>
              <w:ind w:firstLine="0" w:firstLineChars="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w:t>
            </w:r>
          </w:p>
        </w:tc>
        <w:tc>
          <w:tcPr>
            <w:tcW w:w="1686" w:type="dxa"/>
            <w:shd w:val="clear" w:color="000000" w:fill="FFFFFF"/>
            <w:noWrap w:val="0"/>
            <w:vAlign w:val="center"/>
          </w:tcPr>
          <w:p w14:paraId="0963B513">
            <w:pPr>
              <w:widowControl/>
              <w:spacing w:line="240" w:lineRule="auto"/>
              <w:ind w:firstLine="0" w:firstLineChars="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数据汇交</w:t>
            </w:r>
          </w:p>
        </w:tc>
        <w:tc>
          <w:tcPr>
            <w:tcW w:w="7242" w:type="dxa"/>
            <w:shd w:val="clear" w:color="000000" w:fill="FFFFFF"/>
            <w:noWrap w:val="0"/>
            <w:vAlign w:val="center"/>
          </w:tcPr>
          <w:p w14:paraId="43653897">
            <w:pPr>
              <w:widowControl/>
              <w:spacing w:line="240" w:lineRule="auto"/>
              <w:ind w:firstLine="0" w:firstLineChars="0"/>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成果质检与汇交：生成不动产存量数据汇交包，对汇交包进行质检，包括矢量数据、权属数据、栅格数据以及其他资料，对存在问题的数据进行修改，直至最终形成质量检查合格的成果包。按照不动产最新汇交要求，完成数据汇交。</w:t>
            </w:r>
          </w:p>
        </w:tc>
      </w:tr>
    </w:tbl>
    <w:p w14:paraId="4FAA1143">
      <w:pPr>
        <w:spacing w:before="135" w:after="120" w:line="440" w:lineRule="exact"/>
        <w:ind w:firstLine="206" w:firstLineChars="100"/>
        <w:rPr>
          <w:rFonts w:ascii="微软雅黑" w:hAnsi="微软雅黑" w:eastAsia="微软雅黑" w:cs="微软雅黑"/>
          <w:spacing w:val="-2"/>
          <w:szCs w:val="21"/>
        </w:rPr>
      </w:pPr>
    </w:p>
    <w:p w14:paraId="74D7F118">
      <w:pPr>
        <w:rPr>
          <w:rFonts w:ascii="Times New Roman" w:hAnsi="Times New Roman" w:cs="Times New Roman"/>
          <w:sz w:val="28"/>
          <w:szCs w:val="28"/>
        </w:rPr>
      </w:pPr>
    </w:p>
    <w:bookmarkEnd w:id="279"/>
    <w:bookmarkEnd w:id="280"/>
    <w:p w14:paraId="582E4C3C">
      <w:pPr>
        <w:rPr>
          <w:rFonts w:hint="eastAsia" w:ascii="宋体" w:hAnsi="宋体"/>
          <w:b/>
          <w:bCs/>
          <w:sz w:val="32"/>
          <w:szCs w:val="32"/>
        </w:rPr>
      </w:pPr>
      <w:bookmarkStart w:id="281" w:name="_Toc505691145"/>
      <w:bookmarkStart w:id="282" w:name="_Toc16773"/>
      <w:r>
        <w:rPr>
          <w:rFonts w:hint="eastAsia" w:ascii="宋体" w:hAnsi="宋体"/>
          <w:b/>
          <w:bCs/>
          <w:sz w:val="32"/>
          <w:szCs w:val="32"/>
        </w:rPr>
        <w:br w:type="page"/>
      </w:r>
    </w:p>
    <w:p w14:paraId="75ECA511">
      <w:pPr>
        <w:spacing w:line="360" w:lineRule="auto"/>
        <w:jc w:val="center"/>
        <w:outlineLvl w:val="0"/>
        <w:rPr>
          <w:rFonts w:ascii="宋体" w:hAnsi="宋体"/>
          <w:b/>
          <w:bCs/>
          <w:sz w:val="32"/>
          <w:szCs w:val="32"/>
        </w:rPr>
      </w:pPr>
      <w:r>
        <w:rPr>
          <w:rFonts w:hint="eastAsia" w:ascii="宋体" w:hAnsi="宋体"/>
          <w:b/>
          <w:bCs/>
          <w:sz w:val="32"/>
          <w:szCs w:val="32"/>
        </w:rPr>
        <w:t>第六章  磋商响应文件格式</w:t>
      </w:r>
      <w:bookmarkEnd w:id="281"/>
      <w:bookmarkEnd w:id="282"/>
    </w:p>
    <w:tbl>
      <w:tblPr>
        <w:tblStyle w:val="19"/>
        <w:tblW w:w="2410"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tblGrid>
      <w:tr w14:paraId="0F76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4C32E8FF">
            <w:pPr>
              <w:widowControl/>
              <w:snapToGrid w:val="0"/>
              <w:spacing w:line="360" w:lineRule="auto"/>
              <w:jc w:val="center"/>
              <w:rPr>
                <w:rFonts w:ascii="宋体" w:hAnsi="宋体" w:cs="宋体"/>
                <w:b/>
                <w:bCs/>
                <w:spacing w:val="20"/>
                <w:kern w:val="0"/>
                <w:sz w:val="52"/>
                <w:szCs w:val="52"/>
              </w:rPr>
            </w:pPr>
            <w:bookmarkStart w:id="283" w:name="_Toc19319"/>
            <w:bookmarkStart w:id="284" w:name="_Toc403382856"/>
            <w:bookmarkStart w:id="285" w:name="_Toc14722"/>
            <w:r>
              <w:rPr>
                <w:rFonts w:hint="eastAsia" w:ascii="宋体" w:hAnsi="宋体" w:cs="宋体"/>
                <w:b/>
                <w:bCs/>
                <w:spacing w:val="20"/>
                <w:kern w:val="0"/>
                <w:sz w:val="52"/>
                <w:szCs w:val="52"/>
              </w:rPr>
              <w:t>正/副本</w:t>
            </w:r>
          </w:p>
        </w:tc>
      </w:tr>
    </w:tbl>
    <w:p w14:paraId="5FAA7120">
      <w:pPr>
        <w:widowControl/>
        <w:snapToGrid w:val="0"/>
        <w:spacing w:line="360" w:lineRule="auto"/>
        <w:jc w:val="center"/>
        <w:rPr>
          <w:rFonts w:ascii="宋体" w:hAnsi="宋体" w:cs="宋体"/>
          <w:b/>
          <w:bCs/>
          <w:spacing w:val="20"/>
          <w:kern w:val="0"/>
          <w:sz w:val="44"/>
          <w:szCs w:val="44"/>
          <w:u w:val="single"/>
        </w:rPr>
      </w:pPr>
    </w:p>
    <w:p w14:paraId="30C2EFEF">
      <w:pPr>
        <w:widowControl/>
        <w:snapToGrid w:val="0"/>
        <w:spacing w:line="360" w:lineRule="auto"/>
        <w:jc w:val="center"/>
        <w:rPr>
          <w:rFonts w:ascii="宋体" w:hAnsi="宋体" w:cs="宋体"/>
          <w:b/>
          <w:bCs/>
          <w:spacing w:val="20"/>
          <w:kern w:val="0"/>
          <w:sz w:val="44"/>
          <w:szCs w:val="44"/>
        </w:rPr>
      </w:pPr>
      <w:r>
        <w:rPr>
          <w:rFonts w:hint="eastAsia" w:ascii="宋体" w:hAnsi="宋体" w:cs="宋体"/>
          <w:b/>
          <w:bCs/>
          <w:spacing w:val="20"/>
          <w:kern w:val="0"/>
          <w:sz w:val="44"/>
          <w:szCs w:val="44"/>
        </w:rPr>
        <w:t>项目</w:t>
      </w:r>
    </w:p>
    <w:p w14:paraId="3EB93264">
      <w:pPr>
        <w:widowControl/>
        <w:snapToGrid w:val="0"/>
        <w:spacing w:line="360" w:lineRule="auto"/>
        <w:jc w:val="center"/>
        <w:rPr>
          <w:rFonts w:ascii="宋体" w:hAnsi="宋体" w:cs="宋体"/>
          <w:b/>
          <w:bCs/>
          <w:spacing w:val="20"/>
          <w:kern w:val="0"/>
          <w:sz w:val="44"/>
          <w:szCs w:val="44"/>
        </w:rPr>
      </w:pPr>
    </w:p>
    <w:p w14:paraId="78FFF0C7">
      <w:pPr>
        <w:widowControl/>
        <w:snapToGrid w:val="0"/>
        <w:spacing w:line="360" w:lineRule="auto"/>
        <w:jc w:val="left"/>
        <w:rPr>
          <w:rFonts w:ascii="宋体" w:hAnsi="宋体" w:cs="宋体"/>
          <w:kern w:val="0"/>
          <w:sz w:val="24"/>
        </w:rPr>
      </w:pPr>
    </w:p>
    <w:p w14:paraId="6FCA0BCF">
      <w:pPr>
        <w:widowControl/>
        <w:snapToGrid w:val="0"/>
        <w:spacing w:line="360" w:lineRule="auto"/>
        <w:jc w:val="left"/>
        <w:rPr>
          <w:rFonts w:ascii="仿宋_GB2312" w:hAnsi="宋体" w:eastAsia="仿宋_GB2312" w:cs="宋体"/>
          <w:kern w:val="0"/>
          <w:sz w:val="24"/>
        </w:rPr>
      </w:pPr>
      <w:r>
        <w:rPr>
          <w:rFonts w:hint="eastAsia" w:ascii="华文中宋" w:hAnsi="宋体" w:eastAsia="华文中宋" w:cs="宋体"/>
          <w:kern w:val="0"/>
          <w:sz w:val="30"/>
          <w:szCs w:val="30"/>
        </w:rPr>
        <w:t> </w:t>
      </w:r>
    </w:p>
    <w:p w14:paraId="5D681B3D">
      <w:pPr>
        <w:widowControl/>
        <w:snapToGrid w:val="0"/>
        <w:spacing w:line="360" w:lineRule="auto"/>
        <w:jc w:val="center"/>
        <w:rPr>
          <w:rFonts w:ascii="宋体" w:hAnsi="宋体" w:cs="宋体"/>
          <w:kern w:val="0"/>
          <w:sz w:val="24"/>
        </w:rPr>
      </w:pPr>
      <w:r>
        <w:rPr>
          <w:rFonts w:hint="eastAsia" w:ascii="宋体" w:hAnsi="宋体" w:cs="宋体"/>
          <w:b/>
          <w:kern w:val="0"/>
          <w:sz w:val="84"/>
        </w:rPr>
        <w:t>竞争性磋商响应文件</w:t>
      </w:r>
    </w:p>
    <w:p w14:paraId="660B6E3D">
      <w:pPr>
        <w:widowControl/>
        <w:snapToGrid w:val="0"/>
        <w:spacing w:line="360" w:lineRule="auto"/>
        <w:jc w:val="left"/>
        <w:rPr>
          <w:rFonts w:ascii="宋体" w:hAnsi="宋体" w:cs="宋体"/>
          <w:kern w:val="0"/>
          <w:sz w:val="32"/>
          <w:szCs w:val="20"/>
        </w:rPr>
      </w:pPr>
      <w:r>
        <w:rPr>
          <w:rFonts w:hint="eastAsia" w:ascii="宋体" w:hAnsi="宋体" w:cs="宋体"/>
          <w:kern w:val="0"/>
          <w:sz w:val="32"/>
          <w:szCs w:val="20"/>
        </w:rPr>
        <w:t> </w:t>
      </w:r>
    </w:p>
    <w:p w14:paraId="63CE87C1">
      <w:pPr>
        <w:widowControl/>
        <w:snapToGrid w:val="0"/>
        <w:spacing w:line="360" w:lineRule="auto"/>
        <w:jc w:val="left"/>
        <w:rPr>
          <w:rFonts w:ascii="宋体" w:hAnsi="宋体" w:cs="宋体"/>
          <w:kern w:val="0"/>
          <w:sz w:val="32"/>
          <w:szCs w:val="20"/>
        </w:rPr>
      </w:pPr>
    </w:p>
    <w:p w14:paraId="563E9048">
      <w:pPr>
        <w:widowControl/>
        <w:snapToGrid w:val="0"/>
        <w:spacing w:line="360" w:lineRule="auto"/>
        <w:jc w:val="left"/>
        <w:rPr>
          <w:rFonts w:ascii="宋体" w:hAnsi="宋体" w:cs="宋体"/>
          <w:kern w:val="0"/>
          <w:sz w:val="32"/>
          <w:szCs w:val="20"/>
        </w:rPr>
      </w:pPr>
    </w:p>
    <w:p w14:paraId="163DF3D5">
      <w:pPr>
        <w:widowControl/>
        <w:snapToGrid w:val="0"/>
        <w:spacing w:line="360" w:lineRule="auto"/>
        <w:jc w:val="left"/>
        <w:rPr>
          <w:rFonts w:ascii="宋体" w:hAnsi="宋体" w:cs="宋体"/>
          <w:kern w:val="0"/>
          <w:sz w:val="32"/>
          <w:szCs w:val="20"/>
        </w:rPr>
      </w:pPr>
    </w:p>
    <w:p w14:paraId="4B79D423">
      <w:pPr>
        <w:widowControl/>
        <w:snapToGrid w:val="0"/>
        <w:spacing w:line="360" w:lineRule="auto"/>
        <w:jc w:val="left"/>
        <w:rPr>
          <w:rFonts w:ascii="宋体" w:hAnsi="宋体" w:cs="宋体"/>
          <w:kern w:val="0"/>
          <w:sz w:val="32"/>
          <w:szCs w:val="20"/>
        </w:rPr>
      </w:pPr>
    </w:p>
    <w:p w14:paraId="7AC2AE38">
      <w:pPr>
        <w:widowControl/>
        <w:snapToGrid w:val="0"/>
        <w:spacing w:line="360" w:lineRule="auto"/>
        <w:jc w:val="left"/>
        <w:rPr>
          <w:rFonts w:ascii="黑体" w:hAnsi="宋体" w:eastAsia="黑体" w:cs="宋体"/>
          <w:spacing w:val="20"/>
          <w:kern w:val="0"/>
          <w:sz w:val="32"/>
          <w:szCs w:val="32"/>
        </w:rPr>
      </w:pPr>
      <w:r>
        <w:rPr>
          <w:rFonts w:hint="eastAsia" w:ascii="黑体" w:hAnsi="宋体" w:eastAsia="黑体" w:cs="宋体"/>
          <w:spacing w:val="20"/>
          <w:kern w:val="0"/>
          <w:sz w:val="32"/>
          <w:szCs w:val="32"/>
        </w:rPr>
        <w:t>投标人：（盖章）</w:t>
      </w:r>
    </w:p>
    <w:p w14:paraId="6FFD7949">
      <w:pPr>
        <w:widowControl/>
        <w:snapToGrid w:val="0"/>
        <w:spacing w:line="360" w:lineRule="auto"/>
        <w:ind w:firstLine="360" w:firstLineChars="100"/>
        <w:rPr>
          <w:rFonts w:ascii="黑体" w:hAnsi="宋体" w:eastAsia="黑体" w:cs="宋体"/>
          <w:spacing w:val="20"/>
          <w:kern w:val="0"/>
          <w:sz w:val="32"/>
          <w:szCs w:val="32"/>
        </w:rPr>
      </w:pPr>
    </w:p>
    <w:p w14:paraId="20B462C4">
      <w:pPr>
        <w:widowControl/>
        <w:snapToGrid w:val="0"/>
        <w:spacing w:line="360" w:lineRule="auto"/>
        <w:jc w:val="left"/>
        <w:rPr>
          <w:rFonts w:ascii="黑体" w:hAnsi="宋体" w:eastAsia="黑体" w:cs="宋体"/>
          <w:spacing w:val="20"/>
          <w:kern w:val="0"/>
          <w:sz w:val="32"/>
          <w:szCs w:val="32"/>
        </w:rPr>
      </w:pPr>
      <w:r>
        <w:rPr>
          <w:rFonts w:hint="eastAsia" w:ascii="黑体" w:hAnsi="宋体" w:eastAsia="黑体" w:cs="宋体"/>
          <w:spacing w:val="20"/>
          <w:kern w:val="0"/>
          <w:sz w:val="32"/>
          <w:szCs w:val="32"/>
        </w:rPr>
        <w:t>投标单位法定代表人或授权代理人：（签字）</w:t>
      </w:r>
    </w:p>
    <w:p w14:paraId="17E46D6A">
      <w:pPr>
        <w:widowControl/>
        <w:snapToGrid w:val="0"/>
        <w:spacing w:line="360" w:lineRule="auto"/>
        <w:jc w:val="center"/>
        <w:rPr>
          <w:rFonts w:ascii="黑体" w:hAnsi="宋体" w:eastAsia="黑体" w:cs="宋体"/>
          <w:kern w:val="0"/>
          <w:sz w:val="32"/>
          <w:szCs w:val="32"/>
        </w:rPr>
      </w:pPr>
    </w:p>
    <w:p w14:paraId="3349CD8A">
      <w:pPr>
        <w:widowControl/>
        <w:snapToGrid w:val="0"/>
        <w:spacing w:line="360" w:lineRule="auto"/>
        <w:jc w:val="center"/>
        <w:rPr>
          <w:rFonts w:ascii="黑体" w:hAnsi="宋体" w:eastAsia="黑体" w:cs="宋体"/>
          <w:kern w:val="0"/>
          <w:sz w:val="32"/>
          <w:szCs w:val="32"/>
        </w:rPr>
      </w:pPr>
      <w:r>
        <w:rPr>
          <w:rFonts w:hint="eastAsia" w:ascii="黑体" w:hAnsi="宋体" w:eastAsia="黑体" w:cs="宋体"/>
          <w:kern w:val="0"/>
          <w:sz w:val="32"/>
          <w:szCs w:val="32"/>
        </w:rPr>
        <w:t>年  月  日</w:t>
      </w:r>
    </w:p>
    <w:p w14:paraId="620CBABB">
      <w:pPr>
        <w:spacing w:line="360" w:lineRule="auto"/>
        <w:rPr>
          <w:rFonts w:ascii="宋体" w:hAnsi="宋体"/>
          <w:sz w:val="26"/>
        </w:rPr>
      </w:pPr>
    </w:p>
    <w:p w14:paraId="63148FDC">
      <w:pPr>
        <w:spacing w:line="360" w:lineRule="auto"/>
        <w:jc w:val="center"/>
        <w:rPr>
          <w:rFonts w:ascii="宋体" w:hAnsi="宋体"/>
          <w:sz w:val="26"/>
        </w:rPr>
      </w:pPr>
      <w:r>
        <w:rPr>
          <w:rFonts w:hint="eastAsia" w:ascii="宋体" w:hAnsi="宋体"/>
          <w:sz w:val="26"/>
        </w:rPr>
        <w:t>目    录</w:t>
      </w:r>
      <w:bookmarkEnd w:id="283"/>
      <w:bookmarkEnd w:id="284"/>
      <w:bookmarkEnd w:id="285"/>
    </w:p>
    <w:p w14:paraId="754567FF">
      <w:pPr>
        <w:spacing w:line="360" w:lineRule="auto"/>
        <w:rPr>
          <w:rFonts w:ascii="宋体" w:hAnsi="宋体"/>
          <w:sz w:val="26"/>
        </w:rPr>
      </w:pPr>
    </w:p>
    <w:p w14:paraId="320A1CEB">
      <w:pPr>
        <w:tabs>
          <w:tab w:val="left" w:pos="5580"/>
        </w:tabs>
        <w:spacing w:line="360" w:lineRule="auto"/>
        <w:rPr>
          <w:sz w:val="28"/>
          <w:szCs w:val="28"/>
        </w:rPr>
      </w:pPr>
      <w:r>
        <w:rPr>
          <w:rFonts w:hint="eastAsia"/>
          <w:sz w:val="28"/>
          <w:szCs w:val="28"/>
        </w:rPr>
        <w:t>一、响应函及报价一览表</w:t>
      </w:r>
    </w:p>
    <w:p w14:paraId="38AB2114">
      <w:pPr>
        <w:tabs>
          <w:tab w:val="left" w:pos="5580"/>
        </w:tabs>
        <w:spacing w:line="360" w:lineRule="auto"/>
        <w:rPr>
          <w:sz w:val="28"/>
          <w:szCs w:val="28"/>
        </w:rPr>
      </w:pPr>
      <w:r>
        <w:rPr>
          <w:rFonts w:hint="eastAsia"/>
          <w:sz w:val="28"/>
          <w:szCs w:val="28"/>
        </w:rPr>
        <w:t>二、法定代表人身份证明</w:t>
      </w:r>
    </w:p>
    <w:p w14:paraId="4EFDCD0C">
      <w:pPr>
        <w:tabs>
          <w:tab w:val="left" w:pos="5580"/>
        </w:tabs>
        <w:spacing w:line="360" w:lineRule="auto"/>
        <w:rPr>
          <w:sz w:val="28"/>
          <w:szCs w:val="28"/>
        </w:rPr>
      </w:pPr>
      <w:r>
        <w:rPr>
          <w:rFonts w:hint="eastAsia"/>
          <w:sz w:val="28"/>
          <w:szCs w:val="28"/>
        </w:rPr>
        <w:t>三、授权委托书</w:t>
      </w:r>
    </w:p>
    <w:p w14:paraId="57CDBA60">
      <w:pPr>
        <w:tabs>
          <w:tab w:val="left" w:pos="5580"/>
        </w:tabs>
        <w:spacing w:line="360" w:lineRule="auto"/>
        <w:rPr>
          <w:sz w:val="28"/>
          <w:szCs w:val="28"/>
        </w:rPr>
      </w:pPr>
      <w:r>
        <w:rPr>
          <w:rFonts w:hint="eastAsia"/>
          <w:sz w:val="28"/>
          <w:szCs w:val="28"/>
        </w:rPr>
        <w:t>四、投标人基本情况</w:t>
      </w:r>
    </w:p>
    <w:p w14:paraId="702735DF">
      <w:pPr>
        <w:tabs>
          <w:tab w:val="left" w:pos="5580"/>
        </w:tabs>
        <w:spacing w:line="360" w:lineRule="auto"/>
        <w:rPr>
          <w:sz w:val="28"/>
          <w:szCs w:val="28"/>
        </w:rPr>
      </w:pPr>
      <w:r>
        <w:rPr>
          <w:rFonts w:hint="eastAsia"/>
          <w:sz w:val="28"/>
          <w:szCs w:val="28"/>
        </w:rPr>
        <w:t>五、供应商承诺函</w:t>
      </w:r>
    </w:p>
    <w:p w14:paraId="1FFFF153">
      <w:pPr>
        <w:tabs>
          <w:tab w:val="left" w:pos="5580"/>
        </w:tabs>
        <w:spacing w:line="360" w:lineRule="auto"/>
        <w:rPr>
          <w:sz w:val="28"/>
          <w:szCs w:val="28"/>
        </w:rPr>
      </w:pPr>
      <w:r>
        <w:rPr>
          <w:rFonts w:hint="eastAsia"/>
          <w:sz w:val="28"/>
          <w:szCs w:val="28"/>
        </w:rPr>
        <w:t>六、保证金</w:t>
      </w:r>
    </w:p>
    <w:p w14:paraId="04182C1A">
      <w:pPr>
        <w:tabs>
          <w:tab w:val="left" w:pos="5580"/>
        </w:tabs>
        <w:spacing w:line="360" w:lineRule="auto"/>
        <w:rPr>
          <w:sz w:val="28"/>
          <w:szCs w:val="28"/>
        </w:rPr>
      </w:pPr>
      <w:r>
        <w:rPr>
          <w:rFonts w:hint="eastAsia"/>
          <w:sz w:val="28"/>
          <w:szCs w:val="28"/>
        </w:rPr>
        <w:t>七、服务实施方案</w:t>
      </w:r>
    </w:p>
    <w:p w14:paraId="6FDAE378">
      <w:pPr>
        <w:tabs>
          <w:tab w:val="left" w:pos="5580"/>
        </w:tabs>
        <w:spacing w:line="360" w:lineRule="auto"/>
        <w:rPr>
          <w:sz w:val="28"/>
          <w:szCs w:val="28"/>
        </w:rPr>
      </w:pPr>
      <w:r>
        <w:rPr>
          <w:rFonts w:hint="eastAsia"/>
          <w:sz w:val="28"/>
          <w:szCs w:val="28"/>
        </w:rPr>
        <w:t>八、项目管理机构</w:t>
      </w:r>
    </w:p>
    <w:p w14:paraId="5568EAF7">
      <w:pPr>
        <w:tabs>
          <w:tab w:val="left" w:pos="5580"/>
        </w:tabs>
        <w:spacing w:line="360" w:lineRule="auto"/>
        <w:rPr>
          <w:sz w:val="28"/>
          <w:szCs w:val="28"/>
        </w:rPr>
      </w:pPr>
      <w:r>
        <w:rPr>
          <w:rFonts w:hint="eastAsia"/>
          <w:sz w:val="28"/>
          <w:szCs w:val="28"/>
        </w:rPr>
        <w:t>九、资格审查资料</w:t>
      </w:r>
    </w:p>
    <w:p w14:paraId="3C10C3A9">
      <w:pPr>
        <w:spacing w:line="360" w:lineRule="auto"/>
        <w:rPr>
          <w:rFonts w:ascii="宋体" w:hAnsi="宋体"/>
          <w:sz w:val="26"/>
        </w:rPr>
      </w:pPr>
      <w:r>
        <w:rPr>
          <w:rFonts w:hint="eastAsia"/>
          <w:sz w:val="28"/>
          <w:szCs w:val="28"/>
        </w:rPr>
        <w:t>十、其他材料</w:t>
      </w:r>
    </w:p>
    <w:p w14:paraId="08CFEE62">
      <w:pPr>
        <w:spacing w:line="360" w:lineRule="auto"/>
        <w:rPr>
          <w:rFonts w:ascii="宋体" w:hAnsi="宋体"/>
          <w:sz w:val="26"/>
        </w:rPr>
      </w:pPr>
    </w:p>
    <w:p w14:paraId="1AFA0587">
      <w:pPr>
        <w:spacing w:line="360" w:lineRule="auto"/>
        <w:rPr>
          <w:rFonts w:ascii="宋体" w:hAnsi="宋体"/>
          <w:sz w:val="26"/>
        </w:rPr>
      </w:pPr>
    </w:p>
    <w:p w14:paraId="6FFC3324">
      <w:pPr>
        <w:spacing w:line="360" w:lineRule="auto"/>
        <w:rPr>
          <w:rFonts w:ascii="宋体" w:hAnsi="宋体"/>
          <w:sz w:val="26"/>
        </w:rPr>
      </w:pPr>
    </w:p>
    <w:p w14:paraId="779D948F">
      <w:pPr>
        <w:spacing w:line="360" w:lineRule="auto"/>
        <w:rPr>
          <w:rFonts w:ascii="宋体" w:hAnsi="宋体"/>
          <w:sz w:val="26"/>
        </w:rPr>
      </w:pPr>
      <w:bookmarkStart w:id="286" w:name="_Toc15765"/>
      <w:bookmarkStart w:id="287" w:name="_Toc403382857"/>
      <w:bookmarkStart w:id="288" w:name="_Toc29044"/>
    </w:p>
    <w:p w14:paraId="637A57BC">
      <w:pPr>
        <w:spacing w:line="360" w:lineRule="auto"/>
        <w:rPr>
          <w:rFonts w:ascii="宋体" w:hAnsi="宋体"/>
          <w:sz w:val="26"/>
        </w:rPr>
      </w:pPr>
    </w:p>
    <w:p w14:paraId="11BD8E8C">
      <w:pPr>
        <w:spacing w:line="360" w:lineRule="auto"/>
        <w:rPr>
          <w:rFonts w:ascii="宋体" w:hAnsi="宋体"/>
          <w:sz w:val="26"/>
        </w:rPr>
      </w:pPr>
    </w:p>
    <w:p w14:paraId="419385C9">
      <w:pPr>
        <w:spacing w:line="360" w:lineRule="auto"/>
        <w:rPr>
          <w:rFonts w:ascii="宋体" w:hAnsi="宋体"/>
          <w:sz w:val="26"/>
        </w:rPr>
      </w:pPr>
    </w:p>
    <w:p w14:paraId="4F583462">
      <w:pPr>
        <w:spacing w:line="360" w:lineRule="auto"/>
        <w:rPr>
          <w:rFonts w:ascii="宋体" w:hAnsi="宋体"/>
          <w:sz w:val="26"/>
        </w:rPr>
      </w:pPr>
    </w:p>
    <w:bookmarkEnd w:id="286"/>
    <w:bookmarkEnd w:id="287"/>
    <w:bookmarkEnd w:id="288"/>
    <w:p w14:paraId="3A5C6E29">
      <w:pPr>
        <w:widowControl/>
        <w:jc w:val="left"/>
        <w:rPr>
          <w:rFonts w:ascii="宋体" w:hAnsi="宋体"/>
          <w:b/>
          <w:sz w:val="30"/>
          <w:szCs w:val="30"/>
        </w:rPr>
      </w:pPr>
      <w:r>
        <w:rPr>
          <w:rFonts w:ascii="宋体" w:hAnsi="宋体"/>
          <w:b/>
          <w:sz w:val="30"/>
          <w:szCs w:val="30"/>
        </w:rPr>
        <w:br w:type="page"/>
      </w:r>
    </w:p>
    <w:p w14:paraId="5CBF05B5">
      <w:pPr>
        <w:spacing w:line="360" w:lineRule="auto"/>
        <w:jc w:val="center"/>
        <w:rPr>
          <w:rFonts w:ascii="宋体" w:hAnsi="宋体"/>
          <w:b/>
          <w:sz w:val="30"/>
          <w:szCs w:val="30"/>
        </w:rPr>
      </w:pPr>
      <w:r>
        <w:rPr>
          <w:rFonts w:hint="eastAsia" w:ascii="宋体" w:hAnsi="宋体"/>
          <w:b/>
          <w:sz w:val="30"/>
          <w:szCs w:val="30"/>
        </w:rPr>
        <w:t>一、响应函及报价一览表</w:t>
      </w:r>
    </w:p>
    <w:p w14:paraId="10E74D1E">
      <w:pPr>
        <w:spacing w:line="360" w:lineRule="auto"/>
        <w:jc w:val="center"/>
        <w:rPr>
          <w:rFonts w:ascii="宋体" w:hAnsi="宋体"/>
          <w:sz w:val="26"/>
        </w:rPr>
      </w:pPr>
      <w:bookmarkStart w:id="289" w:name="_Toc403382858"/>
      <w:r>
        <w:rPr>
          <w:rFonts w:hint="eastAsia" w:ascii="宋体" w:hAnsi="宋体"/>
          <w:sz w:val="26"/>
        </w:rPr>
        <w:t>（一）</w:t>
      </w:r>
      <w:bookmarkEnd w:id="289"/>
      <w:r>
        <w:rPr>
          <w:rFonts w:hint="eastAsia" w:ascii="宋体" w:hAnsi="宋体"/>
          <w:sz w:val="26"/>
        </w:rPr>
        <w:t>响应函</w:t>
      </w:r>
    </w:p>
    <w:p w14:paraId="79291125">
      <w:pPr>
        <w:spacing w:line="360" w:lineRule="auto"/>
        <w:jc w:val="left"/>
        <w:rPr>
          <w:rFonts w:ascii="宋体" w:hAnsi="宋体"/>
          <w:sz w:val="26"/>
        </w:rPr>
      </w:pPr>
      <w:r>
        <w:rPr>
          <w:rFonts w:hint="eastAsia" w:ascii="宋体" w:hAnsi="宋体"/>
          <w:sz w:val="26"/>
        </w:rPr>
        <w:t xml:space="preserve"> （采购人名称）：</w:t>
      </w:r>
    </w:p>
    <w:p w14:paraId="4AA4FB4D">
      <w:pPr>
        <w:spacing w:line="440" w:lineRule="exact"/>
        <w:rPr>
          <w:rFonts w:ascii="宋体" w:hAnsi="宋体"/>
          <w:sz w:val="26"/>
        </w:rPr>
      </w:pPr>
      <w:r>
        <w:rPr>
          <w:rFonts w:hint="eastAsia" w:ascii="宋体" w:hAnsi="宋体"/>
          <w:sz w:val="26"/>
        </w:rPr>
        <w:t>1．我方已仔细研究了（项目名称）项目竞争性磋商文件的全部内容，愿意以人民币（大写）元（¥           元）的总报价，服务期  ，按合同约定实施完成。</w:t>
      </w:r>
    </w:p>
    <w:p w14:paraId="2DF1D4D7">
      <w:pPr>
        <w:spacing w:line="440" w:lineRule="exact"/>
        <w:rPr>
          <w:rFonts w:ascii="宋体" w:hAnsi="宋体"/>
          <w:sz w:val="26"/>
        </w:rPr>
      </w:pPr>
      <w:r>
        <w:rPr>
          <w:rFonts w:hint="eastAsia" w:ascii="宋体" w:hAnsi="宋体"/>
          <w:sz w:val="26"/>
        </w:rPr>
        <w:t>2. 我方承诺在响应有效期  天内不修改、撤销响应文件。</w:t>
      </w:r>
    </w:p>
    <w:p w14:paraId="799688A1">
      <w:pPr>
        <w:spacing w:line="440" w:lineRule="exact"/>
        <w:rPr>
          <w:rFonts w:ascii="宋体" w:hAnsi="宋体"/>
          <w:sz w:val="26"/>
        </w:rPr>
      </w:pPr>
      <w:r>
        <w:rPr>
          <w:rFonts w:hint="eastAsia" w:ascii="宋体" w:hAnsi="宋体"/>
          <w:sz w:val="26"/>
        </w:rPr>
        <w:t>3．随同本响应函提交磋商保证金一份，金额为人民币（大写）元（¥       ）。</w:t>
      </w:r>
    </w:p>
    <w:p w14:paraId="510B443B">
      <w:pPr>
        <w:spacing w:line="440" w:lineRule="exact"/>
        <w:rPr>
          <w:rFonts w:ascii="宋体" w:hAnsi="宋体"/>
          <w:sz w:val="26"/>
        </w:rPr>
      </w:pPr>
      <w:r>
        <w:rPr>
          <w:rFonts w:hint="eastAsia" w:ascii="宋体" w:hAnsi="宋体"/>
          <w:sz w:val="26"/>
        </w:rPr>
        <w:t>4．如我方成交：</w:t>
      </w:r>
    </w:p>
    <w:p w14:paraId="75C8CB97">
      <w:pPr>
        <w:spacing w:line="440" w:lineRule="exact"/>
        <w:rPr>
          <w:rFonts w:ascii="宋体" w:hAnsi="宋体"/>
          <w:sz w:val="26"/>
        </w:rPr>
      </w:pPr>
      <w:r>
        <w:rPr>
          <w:rFonts w:hint="eastAsia" w:ascii="宋体" w:hAnsi="宋体"/>
          <w:sz w:val="26"/>
        </w:rPr>
        <w:t>（1）我方承诺在收到成交通知书后，在成交通知书规定的期限内与你方签订合同。</w:t>
      </w:r>
    </w:p>
    <w:p w14:paraId="4A7E8DB0">
      <w:pPr>
        <w:spacing w:line="440" w:lineRule="exact"/>
        <w:rPr>
          <w:rFonts w:ascii="宋体" w:hAnsi="宋体"/>
          <w:sz w:val="26"/>
        </w:rPr>
      </w:pPr>
      <w:r>
        <w:rPr>
          <w:rFonts w:hint="eastAsia" w:ascii="宋体" w:hAnsi="宋体"/>
          <w:sz w:val="26"/>
        </w:rPr>
        <w:t>（2）随同本响应函递交的响应函附录属于合同文件的组成部分。</w:t>
      </w:r>
    </w:p>
    <w:p w14:paraId="2008D40A">
      <w:pPr>
        <w:spacing w:line="440" w:lineRule="exact"/>
        <w:rPr>
          <w:rFonts w:ascii="宋体" w:hAnsi="宋体"/>
          <w:sz w:val="26"/>
        </w:rPr>
      </w:pPr>
      <w:r>
        <w:rPr>
          <w:rFonts w:hint="eastAsia" w:ascii="宋体" w:hAnsi="宋体"/>
          <w:sz w:val="26"/>
        </w:rPr>
        <w:t>（3）我方承诺按照竞争性磋商文件规定向你方递交履约保证金。</w:t>
      </w:r>
    </w:p>
    <w:p w14:paraId="5623B739">
      <w:pPr>
        <w:spacing w:line="440" w:lineRule="exact"/>
        <w:rPr>
          <w:rFonts w:ascii="宋体" w:hAnsi="宋体"/>
          <w:sz w:val="26"/>
        </w:rPr>
      </w:pPr>
      <w:r>
        <w:rPr>
          <w:rFonts w:hint="eastAsia" w:ascii="宋体" w:hAnsi="宋体"/>
          <w:sz w:val="26"/>
        </w:rPr>
        <w:t>5．我方在此声明，所递交的响应文件及有关资料内容完整、真实和准确，且不存在第二章“供应商须知”第1.4.3项和第1.4.4项规定的任何一种情形。</w:t>
      </w:r>
    </w:p>
    <w:p w14:paraId="2106215E">
      <w:pPr>
        <w:spacing w:line="440" w:lineRule="exact"/>
        <w:rPr>
          <w:rFonts w:ascii="宋体" w:hAnsi="宋体"/>
          <w:sz w:val="26"/>
        </w:rPr>
      </w:pPr>
      <w:r>
        <w:rPr>
          <w:rFonts w:hint="eastAsia" w:ascii="宋体" w:hAnsi="宋体"/>
          <w:sz w:val="26"/>
        </w:rPr>
        <w:t>6．（其他补充说明）。</w:t>
      </w:r>
    </w:p>
    <w:p w14:paraId="2207CF6F">
      <w:pPr>
        <w:spacing w:line="440" w:lineRule="exact"/>
        <w:rPr>
          <w:rFonts w:ascii="宋体" w:hAnsi="宋体"/>
          <w:sz w:val="26"/>
        </w:rPr>
      </w:pPr>
    </w:p>
    <w:p w14:paraId="50A9F490">
      <w:pPr>
        <w:spacing w:line="440" w:lineRule="exact"/>
        <w:rPr>
          <w:rFonts w:ascii="宋体" w:hAnsi="宋体"/>
          <w:sz w:val="26"/>
        </w:rPr>
      </w:pPr>
    </w:p>
    <w:p w14:paraId="3FB634F5">
      <w:pPr>
        <w:spacing w:line="440" w:lineRule="exact"/>
        <w:ind w:firstLine="2600" w:firstLineChars="1000"/>
        <w:rPr>
          <w:rFonts w:ascii="宋体" w:hAnsi="宋体"/>
          <w:sz w:val="26"/>
        </w:rPr>
      </w:pPr>
      <w:r>
        <w:rPr>
          <w:rFonts w:hint="eastAsia" w:ascii="宋体" w:hAnsi="宋体"/>
          <w:sz w:val="26"/>
        </w:rPr>
        <w:t>供应商：                      （盖单位章）</w:t>
      </w:r>
    </w:p>
    <w:p w14:paraId="4CD78F11">
      <w:pPr>
        <w:spacing w:line="440" w:lineRule="exact"/>
        <w:jc w:val="right"/>
        <w:rPr>
          <w:rFonts w:ascii="宋体" w:hAnsi="宋体"/>
          <w:sz w:val="26"/>
        </w:rPr>
      </w:pPr>
      <w:r>
        <w:rPr>
          <w:rFonts w:hint="eastAsia" w:ascii="宋体" w:hAnsi="宋体"/>
          <w:sz w:val="26"/>
        </w:rPr>
        <w:t>法定代表人或其委托代理人：（签字）</w:t>
      </w:r>
    </w:p>
    <w:p w14:paraId="532E26C5">
      <w:pPr>
        <w:spacing w:line="440" w:lineRule="exact"/>
        <w:rPr>
          <w:rFonts w:ascii="宋体" w:hAnsi="宋体"/>
          <w:sz w:val="26"/>
        </w:rPr>
      </w:pPr>
      <w:r>
        <w:rPr>
          <w:rFonts w:hint="eastAsia" w:ascii="宋体" w:hAnsi="宋体"/>
          <w:sz w:val="26"/>
        </w:rPr>
        <w:t xml:space="preserve">                               地址：</w:t>
      </w:r>
    </w:p>
    <w:p w14:paraId="6FE52DA3">
      <w:pPr>
        <w:spacing w:line="440" w:lineRule="exact"/>
        <w:jc w:val="center"/>
        <w:rPr>
          <w:rFonts w:ascii="宋体" w:hAnsi="宋体"/>
          <w:sz w:val="26"/>
        </w:rPr>
      </w:pPr>
      <w:r>
        <w:rPr>
          <w:rFonts w:hint="eastAsia" w:ascii="宋体" w:hAnsi="宋体"/>
          <w:sz w:val="26"/>
        </w:rPr>
        <w:t>电话：</w:t>
      </w:r>
    </w:p>
    <w:p w14:paraId="721BCE55">
      <w:pPr>
        <w:spacing w:line="440" w:lineRule="exact"/>
        <w:jc w:val="center"/>
        <w:rPr>
          <w:rFonts w:ascii="宋体" w:hAnsi="宋体"/>
          <w:sz w:val="26"/>
        </w:rPr>
      </w:pPr>
      <w:r>
        <w:rPr>
          <w:rFonts w:hint="eastAsia" w:ascii="宋体" w:hAnsi="宋体"/>
          <w:sz w:val="26"/>
        </w:rPr>
        <w:t>传真：</w:t>
      </w:r>
    </w:p>
    <w:p w14:paraId="554B5321">
      <w:pPr>
        <w:spacing w:line="440" w:lineRule="exact"/>
        <w:ind w:firstLine="520"/>
        <w:jc w:val="center"/>
        <w:rPr>
          <w:rFonts w:ascii="宋体" w:hAnsi="宋体"/>
          <w:sz w:val="26"/>
        </w:rPr>
      </w:pPr>
      <w:r>
        <w:rPr>
          <w:rFonts w:hint="eastAsia" w:ascii="宋体" w:hAnsi="宋体"/>
          <w:sz w:val="26"/>
        </w:rPr>
        <w:t>邮政编码：</w:t>
      </w:r>
    </w:p>
    <w:p w14:paraId="0EB79267">
      <w:pPr>
        <w:spacing w:line="440" w:lineRule="exact"/>
        <w:ind w:firstLine="520"/>
        <w:jc w:val="center"/>
        <w:rPr>
          <w:rFonts w:ascii="宋体" w:hAnsi="宋体"/>
          <w:sz w:val="26"/>
        </w:rPr>
      </w:pPr>
      <w:r>
        <w:rPr>
          <w:rFonts w:hint="eastAsia" w:ascii="宋体" w:hAnsi="宋体"/>
          <w:sz w:val="26"/>
        </w:rPr>
        <w:t>年 月 日</w:t>
      </w:r>
    </w:p>
    <w:p w14:paraId="2DD45690">
      <w:pPr>
        <w:spacing w:line="360" w:lineRule="auto"/>
        <w:jc w:val="center"/>
        <w:rPr>
          <w:rFonts w:ascii="宋体" w:hAnsi="宋体"/>
          <w:sz w:val="26"/>
        </w:rPr>
      </w:pPr>
    </w:p>
    <w:p w14:paraId="23ED5FC4">
      <w:pPr>
        <w:spacing w:line="360" w:lineRule="auto"/>
        <w:rPr>
          <w:rFonts w:ascii="宋体" w:hAnsi="宋体"/>
          <w:sz w:val="26"/>
        </w:rPr>
      </w:pPr>
    </w:p>
    <w:p w14:paraId="7C8BC07F">
      <w:pPr>
        <w:widowControl/>
        <w:jc w:val="left"/>
        <w:rPr>
          <w:rFonts w:ascii="宋体" w:hAnsi="宋体"/>
          <w:sz w:val="26"/>
        </w:rPr>
      </w:pPr>
      <w:bookmarkStart w:id="290" w:name="_Toc403382859"/>
      <w:r>
        <w:rPr>
          <w:rFonts w:ascii="宋体" w:hAnsi="宋体"/>
          <w:sz w:val="26"/>
        </w:rPr>
        <w:br w:type="page"/>
      </w:r>
    </w:p>
    <w:p w14:paraId="22CCFE9E">
      <w:pPr>
        <w:spacing w:line="360" w:lineRule="auto"/>
        <w:jc w:val="center"/>
        <w:rPr>
          <w:rFonts w:ascii="宋体" w:hAnsi="宋体"/>
          <w:sz w:val="26"/>
        </w:rPr>
      </w:pPr>
      <w:r>
        <w:rPr>
          <w:rFonts w:hint="eastAsia" w:ascii="宋体" w:hAnsi="宋体"/>
          <w:sz w:val="26"/>
        </w:rPr>
        <w:t>（二）</w:t>
      </w:r>
      <w:bookmarkEnd w:id="290"/>
      <w:r>
        <w:rPr>
          <w:rFonts w:hint="eastAsia" w:ascii="宋体" w:hAnsi="宋体"/>
          <w:sz w:val="26"/>
        </w:rPr>
        <w:t>报价一览表</w:t>
      </w:r>
    </w:p>
    <w:p w14:paraId="6A201E6C">
      <w:pPr>
        <w:spacing w:line="360" w:lineRule="auto"/>
        <w:rPr>
          <w:rFonts w:ascii="宋体" w:hAnsi="宋体"/>
          <w:sz w:val="26"/>
        </w:rPr>
      </w:pPr>
    </w:p>
    <w:p w14:paraId="4917D04C">
      <w:pPr>
        <w:spacing w:line="360" w:lineRule="auto"/>
        <w:rPr>
          <w:rFonts w:ascii="宋体" w:hAnsi="宋体"/>
          <w:sz w:val="26"/>
        </w:rPr>
      </w:pPr>
      <w:r>
        <w:rPr>
          <w:rFonts w:hint="eastAsia" w:ascii="宋体" w:hAnsi="宋体"/>
          <w:sz w:val="26"/>
        </w:rPr>
        <w:t xml:space="preserve">项目名称：（项目名称）          </w:t>
      </w:r>
    </w:p>
    <w:p w14:paraId="19185661">
      <w:pPr>
        <w:spacing w:line="360" w:lineRule="auto"/>
        <w:rPr>
          <w:rFonts w:ascii="宋体" w:hAnsi="宋体"/>
          <w:sz w:val="26"/>
        </w:rPr>
      </w:pPr>
      <w:r>
        <w:rPr>
          <w:rFonts w:hint="eastAsia" w:ascii="宋体" w:hAnsi="宋体"/>
          <w:sz w:val="26"/>
        </w:rPr>
        <w:t>项目编号：</w:t>
      </w:r>
    </w:p>
    <w:tbl>
      <w:tblPr>
        <w:tblStyle w:val="19"/>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559"/>
        <w:gridCol w:w="1985"/>
        <w:gridCol w:w="1842"/>
        <w:gridCol w:w="1134"/>
      </w:tblGrid>
      <w:tr w14:paraId="0A0F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vAlign w:val="center"/>
          </w:tcPr>
          <w:p w14:paraId="64CCF80F">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1559" w:type="dxa"/>
            <w:vAlign w:val="center"/>
          </w:tcPr>
          <w:p w14:paraId="2341B5ED">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w:t>
            </w:r>
          </w:p>
          <w:p w14:paraId="57A416BA">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985" w:type="dxa"/>
            <w:vAlign w:val="center"/>
          </w:tcPr>
          <w:p w14:paraId="5CEB1E88">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服务期</w:t>
            </w:r>
          </w:p>
        </w:tc>
        <w:tc>
          <w:tcPr>
            <w:tcW w:w="1842" w:type="dxa"/>
            <w:vAlign w:val="center"/>
          </w:tcPr>
          <w:p w14:paraId="24153723">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质量标准</w:t>
            </w:r>
          </w:p>
        </w:tc>
        <w:tc>
          <w:tcPr>
            <w:tcW w:w="1134" w:type="dxa"/>
            <w:vAlign w:val="center"/>
          </w:tcPr>
          <w:p w14:paraId="07052156">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66F7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240355F8">
            <w:pPr>
              <w:widowControl/>
              <w:tabs>
                <w:tab w:val="left" w:pos="1197"/>
              </w:tabs>
              <w:autoSpaceDE w:val="0"/>
              <w:autoSpaceDN w:val="0"/>
              <w:ind w:right="215"/>
              <w:jc w:val="center"/>
              <w:textAlignment w:val="bottom"/>
              <w:rPr>
                <w:rFonts w:ascii="Arial" w:hAnsi="Arial" w:cs="Arial"/>
                <w:color w:val="000000"/>
              </w:rPr>
            </w:pPr>
          </w:p>
        </w:tc>
        <w:tc>
          <w:tcPr>
            <w:tcW w:w="1559" w:type="dxa"/>
            <w:vAlign w:val="center"/>
          </w:tcPr>
          <w:p w14:paraId="0EE18937">
            <w:pPr>
              <w:widowControl/>
              <w:tabs>
                <w:tab w:val="left" w:pos="1197"/>
              </w:tabs>
              <w:autoSpaceDE w:val="0"/>
              <w:autoSpaceDN w:val="0"/>
              <w:ind w:right="215"/>
              <w:jc w:val="center"/>
              <w:textAlignment w:val="bottom"/>
              <w:rPr>
                <w:rFonts w:ascii="Arial" w:hAnsi="Arial" w:cs="Arial"/>
                <w:color w:val="000000"/>
              </w:rPr>
            </w:pPr>
          </w:p>
        </w:tc>
        <w:tc>
          <w:tcPr>
            <w:tcW w:w="1985" w:type="dxa"/>
            <w:vAlign w:val="center"/>
          </w:tcPr>
          <w:p w14:paraId="4DBF7E4E">
            <w:pPr>
              <w:widowControl/>
              <w:tabs>
                <w:tab w:val="left" w:pos="1197"/>
              </w:tabs>
              <w:autoSpaceDE w:val="0"/>
              <w:autoSpaceDN w:val="0"/>
              <w:ind w:right="215"/>
              <w:jc w:val="center"/>
              <w:textAlignment w:val="bottom"/>
              <w:rPr>
                <w:rFonts w:ascii="Arial" w:hAnsi="Arial" w:cs="Arial"/>
                <w:color w:val="000000"/>
              </w:rPr>
            </w:pPr>
          </w:p>
        </w:tc>
        <w:tc>
          <w:tcPr>
            <w:tcW w:w="1842" w:type="dxa"/>
            <w:vAlign w:val="center"/>
          </w:tcPr>
          <w:p w14:paraId="5EE58569">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20F0C14E">
            <w:pPr>
              <w:widowControl/>
              <w:tabs>
                <w:tab w:val="left" w:pos="1197"/>
              </w:tabs>
              <w:autoSpaceDE w:val="0"/>
              <w:autoSpaceDN w:val="0"/>
              <w:ind w:right="215"/>
              <w:jc w:val="center"/>
              <w:textAlignment w:val="bottom"/>
              <w:rPr>
                <w:rFonts w:ascii="Arial" w:hAnsi="Arial" w:cs="Arial"/>
                <w:color w:val="000000"/>
              </w:rPr>
            </w:pPr>
          </w:p>
        </w:tc>
      </w:tr>
    </w:tbl>
    <w:p w14:paraId="1D2850EE">
      <w:pPr>
        <w:spacing w:line="360" w:lineRule="auto"/>
        <w:rPr>
          <w:rFonts w:ascii="宋体" w:hAnsi="宋体"/>
          <w:sz w:val="26"/>
        </w:rPr>
      </w:pPr>
    </w:p>
    <w:p w14:paraId="3933BE3B">
      <w:pPr>
        <w:spacing w:line="360" w:lineRule="auto"/>
        <w:rPr>
          <w:rFonts w:ascii="宋体" w:hAnsi="宋体"/>
          <w:sz w:val="26"/>
        </w:rPr>
      </w:pPr>
    </w:p>
    <w:p w14:paraId="5425C474">
      <w:pPr>
        <w:spacing w:line="360" w:lineRule="auto"/>
        <w:jc w:val="right"/>
        <w:rPr>
          <w:rFonts w:ascii="宋体" w:hAnsi="宋体"/>
          <w:sz w:val="26"/>
        </w:rPr>
      </w:pPr>
      <w:r>
        <w:rPr>
          <w:rFonts w:hint="eastAsia" w:ascii="宋体" w:hAnsi="宋体"/>
          <w:sz w:val="26"/>
        </w:rPr>
        <w:t>供应商：（盖单位章）</w:t>
      </w:r>
    </w:p>
    <w:p w14:paraId="41FBEEE8">
      <w:pPr>
        <w:spacing w:line="360" w:lineRule="auto"/>
        <w:jc w:val="right"/>
        <w:rPr>
          <w:rFonts w:ascii="宋体" w:hAnsi="宋体"/>
          <w:sz w:val="26"/>
        </w:rPr>
      </w:pPr>
      <w:r>
        <w:rPr>
          <w:rFonts w:hint="eastAsia" w:ascii="宋体" w:hAnsi="宋体"/>
          <w:sz w:val="26"/>
        </w:rPr>
        <w:t>法定代表人或其委托代理人：（签字）</w:t>
      </w:r>
    </w:p>
    <w:p w14:paraId="59C1B80D">
      <w:pPr>
        <w:spacing w:line="360" w:lineRule="auto"/>
        <w:jc w:val="right"/>
        <w:rPr>
          <w:rFonts w:ascii="宋体" w:hAnsi="宋体"/>
          <w:sz w:val="26"/>
        </w:rPr>
      </w:pPr>
      <w:r>
        <w:rPr>
          <w:rFonts w:hint="eastAsia" w:ascii="宋体" w:hAnsi="宋体"/>
          <w:sz w:val="26"/>
        </w:rPr>
        <w:t>年月日</w:t>
      </w:r>
    </w:p>
    <w:p w14:paraId="7A3F8EE4">
      <w:pPr>
        <w:widowControl/>
        <w:jc w:val="left"/>
        <w:rPr>
          <w:rFonts w:ascii="宋体" w:hAnsi="宋体"/>
          <w:sz w:val="26"/>
        </w:rPr>
      </w:pPr>
      <w:bookmarkStart w:id="291" w:name="_Toc29343"/>
      <w:bookmarkStart w:id="292" w:name="_Toc18845"/>
      <w:bookmarkStart w:id="293" w:name="_Toc403382861"/>
      <w:r>
        <w:rPr>
          <w:rFonts w:ascii="宋体" w:hAnsi="宋体"/>
          <w:sz w:val="26"/>
        </w:rPr>
        <w:br w:type="page"/>
      </w:r>
    </w:p>
    <w:p w14:paraId="7A54F5AF">
      <w:pPr>
        <w:autoSpaceDE w:val="0"/>
        <w:autoSpaceDN w:val="0"/>
        <w:adjustRightInd w:val="0"/>
        <w:jc w:val="center"/>
        <w:rPr>
          <w:rFonts w:ascii="黑体" w:eastAsia="黑体"/>
          <w:b/>
          <w:sz w:val="24"/>
          <w:lang w:val="zh-CN"/>
        </w:rPr>
      </w:pPr>
      <w:r>
        <w:rPr>
          <w:rFonts w:hint="eastAsia" w:asciiTheme="majorEastAsia" w:hAnsiTheme="majorEastAsia" w:eastAsiaTheme="majorEastAsia"/>
          <w:b/>
          <w:sz w:val="30"/>
          <w:szCs w:val="30"/>
        </w:rPr>
        <w:t>二、</w:t>
      </w:r>
      <w:r>
        <w:rPr>
          <w:rFonts w:hint="eastAsia" w:ascii="宋体" w:hAnsi="宋体"/>
          <w:b/>
          <w:sz w:val="30"/>
          <w:szCs w:val="30"/>
          <w:lang w:val="zh-CN"/>
        </w:rPr>
        <w:t>法定代表人身份证明</w:t>
      </w:r>
    </w:p>
    <w:p w14:paraId="7986CB22">
      <w:pPr>
        <w:spacing w:line="360" w:lineRule="auto"/>
        <w:ind w:firstLine="560" w:firstLineChars="200"/>
        <w:rPr>
          <w:rFonts w:ascii="宋体" w:hAnsi="宋体"/>
          <w:sz w:val="28"/>
          <w:szCs w:val="28"/>
        </w:rPr>
      </w:pPr>
    </w:p>
    <w:p w14:paraId="22EF4EB0">
      <w:pPr>
        <w:spacing w:line="360" w:lineRule="auto"/>
        <w:ind w:firstLine="560" w:firstLineChars="200"/>
        <w:rPr>
          <w:rFonts w:ascii="宋体" w:hAnsi="宋体"/>
          <w:sz w:val="28"/>
          <w:szCs w:val="28"/>
        </w:rPr>
      </w:pPr>
      <w:r>
        <w:rPr>
          <w:rFonts w:hint="eastAsia" w:ascii="宋体" w:hAnsi="宋体"/>
          <w:sz w:val="28"/>
          <w:szCs w:val="28"/>
        </w:rPr>
        <w:t>投标人名称：</w:t>
      </w:r>
    </w:p>
    <w:p w14:paraId="1BC15BFB">
      <w:pPr>
        <w:spacing w:line="360" w:lineRule="auto"/>
        <w:ind w:firstLine="560" w:firstLineChars="200"/>
        <w:rPr>
          <w:rFonts w:ascii="宋体" w:hAnsi="宋体"/>
          <w:sz w:val="28"/>
          <w:szCs w:val="28"/>
        </w:rPr>
      </w:pPr>
      <w:r>
        <w:rPr>
          <w:rFonts w:hint="eastAsia" w:ascii="宋体" w:hAnsi="宋体"/>
          <w:sz w:val="28"/>
          <w:szCs w:val="28"/>
        </w:rPr>
        <w:t>单位性质：</w:t>
      </w:r>
    </w:p>
    <w:p w14:paraId="59A38C7E">
      <w:pPr>
        <w:spacing w:line="360" w:lineRule="auto"/>
        <w:ind w:firstLine="560" w:firstLineChars="200"/>
        <w:rPr>
          <w:rFonts w:ascii="宋体" w:hAnsi="宋体"/>
          <w:sz w:val="28"/>
          <w:szCs w:val="28"/>
        </w:rPr>
      </w:pPr>
      <w:r>
        <w:rPr>
          <w:rFonts w:hint="eastAsia" w:ascii="宋体" w:hAnsi="宋体"/>
          <w:sz w:val="28"/>
          <w:szCs w:val="28"/>
        </w:rPr>
        <w:t>地址：</w:t>
      </w:r>
    </w:p>
    <w:p w14:paraId="41CE7BD6">
      <w:pPr>
        <w:spacing w:line="360" w:lineRule="auto"/>
        <w:ind w:firstLine="560" w:firstLineChars="200"/>
        <w:rPr>
          <w:rFonts w:ascii="宋体" w:hAnsi="宋体"/>
          <w:sz w:val="28"/>
          <w:szCs w:val="28"/>
        </w:rPr>
      </w:pPr>
      <w:r>
        <w:rPr>
          <w:rFonts w:hint="eastAsia" w:ascii="宋体" w:hAnsi="宋体"/>
          <w:sz w:val="28"/>
          <w:szCs w:val="28"/>
        </w:rPr>
        <w:t>成立时间：年月＿日</w:t>
      </w:r>
    </w:p>
    <w:p w14:paraId="1CFFE7F2">
      <w:pPr>
        <w:spacing w:line="360" w:lineRule="auto"/>
        <w:ind w:firstLine="560" w:firstLineChars="200"/>
        <w:rPr>
          <w:rFonts w:ascii="宋体" w:hAnsi="宋体"/>
          <w:sz w:val="28"/>
          <w:szCs w:val="28"/>
        </w:rPr>
      </w:pPr>
      <w:r>
        <w:rPr>
          <w:rFonts w:hint="eastAsia" w:ascii="宋体" w:hAnsi="宋体"/>
          <w:sz w:val="28"/>
          <w:szCs w:val="28"/>
        </w:rPr>
        <w:t>经营期限：</w:t>
      </w:r>
    </w:p>
    <w:p w14:paraId="5741D4FF">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66551BD0">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1555B3ED">
      <w:pPr>
        <w:spacing w:line="360" w:lineRule="auto"/>
        <w:ind w:firstLine="1120" w:firstLineChars="400"/>
        <w:rPr>
          <w:rFonts w:ascii="宋体" w:hAnsi="宋体"/>
          <w:sz w:val="28"/>
          <w:szCs w:val="28"/>
        </w:rPr>
      </w:pPr>
      <w:r>
        <w:rPr>
          <w:rFonts w:hint="eastAsia" w:ascii="宋体" w:hAnsi="宋体"/>
          <w:sz w:val="28"/>
          <w:szCs w:val="28"/>
        </w:rPr>
        <w:t>特此证明。</w:t>
      </w:r>
    </w:p>
    <w:p w14:paraId="42A3A9D5">
      <w:pPr>
        <w:spacing w:line="360" w:lineRule="auto"/>
        <w:ind w:firstLine="1120" w:firstLineChars="400"/>
        <w:rPr>
          <w:rFonts w:ascii="宋体" w:hAnsi="宋体"/>
          <w:sz w:val="28"/>
          <w:szCs w:val="28"/>
        </w:rPr>
      </w:pPr>
      <w:r>
        <w:rPr>
          <w:rFonts w:hint="eastAsia" w:ascii="宋体" w:hAnsi="宋体"/>
          <w:sz w:val="28"/>
          <w:szCs w:val="28"/>
        </w:rPr>
        <w:t>附法定代表人身份证复印件。</w:t>
      </w:r>
    </w:p>
    <w:p w14:paraId="123B71AE">
      <w:pPr>
        <w:spacing w:line="360" w:lineRule="auto"/>
        <w:ind w:firstLine="560" w:firstLineChars="200"/>
        <w:rPr>
          <w:rFonts w:ascii="宋体" w:hAnsi="宋体"/>
          <w:sz w:val="28"/>
          <w:szCs w:val="28"/>
        </w:rPr>
      </w:pPr>
    </w:p>
    <w:p w14:paraId="51445574">
      <w:pPr>
        <w:spacing w:line="360" w:lineRule="auto"/>
        <w:ind w:firstLine="560" w:firstLineChars="200"/>
        <w:rPr>
          <w:rFonts w:ascii="宋体" w:hAnsi="宋体"/>
          <w:sz w:val="28"/>
          <w:szCs w:val="28"/>
        </w:rPr>
      </w:pPr>
    </w:p>
    <w:p w14:paraId="359E3A1D">
      <w:pPr>
        <w:spacing w:line="360" w:lineRule="auto"/>
        <w:ind w:firstLine="3500" w:firstLineChars="1250"/>
        <w:rPr>
          <w:rFonts w:ascii="宋体" w:hAnsi="宋体"/>
          <w:sz w:val="28"/>
          <w:szCs w:val="28"/>
        </w:rPr>
      </w:pPr>
      <w:r>
        <w:rPr>
          <w:rFonts w:hint="eastAsia" w:ascii="宋体" w:hAnsi="宋体"/>
          <w:sz w:val="28"/>
          <w:szCs w:val="28"/>
        </w:rPr>
        <w:t>投标人：（盖单位章）</w:t>
      </w:r>
    </w:p>
    <w:p w14:paraId="7C2F9B06">
      <w:pPr>
        <w:spacing w:line="360" w:lineRule="auto"/>
        <w:ind w:firstLine="6020" w:firstLineChars="2150"/>
        <w:rPr>
          <w:rFonts w:ascii="宋体" w:hAnsi="宋体"/>
          <w:sz w:val="28"/>
          <w:szCs w:val="28"/>
          <w:u w:val="single"/>
        </w:rPr>
      </w:pPr>
    </w:p>
    <w:p w14:paraId="3876621C">
      <w:pPr>
        <w:spacing w:line="360" w:lineRule="auto"/>
        <w:ind w:firstLine="6020" w:firstLineChars="2150"/>
        <w:rPr>
          <w:rFonts w:ascii="宋体" w:hAnsi="宋体"/>
          <w:sz w:val="28"/>
          <w:szCs w:val="28"/>
        </w:rPr>
      </w:pPr>
      <w:r>
        <w:rPr>
          <w:rFonts w:hint="eastAsia" w:ascii="宋体" w:hAnsi="宋体"/>
          <w:sz w:val="28"/>
          <w:szCs w:val="28"/>
        </w:rPr>
        <w:t>年月日</w:t>
      </w:r>
    </w:p>
    <w:p w14:paraId="7A31E449">
      <w:pPr>
        <w:autoSpaceDE w:val="0"/>
        <w:autoSpaceDN w:val="0"/>
        <w:adjustRightInd w:val="0"/>
        <w:spacing w:line="360" w:lineRule="auto"/>
        <w:ind w:firstLine="472"/>
        <w:rPr>
          <w:rFonts w:ascii="宋体" w:hAnsi="宋体"/>
          <w:sz w:val="24"/>
          <w:lang w:val="zh-CN"/>
        </w:rPr>
      </w:pPr>
    </w:p>
    <w:p w14:paraId="007A5FFE">
      <w:pPr>
        <w:widowControl/>
        <w:jc w:val="left"/>
        <w:rPr>
          <w:rFonts w:ascii="宋体" w:hAnsi="宋体" w:eastAsia="黑体" w:cs="宋体"/>
          <w:sz w:val="26"/>
          <w:szCs w:val="20"/>
        </w:rPr>
      </w:pPr>
    </w:p>
    <w:p w14:paraId="104D596B">
      <w:pPr>
        <w:widowControl/>
        <w:jc w:val="left"/>
        <w:rPr>
          <w:rFonts w:cs="宋体" w:asciiTheme="majorEastAsia" w:hAnsiTheme="majorEastAsia" w:eastAsiaTheme="majorEastAsia"/>
          <w:b/>
          <w:sz w:val="30"/>
          <w:szCs w:val="30"/>
        </w:rPr>
      </w:pPr>
      <w:r>
        <w:rPr>
          <w:rFonts w:asciiTheme="majorEastAsia" w:hAnsiTheme="majorEastAsia" w:eastAsiaTheme="majorEastAsia"/>
          <w:b/>
          <w:sz w:val="30"/>
          <w:szCs w:val="30"/>
        </w:rPr>
        <w:br w:type="page"/>
      </w:r>
    </w:p>
    <w:p w14:paraId="44522F80">
      <w:pPr>
        <w:pStyle w:val="40"/>
        <w:jc w:val="center"/>
        <w:rPr>
          <w:rFonts w:ascii="宋体" w:hAnsi="宋体" w:eastAsia="宋体"/>
          <w:b/>
        </w:rPr>
      </w:pPr>
      <w:r>
        <w:rPr>
          <w:rFonts w:hint="eastAsia" w:asciiTheme="majorEastAsia" w:hAnsiTheme="majorEastAsia" w:eastAsiaTheme="majorEastAsia"/>
          <w:b/>
          <w:sz w:val="30"/>
          <w:szCs w:val="30"/>
        </w:rPr>
        <w:t>三、</w:t>
      </w:r>
      <w:bookmarkEnd w:id="291"/>
      <w:bookmarkEnd w:id="292"/>
      <w:bookmarkEnd w:id="293"/>
      <w:r>
        <w:rPr>
          <w:rFonts w:hint="eastAsia" w:asciiTheme="majorEastAsia" w:hAnsiTheme="majorEastAsia" w:eastAsiaTheme="majorEastAsia"/>
          <w:b/>
          <w:sz w:val="30"/>
          <w:szCs w:val="30"/>
        </w:rPr>
        <w:t>授权委托书</w:t>
      </w:r>
    </w:p>
    <w:p w14:paraId="752B7BA4">
      <w:pPr>
        <w:spacing w:line="440" w:lineRule="exact"/>
        <w:rPr>
          <w:rFonts w:ascii="宋体" w:hAnsi="宋体"/>
          <w:sz w:val="24"/>
        </w:rPr>
      </w:pPr>
    </w:p>
    <w:p w14:paraId="2972BFD1">
      <w:pPr>
        <w:topLinePunct/>
        <w:spacing w:line="440" w:lineRule="exact"/>
        <w:ind w:firstLine="420" w:firstLineChars="200"/>
        <w:rPr>
          <w:rFonts w:ascii="宋体" w:hAnsi="宋体"/>
          <w:szCs w:val="21"/>
        </w:rPr>
      </w:pPr>
      <w:r>
        <w:rPr>
          <w:rFonts w:hint="eastAsia" w:ascii="宋体" w:hAnsi="宋体"/>
          <w:szCs w:val="21"/>
        </w:rPr>
        <w:t>本人（姓名）系（供应商名称）的法定代表人，现委托（姓名）为我方代理人。代理人根据授权，以我方名义签署、澄清、说明、补正、递交、撤回、修改（项目名称）报价文件、签订合同和处理有关事宜，其法律后果由我方承担。</w:t>
      </w:r>
    </w:p>
    <w:p w14:paraId="1A1A8196">
      <w:pPr>
        <w:spacing w:line="440" w:lineRule="exact"/>
        <w:rPr>
          <w:rFonts w:ascii="宋体" w:hAnsi="宋体"/>
          <w:szCs w:val="21"/>
        </w:rPr>
      </w:pPr>
      <w:r>
        <w:rPr>
          <w:rFonts w:hint="eastAsia" w:ascii="宋体" w:hAnsi="宋体"/>
          <w:szCs w:val="21"/>
        </w:rPr>
        <w:t xml:space="preserve">    委托期限：。</w:t>
      </w:r>
    </w:p>
    <w:p w14:paraId="2A1A9BC0">
      <w:pPr>
        <w:spacing w:line="440" w:lineRule="exact"/>
        <w:ind w:firstLine="420" w:firstLineChars="200"/>
        <w:rPr>
          <w:rFonts w:ascii="宋体" w:hAnsi="宋体"/>
          <w:szCs w:val="21"/>
        </w:rPr>
      </w:pPr>
      <w:r>
        <w:rPr>
          <w:rFonts w:hint="eastAsia" w:ascii="宋体" w:hAnsi="宋体"/>
          <w:szCs w:val="21"/>
        </w:rPr>
        <w:t>代理人无转委托权。</w:t>
      </w:r>
    </w:p>
    <w:p w14:paraId="65AFCF6F">
      <w:pPr>
        <w:spacing w:line="440" w:lineRule="exact"/>
        <w:ind w:firstLine="420" w:firstLineChars="200"/>
        <w:rPr>
          <w:rFonts w:ascii="宋体" w:hAnsi="宋体"/>
          <w:szCs w:val="21"/>
        </w:rPr>
      </w:pPr>
      <w:r>
        <w:rPr>
          <w:rFonts w:hint="eastAsia" w:ascii="宋体" w:hAnsi="宋体"/>
          <w:szCs w:val="21"/>
        </w:rPr>
        <w:t>附：法定发表人及委托代理人身份证复印件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05B2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51136151">
            <w:pPr>
              <w:spacing w:line="440" w:lineRule="exact"/>
              <w:rPr>
                <w:rFonts w:ascii="宋体" w:hAnsi="宋体"/>
                <w:szCs w:val="21"/>
              </w:rPr>
            </w:pPr>
            <w:r>
              <w:rPr>
                <w:rFonts w:hint="eastAsia" w:ascii="宋体" w:hAnsi="宋体"/>
                <w:szCs w:val="21"/>
              </w:rPr>
              <w:t>身份证复印件</w:t>
            </w:r>
          </w:p>
        </w:tc>
        <w:tc>
          <w:tcPr>
            <w:tcW w:w="4290" w:type="dxa"/>
          </w:tcPr>
          <w:p w14:paraId="11059DBA">
            <w:pPr>
              <w:spacing w:line="440" w:lineRule="exact"/>
              <w:rPr>
                <w:rFonts w:ascii="宋体" w:hAnsi="宋体"/>
                <w:szCs w:val="21"/>
              </w:rPr>
            </w:pPr>
          </w:p>
        </w:tc>
      </w:tr>
      <w:tr w14:paraId="1661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50426233">
            <w:pPr>
              <w:spacing w:line="440" w:lineRule="exact"/>
              <w:rPr>
                <w:rFonts w:ascii="宋体" w:hAnsi="宋体"/>
                <w:szCs w:val="21"/>
              </w:rPr>
            </w:pPr>
          </w:p>
        </w:tc>
        <w:tc>
          <w:tcPr>
            <w:tcW w:w="4290" w:type="dxa"/>
          </w:tcPr>
          <w:p w14:paraId="1E57A708">
            <w:pPr>
              <w:spacing w:line="440" w:lineRule="exact"/>
              <w:rPr>
                <w:rFonts w:ascii="宋体" w:hAnsi="宋体"/>
                <w:szCs w:val="21"/>
              </w:rPr>
            </w:pPr>
          </w:p>
        </w:tc>
      </w:tr>
    </w:tbl>
    <w:p w14:paraId="32A6A9DA">
      <w:pPr>
        <w:spacing w:line="440" w:lineRule="exact"/>
        <w:rPr>
          <w:rFonts w:ascii="宋体" w:hAnsi="宋体"/>
          <w:szCs w:val="21"/>
        </w:rPr>
      </w:pPr>
    </w:p>
    <w:p w14:paraId="4FA07663">
      <w:pPr>
        <w:spacing w:line="440" w:lineRule="exact"/>
        <w:ind w:firstLine="2100" w:firstLineChars="1000"/>
        <w:rPr>
          <w:rFonts w:ascii="宋体" w:hAnsi="宋体"/>
          <w:szCs w:val="21"/>
        </w:rPr>
      </w:pPr>
      <w:r>
        <w:rPr>
          <w:rFonts w:hint="eastAsia" w:ascii="宋体" w:hAnsi="宋体"/>
          <w:szCs w:val="21"/>
        </w:rPr>
        <w:t>供应商：（盖单位章）</w:t>
      </w:r>
    </w:p>
    <w:p w14:paraId="7C9CAB51">
      <w:pPr>
        <w:spacing w:line="440" w:lineRule="exact"/>
        <w:ind w:firstLine="2100" w:firstLineChars="1000"/>
        <w:rPr>
          <w:rFonts w:ascii="宋体" w:hAnsi="宋体"/>
          <w:szCs w:val="21"/>
        </w:rPr>
      </w:pPr>
      <w:r>
        <w:rPr>
          <w:rFonts w:hint="eastAsia" w:ascii="宋体" w:hAnsi="宋体"/>
          <w:szCs w:val="21"/>
        </w:rPr>
        <w:t>法定代表人：（签字）</w:t>
      </w:r>
    </w:p>
    <w:p w14:paraId="647442DF">
      <w:pPr>
        <w:spacing w:line="440" w:lineRule="exact"/>
        <w:ind w:firstLine="2100" w:firstLineChars="1000"/>
        <w:rPr>
          <w:rFonts w:ascii="宋体" w:hAnsi="宋体"/>
          <w:szCs w:val="21"/>
        </w:rPr>
      </w:pPr>
      <w:r>
        <w:rPr>
          <w:rFonts w:hint="eastAsia" w:ascii="宋体" w:hAnsi="宋体"/>
          <w:szCs w:val="21"/>
        </w:rPr>
        <w:t>身份证号码：</w:t>
      </w:r>
    </w:p>
    <w:p w14:paraId="3B8DA0FF">
      <w:pPr>
        <w:spacing w:line="440" w:lineRule="exact"/>
        <w:ind w:firstLine="2100" w:firstLineChars="1000"/>
        <w:rPr>
          <w:rFonts w:ascii="宋体" w:hAnsi="宋体"/>
          <w:szCs w:val="21"/>
        </w:rPr>
      </w:pPr>
      <w:r>
        <w:rPr>
          <w:rFonts w:hint="eastAsia" w:ascii="宋体" w:hAnsi="宋体"/>
          <w:szCs w:val="21"/>
        </w:rPr>
        <w:t xml:space="preserve">委托代理人：（签字） </w:t>
      </w:r>
    </w:p>
    <w:p w14:paraId="0808C520">
      <w:pPr>
        <w:spacing w:line="440" w:lineRule="exact"/>
        <w:ind w:firstLine="2100" w:firstLineChars="1000"/>
        <w:rPr>
          <w:rFonts w:ascii="宋体" w:hAnsi="宋体"/>
          <w:szCs w:val="21"/>
        </w:rPr>
      </w:pPr>
      <w:r>
        <w:rPr>
          <w:rFonts w:hint="eastAsia" w:ascii="宋体" w:hAnsi="宋体"/>
          <w:szCs w:val="21"/>
        </w:rPr>
        <w:t>身份证号码：</w:t>
      </w:r>
    </w:p>
    <w:p w14:paraId="4DA5A0FC">
      <w:pPr>
        <w:spacing w:line="440" w:lineRule="exact"/>
        <w:rPr>
          <w:rFonts w:ascii="宋体" w:hAnsi="宋体"/>
          <w:szCs w:val="21"/>
        </w:rPr>
      </w:pPr>
    </w:p>
    <w:p w14:paraId="532158FE">
      <w:pPr>
        <w:spacing w:line="440" w:lineRule="exact"/>
        <w:ind w:firstLine="4830" w:firstLineChars="2300"/>
        <w:rPr>
          <w:rFonts w:ascii="宋体" w:hAnsi="宋体"/>
          <w:szCs w:val="21"/>
        </w:rPr>
      </w:pPr>
      <w:r>
        <w:rPr>
          <w:rFonts w:hint="eastAsia" w:ascii="宋体" w:hAnsi="宋体"/>
          <w:szCs w:val="21"/>
        </w:rPr>
        <w:t>年月日</w:t>
      </w:r>
    </w:p>
    <w:p w14:paraId="48554181">
      <w:pPr>
        <w:pStyle w:val="8"/>
        <w:spacing w:line="360" w:lineRule="auto"/>
        <w:rPr>
          <w:rFonts w:ascii="宋体" w:hAnsi="宋体"/>
        </w:rPr>
      </w:pPr>
    </w:p>
    <w:p w14:paraId="177DBD1B">
      <w:pPr>
        <w:autoSpaceDE w:val="0"/>
        <w:autoSpaceDN w:val="0"/>
        <w:adjustRightInd w:val="0"/>
        <w:jc w:val="center"/>
        <w:rPr>
          <w:rFonts w:ascii="宋体" w:hAnsi="宋体"/>
          <w:b/>
          <w:sz w:val="30"/>
          <w:szCs w:val="30"/>
          <w:lang w:val="zh-CN"/>
        </w:rPr>
      </w:pPr>
      <w:r>
        <w:rPr>
          <w:rFonts w:ascii="宋体" w:hAnsi="宋体"/>
          <w:sz w:val="26"/>
        </w:rPr>
        <w:br w:type="page"/>
      </w:r>
      <w:r>
        <w:rPr>
          <w:rFonts w:hint="eastAsia" w:asciiTheme="majorEastAsia" w:hAnsiTheme="majorEastAsia" w:eastAsiaTheme="majorEastAsia"/>
          <w:b/>
          <w:sz w:val="30"/>
          <w:szCs w:val="30"/>
        </w:rPr>
        <w:t>四、</w:t>
      </w:r>
      <w:r>
        <w:rPr>
          <w:rFonts w:hint="eastAsia" w:ascii="宋体" w:hAnsi="宋体"/>
          <w:b/>
          <w:sz w:val="30"/>
          <w:szCs w:val="30"/>
          <w:lang w:val="zh-CN"/>
        </w:rPr>
        <w:t>投标人基本情况（加盖投标人公章和</w:t>
      </w:r>
      <w:r>
        <w:rPr>
          <w:rFonts w:ascii="宋体" w:hAnsi="宋体"/>
          <w:b/>
          <w:sz w:val="30"/>
          <w:szCs w:val="30"/>
          <w:lang w:val="zh-CN"/>
        </w:rPr>
        <w:t>/</w:t>
      </w:r>
      <w:r>
        <w:rPr>
          <w:rFonts w:hint="eastAsia" w:ascii="宋体" w:hAnsi="宋体"/>
          <w:b/>
          <w:sz w:val="30"/>
          <w:szCs w:val="30"/>
          <w:lang w:val="zh-CN"/>
        </w:rPr>
        <w:t>或有效签署）</w:t>
      </w:r>
    </w:p>
    <w:p w14:paraId="0BF561A3">
      <w:pPr>
        <w:autoSpaceDE w:val="0"/>
        <w:autoSpaceDN w:val="0"/>
        <w:adjustRightInd w:val="0"/>
        <w:ind w:firstLine="435"/>
        <w:rPr>
          <w:rFonts w:eastAsia="黑体"/>
          <w:sz w:val="24"/>
        </w:rPr>
      </w:pPr>
    </w:p>
    <w:p w14:paraId="1642B037">
      <w:pPr>
        <w:autoSpaceDE w:val="0"/>
        <w:autoSpaceDN w:val="0"/>
        <w:adjustRightInd w:val="0"/>
        <w:ind w:firstLine="435"/>
        <w:rPr>
          <w:sz w:val="24"/>
        </w:rPr>
      </w:pPr>
      <w:r>
        <w:rPr>
          <w:rFonts w:hint="eastAsia" w:ascii="宋体"/>
          <w:sz w:val="24"/>
          <w:lang w:val="zh-CN"/>
        </w:rPr>
        <w:t>文字描述：企业性质、发展历程、经营规模、服务理念、技术力量等。</w:t>
      </w:r>
    </w:p>
    <w:p w14:paraId="7A1402F8">
      <w:pPr>
        <w:autoSpaceDE w:val="0"/>
        <w:autoSpaceDN w:val="0"/>
        <w:adjustRightInd w:val="0"/>
        <w:ind w:firstLine="435"/>
        <w:rPr>
          <w:rFonts w:ascii="宋体"/>
          <w:sz w:val="24"/>
          <w:lang w:val="zh-CN"/>
        </w:rPr>
      </w:pPr>
      <w:r>
        <w:rPr>
          <w:rFonts w:hint="eastAsia" w:ascii="宋体"/>
          <w:sz w:val="24"/>
          <w:lang w:val="zh-CN"/>
        </w:rPr>
        <w:t>图片描述：经营场所等。</w:t>
      </w:r>
    </w:p>
    <w:p w14:paraId="4C7DEE0F">
      <w:pPr>
        <w:autoSpaceDE w:val="0"/>
        <w:autoSpaceDN w:val="0"/>
        <w:adjustRightInd w:val="0"/>
        <w:ind w:firstLine="435"/>
        <w:rPr>
          <w:rFonts w:ascii="宋体"/>
          <w:sz w:val="24"/>
          <w:lang w:val="zh-CN"/>
        </w:rPr>
      </w:pPr>
    </w:p>
    <w:p w14:paraId="2A1429BE">
      <w:pPr>
        <w:autoSpaceDE w:val="0"/>
        <w:autoSpaceDN w:val="0"/>
        <w:adjustRightInd w:val="0"/>
        <w:ind w:firstLine="435"/>
        <w:rPr>
          <w:sz w:val="24"/>
        </w:rPr>
      </w:pPr>
    </w:p>
    <w:p w14:paraId="0B9852AA">
      <w:pPr>
        <w:autoSpaceDE w:val="0"/>
        <w:autoSpaceDN w:val="0"/>
        <w:adjustRightInd w:val="0"/>
        <w:rPr>
          <w:sz w:val="24"/>
        </w:rPr>
      </w:pPr>
      <w:r>
        <w:rPr>
          <w:rFonts w:hint="eastAsia"/>
          <w:sz w:val="24"/>
        </w:rPr>
        <w:t>附：企业法人营业执照、资质资格证书等投标人认为与招标有关的资料及图片证明。</w:t>
      </w:r>
    </w:p>
    <w:p w14:paraId="7336C598">
      <w:pPr>
        <w:autoSpaceDE w:val="0"/>
        <w:autoSpaceDN w:val="0"/>
        <w:adjustRightInd w:val="0"/>
        <w:rPr>
          <w:sz w:val="24"/>
        </w:rPr>
      </w:pPr>
      <w:r>
        <w:rPr>
          <w:rFonts w:hint="eastAsia"/>
          <w:sz w:val="24"/>
        </w:rPr>
        <w:t>（以上资质复印件加盖公章）</w:t>
      </w:r>
    </w:p>
    <w:p w14:paraId="4F1B78FC">
      <w:pPr>
        <w:widowControl/>
        <w:jc w:val="left"/>
        <w:rPr>
          <w:rFonts w:ascii="宋体" w:hAnsi="宋体"/>
          <w:sz w:val="26"/>
        </w:rPr>
      </w:pPr>
    </w:p>
    <w:p w14:paraId="36369715">
      <w:pPr>
        <w:spacing w:line="400" w:lineRule="exact"/>
        <w:rPr>
          <w:rFonts w:ascii="宋体" w:hAnsi="宋体"/>
          <w:szCs w:val="21"/>
        </w:rPr>
      </w:pPr>
    </w:p>
    <w:p w14:paraId="7E05118C">
      <w:pPr>
        <w:spacing w:line="360" w:lineRule="auto"/>
        <w:jc w:val="center"/>
        <w:rPr>
          <w:rFonts w:ascii="宋体" w:hAnsi="宋体" w:cs="宋体"/>
          <w:b/>
          <w:sz w:val="30"/>
          <w:szCs w:val="30"/>
        </w:rPr>
      </w:pPr>
      <w:bookmarkStart w:id="294" w:name="_Toc18722"/>
      <w:bookmarkStart w:id="295" w:name="_Toc403382863"/>
      <w:bookmarkStart w:id="296" w:name="_Toc4788"/>
      <w:r>
        <w:rPr>
          <w:rFonts w:ascii="宋体" w:hAnsi="宋体"/>
          <w:sz w:val="26"/>
        </w:rPr>
        <w:br w:type="page"/>
      </w:r>
      <w:r>
        <w:rPr>
          <w:rFonts w:hint="eastAsia" w:ascii="宋体" w:hAnsi="宋体"/>
          <w:b/>
          <w:sz w:val="30"/>
          <w:szCs w:val="30"/>
        </w:rPr>
        <w:t>五、</w:t>
      </w:r>
      <w:r>
        <w:rPr>
          <w:rFonts w:hint="eastAsia" w:ascii="宋体" w:hAnsi="宋体" w:cs="宋体"/>
          <w:b/>
          <w:sz w:val="30"/>
          <w:szCs w:val="30"/>
        </w:rPr>
        <w:t>供应商承诺函</w:t>
      </w:r>
    </w:p>
    <w:p w14:paraId="481BDEB1">
      <w:pPr>
        <w:spacing w:line="360" w:lineRule="auto"/>
        <w:ind w:firstLine="420" w:firstLineChars="200"/>
        <w:rPr>
          <w:rFonts w:ascii="宋体" w:hAnsi="宋体"/>
        </w:rPr>
      </w:pPr>
    </w:p>
    <w:p w14:paraId="6CCB3333">
      <w:pPr>
        <w:spacing w:line="360" w:lineRule="auto"/>
        <w:ind w:firstLine="420" w:firstLineChars="200"/>
        <w:rPr>
          <w:rFonts w:ascii="宋体" w:hAnsi="宋体"/>
          <w:u w:val="single"/>
        </w:rPr>
      </w:pPr>
      <w:r>
        <w:rPr>
          <w:rFonts w:hint="eastAsia" w:ascii="宋体" w:hAnsi="宋体"/>
        </w:rPr>
        <w:t>项目名称：</w:t>
      </w:r>
    </w:p>
    <w:p w14:paraId="7CBDE7BD">
      <w:pPr>
        <w:spacing w:line="360" w:lineRule="auto"/>
        <w:ind w:firstLine="420" w:firstLineChars="200"/>
        <w:rPr>
          <w:rFonts w:ascii="宋体" w:hAnsi="宋体"/>
          <w:u w:val="single"/>
        </w:rPr>
      </w:pPr>
      <w:r>
        <w:rPr>
          <w:rFonts w:hint="eastAsia" w:ascii="宋体" w:hAnsi="宋体"/>
        </w:rPr>
        <w:t>日    期：</w:t>
      </w:r>
    </w:p>
    <w:p w14:paraId="5F6ECE7E">
      <w:pPr>
        <w:spacing w:line="360" w:lineRule="auto"/>
        <w:ind w:firstLine="420" w:firstLineChars="200"/>
        <w:rPr>
          <w:rFonts w:ascii="宋体" w:hAnsi="宋体"/>
        </w:rPr>
      </w:pPr>
    </w:p>
    <w:p w14:paraId="7B26B411">
      <w:pPr>
        <w:spacing w:line="360" w:lineRule="auto"/>
        <w:ind w:firstLine="420" w:firstLineChars="200"/>
        <w:rPr>
          <w:rFonts w:ascii="宋体" w:hAnsi="宋体"/>
          <w:u w:val="single"/>
        </w:rPr>
      </w:pPr>
      <w:r>
        <w:rPr>
          <w:rFonts w:hint="eastAsia" w:ascii="宋体" w:hAnsi="宋体"/>
        </w:rPr>
        <w:t>致：</w:t>
      </w:r>
      <w:r>
        <w:rPr>
          <w:rFonts w:hint="eastAsia" w:ascii="宋体" w:hAnsi="宋体"/>
          <w:szCs w:val="21"/>
          <w:u w:val="single"/>
        </w:rPr>
        <w:t>（采购人名称）</w:t>
      </w:r>
    </w:p>
    <w:p w14:paraId="13DE85D8">
      <w:pPr>
        <w:spacing w:line="360" w:lineRule="auto"/>
        <w:ind w:firstLine="420" w:firstLineChars="200"/>
        <w:rPr>
          <w:rFonts w:ascii="宋体" w:hAnsi="宋体"/>
        </w:rPr>
      </w:pPr>
      <w:r>
        <w:rPr>
          <w:rFonts w:hint="eastAsia" w:ascii="宋体" w:hAnsi="宋体"/>
        </w:rPr>
        <w:t>很荣幸能参与上述项目的竞争。</w:t>
      </w:r>
    </w:p>
    <w:p w14:paraId="4B25924E">
      <w:pPr>
        <w:spacing w:line="360" w:lineRule="auto"/>
        <w:ind w:firstLine="420" w:firstLineChars="200"/>
        <w:rPr>
          <w:rFonts w:ascii="宋体" w:hAnsi="宋体"/>
        </w:rPr>
      </w:pPr>
      <w:r>
        <w:rPr>
          <w:rFonts w:hint="eastAsia" w:ascii="宋体" w:hAnsi="宋体"/>
        </w:rPr>
        <w:t>我代表</w:t>
      </w:r>
      <w:r>
        <w:rPr>
          <w:rFonts w:hint="eastAsia" w:ascii="宋体" w:hAnsi="宋体"/>
          <w:u w:val="single"/>
        </w:rPr>
        <w:t xml:space="preserve">                           （供应商名称）</w:t>
      </w:r>
      <w:r>
        <w:rPr>
          <w:rFonts w:hint="eastAsia" w:ascii="宋体" w:hAnsi="宋体"/>
        </w:rPr>
        <w:t>，在此作如下承诺：</w:t>
      </w:r>
    </w:p>
    <w:p w14:paraId="639B8B2E">
      <w:pPr>
        <w:spacing w:line="360" w:lineRule="auto"/>
        <w:ind w:firstLine="420" w:firstLineChars="200"/>
        <w:rPr>
          <w:rFonts w:ascii="宋体" w:hAnsi="宋体"/>
        </w:rPr>
      </w:pPr>
      <w:r>
        <w:rPr>
          <w:rFonts w:hint="eastAsia" w:ascii="宋体" w:hAnsi="宋体"/>
        </w:rPr>
        <w:t>1、完全理解和接受贵方采购文件的一切规定和要求。</w:t>
      </w:r>
    </w:p>
    <w:p w14:paraId="2B2653A2">
      <w:pPr>
        <w:spacing w:line="360" w:lineRule="auto"/>
        <w:ind w:firstLine="420" w:firstLineChars="200"/>
        <w:rPr>
          <w:rFonts w:ascii="宋体" w:hAnsi="宋体"/>
        </w:rPr>
      </w:pPr>
      <w:r>
        <w:rPr>
          <w:rFonts w:hint="eastAsia" w:ascii="宋体" w:hAnsi="宋体"/>
        </w:rPr>
        <w:t>2、提供的项目为贵方采购文件中的所有项目。</w:t>
      </w:r>
    </w:p>
    <w:p w14:paraId="1D203010">
      <w:pPr>
        <w:spacing w:line="360" w:lineRule="auto"/>
        <w:ind w:firstLine="420" w:firstLineChars="200"/>
        <w:rPr>
          <w:rFonts w:ascii="宋体" w:hAnsi="宋体"/>
        </w:rPr>
      </w:pPr>
      <w:r>
        <w:rPr>
          <w:rFonts w:hint="eastAsia" w:ascii="宋体" w:hAnsi="宋体"/>
        </w:rPr>
        <w:t>3、我方理解，报价最低不是成交的唯一条件。</w:t>
      </w:r>
    </w:p>
    <w:p w14:paraId="01513DDE">
      <w:pPr>
        <w:spacing w:line="360" w:lineRule="auto"/>
        <w:ind w:firstLine="420" w:firstLineChars="200"/>
        <w:rPr>
          <w:rFonts w:ascii="宋体" w:hAnsi="宋体"/>
        </w:rPr>
      </w:pPr>
      <w:r>
        <w:rPr>
          <w:rFonts w:hint="eastAsia" w:ascii="宋体" w:hAnsi="宋体"/>
        </w:rPr>
        <w:t>4、若成交，我方将按照采购文件的具体规定签订合同，并且严格履行合同义务。</w:t>
      </w:r>
    </w:p>
    <w:p w14:paraId="06D0EB70">
      <w:pPr>
        <w:spacing w:line="360" w:lineRule="auto"/>
        <w:ind w:firstLine="420" w:firstLineChars="200"/>
        <w:rPr>
          <w:rFonts w:ascii="宋体" w:hAnsi="宋体"/>
        </w:rPr>
      </w:pPr>
      <w:r>
        <w:rPr>
          <w:rFonts w:hint="eastAsia" w:ascii="宋体" w:hAnsi="宋体"/>
        </w:rPr>
        <w:t>5、在整个询价过程中，我方若有违规行为，贵方可按《采购文件》和《中华人民共和国政府采购法》之规定给予惩罚，我方完全接受。</w:t>
      </w:r>
    </w:p>
    <w:p w14:paraId="6522DD7E">
      <w:pPr>
        <w:spacing w:line="360" w:lineRule="auto"/>
        <w:ind w:firstLine="420" w:firstLineChars="200"/>
        <w:rPr>
          <w:rFonts w:ascii="宋体" w:hAnsi="宋体"/>
        </w:rPr>
      </w:pPr>
      <w:r>
        <w:rPr>
          <w:rFonts w:hint="eastAsia" w:ascii="宋体" w:hAnsi="宋体"/>
        </w:rPr>
        <w:t>6、若成交，本承诺函将成为合同不可分割的一部分，与合同具有同等的法律效力。</w:t>
      </w:r>
    </w:p>
    <w:p w14:paraId="5026D41E">
      <w:pPr>
        <w:spacing w:line="360" w:lineRule="auto"/>
        <w:ind w:firstLine="420" w:firstLineChars="200"/>
        <w:rPr>
          <w:rFonts w:ascii="宋体" w:hAnsi="宋体"/>
        </w:rPr>
      </w:pPr>
    </w:p>
    <w:p w14:paraId="4E9D1C03">
      <w:pPr>
        <w:spacing w:line="360" w:lineRule="auto"/>
        <w:ind w:firstLine="420" w:firstLineChars="200"/>
        <w:rPr>
          <w:rFonts w:ascii="宋体" w:hAnsi="宋体"/>
        </w:rPr>
      </w:pPr>
    </w:p>
    <w:p w14:paraId="66939AE3">
      <w:pPr>
        <w:spacing w:line="360" w:lineRule="auto"/>
        <w:ind w:firstLine="420" w:firstLineChars="200"/>
        <w:rPr>
          <w:rFonts w:ascii="宋体" w:hAnsi="宋体"/>
        </w:rPr>
      </w:pPr>
      <w:r>
        <w:rPr>
          <w:rFonts w:hint="eastAsia" w:ascii="宋体" w:hAnsi="宋体"/>
        </w:rPr>
        <w:t xml:space="preserve">法人授权代表签字：                 </w:t>
      </w:r>
    </w:p>
    <w:p w14:paraId="0ECB53CE">
      <w:pPr>
        <w:spacing w:line="360" w:lineRule="auto"/>
        <w:ind w:firstLine="420" w:firstLineChars="200"/>
        <w:rPr>
          <w:rFonts w:ascii="宋体" w:hAnsi="宋体"/>
        </w:rPr>
      </w:pPr>
      <w:r>
        <w:rPr>
          <w:rFonts w:hint="eastAsia" w:ascii="宋体" w:hAnsi="宋体"/>
        </w:rPr>
        <w:t xml:space="preserve">谈判供应商（公章）：  </w:t>
      </w:r>
    </w:p>
    <w:p w14:paraId="6A4890B9">
      <w:pPr>
        <w:widowControl/>
        <w:jc w:val="left"/>
        <w:rPr>
          <w:rFonts w:ascii="宋体" w:hAnsi="宋体"/>
          <w:sz w:val="26"/>
        </w:rPr>
      </w:pPr>
    </w:p>
    <w:p w14:paraId="405B917B">
      <w:pPr>
        <w:widowControl/>
        <w:jc w:val="left"/>
        <w:rPr>
          <w:rFonts w:ascii="宋体" w:hAnsi="宋体"/>
          <w:sz w:val="26"/>
        </w:rPr>
      </w:pPr>
      <w:r>
        <w:rPr>
          <w:rFonts w:ascii="宋体" w:hAnsi="宋体"/>
          <w:sz w:val="26"/>
        </w:rPr>
        <w:br w:type="page"/>
      </w:r>
    </w:p>
    <w:p w14:paraId="2C972F0E">
      <w:pPr>
        <w:spacing w:line="360" w:lineRule="auto"/>
        <w:jc w:val="center"/>
        <w:rPr>
          <w:rFonts w:ascii="宋体" w:hAnsi="宋体"/>
          <w:b/>
          <w:sz w:val="30"/>
          <w:szCs w:val="30"/>
        </w:rPr>
      </w:pPr>
      <w:r>
        <w:rPr>
          <w:rFonts w:hint="eastAsia" w:ascii="宋体" w:hAnsi="宋体"/>
          <w:b/>
          <w:sz w:val="30"/>
          <w:szCs w:val="30"/>
        </w:rPr>
        <w:t>六、保证金</w:t>
      </w:r>
      <w:bookmarkEnd w:id="294"/>
      <w:bookmarkEnd w:id="295"/>
      <w:bookmarkEnd w:id="296"/>
    </w:p>
    <w:p w14:paraId="13D20E43">
      <w:pPr>
        <w:pStyle w:val="18"/>
        <w:spacing w:line="360" w:lineRule="auto"/>
        <w:jc w:val="both"/>
        <w:rPr>
          <w:sz w:val="24"/>
        </w:rPr>
      </w:pPr>
      <w:bookmarkStart w:id="297" w:name="_Toc505691146"/>
      <w:r>
        <w:rPr>
          <w:rFonts w:hint="eastAsia"/>
          <w:sz w:val="24"/>
        </w:rPr>
        <w:t>注：磋商保证金</w:t>
      </w:r>
      <w:bookmarkEnd w:id="297"/>
      <w:r>
        <w:rPr>
          <w:rFonts w:hint="eastAsia"/>
          <w:sz w:val="24"/>
        </w:rPr>
        <w:t>扫描件</w:t>
      </w:r>
    </w:p>
    <w:p w14:paraId="785B7AFB">
      <w:pPr>
        <w:spacing w:line="360" w:lineRule="auto"/>
        <w:jc w:val="center"/>
        <w:rPr>
          <w:rFonts w:ascii="宋体" w:hAnsi="宋体"/>
          <w:sz w:val="26"/>
        </w:rPr>
      </w:pPr>
    </w:p>
    <w:p w14:paraId="7DD2535E">
      <w:pPr>
        <w:spacing w:line="360" w:lineRule="auto"/>
        <w:rPr>
          <w:rFonts w:ascii="宋体" w:hAnsi="宋体"/>
          <w:sz w:val="26"/>
        </w:rPr>
      </w:pPr>
    </w:p>
    <w:p w14:paraId="1DD8BDA5">
      <w:pPr>
        <w:spacing w:line="360" w:lineRule="auto"/>
        <w:rPr>
          <w:rFonts w:ascii="宋体" w:hAnsi="宋体"/>
          <w:sz w:val="26"/>
        </w:rPr>
      </w:pPr>
    </w:p>
    <w:p w14:paraId="38F46341">
      <w:pPr>
        <w:spacing w:line="360" w:lineRule="auto"/>
        <w:rPr>
          <w:rFonts w:ascii="宋体" w:hAnsi="宋体"/>
          <w:sz w:val="26"/>
        </w:rPr>
      </w:pPr>
    </w:p>
    <w:p w14:paraId="2B447354">
      <w:pPr>
        <w:spacing w:line="360" w:lineRule="auto"/>
        <w:rPr>
          <w:rFonts w:ascii="宋体" w:hAnsi="宋体"/>
          <w:sz w:val="26"/>
        </w:rPr>
      </w:pPr>
    </w:p>
    <w:p w14:paraId="0F456D07">
      <w:pPr>
        <w:spacing w:line="360" w:lineRule="auto"/>
        <w:rPr>
          <w:rFonts w:ascii="宋体" w:hAnsi="宋体"/>
          <w:sz w:val="26"/>
        </w:rPr>
      </w:pPr>
    </w:p>
    <w:p w14:paraId="38E3239A">
      <w:pPr>
        <w:spacing w:line="360" w:lineRule="auto"/>
        <w:rPr>
          <w:rFonts w:ascii="宋体" w:hAnsi="宋体"/>
          <w:sz w:val="26"/>
        </w:rPr>
      </w:pPr>
    </w:p>
    <w:p w14:paraId="07E11789">
      <w:pPr>
        <w:spacing w:line="360" w:lineRule="auto"/>
        <w:rPr>
          <w:rFonts w:ascii="宋体" w:hAnsi="宋体"/>
          <w:sz w:val="26"/>
        </w:rPr>
      </w:pPr>
    </w:p>
    <w:p w14:paraId="1960FBA7">
      <w:pPr>
        <w:spacing w:line="360" w:lineRule="auto"/>
        <w:rPr>
          <w:rFonts w:ascii="宋体" w:hAnsi="宋体"/>
          <w:sz w:val="26"/>
        </w:rPr>
      </w:pPr>
    </w:p>
    <w:p w14:paraId="103B9452">
      <w:pPr>
        <w:spacing w:line="360" w:lineRule="auto"/>
        <w:rPr>
          <w:rFonts w:ascii="宋体" w:hAnsi="宋体"/>
          <w:sz w:val="26"/>
        </w:rPr>
      </w:pPr>
    </w:p>
    <w:p w14:paraId="7DA4D7C8">
      <w:pPr>
        <w:spacing w:line="360" w:lineRule="auto"/>
        <w:rPr>
          <w:rFonts w:ascii="宋体" w:hAnsi="宋体"/>
          <w:sz w:val="26"/>
        </w:rPr>
      </w:pPr>
    </w:p>
    <w:p w14:paraId="5C027EDB">
      <w:pPr>
        <w:spacing w:line="360" w:lineRule="auto"/>
        <w:rPr>
          <w:rFonts w:ascii="宋体" w:hAnsi="宋体"/>
          <w:sz w:val="26"/>
        </w:rPr>
      </w:pPr>
    </w:p>
    <w:p w14:paraId="48A528BB">
      <w:pPr>
        <w:spacing w:line="360" w:lineRule="auto"/>
        <w:rPr>
          <w:rFonts w:ascii="宋体" w:hAnsi="宋体"/>
          <w:sz w:val="26"/>
        </w:rPr>
      </w:pPr>
    </w:p>
    <w:p w14:paraId="462463C6">
      <w:pPr>
        <w:spacing w:line="360" w:lineRule="auto"/>
        <w:rPr>
          <w:rFonts w:ascii="宋体" w:hAnsi="宋体"/>
          <w:sz w:val="26"/>
        </w:rPr>
      </w:pPr>
    </w:p>
    <w:p w14:paraId="3B70020E">
      <w:pPr>
        <w:spacing w:line="360" w:lineRule="auto"/>
        <w:rPr>
          <w:rFonts w:ascii="宋体" w:hAnsi="宋体"/>
          <w:sz w:val="26"/>
        </w:rPr>
      </w:pPr>
    </w:p>
    <w:p w14:paraId="13F61B8D">
      <w:pPr>
        <w:spacing w:line="360" w:lineRule="auto"/>
        <w:rPr>
          <w:rFonts w:ascii="宋体" w:hAnsi="宋体"/>
          <w:sz w:val="26"/>
        </w:rPr>
      </w:pPr>
    </w:p>
    <w:p w14:paraId="270CBE94">
      <w:pPr>
        <w:spacing w:line="360" w:lineRule="auto"/>
        <w:rPr>
          <w:rFonts w:ascii="宋体" w:hAnsi="宋体"/>
          <w:sz w:val="26"/>
        </w:rPr>
      </w:pPr>
    </w:p>
    <w:p w14:paraId="76F92F6D">
      <w:pPr>
        <w:spacing w:line="360" w:lineRule="auto"/>
        <w:rPr>
          <w:rFonts w:ascii="宋体" w:hAnsi="宋体"/>
          <w:sz w:val="26"/>
        </w:rPr>
      </w:pPr>
    </w:p>
    <w:p w14:paraId="7E95EBD0">
      <w:pPr>
        <w:spacing w:line="360" w:lineRule="auto"/>
        <w:jc w:val="center"/>
        <w:rPr>
          <w:rFonts w:ascii="宋体" w:hAnsi="宋体"/>
          <w:sz w:val="26"/>
        </w:rPr>
      </w:pPr>
    </w:p>
    <w:p w14:paraId="07D63F40">
      <w:pPr>
        <w:spacing w:line="360" w:lineRule="auto"/>
        <w:jc w:val="center"/>
        <w:rPr>
          <w:rFonts w:ascii="宋体" w:hAnsi="宋体"/>
          <w:sz w:val="26"/>
        </w:rPr>
      </w:pPr>
    </w:p>
    <w:p w14:paraId="4BEEB524">
      <w:pPr>
        <w:pStyle w:val="4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七、技术文件</w:t>
      </w:r>
    </w:p>
    <w:p w14:paraId="752C90EC">
      <w:pPr>
        <w:spacing w:line="360" w:lineRule="auto"/>
        <w:rPr>
          <w:rFonts w:ascii="宋体" w:hAnsi="宋体" w:cs="Times New Roman"/>
          <w:sz w:val="26"/>
        </w:rPr>
      </w:pPr>
      <w:r>
        <w:rPr>
          <w:rFonts w:ascii="宋体" w:hAnsi="宋体" w:cs="Times New Roman"/>
          <w:sz w:val="26"/>
        </w:rPr>
        <w:t>请各供应商结合磋商文件技术要求及评标办法相关内容编写</w:t>
      </w:r>
    </w:p>
    <w:p w14:paraId="2CBF9C10">
      <w:pPr>
        <w:autoSpaceDE w:val="0"/>
        <w:autoSpaceDN w:val="0"/>
        <w:adjustRightInd w:val="0"/>
        <w:outlineLvl w:val="0"/>
        <w:rPr>
          <w:rFonts w:ascii="宋体" w:hAnsi="宋体"/>
          <w:b/>
          <w:sz w:val="24"/>
          <w:lang w:val="zh-CN"/>
        </w:rPr>
      </w:pPr>
    </w:p>
    <w:p w14:paraId="7531F0DC">
      <w:pPr>
        <w:autoSpaceDE w:val="0"/>
        <w:autoSpaceDN w:val="0"/>
        <w:adjustRightInd w:val="0"/>
        <w:rPr>
          <w:rFonts w:ascii="宋体" w:hAnsi="宋体"/>
          <w:sz w:val="24"/>
          <w:lang w:val="zh-CN"/>
        </w:rPr>
      </w:pPr>
      <w:r>
        <w:rPr>
          <w:rFonts w:hint="eastAsia" w:ascii="宋体" w:hAnsi="宋体"/>
          <w:sz w:val="24"/>
          <w:lang w:val="zh-CN"/>
        </w:rPr>
        <w:t>（格式自拟，加盖响应单位公章，法人或授权代理人签字）</w:t>
      </w:r>
    </w:p>
    <w:p w14:paraId="5C730A7C">
      <w:pPr>
        <w:pStyle w:val="40"/>
        <w:jc w:val="center"/>
        <w:rPr>
          <w:rFonts w:ascii="宋体" w:hAnsi="宋体" w:eastAsia="宋体"/>
          <w:sz w:val="24"/>
        </w:rPr>
      </w:pPr>
    </w:p>
    <w:p w14:paraId="1B64939D">
      <w:pPr>
        <w:spacing w:line="360" w:lineRule="auto"/>
        <w:jc w:val="center"/>
        <w:rPr>
          <w:rFonts w:ascii="宋体" w:hAnsi="宋体"/>
          <w:sz w:val="26"/>
        </w:rPr>
      </w:pPr>
    </w:p>
    <w:p w14:paraId="16B01561">
      <w:pPr>
        <w:widowControl/>
        <w:jc w:val="left"/>
        <w:rPr>
          <w:rFonts w:ascii="宋体" w:hAnsi="宋体"/>
          <w:sz w:val="26"/>
        </w:rPr>
      </w:pPr>
      <w:r>
        <w:rPr>
          <w:rFonts w:ascii="宋体" w:hAnsi="宋体"/>
          <w:sz w:val="26"/>
        </w:rPr>
        <w:br w:type="page"/>
      </w:r>
    </w:p>
    <w:p w14:paraId="6D192F3F">
      <w:pPr>
        <w:spacing w:line="360" w:lineRule="auto"/>
        <w:jc w:val="center"/>
        <w:rPr>
          <w:rFonts w:ascii="宋体" w:hAnsi="宋体"/>
          <w:b/>
          <w:sz w:val="30"/>
          <w:szCs w:val="30"/>
        </w:rPr>
      </w:pPr>
      <w:r>
        <w:rPr>
          <w:rFonts w:hint="eastAsia" w:ascii="宋体" w:hAnsi="宋体"/>
          <w:b/>
          <w:sz w:val="30"/>
          <w:szCs w:val="30"/>
        </w:rPr>
        <w:t>八、项目管理机构</w:t>
      </w:r>
    </w:p>
    <w:p w14:paraId="5B54D1D9">
      <w:pPr>
        <w:spacing w:line="360" w:lineRule="auto"/>
        <w:jc w:val="center"/>
        <w:rPr>
          <w:rFonts w:ascii="宋体" w:hAnsi="宋体" w:cs="Times New Roman"/>
          <w:sz w:val="26"/>
        </w:rPr>
      </w:pPr>
      <w:bookmarkStart w:id="298" w:name="_Toc403382873"/>
      <w:r>
        <w:rPr>
          <w:rFonts w:hint="eastAsia" w:ascii="宋体" w:hAnsi="宋体" w:cs="Times New Roman"/>
          <w:sz w:val="26"/>
        </w:rPr>
        <w:t>（一）</w:t>
      </w:r>
      <w:bookmarkEnd w:id="298"/>
      <w:r>
        <w:rPr>
          <w:rFonts w:hint="eastAsia" w:ascii="宋体" w:hAnsi="宋体" w:cs="Times New Roman"/>
          <w:sz w:val="26"/>
        </w:rPr>
        <w:t>人员配备情况总表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632"/>
        <w:gridCol w:w="1432"/>
        <w:gridCol w:w="1611"/>
        <w:gridCol w:w="1921"/>
      </w:tblGrid>
      <w:tr w14:paraId="2B07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3F2B834D">
            <w:pPr>
              <w:spacing w:line="360" w:lineRule="auto"/>
              <w:jc w:val="center"/>
              <w:rPr>
                <w:rFonts w:ascii="宋体" w:hAnsi="宋体" w:cs="Times New Roman"/>
                <w:sz w:val="26"/>
              </w:rPr>
            </w:pPr>
            <w:r>
              <w:rPr>
                <w:rFonts w:hint="eastAsia" w:ascii="宋体" w:hAnsi="宋体" w:cs="Times New Roman"/>
                <w:sz w:val="26"/>
              </w:rPr>
              <w:t>姓名</w:t>
            </w:r>
          </w:p>
        </w:tc>
        <w:tc>
          <w:tcPr>
            <w:tcW w:w="1632" w:type="dxa"/>
            <w:vAlign w:val="center"/>
          </w:tcPr>
          <w:p w14:paraId="2EAC62CE">
            <w:pPr>
              <w:spacing w:line="360" w:lineRule="auto"/>
              <w:jc w:val="center"/>
              <w:rPr>
                <w:rFonts w:ascii="宋体" w:hAnsi="宋体" w:cs="Times New Roman"/>
                <w:sz w:val="26"/>
              </w:rPr>
            </w:pPr>
            <w:r>
              <w:rPr>
                <w:rFonts w:hint="eastAsia" w:ascii="宋体" w:hAnsi="宋体" w:cs="Times New Roman"/>
                <w:sz w:val="26"/>
              </w:rPr>
              <w:t>专业</w:t>
            </w:r>
          </w:p>
        </w:tc>
        <w:tc>
          <w:tcPr>
            <w:tcW w:w="1432" w:type="dxa"/>
            <w:vAlign w:val="center"/>
          </w:tcPr>
          <w:p w14:paraId="54CCBD65">
            <w:pPr>
              <w:spacing w:line="360" w:lineRule="auto"/>
              <w:jc w:val="center"/>
              <w:rPr>
                <w:rFonts w:ascii="宋体" w:hAnsi="宋体" w:cs="Times New Roman"/>
                <w:sz w:val="26"/>
              </w:rPr>
            </w:pPr>
            <w:r>
              <w:rPr>
                <w:rFonts w:hint="eastAsia" w:ascii="宋体" w:hAnsi="宋体" w:cs="Times New Roman"/>
                <w:sz w:val="26"/>
              </w:rPr>
              <w:t>学位</w:t>
            </w:r>
          </w:p>
        </w:tc>
        <w:tc>
          <w:tcPr>
            <w:tcW w:w="1611" w:type="dxa"/>
            <w:vAlign w:val="center"/>
          </w:tcPr>
          <w:p w14:paraId="75BC1646">
            <w:pPr>
              <w:spacing w:line="360" w:lineRule="auto"/>
              <w:jc w:val="center"/>
              <w:rPr>
                <w:rFonts w:ascii="宋体" w:hAnsi="宋体" w:cs="Times New Roman"/>
                <w:sz w:val="26"/>
              </w:rPr>
            </w:pPr>
            <w:r>
              <w:rPr>
                <w:rFonts w:hint="eastAsia" w:ascii="宋体" w:hAnsi="宋体" w:cs="Times New Roman"/>
                <w:sz w:val="26"/>
              </w:rPr>
              <w:t>资格名称</w:t>
            </w:r>
          </w:p>
        </w:tc>
        <w:tc>
          <w:tcPr>
            <w:tcW w:w="1921" w:type="dxa"/>
          </w:tcPr>
          <w:p w14:paraId="1260175E">
            <w:pPr>
              <w:spacing w:line="360" w:lineRule="auto"/>
              <w:jc w:val="center"/>
              <w:rPr>
                <w:rFonts w:ascii="宋体" w:hAnsi="宋体" w:cs="Times New Roman"/>
                <w:sz w:val="26"/>
              </w:rPr>
            </w:pPr>
            <w:r>
              <w:rPr>
                <w:rFonts w:hint="eastAsia" w:ascii="宋体" w:hAnsi="宋体" w:cs="Times New Roman"/>
                <w:sz w:val="26"/>
              </w:rPr>
              <w:t>工作年限</w:t>
            </w:r>
          </w:p>
        </w:tc>
      </w:tr>
      <w:tr w14:paraId="5C5E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2FAD6861">
            <w:pPr>
              <w:spacing w:line="360" w:lineRule="auto"/>
              <w:rPr>
                <w:rFonts w:ascii="宋体" w:hAnsi="宋体" w:cs="Times New Roman"/>
                <w:sz w:val="26"/>
              </w:rPr>
            </w:pPr>
          </w:p>
        </w:tc>
        <w:tc>
          <w:tcPr>
            <w:tcW w:w="1632" w:type="dxa"/>
            <w:vAlign w:val="center"/>
          </w:tcPr>
          <w:p w14:paraId="341D4A63">
            <w:pPr>
              <w:spacing w:line="360" w:lineRule="auto"/>
              <w:rPr>
                <w:rFonts w:ascii="宋体" w:hAnsi="宋体" w:cs="Times New Roman"/>
                <w:sz w:val="26"/>
              </w:rPr>
            </w:pPr>
          </w:p>
        </w:tc>
        <w:tc>
          <w:tcPr>
            <w:tcW w:w="1432" w:type="dxa"/>
            <w:vAlign w:val="center"/>
          </w:tcPr>
          <w:p w14:paraId="28F7FA95">
            <w:pPr>
              <w:spacing w:line="360" w:lineRule="auto"/>
              <w:rPr>
                <w:rFonts w:ascii="宋体" w:hAnsi="宋体" w:cs="Times New Roman"/>
                <w:sz w:val="26"/>
              </w:rPr>
            </w:pPr>
          </w:p>
        </w:tc>
        <w:tc>
          <w:tcPr>
            <w:tcW w:w="1611" w:type="dxa"/>
            <w:vAlign w:val="center"/>
          </w:tcPr>
          <w:p w14:paraId="221888CB">
            <w:pPr>
              <w:spacing w:line="360" w:lineRule="auto"/>
              <w:rPr>
                <w:rFonts w:ascii="宋体" w:hAnsi="宋体" w:cs="Times New Roman"/>
                <w:sz w:val="26"/>
              </w:rPr>
            </w:pPr>
          </w:p>
        </w:tc>
        <w:tc>
          <w:tcPr>
            <w:tcW w:w="1921" w:type="dxa"/>
          </w:tcPr>
          <w:p w14:paraId="0EF8B452">
            <w:pPr>
              <w:spacing w:line="360" w:lineRule="auto"/>
              <w:rPr>
                <w:rFonts w:ascii="宋体" w:hAnsi="宋体" w:cs="Times New Roman"/>
                <w:sz w:val="26"/>
              </w:rPr>
            </w:pPr>
          </w:p>
        </w:tc>
      </w:tr>
      <w:tr w14:paraId="5DFC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6057230F">
            <w:pPr>
              <w:spacing w:line="360" w:lineRule="auto"/>
              <w:rPr>
                <w:rFonts w:ascii="宋体" w:hAnsi="宋体" w:cs="Times New Roman"/>
                <w:sz w:val="26"/>
              </w:rPr>
            </w:pPr>
          </w:p>
        </w:tc>
        <w:tc>
          <w:tcPr>
            <w:tcW w:w="1632" w:type="dxa"/>
            <w:vAlign w:val="center"/>
          </w:tcPr>
          <w:p w14:paraId="1739516E">
            <w:pPr>
              <w:spacing w:line="360" w:lineRule="auto"/>
              <w:rPr>
                <w:rFonts w:ascii="宋体" w:hAnsi="宋体" w:cs="Times New Roman"/>
                <w:sz w:val="26"/>
              </w:rPr>
            </w:pPr>
          </w:p>
        </w:tc>
        <w:tc>
          <w:tcPr>
            <w:tcW w:w="1432" w:type="dxa"/>
            <w:vAlign w:val="center"/>
          </w:tcPr>
          <w:p w14:paraId="78357A59">
            <w:pPr>
              <w:spacing w:line="360" w:lineRule="auto"/>
              <w:rPr>
                <w:rFonts w:ascii="宋体" w:hAnsi="宋体" w:cs="Times New Roman"/>
                <w:sz w:val="26"/>
              </w:rPr>
            </w:pPr>
          </w:p>
        </w:tc>
        <w:tc>
          <w:tcPr>
            <w:tcW w:w="1611" w:type="dxa"/>
            <w:vAlign w:val="center"/>
          </w:tcPr>
          <w:p w14:paraId="2519EEE8">
            <w:pPr>
              <w:spacing w:line="360" w:lineRule="auto"/>
              <w:rPr>
                <w:rFonts w:ascii="宋体" w:hAnsi="宋体" w:cs="Times New Roman"/>
                <w:sz w:val="26"/>
              </w:rPr>
            </w:pPr>
          </w:p>
        </w:tc>
        <w:tc>
          <w:tcPr>
            <w:tcW w:w="1921" w:type="dxa"/>
          </w:tcPr>
          <w:p w14:paraId="6E09A1D2">
            <w:pPr>
              <w:spacing w:line="360" w:lineRule="auto"/>
              <w:rPr>
                <w:rFonts w:ascii="宋体" w:hAnsi="宋体" w:cs="Times New Roman"/>
                <w:sz w:val="26"/>
              </w:rPr>
            </w:pPr>
          </w:p>
        </w:tc>
      </w:tr>
      <w:tr w14:paraId="1112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1497BF0A">
            <w:pPr>
              <w:spacing w:line="360" w:lineRule="auto"/>
              <w:rPr>
                <w:rFonts w:ascii="宋体" w:hAnsi="宋体" w:cs="Times New Roman"/>
                <w:sz w:val="26"/>
              </w:rPr>
            </w:pPr>
          </w:p>
        </w:tc>
        <w:tc>
          <w:tcPr>
            <w:tcW w:w="1632" w:type="dxa"/>
            <w:vAlign w:val="center"/>
          </w:tcPr>
          <w:p w14:paraId="26877BB0">
            <w:pPr>
              <w:spacing w:line="360" w:lineRule="auto"/>
              <w:rPr>
                <w:rFonts w:ascii="宋体" w:hAnsi="宋体" w:cs="Times New Roman"/>
                <w:sz w:val="26"/>
              </w:rPr>
            </w:pPr>
          </w:p>
        </w:tc>
        <w:tc>
          <w:tcPr>
            <w:tcW w:w="1432" w:type="dxa"/>
            <w:vAlign w:val="center"/>
          </w:tcPr>
          <w:p w14:paraId="259CD867">
            <w:pPr>
              <w:spacing w:line="360" w:lineRule="auto"/>
              <w:rPr>
                <w:rFonts w:ascii="宋体" w:hAnsi="宋体" w:cs="Times New Roman"/>
                <w:sz w:val="26"/>
              </w:rPr>
            </w:pPr>
          </w:p>
        </w:tc>
        <w:tc>
          <w:tcPr>
            <w:tcW w:w="1611" w:type="dxa"/>
            <w:vAlign w:val="center"/>
          </w:tcPr>
          <w:p w14:paraId="0FD6CCAD">
            <w:pPr>
              <w:spacing w:line="360" w:lineRule="auto"/>
              <w:rPr>
                <w:rFonts w:ascii="宋体" w:hAnsi="宋体" w:cs="Times New Roman"/>
                <w:sz w:val="26"/>
              </w:rPr>
            </w:pPr>
          </w:p>
        </w:tc>
        <w:tc>
          <w:tcPr>
            <w:tcW w:w="1921" w:type="dxa"/>
          </w:tcPr>
          <w:p w14:paraId="6DC83FEB">
            <w:pPr>
              <w:spacing w:line="360" w:lineRule="auto"/>
              <w:rPr>
                <w:rFonts w:ascii="宋体" w:hAnsi="宋体" w:cs="Times New Roman"/>
                <w:sz w:val="26"/>
              </w:rPr>
            </w:pPr>
          </w:p>
        </w:tc>
      </w:tr>
      <w:tr w14:paraId="7462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582CCD63">
            <w:pPr>
              <w:spacing w:line="360" w:lineRule="auto"/>
              <w:rPr>
                <w:rFonts w:ascii="宋体" w:hAnsi="宋体" w:cs="Times New Roman"/>
                <w:sz w:val="26"/>
              </w:rPr>
            </w:pPr>
          </w:p>
        </w:tc>
        <w:tc>
          <w:tcPr>
            <w:tcW w:w="1632" w:type="dxa"/>
            <w:vAlign w:val="center"/>
          </w:tcPr>
          <w:p w14:paraId="36B30D0E">
            <w:pPr>
              <w:spacing w:line="360" w:lineRule="auto"/>
              <w:rPr>
                <w:rFonts w:ascii="宋体" w:hAnsi="宋体" w:cs="Times New Roman"/>
                <w:sz w:val="26"/>
              </w:rPr>
            </w:pPr>
          </w:p>
        </w:tc>
        <w:tc>
          <w:tcPr>
            <w:tcW w:w="1432" w:type="dxa"/>
            <w:vAlign w:val="center"/>
          </w:tcPr>
          <w:p w14:paraId="0FAD2F71">
            <w:pPr>
              <w:spacing w:line="360" w:lineRule="auto"/>
              <w:rPr>
                <w:rFonts w:ascii="宋体" w:hAnsi="宋体" w:cs="Times New Roman"/>
                <w:sz w:val="26"/>
              </w:rPr>
            </w:pPr>
          </w:p>
        </w:tc>
        <w:tc>
          <w:tcPr>
            <w:tcW w:w="1611" w:type="dxa"/>
            <w:vAlign w:val="center"/>
          </w:tcPr>
          <w:p w14:paraId="6E729B3E">
            <w:pPr>
              <w:spacing w:line="360" w:lineRule="auto"/>
              <w:rPr>
                <w:rFonts w:ascii="宋体" w:hAnsi="宋体" w:cs="Times New Roman"/>
                <w:sz w:val="26"/>
              </w:rPr>
            </w:pPr>
          </w:p>
        </w:tc>
        <w:tc>
          <w:tcPr>
            <w:tcW w:w="1921" w:type="dxa"/>
          </w:tcPr>
          <w:p w14:paraId="0F6EBD1A">
            <w:pPr>
              <w:spacing w:line="360" w:lineRule="auto"/>
              <w:rPr>
                <w:rFonts w:ascii="宋体" w:hAnsi="宋体" w:cs="Times New Roman"/>
                <w:sz w:val="26"/>
              </w:rPr>
            </w:pPr>
          </w:p>
        </w:tc>
      </w:tr>
      <w:tr w14:paraId="547D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C22CE29">
            <w:pPr>
              <w:spacing w:line="360" w:lineRule="auto"/>
              <w:rPr>
                <w:rFonts w:ascii="宋体" w:hAnsi="宋体" w:cs="Times New Roman"/>
                <w:sz w:val="26"/>
              </w:rPr>
            </w:pPr>
          </w:p>
        </w:tc>
        <w:tc>
          <w:tcPr>
            <w:tcW w:w="1632" w:type="dxa"/>
            <w:vAlign w:val="center"/>
          </w:tcPr>
          <w:p w14:paraId="227814D4">
            <w:pPr>
              <w:spacing w:line="360" w:lineRule="auto"/>
              <w:rPr>
                <w:rFonts w:ascii="宋体" w:hAnsi="宋体" w:cs="Times New Roman"/>
                <w:sz w:val="26"/>
              </w:rPr>
            </w:pPr>
          </w:p>
        </w:tc>
        <w:tc>
          <w:tcPr>
            <w:tcW w:w="1432" w:type="dxa"/>
            <w:vAlign w:val="center"/>
          </w:tcPr>
          <w:p w14:paraId="49230D58">
            <w:pPr>
              <w:spacing w:line="360" w:lineRule="auto"/>
              <w:rPr>
                <w:rFonts w:ascii="宋体" w:hAnsi="宋体" w:cs="Times New Roman"/>
                <w:sz w:val="26"/>
              </w:rPr>
            </w:pPr>
          </w:p>
        </w:tc>
        <w:tc>
          <w:tcPr>
            <w:tcW w:w="1611" w:type="dxa"/>
            <w:vAlign w:val="center"/>
          </w:tcPr>
          <w:p w14:paraId="6902FCAF">
            <w:pPr>
              <w:spacing w:line="360" w:lineRule="auto"/>
              <w:rPr>
                <w:rFonts w:ascii="宋体" w:hAnsi="宋体" w:cs="Times New Roman"/>
                <w:sz w:val="26"/>
              </w:rPr>
            </w:pPr>
          </w:p>
        </w:tc>
        <w:tc>
          <w:tcPr>
            <w:tcW w:w="1921" w:type="dxa"/>
          </w:tcPr>
          <w:p w14:paraId="6EB972DD">
            <w:pPr>
              <w:spacing w:line="360" w:lineRule="auto"/>
              <w:rPr>
                <w:rFonts w:ascii="宋体" w:hAnsi="宋体" w:cs="Times New Roman"/>
                <w:sz w:val="26"/>
              </w:rPr>
            </w:pPr>
          </w:p>
        </w:tc>
      </w:tr>
      <w:tr w14:paraId="1B83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78169040">
            <w:pPr>
              <w:spacing w:line="360" w:lineRule="auto"/>
              <w:rPr>
                <w:rFonts w:ascii="宋体" w:hAnsi="宋体" w:cs="Times New Roman"/>
                <w:sz w:val="26"/>
              </w:rPr>
            </w:pPr>
          </w:p>
        </w:tc>
        <w:tc>
          <w:tcPr>
            <w:tcW w:w="1632" w:type="dxa"/>
            <w:vAlign w:val="center"/>
          </w:tcPr>
          <w:p w14:paraId="3A39A4F1">
            <w:pPr>
              <w:spacing w:line="360" w:lineRule="auto"/>
              <w:rPr>
                <w:rFonts w:ascii="宋体" w:hAnsi="宋体" w:cs="Times New Roman"/>
                <w:sz w:val="26"/>
              </w:rPr>
            </w:pPr>
          </w:p>
        </w:tc>
        <w:tc>
          <w:tcPr>
            <w:tcW w:w="1432" w:type="dxa"/>
            <w:vAlign w:val="center"/>
          </w:tcPr>
          <w:p w14:paraId="38B9DA15">
            <w:pPr>
              <w:spacing w:line="360" w:lineRule="auto"/>
              <w:rPr>
                <w:rFonts w:ascii="宋体" w:hAnsi="宋体" w:cs="Times New Roman"/>
                <w:sz w:val="26"/>
              </w:rPr>
            </w:pPr>
          </w:p>
        </w:tc>
        <w:tc>
          <w:tcPr>
            <w:tcW w:w="1611" w:type="dxa"/>
            <w:vAlign w:val="center"/>
          </w:tcPr>
          <w:p w14:paraId="42BEEF67">
            <w:pPr>
              <w:spacing w:line="360" w:lineRule="auto"/>
              <w:rPr>
                <w:rFonts w:ascii="宋体" w:hAnsi="宋体" w:cs="Times New Roman"/>
                <w:sz w:val="26"/>
              </w:rPr>
            </w:pPr>
          </w:p>
        </w:tc>
        <w:tc>
          <w:tcPr>
            <w:tcW w:w="1921" w:type="dxa"/>
          </w:tcPr>
          <w:p w14:paraId="14EA9437">
            <w:pPr>
              <w:spacing w:line="360" w:lineRule="auto"/>
              <w:rPr>
                <w:rFonts w:ascii="宋体" w:hAnsi="宋体" w:cs="Times New Roman"/>
                <w:sz w:val="26"/>
              </w:rPr>
            </w:pPr>
          </w:p>
        </w:tc>
      </w:tr>
      <w:tr w14:paraId="7E66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5E608F07">
            <w:pPr>
              <w:spacing w:line="360" w:lineRule="auto"/>
              <w:rPr>
                <w:rFonts w:ascii="宋体" w:hAnsi="宋体" w:cs="Times New Roman"/>
                <w:sz w:val="26"/>
              </w:rPr>
            </w:pPr>
          </w:p>
        </w:tc>
        <w:tc>
          <w:tcPr>
            <w:tcW w:w="1632" w:type="dxa"/>
            <w:vAlign w:val="center"/>
          </w:tcPr>
          <w:p w14:paraId="3354E8C2">
            <w:pPr>
              <w:spacing w:line="360" w:lineRule="auto"/>
              <w:rPr>
                <w:rFonts w:ascii="宋体" w:hAnsi="宋体" w:cs="Times New Roman"/>
                <w:sz w:val="26"/>
              </w:rPr>
            </w:pPr>
          </w:p>
        </w:tc>
        <w:tc>
          <w:tcPr>
            <w:tcW w:w="1432" w:type="dxa"/>
            <w:vAlign w:val="center"/>
          </w:tcPr>
          <w:p w14:paraId="31A4E00B">
            <w:pPr>
              <w:spacing w:line="360" w:lineRule="auto"/>
              <w:rPr>
                <w:rFonts w:ascii="宋体" w:hAnsi="宋体" w:cs="Times New Roman"/>
                <w:sz w:val="26"/>
              </w:rPr>
            </w:pPr>
          </w:p>
        </w:tc>
        <w:tc>
          <w:tcPr>
            <w:tcW w:w="1611" w:type="dxa"/>
            <w:vAlign w:val="center"/>
          </w:tcPr>
          <w:p w14:paraId="72A2E9BC">
            <w:pPr>
              <w:spacing w:line="360" w:lineRule="auto"/>
              <w:rPr>
                <w:rFonts w:ascii="宋体" w:hAnsi="宋体" w:cs="Times New Roman"/>
                <w:sz w:val="26"/>
              </w:rPr>
            </w:pPr>
          </w:p>
        </w:tc>
        <w:tc>
          <w:tcPr>
            <w:tcW w:w="1921" w:type="dxa"/>
          </w:tcPr>
          <w:p w14:paraId="4F2271D2">
            <w:pPr>
              <w:spacing w:line="360" w:lineRule="auto"/>
              <w:rPr>
                <w:rFonts w:ascii="宋体" w:hAnsi="宋体" w:cs="Times New Roman"/>
                <w:sz w:val="26"/>
              </w:rPr>
            </w:pPr>
          </w:p>
        </w:tc>
      </w:tr>
      <w:tr w14:paraId="375C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F146D2E">
            <w:pPr>
              <w:spacing w:line="360" w:lineRule="auto"/>
              <w:rPr>
                <w:rFonts w:ascii="宋体" w:hAnsi="宋体" w:cs="Times New Roman"/>
                <w:sz w:val="26"/>
              </w:rPr>
            </w:pPr>
          </w:p>
        </w:tc>
        <w:tc>
          <w:tcPr>
            <w:tcW w:w="1632" w:type="dxa"/>
            <w:vAlign w:val="center"/>
          </w:tcPr>
          <w:p w14:paraId="6EC3906A">
            <w:pPr>
              <w:spacing w:line="360" w:lineRule="auto"/>
              <w:rPr>
                <w:rFonts w:ascii="宋体" w:hAnsi="宋体" w:cs="Times New Roman"/>
                <w:sz w:val="26"/>
              </w:rPr>
            </w:pPr>
          </w:p>
        </w:tc>
        <w:tc>
          <w:tcPr>
            <w:tcW w:w="1432" w:type="dxa"/>
            <w:vAlign w:val="center"/>
          </w:tcPr>
          <w:p w14:paraId="74DE76A2">
            <w:pPr>
              <w:spacing w:line="360" w:lineRule="auto"/>
              <w:rPr>
                <w:rFonts w:ascii="宋体" w:hAnsi="宋体" w:cs="Times New Roman"/>
                <w:sz w:val="26"/>
              </w:rPr>
            </w:pPr>
          </w:p>
        </w:tc>
        <w:tc>
          <w:tcPr>
            <w:tcW w:w="1611" w:type="dxa"/>
            <w:vAlign w:val="center"/>
          </w:tcPr>
          <w:p w14:paraId="7DE978A1">
            <w:pPr>
              <w:spacing w:line="360" w:lineRule="auto"/>
              <w:rPr>
                <w:rFonts w:ascii="宋体" w:hAnsi="宋体" w:cs="Times New Roman"/>
                <w:sz w:val="26"/>
              </w:rPr>
            </w:pPr>
          </w:p>
        </w:tc>
        <w:tc>
          <w:tcPr>
            <w:tcW w:w="1921" w:type="dxa"/>
          </w:tcPr>
          <w:p w14:paraId="017718EE">
            <w:pPr>
              <w:spacing w:line="360" w:lineRule="auto"/>
              <w:rPr>
                <w:rFonts w:ascii="宋体" w:hAnsi="宋体" w:cs="Times New Roman"/>
                <w:sz w:val="26"/>
              </w:rPr>
            </w:pPr>
          </w:p>
        </w:tc>
      </w:tr>
      <w:tr w14:paraId="46FC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3D9D955B">
            <w:pPr>
              <w:spacing w:line="360" w:lineRule="auto"/>
              <w:rPr>
                <w:rFonts w:ascii="宋体" w:hAnsi="宋体" w:cs="Times New Roman"/>
                <w:sz w:val="26"/>
              </w:rPr>
            </w:pPr>
          </w:p>
        </w:tc>
        <w:tc>
          <w:tcPr>
            <w:tcW w:w="1632" w:type="dxa"/>
            <w:vAlign w:val="center"/>
          </w:tcPr>
          <w:p w14:paraId="3D496369">
            <w:pPr>
              <w:spacing w:line="360" w:lineRule="auto"/>
              <w:rPr>
                <w:rFonts w:ascii="宋体" w:hAnsi="宋体" w:cs="Times New Roman"/>
                <w:sz w:val="26"/>
              </w:rPr>
            </w:pPr>
          </w:p>
        </w:tc>
        <w:tc>
          <w:tcPr>
            <w:tcW w:w="1432" w:type="dxa"/>
            <w:vAlign w:val="center"/>
          </w:tcPr>
          <w:p w14:paraId="5B11ABC2">
            <w:pPr>
              <w:spacing w:line="360" w:lineRule="auto"/>
              <w:rPr>
                <w:rFonts w:ascii="宋体" w:hAnsi="宋体" w:cs="Times New Roman"/>
                <w:sz w:val="26"/>
              </w:rPr>
            </w:pPr>
          </w:p>
        </w:tc>
        <w:tc>
          <w:tcPr>
            <w:tcW w:w="1611" w:type="dxa"/>
            <w:vAlign w:val="center"/>
          </w:tcPr>
          <w:p w14:paraId="36A6E94F">
            <w:pPr>
              <w:spacing w:line="360" w:lineRule="auto"/>
              <w:rPr>
                <w:rFonts w:ascii="宋体" w:hAnsi="宋体" w:cs="Times New Roman"/>
                <w:sz w:val="26"/>
              </w:rPr>
            </w:pPr>
          </w:p>
        </w:tc>
        <w:tc>
          <w:tcPr>
            <w:tcW w:w="1921" w:type="dxa"/>
          </w:tcPr>
          <w:p w14:paraId="07EC5EE3">
            <w:pPr>
              <w:spacing w:line="360" w:lineRule="auto"/>
              <w:rPr>
                <w:rFonts w:ascii="宋体" w:hAnsi="宋体" w:cs="Times New Roman"/>
                <w:sz w:val="26"/>
              </w:rPr>
            </w:pPr>
          </w:p>
        </w:tc>
      </w:tr>
      <w:tr w14:paraId="0B57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4F08031E">
            <w:pPr>
              <w:spacing w:line="360" w:lineRule="auto"/>
              <w:rPr>
                <w:rFonts w:ascii="宋体" w:hAnsi="宋体" w:cs="Times New Roman"/>
                <w:sz w:val="26"/>
              </w:rPr>
            </w:pPr>
          </w:p>
        </w:tc>
        <w:tc>
          <w:tcPr>
            <w:tcW w:w="1632" w:type="dxa"/>
            <w:vAlign w:val="center"/>
          </w:tcPr>
          <w:p w14:paraId="52F66A9A">
            <w:pPr>
              <w:spacing w:line="360" w:lineRule="auto"/>
              <w:rPr>
                <w:rFonts w:ascii="宋体" w:hAnsi="宋体" w:cs="Times New Roman"/>
                <w:sz w:val="26"/>
              </w:rPr>
            </w:pPr>
          </w:p>
        </w:tc>
        <w:tc>
          <w:tcPr>
            <w:tcW w:w="1432" w:type="dxa"/>
            <w:vAlign w:val="center"/>
          </w:tcPr>
          <w:p w14:paraId="5DF386F2">
            <w:pPr>
              <w:spacing w:line="360" w:lineRule="auto"/>
              <w:rPr>
                <w:rFonts w:ascii="宋体" w:hAnsi="宋体" w:cs="Times New Roman"/>
                <w:sz w:val="26"/>
              </w:rPr>
            </w:pPr>
          </w:p>
        </w:tc>
        <w:tc>
          <w:tcPr>
            <w:tcW w:w="1611" w:type="dxa"/>
            <w:vAlign w:val="center"/>
          </w:tcPr>
          <w:p w14:paraId="7B8C9787">
            <w:pPr>
              <w:spacing w:line="360" w:lineRule="auto"/>
              <w:rPr>
                <w:rFonts w:ascii="宋体" w:hAnsi="宋体" w:cs="Times New Roman"/>
                <w:sz w:val="26"/>
              </w:rPr>
            </w:pPr>
          </w:p>
        </w:tc>
        <w:tc>
          <w:tcPr>
            <w:tcW w:w="1921" w:type="dxa"/>
          </w:tcPr>
          <w:p w14:paraId="1B4532B7">
            <w:pPr>
              <w:spacing w:line="360" w:lineRule="auto"/>
              <w:rPr>
                <w:rFonts w:ascii="宋体" w:hAnsi="宋体" w:cs="Times New Roman"/>
                <w:sz w:val="26"/>
              </w:rPr>
            </w:pPr>
          </w:p>
        </w:tc>
      </w:tr>
      <w:tr w14:paraId="3F15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7B888BF">
            <w:pPr>
              <w:spacing w:line="360" w:lineRule="auto"/>
              <w:rPr>
                <w:rFonts w:ascii="宋体" w:hAnsi="宋体" w:cs="Times New Roman"/>
                <w:sz w:val="26"/>
              </w:rPr>
            </w:pPr>
          </w:p>
        </w:tc>
        <w:tc>
          <w:tcPr>
            <w:tcW w:w="1632" w:type="dxa"/>
            <w:vAlign w:val="center"/>
          </w:tcPr>
          <w:p w14:paraId="3CD21629">
            <w:pPr>
              <w:spacing w:line="360" w:lineRule="auto"/>
              <w:rPr>
                <w:rFonts w:ascii="宋体" w:hAnsi="宋体" w:cs="Times New Roman"/>
                <w:sz w:val="26"/>
              </w:rPr>
            </w:pPr>
          </w:p>
        </w:tc>
        <w:tc>
          <w:tcPr>
            <w:tcW w:w="1432" w:type="dxa"/>
            <w:vAlign w:val="center"/>
          </w:tcPr>
          <w:p w14:paraId="509E2AAB">
            <w:pPr>
              <w:spacing w:line="360" w:lineRule="auto"/>
              <w:rPr>
                <w:rFonts w:ascii="宋体" w:hAnsi="宋体" w:cs="Times New Roman"/>
                <w:sz w:val="26"/>
              </w:rPr>
            </w:pPr>
          </w:p>
        </w:tc>
        <w:tc>
          <w:tcPr>
            <w:tcW w:w="1611" w:type="dxa"/>
            <w:vAlign w:val="center"/>
          </w:tcPr>
          <w:p w14:paraId="6695571F">
            <w:pPr>
              <w:spacing w:line="360" w:lineRule="auto"/>
              <w:rPr>
                <w:rFonts w:ascii="宋体" w:hAnsi="宋体" w:cs="Times New Roman"/>
                <w:sz w:val="26"/>
              </w:rPr>
            </w:pPr>
          </w:p>
        </w:tc>
        <w:tc>
          <w:tcPr>
            <w:tcW w:w="1921" w:type="dxa"/>
          </w:tcPr>
          <w:p w14:paraId="66E76D83">
            <w:pPr>
              <w:spacing w:line="360" w:lineRule="auto"/>
              <w:rPr>
                <w:rFonts w:ascii="宋体" w:hAnsi="宋体" w:cs="Times New Roman"/>
                <w:sz w:val="26"/>
              </w:rPr>
            </w:pPr>
          </w:p>
        </w:tc>
      </w:tr>
      <w:tr w14:paraId="738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02" w:type="dxa"/>
            <w:vAlign w:val="center"/>
          </w:tcPr>
          <w:p w14:paraId="5A52ED9F">
            <w:pPr>
              <w:spacing w:line="360" w:lineRule="auto"/>
              <w:rPr>
                <w:rFonts w:ascii="宋体" w:hAnsi="宋体" w:cs="Times New Roman"/>
                <w:sz w:val="26"/>
              </w:rPr>
            </w:pPr>
          </w:p>
        </w:tc>
        <w:tc>
          <w:tcPr>
            <w:tcW w:w="1632" w:type="dxa"/>
            <w:vAlign w:val="center"/>
          </w:tcPr>
          <w:p w14:paraId="6BF9B695">
            <w:pPr>
              <w:spacing w:line="360" w:lineRule="auto"/>
              <w:rPr>
                <w:rFonts w:ascii="宋体" w:hAnsi="宋体" w:cs="Times New Roman"/>
                <w:sz w:val="26"/>
              </w:rPr>
            </w:pPr>
          </w:p>
        </w:tc>
        <w:tc>
          <w:tcPr>
            <w:tcW w:w="1432" w:type="dxa"/>
            <w:vAlign w:val="center"/>
          </w:tcPr>
          <w:p w14:paraId="32ACE1C4">
            <w:pPr>
              <w:spacing w:line="360" w:lineRule="auto"/>
              <w:rPr>
                <w:rFonts w:ascii="宋体" w:hAnsi="宋体" w:cs="Times New Roman"/>
                <w:sz w:val="26"/>
              </w:rPr>
            </w:pPr>
          </w:p>
        </w:tc>
        <w:tc>
          <w:tcPr>
            <w:tcW w:w="1611" w:type="dxa"/>
            <w:vAlign w:val="center"/>
          </w:tcPr>
          <w:p w14:paraId="17718DFD">
            <w:pPr>
              <w:spacing w:line="360" w:lineRule="auto"/>
              <w:rPr>
                <w:rFonts w:ascii="宋体" w:hAnsi="宋体" w:cs="Times New Roman"/>
                <w:sz w:val="26"/>
              </w:rPr>
            </w:pPr>
          </w:p>
        </w:tc>
        <w:tc>
          <w:tcPr>
            <w:tcW w:w="1921" w:type="dxa"/>
          </w:tcPr>
          <w:p w14:paraId="6FF2EF9A">
            <w:pPr>
              <w:spacing w:line="360" w:lineRule="auto"/>
              <w:rPr>
                <w:rFonts w:ascii="宋体" w:hAnsi="宋体" w:cs="Times New Roman"/>
                <w:sz w:val="26"/>
              </w:rPr>
            </w:pPr>
          </w:p>
        </w:tc>
      </w:tr>
    </w:tbl>
    <w:p w14:paraId="4D0AA4DF">
      <w:pPr>
        <w:spacing w:line="360" w:lineRule="auto"/>
        <w:jc w:val="center"/>
        <w:rPr>
          <w:rFonts w:ascii="宋体" w:hAnsi="宋体" w:cs="Times New Roman"/>
          <w:sz w:val="26"/>
        </w:rPr>
      </w:pPr>
      <w:r>
        <w:rPr>
          <w:rFonts w:hint="eastAsia" w:ascii="宋体" w:hAnsi="宋体" w:cs="Times New Roman"/>
          <w:sz w:val="26"/>
        </w:rPr>
        <w:t>附：人员职称或学位等证明材料</w:t>
      </w:r>
    </w:p>
    <w:p w14:paraId="5972401C">
      <w:pPr>
        <w:spacing w:line="360" w:lineRule="auto"/>
        <w:rPr>
          <w:rFonts w:ascii="宋体" w:hAnsi="宋体" w:cs="Times New Roman"/>
          <w:sz w:val="26"/>
        </w:rPr>
      </w:pPr>
    </w:p>
    <w:p w14:paraId="4856FBDC">
      <w:pPr>
        <w:spacing w:line="360" w:lineRule="auto"/>
        <w:rPr>
          <w:rFonts w:ascii="宋体" w:hAnsi="宋体" w:cs="Times New Roman"/>
          <w:sz w:val="26"/>
        </w:rPr>
      </w:pPr>
    </w:p>
    <w:p w14:paraId="5B1685FF">
      <w:pPr>
        <w:spacing w:line="360" w:lineRule="auto"/>
        <w:rPr>
          <w:rFonts w:ascii="宋体" w:hAnsi="宋体" w:cs="Times New Roman"/>
          <w:sz w:val="26"/>
        </w:rPr>
      </w:pPr>
    </w:p>
    <w:p w14:paraId="064AA544">
      <w:pPr>
        <w:spacing w:line="360" w:lineRule="auto"/>
        <w:rPr>
          <w:rFonts w:ascii="宋体" w:hAnsi="宋体" w:cs="Times New Roman"/>
          <w:sz w:val="26"/>
        </w:rPr>
      </w:pPr>
    </w:p>
    <w:p w14:paraId="0A68418F">
      <w:pPr>
        <w:spacing w:line="360" w:lineRule="auto"/>
        <w:rPr>
          <w:rFonts w:ascii="宋体" w:hAnsi="宋体" w:cs="Times New Roman"/>
          <w:sz w:val="26"/>
        </w:rPr>
      </w:pPr>
    </w:p>
    <w:p w14:paraId="0608663E">
      <w:pPr>
        <w:spacing w:line="360" w:lineRule="auto"/>
        <w:rPr>
          <w:rFonts w:ascii="宋体" w:hAnsi="宋体" w:cs="Times New Roman"/>
          <w:sz w:val="26"/>
        </w:rPr>
      </w:pPr>
    </w:p>
    <w:p w14:paraId="5A5B406F">
      <w:pPr>
        <w:spacing w:line="360" w:lineRule="auto"/>
        <w:jc w:val="center"/>
        <w:rPr>
          <w:rFonts w:ascii="宋体" w:hAnsi="宋体" w:cs="Times New Roman"/>
          <w:sz w:val="26"/>
        </w:rPr>
      </w:pPr>
      <w:r>
        <w:rPr>
          <w:rFonts w:hint="eastAsia" w:ascii="宋体" w:hAnsi="宋体" w:cs="Times New Roman"/>
          <w:sz w:val="26"/>
        </w:rPr>
        <w:t>（二）项目负责人简历表</w:t>
      </w:r>
    </w:p>
    <w:tbl>
      <w:tblPr>
        <w:tblStyle w:val="19"/>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68"/>
        <w:gridCol w:w="380"/>
        <w:gridCol w:w="662"/>
        <w:gridCol w:w="855"/>
        <w:gridCol w:w="1505"/>
        <w:gridCol w:w="1690"/>
        <w:gridCol w:w="11"/>
        <w:gridCol w:w="2839"/>
      </w:tblGrid>
      <w:tr w14:paraId="28C6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010" w:type="dxa"/>
            <w:vAlign w:val="center"/>
          </w:tcPr>
          <w:p w14:paraId="03CDFAB5">
            <w:pPr>
              <w:spacing w:line="360" w:lineRule="auto"/>
              <w:rPr>
                <w:rFonts w:ascii="宋体" w:hAnsi="宋体" w:cs="Times New Roman"/>
                <w:sz w:val="26"/>
              </w:rPr>
            </w:pPr>
            <w:r>
              <w:rPr>
                <w:rFonts w:hint="eastAsia" w:ascii="宋体" w:hAnsi="宋体" w:cs="Times New Roman"/>
                <w:sz w:val="26"/>
              </w:rPr>
              <w:t>姓名</w:t>
            </w:r>
          </w:p>
        </w:tc>
        <w:tc>
          <w:tcPr>
            <w:tcW w:w="1810" w:type="dxa"/>
            <w:gridSpan w:val="3"/>
            <w:vAlign w:val="center"/>
          </w:tcPr>
          <w:p w14:paraId="3ACCFDBE">
            <w:pPr>
              <w:spacing w:line="360" w:lineRule="auto"/>
              <w:rPr>
                <w:rFonts w:ascii="宋体" w:hAnsi="宋体" w:cs="Times New Roman"/>
                <w:sz w:val="26"/>
              </w:rPr>
            </w:pPr>
          </w:p>
        </w:tc>
        <w:tc>
          <w:tcPr>
            <w:tcW w:w="855" w:type="dxa"/>
            <w:vAlign w:val="center"/>
          </w:tcPr>
          <w:p w14:paraId="726B8E8B">
            <w:pPr>
              <w:spacing w:line="360" w:lineRule="auto"/>
              <w:rPr>
                <w:rFonts w:ascii="宋体" w:hAnsi="宋体" w:cs="Times New Roman"/>
                <w:sz w:val="26"/>
              </w:rPr>
            </w:pPr>
            <w:r>
              <w:rPr>
                <w:rFonts w:hint="eastAsia" w:ascii="宋体" w:hAnsi="宋体" w:cs="Times New Roman"/>
                <w:sz w:val="26"/>
              </w:rPr>
              <w:t>性别</w:t>
            </w:r>
          </w:p>
        </w:tc>
        <w:tc>
          <w:tcPr>
            <w:tcW w:w="1505" w:type="dxa"/>
            <w:vAlign w:val="center"/>
          </w:tcPr>
          <w:p w14:paraId="1548B678">
            <w:pPr>
              <w:spacing w:line="360" w:lineRule="auto"/>
              <w:rPr>
                <w:rFonts w:ascii="宋体" w:hAnsi="宋体" w:cs="Times New Roman"/>
                <w:sz w:val="26"/>
              </w:rPr>
            </w:pPr>
          </w:p>
        </w:tc>
        <w:tc>
          <w:tcPr>
            <w:tcW w:w="1690" w:type="dxa"/>
            <w:vAlign w:val="center"/>
          </w:tcPr>
          <w:p w14:paraId="79ADF022">
            <w:pPr>
              <w:spacing w:line="360" w:lineRule="auto"/>
              <w:rPr>
                <w:rFonts w:ascii="宋体" w:hAnsi="宋体" w:cs="Times New Roman"/>
                <w:sz w:val="26"/>
              </w:rPr>
            </w:pPr>
            <w:r>
              <w:rPr>
                <w:rFonts w:hint="eastAsia" w:ascii="宋体" w:hAnsi="宋体" w:cs="Times New Roman"/>
                <w:sz w:val="26"/>
              </w:rPr>
              <w:t>年龄</w:t>
            </w:r>
          </w:p>
        </w:tc>
        <w:tc>
          <w:tcPr>
            <w:tcW w:w="2850" w:type="dxa"/>
            <w:gridSpan w:val="2"/>
            <w:vAlign w:val="center"/>
          </w:tcPr>
          <w:p w14:paraId="7852C846">
            <w:pPr>
              <w:spacing w:line="360" w:lineRule="auto"/>
              <w:rPr>
                <w:rFonts w:ascii="宋体" w:hAnsi="宋体" w:cs="Times New Roman"/>
                <w:sz w:val="26"/>
              </w:rPr>
            </w:pPr>
          </w:p>
        </w:tc>
      </w:tr>
      <w:tr w14:paraId="6327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010" w:type="dxa"/>
            <w:vAlign w:val="center"/>
          </w:tcPr>
          <w:p w14:paraId="065ED8E2">
            <w:pPr>
              <w:spacing w:line="360" w:lineRule="auto"/>
              <w:rPr>
                <w:rFonts w:ascii="宋体" w:hAnsi="宋体" w:cs="Times New Roman"/>
                <w:sz w:val="26"/>
              </w:rPr>
            </w:pPr>
            <w:r>
              <w:rPr>
                <w:rFonts w:hint="eastAsia" w:ascii="宋体" w:hAnsi="宋体" w:cs="Times New Roman"/>
                <w:sz w:val="26"/>
              </w:rPr>
              <w:t>职务</w:t>
            </w:r>
          </w:p>
        </w:tc>
        <w:tc>
          <w:tcPr>
            <w:tcW w:w="1810" w:type="dxa"/>
            <w:gridSpan w:val="3"/>
            <w:vAlign w:val="center"/>
          </w:tcPr>
          <w:p w14:paraId="2015A2A6">
            <w:pPr>
              <w:spacing w:line="360" w:lineRule="auto"/>
              <w:rPr>
                <w:rFonts w:ascii="宋体" w:hAnsi="宋体" w:cs="Times New Roman"/>
                <w:sz w:val="26"/>
              </w:rPr>
            </w:pPr>
          </w:p>
        </w:tc>
        <w:tc>
          <w:tcPr>
            <w:tcW w:w="855" w:type="dxa"/>
            <w:vAlign w:val="center"/>
          </w:tcPr>
          <w:p w14:paraId="741C5EA4">
            <w:pPr>
              <w:spacing w:line="360" w:lineRule="auto"/>
              <w:rPr>
                <w:rFonts w:ascii="宋体" w:hAnsi="宋体" w:cs="Times New Roman"/>
                <w:sz w:val="26"/>
              </w:rPr>
            </w:pPr>
            <w:r>
              <w:rPr>
                <w:rFonts w:hint="eastAsia" w:ascii="宋体" w:hAnsi="宋体" w:cs="Times New Roman"/>
                <w:sz w:val="26"/>
              </w:rPr>
              <w:t>职称</w:t>
            </w:r>
          </w:p>
        </w:tc>
        <w:tc>
          <w:tcPr>
            <w:tcW w:w="1505" w:type="dxa"/>
            <w:vAlign w:val="center"/>
          </w:tcPr>
          <w:p w14:paraId="35A2E27E">
            <w:pPr>
              <w:spacing w:line="360" w:lineRule="auto"/>
              <w:rPr>
                <w:rFonts w:ascii="宋体" w:hAnsi="宋体" w:cs="Times New Roman"/>
                <w:sz w:val="26"/>
              </w:rPr>
            </w:pPr>
          </w:p>
        </w:tc>
        <w:tc>
          <w:tcPr>
            <w:tcW w:w="1690" w:type="dxa"/>
            <w:vAlign w:val="center"/>
          </w:tcPr>
          <w:p w14:paraId="62622BFD">
            <w:pPr>
              <w:spacing w:line="360" w:lineRule="auto"/>
              <w:rPr>
                <w:rFonts w:ascii="宋体" w:hAnsi="宋体" w:cs="Times New Roman"/>
                <w:sz w:val="26"/>
              </w:rPr>
            </w:pPr>
            <w:r>
              <w:rPr>
                <w:rFonts w:hint="eastAsia" w:ascii="宋体" w:hAnsi="宋体" w:cs="Times New Roman"/>
                <w:sz w:val="26"/>
              </w:rPr>
              <w:t>学历</w:t>
            </w:r>
          </w:p>
        </w:tc>
        <w:tc>
          <w:tcPr>
            <w:tcW w:w="2850" w:type="dxa"/>
            <w:gridSpan w:val="2"/>
            <w:vAlign w:val="center"/>
          </w:tcPr>
          <w:p w14:paraId="78FCA4E9">
            <w:pPr>
              <w:spacing w:line="360" w:lineRule="auto"/>
              <w:rPr>
                <w:rFonts w:ascii="宋体" w:hAnsi="宋体" w:cs="Times New Roman"/>
                <w:sz w:val="26"/>
              </w:rPr>
            </w:pPr>
          </w:p>
        </w:tc>
      </w:tr>
      <w:tr w14:paraId="14C2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158" w:type="dxa"/>
            <w:gridSpan w:val="3"/>
            <w:vAlign w:val="center"/>
          </w:tcPr>
          <w:p w14:paraId="6A1D588F">
            <w:pPr>
              <w:spacing w:line="360" w:lineRule="auto"/>
              <w:rPr>
                <w:rFonts w:ascii="宋体" w:hAnsi="宋体" w:cs="Times New Roman"/>
                <w:sz w:val="26"/>
              </w:rPr>
            </w:pPr>
            <w:r>
              <w:rPr>
                <w:rFonts w:hint="eastAsia" w:ascii="宋体" w:hAnsi="宋体" w:cs="Times New Roman"/>
                <w:sz w:val="26"/>
              </w:rPr>
              <w:t>参加工作时间</w:t>
            </w:r>
          </w:p>
        </w:tc>
        <w:tc>
          <w:tcPr>
            <w:tcW w:w="1517" w:type="dxa"/>
            <w:gridSpan w:val="2"/>
            <w:vAlign w:val="center"/>
          </w:tcPr>
          <w:p w14:paraId="3C63CB11">
            <w:pPr>
              <w:spacing w:line="360" w:lineRule="auto"/>
              <w:rPr>
                <w:rFonts w:ascii="宋体" w:hAnsi="宋体" w:cs="Times New Roman"/>
                <w:sz w:val="26"/>
              </w:rPr>
            </w:pPr>
          </w:p>
        </w:tc>
        <w:tc>
          <w:tcPr>
            <w:tcW w:w="3195" w:type="dxa"/>
            <w:gridSpan w:val="2"/>
            <w:vAlign w:val="center"/>
          </w:tcPr>
          <w:p w14:paraId="12540820">
            <w:pPr>
              <w:spacing w:line="360" w:lineRule="auto"/>
              <w:rPr>
                <w:rFonts w:ascii="宋体" w:hAnsi="宋体" w:cs="Times New Roman"/>
                <w:sz w:val="26"/>
              </w:rPr>
            </w:pPr>
            <w:r>
              <w:rPr>
                <w:rFonts w:hint="eastAsia" w:ascii="宋体" w:hAnsi="宋体" w:cs="Times New Roman"/>
                <w:sz w:val="26"/>
              </w:rPr>
              <w:t>从业年限</w:t>
            </w:r>
          </w:p>
        </w:tc>
        <w:tc>
          <w:tcPr>
            <w:tcW w:w="2850" w:type="dxa"/>
            <w:gridSpan w:val="2"/>
            <w:vAlign w:val="center"/>
          </w:tcPr>
          <w:p w14:paraId="54404AEE">
            <w:pPr>
              <w:spacing w:line="360" w:lineRule="auto"/>
              <w:rPr>
                <w:rFonts w:ascii="宋体" w:hAnsi="宋体" w:cs="Times New Roman"/>
                <w:sz w:val="26"/>
              </w:rPr>
            </w:pPr>
          </w:p>
        </w:tc>
      </w:tr>
      <w:tr w14:paraId="75C5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720" w:type="dxa"/>
            <w:gridSpan w:val="9"/>
            <w:vAlign w:val="center"/>
          </w:tcPr>
          <w:p w14:paraId="5CE566E8">
            <w:pPr>
              <w:spacing w:line="360" w:lineRule="auto"/>
              <w:rPr>
                <w:rFonts w:ascii="宋体" w:hAnsi="宋体" w:cs="Times New Roman"/>
                <w:sz w:val="26"/>
              </w:rPr>
            </w:pPr>
            <w:r>
              <w:rPr>
                <w:rFonts w:hint="eastAsia" w:ascii="宋体" w:hAnsi="宋体" w:cs="Times New Roman"/>
                <w:sz w:val="26"/>
              </w:rPr>
              <w:t>已完类似项目情况</w:t>
            </w:r>
          </w:p>
        </w:tc>
      </w:tr>
      <w:tr w14:paraId="2722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8" w:type="dxa"/>
            <w:gridSpan w:val="2"/>
            <w:vAlign w:val="center"/>
          </w:tcPr>
          <w:p w14:paraId="68926CA5">
            <w:pPr>
              <w:spacing w:line="360" w:lineRule="auto"/>
              <w:rPr>
                <w:rFonts w:ascii="宋体" w:hAnsi="宋体" w:cs="Times New Roman"/>
                <w:sz w:val="26"/>
              </w:rPr>
            </w:pPr>
            <w:r>
              <w:rPr>
                <w:rFonts w:hint="eastAsia" w:ascii="宋体" w:hAnsi="宋体" w:cs="Times New Roman"/>
                <w:sz w:val="26"/>
              </w:rPr>
              <w:t>编号</w:t>
            </w:r>
          </w:p>
        </w:tc>
        <w:tc>
          <w:tcPr>
            <w:tcW w:w="3402" w:type="dxa"/>
            <w:gridSpan w:val="4"/>
            <w:vAlign w:val="center"/>
          </w:tcPr>
          <w:p w14:paraId="3B00089B">
            <w:pPr>
              <w:spacing w:line="360" w:lineRule="auto"/>
              <w:rPr>
                <w:rFonts w:ascii="宋体" w:hAnsi="宋体" w:cs="Times New Roman"/>
                <w:sz w:val="26"/>
              </w:rPr>
            </w:pPr>
            <w:r>
              <w:rPr>
                <w:rFonts w:hint="eastAsia" w:ascii="宋体" w:hAnsi="宋体" w:cs="Times New Roman"/>
                <w:sz w:val="26"/>
              </w:rPr>
              <w:t>项目名称</w:t>
            </w:r>
          </w:p>
        </w:tc>
        <w:tc>
          <w:tcPr>
            <w:tcW w:w="1701" w:type="dxa"/>
            <w:gridSpan w:val="2"/>
            <w:vAlign w:val="center"/>
          </w:tcPr>
          <w:p w14:paraId="6DDC0761">
            <w:pPr>
              <w:spacing w:line="360" w:lineRule="auto"/>
              <w:rPr>
                <w:rFonts w:ascii="宋体" w:hAnsi="宋体" w:cs="Times New Roman"/>
                <w:sz w:val="26"/>
              </w:rPr>
            </w:pPr>
            <w:r>
              <w:rPr>
                <w:rFonts w:hint="eastAsia" w:ascii="宋体" w:hAnsi="宋体" w:cs="Times New Roman"/>
                <w:sz w:val="26"/>
              </w:rPr>
              <w:t>业主名称</w:t>
            </w:r>
          </w:p>
        </w:tc>
        <w:tc>
          <w:tcPr>
            <w:tcW w:w="2839" w:type="dxa"/>
            <w:vAlign w:val="center"/>
          </w:tcPr>
          <w:p w14:paraId="6EFB21FD">
            <w:pPr>
              <w:spacing w:line="360" w:lineRule="auto"/>
              <w:rPr>
                <w:rFonts w:ascii="宋体" w:hAnsi="宋体" w:cs="Times New Roman"/>
                <w:sz w:val="26"/>
              </w:rPr>
            </w:pPr>
            <w:r>
              <w:rPr>
                <w:rFonts w:hint="eastAsia" w:ascii="宋体" w:hAnsi="宋体" w:cs="Times New Roman"/>
                <w:sz w:val="26"/>
              </w:rPr>
              <w:t>合同签订日期</w:t>
            </w:r>
          </w:p>
        </w:tc>
      </w:tr>
      <w:tr w14:paraId="03B8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361BF56">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6F1DECA">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A9DEBC8">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1682498E">
            <w:pPr>
              <w:spacing w:line="360" w:lineRule="auto"/>
              <w:rPr>
                <w:rFonts w:ascii="宋体" w:hAnsi="宋体" w:cs="Times New Roman"/>
                <w:sz w:val="26"/>
              </w:rPr>
            </w:pPr>
          </w:p>
        </w:tc>
      </w:tr>
      <w:tr w14:paraId="398F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AAD9E88">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105E5848">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2DC29B9">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7FB2AC15">
            <w:pPr>
              <w:spacing w:line="360" w:lineRule="auto"/>
              <w:rPr>
                <w:rFonts w:ascii="宋体" w:hAnsi="宋体" w:cs="Times New Roman"/>
                <w:sz w:val="26"/>
              </w:rPr>
            </w:pPr>
          </w:p>
        </w:tc>
      </w:tr>
      <w:tr w14:paraId="2395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463A99E">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1DB659A">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4725AC0">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312E0F8D">
            <w:pPr>
              <w:spacing w:line="360" w:lineRule="auto"/>
              <w:rPr>
                <w:rFonts w:ascii="宋体" w:hAnsi="宋体" w:cs="Times New Roman"/>
                <w:sz w:val="26"/>
              </w:rPr>
            </w:pPr>
          </w:p>
        </w:tc>
      </w:tr>
      <w:tr w14:paraId="61C5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26B1BC0">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EFE3A61">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B3EAEB3">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112B33E9">
            <w:pPr>
              <w:spacing w:line="360" w:lineRule="auto"/>
              <w:rPr>
                <w:rFonts w:ascii="宋体" w:hAnsi="宋体" w:cs="Times New Roman"/>
                <w:sz w:val="26"/>
              </w:rPr>
            </w:pPr>
          </w:p>
        </w:tc>
      </w:tr>
      <w:tr w14:paraId="72E0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C565AB0">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34A81CB6">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20C326D">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5247C2BE">
            <w:pPr>
              <w:spacing w:line="360" w:lineRule="auto"/>
              <w:rPr>
                <w:rFonts w:ascii="宋体" w:hAnsi="宋体" w:cs="Times New Roman"/>
                <w:sz w:val="26"/>
              </w:rPr>
            </w:pPr>
          </w:p>
        </w:tc>
      </w:tr>
    </w:tbl>
    <w:p w14:paraId="2D9F821C">
      <w:pPr>
        <w:spacing w:line="360" w:lineRule="auto"/>
        <w:rPr>
          <w:rFonts w:ascii="宋体" w:hAnsi="宋体" w:cs="Times New Roman"/>
          <w:sz w:val="26"/>
        </w:rPr>
      </w:pPr>
      <w:r>
        <w:rPr>
          <w:rFonts w:hint="eastAsia" w:ascii="宋体" w:hAnsi="宋体" w:cs="Times New Roman"/>
          <w:sz w:val="26"/>
        </w:rPr>
        <w:t>供应商名称：（盖章）</w:t>
      </w:r>
    </w:p>
    <w:p w14:paraId="4EA10000">
      <w:pPr>
        <w:spacing w:line="360" w:lineRule="auto"/>
        <w:rPr>
          <w:rFonts w:ascii="宋体" w:hAnsi="宋体" w:cs="Times New Roman"/>
          <w:sz w:val="26"/>
        </w:rPr>
      </w:pPr>
      <w:r>
        <w:rPr>
          <w:rFonts w:hint="eastAsia" w:ascii="宋体" w:hAnsi="宋体" w:cs="Times New Roman"/>
          <w:sz w:val="26"/>
        </w:rPr>
        <w:t xml:space="preserve">授权代表：（签字）                                </w:t>
      </w:r>
    </w:p>
    <w:p w14:paraId="627995A0">
      <w:pPr>
        <w:spacing w:line="360" w:lineRule="auto"/>
        <w:rPr>
          <w:rFonts w:ascii="宋体" w:hAnsi="宋体" w:cs="Times New Roman"/>
          <w:sz w:val="26"/>
        </w:rPr>
      </w:pPr>
      <w:r>
        <w:rPr>
          <w:rFonts w:hint="eastAsia" w:ascii="宋体" w:hAnsi="宋体" w:cs="Times New Roman"/>
          <w:sz w:val="26"/>
        </w:rPr>
        <w:t>日期：年月日</w:t>
      </w:r>
    </w:p>
    <w:p w14:paraId="6E9BFE75">
      <w:pPr>
        <w:spacing w:line="360" w:lineRule="auto"/>
        <w:rPr>
          <w:rFonts w:ascii="宋体" w:hAnsi="宋体" w:cs="Times New Roman"/>
          <w:sz w:val="26"/>
        </w:rPr>
      </w:pPr>
      <w:r>
        <w:rPr>
          <w:rFonts w:hint="eastAsia" w:ascii="宋体" w:hAnsi="宋体" w:cs="Times New Roman"/>
          <w:sz w:val="26"/>
        </w:rPr>
        <w:t>附：人员职称或学位等证明材料</w:t>
      </w:r>
    </w:p>
    <w:p w14:paraId="063C8F74">
      <w:pPr>
        <w:rPr>
          <w:rFonts w:ascii="宋体"/>
          <w:b/>
          <w:sz w:val="24"/>
          <w:lang w:val="zh-CN"/>
        </w:rPr>
      </w:pPr>
    </w:p>
    <w:p w14:paraId="1481299F">
      <w:pPr>
        <w:jc w:val="center"/>
        <w:rPr>
          <w:rFonts w:ascii="宋体"/>
          <w:b/>
          <w:sz w:val="24"/>
          <w:lang w:val="zh-CN"/>
        </w:rPr>
      </w:pPr>
    </w:p>
    <w:p w14:paraId="35434D39">
      <w:pPr>
        <w:jc w:val="center"/>
        <w:rPr>
          <w:rFonts w:ascii="宋体"/>
          <w:b/>
          <w:sz w:val="24"/>
          <w:lang w:val="zh-CN"/>
        </w:rPr>
      </w:pPr>
    </w:p>
    <w:p w14:paraId="45D04FEB">
      <w:pPr>
        <w:spacing w:line="360" w:lineRule="auto"/>
        <w:jc w:val="center"/>
        <w:rPr>
          <w:rFonts w:ascii="宋体" w:hAnsi="宋体"/>
          <w:sz w:val="26"/>
        </w:rPr>
      </w:pPr>
    </w:p>
    <w:p w14:paraId="4B026970">
      <w:pPr>
        <w:widowControl/>
        <w:jc w:val="left"/>
        <w:rPr>
          <w:rFonts w:ascii="宋体" w:hAnsi="宋体"/>
          <w:sz w:val="26"/>
        </w:rPr>
      </w:pPr>
      <w:bookmarkStart w:id="299" w:name="_Toc403382877"/>
      <w:bookmarkStart w:id="300" w:name="_Toc7904"/>
      <w:bookmarkStart w:id="301" w:name="_Toc26722"/>
      <w:r>
        <w:rPr>
          <w:rFonts w:ascii="宋体" w:hAnsi="宋体"/>
          <w:sz w:val="26"/>
        </w:rPr>
        <w:br w:type="page"/>
      </w:r>
    </w:p>
    <w:p w14:paraId="444501A2">
      <w:pPr>
        <w:spacing w:line="360" w:lineRule="auto"/>
        <w:jc w:val="center"/>
        <w:rPr>
          <w:rFonts w:ascii="宋体" w:hAnsi="宋体"/>
          <w:b/>
          <w:sz w:val="30"/>
          <w:szCs w:val="30"/>
        </w:rPr>
      </w:pPr>
      <w:r>
        <w:rPr>
          <w:rFonts w:hint="eastAsia" w:ascii="宋体" w:hAnsi="宋体"/>
          <w:b/>
          <w:sz w:val="30"/>
          <w:szCs w:val="30"/>
        </w:rPr>
        <w:t>九、资格审查资料</w:t>
      </w:r>
      <w:bookmarkEnd w:id="299"/>
      <w:bookmarkEnd w:id="300"/>
      <w:bookmarkEnd w:id="301"/>
    </w:p>
    <w:p w14:paraId="5F4C1774">
      <w:pPr>
        <w:spacing w:line="400" w:lineRule="exact"/>
        <w:rPr>
          <w:rFonts w:ascii="宋体" w:hAnsi="宋体"/>
          <w:sz w:val="26"/>
        </w:rPr>
      </w:pPr>
      <w:bookmarkStart w:id="302" w:name="_Toc403382878"/>
      <w:r>
        <w:rPr>
          <w:rFonts w:hint="eastAsia" w:ascii="宋体" w:hAnsi="宋体"/>
          <w:sz w:val="26"/>
        </w:rPr>
        <w:t>（一）供应商基本情况</w:t>
      </w:r>
      <w:bookmarkEnd w:id="302"/>
      <w:r>
        <w:rPr>
          <w:rFonts w:hint="eastAsia" w:ascii="宋体" w:hAnsi="宋体"/>
          <w:sz w:val="26"/>
        </w:rPr>
        <w:t>（附营业执照、财务审计报告或财务报表等）</w:t>
      </w:r>
    </w:p>
    <w:p w14:paraId="4269CDBE">
      <w:pPr>
        <w:spacing w:line="360" w:lineRule="auto"/>
        <w:rPr>
          <w:rFonts w:ascii="宋体" w:hAnsi="宋体"/>
          <w:sz w:val="26"/>
        </w:rPr>
      </w:pPr>
      <w:bookmarkStart w:id="303" w:name="_Toc403382880"/>
      <w:r>
        <w:rPr>
          <w:rFonts w:hint="eastAsia" w:ascii="宋体" w:hAnsi="宋体"/>
          <w:sz w:val="26"/>
        </w:rPr>
        <w:t>（二）近年完成的类似项目情况表</w:t>
      </w:r>
      <w:bookmarkEnd w:id="303"/>
    </w:p>
    <w:p w14:paraId="5C36C18E">
      <w:pPr>
        <w:spacing w:line="360" w:lineRule="auto"/>
        <w:rPr>
          <w:rFonts w:ascii="宋体" w:hAnsi="宋体"/>
          <w:sz w:val="26"/>
          <w:highlight w:val="none"/>
        </w:rPr>
      </w:pPr>
      <w:bookmarkStart w:id="304" w:name="_Toc403382882"/>
      <w:r>
        <w:rPr>
          <w:rFonts w:hint="eastAsia" w:ascii="宋体" w:hAnsi="宋体"/>
          <w:sz w:val="26"/>
          <w:highlight w:val="none"/>
        </w:rPr>
        <w:t>供应商近年2021年01月01日至今已服务中完成类似项目经验表</w:t>
      </w:r>
    </w:p>
    <w:p w14:paraId="7E47F563">
      <w:pPr>
        <w:spacing w:line="360" w:lineRule="auto"/>
        <w:rPr>
          <w:rFonts w:ascii="宋体" w:hAnsi="宋体"/>
          <w:sz w:val="26"/>
        </w:rPr>
      </w:pPr>
      <w:r>
        <w:rPr>
          <w:rFonts w:hint="eastAsia" w:ascii="宋体" w:hAnsi="宋体"/>
          <w:sz w:val="26"/>
        </w:rPr>
        <w:t>供应商类似项目经验（包括年限、招标人、项目规模、商业营运的起始日期等）：</w:t>
      </w:r>
    </w:p>
    <w:tbl>
      <w:tblPr>
        <w:tblStyle w:val="19"/>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45A5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661B976F">
            <w:pPr>
              <w:spacing w:line="360" w:lineRule="auto"/>
              <w:rPr>
                <w:rFonts w:ascii="宋体" w:hAnsi="宋体"/>
                <w:sz w:val="26"/>
              </w:rPr>
            </w:pPr>
            <w:r>
              <w:rPr>
                <w:rFonts w:hint="eastAsia" w:ascii="宋体" w:hAnsi="宋体"/>
                <w:sz w:val="26"/>
              </w:rPr>
              <w:t>编号</w:t>
            </w:r>
          </w:p>
        </w:tc>
        <w:tc>
          <w:tcPr>
            <w:tcW w:w="1682" w:type="dxa"/>
          </w:tcPr>
          <w:p w14:paraId="4ADB127F">
            <w:pPr>
              <w:spacing w:line="360" w:lineRule="auto"/>
              <w:rPr>
                <w:rFonts w:ascii="宋体" w:hAnsi="宋体"/>
                <w:sz w:val="26"/>
              </w:rPr>
            </w:pPr>
            <w:r>
              <w:rPr>
                <w:rFonts w:hint="eastAsia" w:ascii="宋体" w:hAnsi="宋体"/>
                <w:sz w:val="26"/>
              </w:rPr>
              <w:t>项目名称</w:t>
            </w:r>
          </w:p>
        </w:tc>
        <w:tc>
          <w:tcPr>
            <w:tcW w:w="1681" w:type="dxa"/>
          </w:tcPr>
          <w:p w14:paraId="05838D8E">
            <w:pPr>
              <w:spacing w:line="360" w:lineRule="auto"/>
              <w:rPr>
                <w:rFonts w:ascii="宋体" w:hAnsi="宋体"/>
                <w:sz w:val="26"/>
              </w:rPr>
            </w:pPr>
            <w:r>
              <w:rPr>
                <w:rFonts w:hint="eastAsia" w:ascii="宋体" w:hAnsi="宋体"/>
                <w:sz w:val="26"/>
              </w:rPr>
              <w:t>合同金额</w:t>
            </w:r>
          </w:p>
        </w:tc>
        <w:tc>
          <w:tcPr>
            <w:tcW w:w="1682" w:type="dxa"/>
          </w:tcPr>
          <w:p w14:paraId="06312605">
            <w:pPr>
              <w:spacing w:line="360" w:lineRule="auto"/>
              <w:rPr>
                <w:rFonts w:ascii="宋体" w:hAnsi="宋体"/>
                <w:sz w:val="26"/>
              </w:rPr>
            </w:pPr>
            <w:r>
              <w:rPr>
                <w:rFonts w:hint="eastAsia" w:ascii="宋体" w:hAnsi="宋体"/>
                <w:sz w:val="26"/>
              </w:rPr>
              <w:t>业主名称</w:t>
            </w:r>
          </w:p>
        </w:tc>
        <w:tc>
          <w:tcPr>
            <w:tcW w:w="1681" w:type="dxa"/>
          </w:tcPr>
          <w:p w14:paraId="609ED6F1">
            <w:pPr>
              <w:spacing w:line="360" w:lineRule="auto"/>
              <w:rPr>
                <w:rFonts w:ascii="宋体" w:hAnsi="宋体"/>
                <w:sz w:val="26"/>
              </w:rPr>
            </w:pPr>
            <w:r>
              <w:rPr>
                <w:rFonts w:hint="eastAsia" w:ascii="宋体" w:hAnsi="宋体"/>
                <w:sz w:val="26"/>
              </w:rPr>
              <w:t>合同签订日期</w:t>
            </w:r>
          </w:p>
        </w:tc>
      </w:tr>
      <w:tr w14:paraId="2996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A2FADA7">
            <w:pPr>
              <w:spacing w:line="360" w:lineRule="auto"/>
              <w:rPr>
                <w:rFonts w:ascii="宋体" w:hAnsi="宋体"/>
                <w:sz w:val="26"/>
              </w:rPr>
            </w:pPr>
          </w:p>
        </w:tc>
        <w:tc>
          <w:tcPr>
            <w:tcW w:w="1682" w:type="dxa"/>
          </w:tcPr>
          <w:p w14:paraId="276EE57C">
            <w:pPr>
              <w:spacing w:line="360" w:lineRule="auto"/>
              <w:rPr>
                <w:rFonts w:ascii="宋体" w:hAnsi="宋体"/>
                <w:sz w:val="26"/>
              </w:rPr>
            </w:pPr>
          </w:p>
        </w:tc>
        <w:tc>
          <w:tcPr>
            <w:tcW w:w="1681" w:type="dxa"/>
          </w:tcPr>
          <w:p w14:paraId="7DDD2FDE">
            <w:pPr>
              <w:spacing w:line="360" w:lineRule="auto"/>
              <w:rPr>
                <w:rFonts w:ascii="宋体" w:hAnsi="宋体"/>
                <w:sz w:val="26"/>
              </w:rPr>
            </w:pPr>
          </w:p>
        </w:tc>
        <w:tc>
          <w:tcPr>
            <w:tcW w:w="1682" w:type="dxa"/>
          </w:tcPr>
          <w:p w14:paraId="1C8180A7">
            <w:pPr>
              <w:spacing w:line="360" w:lineRule="auto"/>
              <w:rPr>
                <w:rFonts w:ascii="宋体" w:hAnsi="宋体"/>
                <w:sz w:val="26"/>
              </w:rPr>
            </w:pPr>
          </w:p>
        </w:tc>
        <w:tc>
          <w:tcPr>
            <w:tcW w:w="1681" w:type="dxa"/>
          </w:tcPr>
          <w:p w14:paraId="1831C1AB">
            <w:pPr>
              <w:spacing w:line="360" w:lineRule="auto"/>
              <w:rPr>
                <w:rFonts w:ascii="宋体" w:hAnsi="宋体"/>
                <w:sz w:val="26"/>
              </w:rPr>
            </w:pPr>
          </w:p>
        </w:tc>
      </w:tr>
      <w:tr w14:paraId="4523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FFADA90">
            <w:pPr>
              <w:spacing w:line="360" w:lineRule="auto"/>
              <w:rPr>
                <w:rFonts w:ascii="宋体" w:hAnsi="宋体"/>
                <w:sz w:val="26"/>
              </w:rPr>
            </w:pPr>
          </w:p>
        </w:tc>
        <w:tc>
          <w:tcPr>
            <w:tcW w:w="1682" w:type="dxa"/>
          </w:tcPr>
          <w:p w14:paraId="7824389C">
            <w:pPr>
              <w:spacing w:line="360" w:lineRule="auto"/>
              <w:rPr>
                <w:rFonts w:ascii="宋体" w:hAnsi="宋体"/>
                <w:sz w:val="26"/>
              </w:rPr>
            </w:pPr>
          </w:p>
        </w:tc>
        <w:tc>
          <w:tcPr>
            <w:tcW w:w="1681" w:type="dxa"/>
          </w:tcPr>
          <w:p w14:paraId="0C189A0C">
            <w:pPr>
              <w:spacing w:line="360" w:lineRule="auto"/>
              <w:rPr>
                <w:rFonts w:ascii="宋体" w:hAnsi="宋体"/>
                <w:sz w:val="26"/>
              </w:rPr>
            </w:pPr>
          </w:p>
        </w:tc>
        <w:tc>
          <w:tcPr>
            <w:tcW w:w="1682" w:type="dxa"/>
          </w:tcPr>
          <w:p w14:paraId="03F0DDC3">
            <w:pPr>
              <w:spacing w:line="360" w:lineRule="auto"/>
              <w:rPr>
                <w:rFonts w:ascii="宋体" w:hAnsi="宋体"/>
                <w:sz w:val="26"/>
              </w:rPr>
            </w:pPr>
          </w:p>
        </w:tc>
        <w:tc>
          <w:tcPr>
            <w:tcW w:w="1681" w:type="dxa"/>
          </w:tcPr>
          <w:p w14:paraId="60D53643">
            <w:pPr>
              <w:spacing w:line="360" w:lineRule="auto"/>
              <w:rPr>
                <w:rFonts w:ascii="宋体" w:hAnsi="宋体"/>
                <w:sz w:val="26"/>
              </w:rPr>
            </w:pPr>
          </w:p>
        </w:tc>
      </w:tr>
      <w:tr w14:paraId="7B85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75F20A42">
            <w:pPr>
              <w:spacing w:line="360" w:lineRule="auto"/>
              <w:rPr>
                <w:rFonts w:ascii="宋体" w:hAnsi="宋体"/>
                <w:sz w:val="26"/>
              </w:rPr>
            </w:pPr>
          </w:p>
        </w:tc>
        <w:tc>
          <w:tcPr>
            <w:tcW w:w="1682" w:type="dxa"/>
          </w:tcPr>
          <w:p w14:paraId="1FC277A1">
            <w:pPr>
              <w:spacing w:line="360" w:lineRule="auto"/>
              <w:rPr>
                <w:rFonts w:ascii="宋体" w:hAnsi="宋体"/>
                <w:sz w:val="26"/>
              </w:rPr>
            </w:pPr>
          </w:p>
        </w:tc>
        <w:tc>
          <w:tcPr>
            <w:tcW w:w="1681" w:type="dxa"/>
          </w:tcPr>
          <w:p w14:paraId="21F7D26F">
            <w:pPr>
              <w:spacing w:line="360" w:lineRule="auto"/>
              <w:rPr>
                <w:rFonts w:ascii="宋体" w:hAnsi="宋体"/>
                <w:sz w:val="26"/>
              </w:rPr>
            </w:pPr>
          </w:p>
        </w:tc>
        <w:tc>
          <w:tcPr>
            <w:tcW w:w="1682" w:type="dxa"/>
          </w:tcPr>
          <w:p w14:paraId="60BB2935">
            <w:pPr>
              <w:spacing w:line="360" w:lineRule="auto"/>
              <w:rPr>
                <w:rFonts w:ascii="宋体" w:hAnsi="宋体"/>
                <w:sz w:val="26"/>
              </w:rPr>
            </w:pPr>
          </w:p>
        </w:tc>
        <w:tc>
          <w:tcPr>
            <w:tcW w:w="1681" w:type="dxa"/>
          </w:tcPr>
          <w:p w14:paraId="174ED20D">
            <w:pPr>
              <w:spacing w:line="360" w:lineRule="auto"/>
              <w:rPr>
                <w:rFonts w:ascii="宋体" w:hAnsi="宋体"/>
                <w:sz w:val="26"/>
              </w:rPr>
            </w:pPr>
          </w:p>
        </w:tc>
      </w:tr>
      <w:tr w14:paraId="745E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6A51635">
            <w:pPr>
              <w:spacing w:line="360" w:lineRule="auto"/>
              <w:rPr>
                <w:rFonts w:ascii="宋体" w:hAnsi="宋体"/>
                <w:sz w:val="26"/>
              </w:rPr>
            </w:pPr>
          </w:p>
        </w:tc>
        <w:tc>
          <w:tcPr>
            <w:tcW w:w="1682" w:type="dxa"/>
          </w:tcPr>
          <w:p w14:paraId="4045AC02">
            <w:pPr>
              <w:spacing w:line="360" w:lineRule="auto"/>
              <w:rPr>
                <w:rFonts w:ascii="宋体" w:hAnsi="宋体"/>
                <w:sz w:val="26"/>
              </w:rPr>
            </w:pPr>
          </w:p>
        </w:tc>
        <w:tc>
          <w:tcPr>
            <w:tcW w:w="1681" w:type="dxa"/>
          </w:tcPr>
          <w:p w14:paraId="245226B9">
            <w:pPr>
              <w:spacing w:line="360" w:lineRule="auto"/>
              <w:rPr>
                <w:rFonts w:ascii="宋体" w:hAnsi="宋体"/>
                <w:sz w:val="26"/>
              </w:rPr>
            </w:pPr>
          </w:p>
        </w:tc>
        <w:tc>
          <w:tcPr>
            <w:tcW w:w="1682" w:type="dxa"/>
          </w:tcPr>
          <w:p w14:paraId="1688B3F8">
            <w:pPr>
              <w:spacing w:line="360" w:lineRule="auto"/>
              <w:rPr>
                <w:rFonts w:ascii="宋体" w:hAnsi="宋体"/>
                <w:sz w:val="26"/>
              </w:rPr>
            </w:pPr>
          </w:p>
        </w:tc>
        <w:tc>
          <w:tcPr>
            <w:tcW w:w="1681" w:type="dxa"/>
          </w:tcPr>
          <w:p w14:paraId="23018D1F">
            <w:pPr>
              <w:spacing w:line="360" w:lineRule="auto"/>
              <w:rPr>
                <w:rFonts w:ascii="宋体" w:hAnsi="宋体"/>
                <w:sz w:val="26"/>
              </w:rPr>
            </w:pPr>
          </w:p>
        </w:tc>
      </w:tr>
      <w:tr w14:paraId="537E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029C6F81">
            <w:pPr>
              <w:spacing w:line="360" w:lineRule="auto"/>
              <w:rPr>
                <w:rFonts w:ascii="宋体" w:hAnsi="宋体"/>
                <w:sz w:val="26"/>
              </w:rPr>
            </w:pPr>
          </w:p>
        </w:tc>
        <w:tc>
          <w:tcPr>
            <w:tcW w:w="1682" w:type="dxa"/>
          </w:tcPr>
          <w:p w14:paraId="4974CE7F">
            <w:pPr>
              <w:spacing w:line="360" w:lineRule="auto"/>
              <w:rPr>
                <w:rFonts w:ascii="宋体" w:hAnsi="宋体"/>
                <w:sz w:val="26"/>
              </w:rPr>
            </w:pPr>
          </w:p>
        </w:tc>
        <w:tc>
          <w:tcPr>
            <w:tcW w:w="1681" w:type="dxa"/>
          </w:tcPr>
          <w:p w14:paraId="1177357E">
            <w:pPr>
              <w:spacing w:line="360" w:lineRule="auto"/>
              <w:rPr>
                <w:rFonts w:ascii="宋体" w:hAnsi="宋体"/>
                <w:sz w:val="26"/>
              </w:rPr>
            </w:pPr>
          </w:p>
        </w:tc>
        <w:tc>
          <w:tcPr>
            <w:tcW w:w="1682" w:type="dxa"/>
          </w:tcPr>
          <w:p w14:paraId="66EC885E">
            <w:pPr>
              <w:spacing w:line="360" w:lineRule="auto"/>
              <w:rPr>
                <w:rFonts w:ascii="宋体" w:hAnsi="宋体"/>
                <w:sz w:val="26"/>
              </w:rPr>
            </w:pPr>
          </w:p>
        </w:tc>
        <w:tc>
          <w:tcPr>
            <w:tcW w:w="1681" w:type="dxa"/>
          </w:tcPr>
          <w:p w14:paraId="01F835BF">
            <w:pPr>
              <w:spacing w:line="360" w:lineRule="auto"/>
              <w:rPr>
                <w:rFonts w:ascii="宋体" w:hAnsi="宋体"/>
                <w:sz w:val="26"/>
              </w:rPr>
            </w:pPr>
          </w:p>
        </w:tc>
      </w:tr>
      <w:tr w14:paraId="2672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6F40ECE8">
            <w:pPr>
              <w:spacing w:line="360" w:lineRule="auto"/>
              <w:rPr>
                <w:rFonts w:ascii="宋体" w:hAnsi="宋体"/>
                <w:sz w:val="26"/>
              </w:rPr>
            </w:pPr>
          </w:p>
        </w:tc>
        <w:tc>
          <w:tcPr>
            <w:tcW w:w="1682" w:type="dxa"/>
          </w:tcPr>
          <w:p w14:paraId="01788CF0">
            <w:pPr>
              <w:spacing w:line="360" w:lineRule="auto"/>
              <w:rPr>
                <w:rFonts w:ascii="宋体" w:hAnsi="宋体"/>
                <w:sz w:val="26"/>
              </w:rPr>
            </w:pPr>
          </w:p>
        </w:tc>
        <w:tc>
          <w:tcPr>
            <w:tcW w:w="1681" w:type="dxa"/>
          </w:tcPr>
          <w:p w14:paraId="158FDE3B">
            <w:pPr>
              <w:spacing w:line="360" w:lineRule="auto"/>
              <w:rPr>
                <w:rFonts w:ascii="宋体" w:hAnsi="宋体"/>
                <w:sz w:val="26"/>
              </w:rPr>
            </w:pPr>
          </w:p>
        </w:tc>
        <w:tc>
          <w:tcPr>
            <w:tcW w:w="1682" w:type="dxa"/>
          </w:tcPr>
          <w:p w14:paraId="2E2959FB">
            <w:pPr>
              <w:spacing w:line="360" w:lineRule="auto"/>
              <w:rPr>
                <w:rFonts w:ascii="宋体" w:hAnsi="宋体"/>
                <w:sz w:val="26"/>
              </w:rPr>
            </w:pPr>
          </w:p>
        </w:tc>
        <w:tc>
          <w:tcPr>
            <w:tcW w:w="1681" w:type="dxa"/>
          </w:tcPr>
          <w:p w14:paraId="73693488">
            <w:pPr>
              <w:spacing w:line="360" w:lineRule="auto"/>
              <w:rPr>
                <w:rFonts w:ascii="宋体" w:hAnsi="宋体"/>
                <w:sz w:val="26"/>
              </w:rPr>
            </w:pPr>
          </w:p>
        </w:tc>
      </w:tr>
    </w:tbl>
    <w:p w14:paraId="65441738">
      <w:pPr>
        <w:spacing w:line="360" w:lineRule="auto"/>
        <w:rPr>
          <w:rFonts w:ascii="宋体" w:hAnsi="宋体"/>
          <w:sz w:val="26"/>
        </w:rPr>
      </w:pPr>
      <w:r>
        <w:rPr>
          <w:rFonts w:hint="eastAsia" w:ascii="宋体" w:hAnsi="宋体"/>
          <w:sz w:val="26"/>
        </w:rPr>
        <w:t>（业绩部分可同格式扩展）注：供应商需提供委托合同关键页复印件。</w:t>
      </w:r>
      <w:bookmarkStart w:id="305" w:name="_Toc403382883"/>
    </w:p>
    <w:p w14:paraId="59567765">
      <w:pPr>
        <w:spacing w:line="360" w:lineRule="auto"/>
        <w:rPr>
          <w:rFonts w:ascii="宋体" w:hAnsi="宋体"/>
          <w:sz w:val="26"/>
        </w:rPr>
      </w:pPr>
      <w:r>
        <w:rPr>
          <w:rFonts w:hint="eastAsia" w:ascii="宋体" w:hAnsi="宋体"/>
          <w:sz w:val="26"/>
        </w:rPr>
        <w:t>（三）</w:t>
      </w:r>
      <w:bookmarkEnd w:id="305"/>
      <w:bookmarkStart w:id="306" w:name="_Toc403382884"/>
      <w:r>
        <w:rPr>
          <w:rFonts w:hint="eastAsia" w:ascii="宋体" w:hAnsi="宋体"/>
          <w:sz w:val="26"/>
        </w:rPr>
        <w:t>参加政府采购活动前3年内在经营活动中没有重大违法记录的书面声明</w:t>
      </w:r>
    </w:p>
    <w:p w14:paraId="3836A967">
      <w:pPr>
        <w:widowControl/>
        <w:jc w:val="left"/>
        <w:rPr>
          <w:rFonts w:ascii="宋体" w:hAnsi="宋体"/>
          <w:sz w:val="26"/>
        </w:rPr>
      </w:pPr>
      <w:r>
        <w:rPr>
          <w:rFonts w:ascii="宋体" w:hAnsi="宋体"/>
          <w:sz w:val="26"/>
        </w:rPr>
        <w:br w:type="page"/>
      </w:r>
    </w:p>
    <w:p w14:paraId="2037CEED">
      <w:pPr>
        <w:spacing w:line="360" w:lineRule="auto"/>
        <w:jc w:val="center"/>
        <w:rPr>
          <w:rFonts w:ascii="宋体" w:hAnsi="宋体"/>
          <w:sz w:val="26"/>
        </w:rPr>
      </w:pPr>
      <w:r>
        <w:rPr>
          <w:rFonts w:hint="eastAsia" w:ascii="宋体" w:hAnsi="宋体"/>
          <w:sz w:val="26"/>
        </w:rPr>
        <w:t>无重大违法记录声明</w:t>
      </w:r>
    </w:p>
    <w:p w14:paraId="77EFB0D5">
      <w:pPr>
        <w:spacing w:line="360" w:lineRule="auto"/>
        <w:rPr>
          <w:rFonts w:ascii="宋体" w:hAnsi="宋体"/>
          <w:sz w:val="26"/>
        </w:rPr>
      </w:pPr>
      <w:r>
        <w:rPr>
          <w:rFonts w:hint="eastAsia" w:ascii="宋体" w:hAnsi="宋体"/>
          <w:sz w:val="26"/>
        </w:rPr>
        <w:t>采购人和采购代理机构：</w:t>
      </w:r>
    </w:p>
    <w:p w14:paraId="48535F79">
      <w:pPr>
        <w:spacing w:line="360" w:lineRule="auto"/>
        <w:rPr>
          <w:rFonts w:ascii="宋体" w:hAnsi="宋体"/>
          <w:sz w:val="26"/>
        </w:rPr>
      </w:pPr>
      <w:r>
        <w:rPr>
          <w:rFonts w:hint="eastAsia" w:ascii="宋体" w:hAnsi="宋体"/>
          <w:sz w:val="26"/>
        </w:rPr>
        <w:t xml:space="preserve">    我方在此声明，我方在参加本次政府采购活动前三年内，在经营活动中没有以下重大违法记录：</w:t>
      </w:r>
    </w:p>
    <w:p w14:paraId="37A2BA4D">
      <w:pPr>
        <w:spacing w:line="360" w:lineRule="auto"/>
        <w:rPr>
          <w:rFonts w:ascii="宋体" w:hAnsi="宋体"/>
          <w:sz w:val="26"/>
        </w:rPr>
      </w:pPr>
      <w:r>
        <w:rPr>
          <w:rFonts w:hint="eastAsia" w:ascii="宋体" w:hAnsi="宋体"/>
          <w:sz w:val="26"/>
        </w:rPr>
        <w:t xml:space="preserve">    我方因违法经营被追究过刑事责任；</w:t>
      </w:r>
    </w:p>
    <w:p w14:paraId="235830E5">
      <w:pPr>
        <w:spacing w:line="360" w:lineRule="auto"/>
        <w:rPr>
          <w:rFonts w:ascii="宋体" w:hAnsi="宋体"/>
          <w:sz w:val="26"/>
        </w:rPr>
      </w:pPr>
      <w:r>
        <w:rPr>
          <w:rFonts w:hint="eastAsia" w:ascii="宋体" w:hAnsi="宋体"/>
          <w:sz w:val="26"/>
        </w:rPr>
        <w:t xml:space="preserve">    我方因违法经营被责令停产停业、吊销许可证或者执照；</w:t>
      </w:r>
    </w:p>
    <w:p w14:paraId="543400C8">
      <w:pPr>
        <w:spacing w:line="360" w:lineRule="auto"/>
        <w:rPr>
          <w:rFonts w:ascii="宋体" w:hAnsi="宋体"/>
          <w:sz w:val="26"/>
        </w:rPr>
      </w:pPr>
      <w:r>
        <w:rPr>
          <w:rFonts w:hint="eastAsia" w:ascii="宋体" w:hAnsi="宋体"/>
          <w:sz w:val="26"/>
        </w:rPr>
        <w:t xml:space="preserve">    我方因违法经营被处以较大数额罚款等行政处罚。</w:t>
      </w:r>
    </w:p>
    <w:p w14:paraId="57913B94">
      <w:pPr>
        <w:spacing w:line="360" w:lineRule="auto"/>
        <w:rPr>
          <w:rFonts w:ascii="宋体" w:hAnsi="宋体"/>
          <w:sz w:val="26"/>
        </w:rPr>
      </w:pPr>
      <w:r>
        <w:rPr>
          <w:rFonts w:hint="eastAsia" w:ascii="宋体" w:hAnsi="宋体"/>
          <w:sz w:val="26"/>
        </w:rPr>
        <w:t xml:space="preserve">    随本声明附上我方参加本次政府采购活动前3年内发生的诉讼及仲裁情况表以及相关的法律证明文件供贵方核验。我方保证上述信息的完整、客观、真实、准确，并愿意承担我方因提供虚假材料谋骗取成交、成交所引起的一切法律后果。</w:t>
      </w:r>
    </w:p>
    <w:p w14:paraId="7C1AEC72">
      <w:pPr>
        <w:spacing w:line="360" w:lineRule="auto"/>
        <w:rPr>
          <w:rFonts w:ascii="宋体" w:hAnsi="宋体"/>
          <w:sz w:val="26"/>
        </w:rPr>
      </w:pPr>
      <w:r>
        <w:rPr>
          <w:rFonts w:hint="eastAsia" w:ascii="宋体" w:hAnsi="宋体"/>
          <w:sz w:val="26"/>
        </w:rPr>
        <w:t>特此声明！</w:t>
      </w:r>
    </w:p>
    <w:p w14:paraId="60DBD340">
      <w:pPr>
        <w:spacing w:line="360" w:lineRule="auto"/>
        <w:rPr>
          <w:rFonts w:ascii="宋体" w:hAnsi="宋体"/>
          <w:sz w:val="26"/>
        </w:rPr>
      </w:pPr>
      <w:r>
        <w:rPr>
          <w:rFonts w:hint="eastAsia" w:ascii="宋体" w:hAnsi="宋体"/>
          <w:sz w:val="26"/>
        </w:rPr>
        <w:t>供应商：（盖单位章）</w:t>
      </w:r>
    </w:p>
    <w:p w14:paraId="3D0503BC">
      <w:pPr>
        <w:spacing w:line="360" w:lineRule="auto"/>
        <w:rPr>
          <w:rFonts w:ascii="宋体" w:hAnsi="宋体"/>
          <w:sz w:val="26"/>
        </w:rPr>
      </w:pPr>
      <w:r>
        <w:rPr>
          <w:rFonts w:hint="eastAsia" w:ascii="宋体" w:hAnsi="宋体"/>
          <w:sz w:val="26"/>
        </w:rPr>
        <w:t>法定代表人或其委托代理人：（签字）</w:t>
      </w:r>
    </w:p>
    <w:p w14:paraId="7E83D7D6">
      <w:pPr>
        <w:spacing w:line="360" w:lineRule="auto"/>
        <w:rPr>
          <w:rFonts w:ascii="宋体" w:hAnsi="宋体"/>
          <w:sz w:val="26"/>
        </w:rPr>
      </w:pPr>
      <w:r>
        <w:rPr>
          <w:rFonts w:hint="eastAsia" w:ascii="宋体" w:hAnsi="宋体"/>
          <w:sz w:val="26"/>
        </w:rPr>
        <w:t>年月日</w:t>
      </w:r>
    </w:p>
    <w:p w14:paraId="34268354">
      <w:pPr>
        <w:spacing w:line="360" w:lineRule="auto"/>
        <w:rPr>
          <w:rFonts w:ascii="宋体" w:hAnsi="宋体"/>
          <w:sz w:val="26"/>
        </w:rPr>
      </w:pPr>
    </w:p>
    <w:p w14:paraId="08E12EDD">
      <w:pPr>
        <w:spacing w:line="360" w:lineRule="auto"/>
        <w:rPr>
          <w:rFonts w:ascii="宋体" w:hAnsi="宋体"/>
          <w:sz w:val="26"/>
        </w:rPr>
      </w:pPr>
    </w:p>
    <w:p w14:paraId="20F64DFF">
      <w:pPr>
        <w:spacing w:line="360" w:lineRule="auto"/>
        <w:rPr>
          <w:rFonts w:ascii="宋体" w:hAnsi="宋体"/>
          <w:sz w:val="26"/>
        </w:rPr>
      </w:pPr>
    </w:p>
    <w:p w14:paraId="518B63D4">
      <w:pPr>
        <w:spacing w:line="360" w:lineRule="auto"/>
        <w:rPr>
          <w:rFonts w:ascii="宋体" w:hAnsi="宋体"/>
          <w:sz w:val="26"/>
        </w:rPr>
      </w:pPr>
    </w:p>
    <w:p w14:paraId="2E88D8D1">
      <w:pPr>
        <w:spacing w:line="360" w:lineRule="auto"/>
        <w:rPr>
          <w:rFonts w:ascii="宋体" w:hAnsi="宋体"/>
          <w:sz w:val="26"/>
        </w:rPr>
      </w:pPr>
    </w:p>
    <w:p w14:paraId="7CEA8DD2">
      <w:pPr>
        <w:widowControl/>
        <w:jc w:val="left"/>
        <w:rPr>
          <w:rFonts w:ascii="宋体" w:hAnsi="宋体"/>
          <w:sz w:val="26"/>
        </w:rPr>
      </w:pPr>
      <w:r>
        <w:rPr>
          <w:rFonts w:ascii="宋体" w:hAnsi="宋体"/>
          <w:sz w:val="26"/>
        </w:rPr>
        <w:br w:type="page"/>
      </w:r>
    </w:p>
    <w:p w14:paraId="0F603E7C">
      <w:pPr>
        <w:spacing w:line="360" w:lineRule="auto"/>
        <w:rPr>
          <w:rFonts w:ascii="宋体" w:hAnsi="宋体"/>
          <w:sz w:val="26"/>
        </w:rPr>
      </w:pPr>
      <w:r>
        <w:rPr>
          <w:rFonts w:hint="eastAsia" w:ascii="宋体" w:hAnsi="宋体"/>
          <w:sz w:val="26"/>
        </w:rPr>
        <w:t>参加本次政府采购活动前3年内发生诉讼及仲裁情况表</w:t>
      </w:r>
    </w:p>
    <w:tbl>
      <w:tblPr>
        <w:tblStyle w:val="19"/>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1235"/>
        <w:gridCol w:w="3505"/>
        <w:gridCol w:w="1906"/>
      </w:tblGrid>
      <w:tr w14:paraId="5D86F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8" w:type="dxa"/>
            <w:vAlign w:val="center"/>
          </w:tcPr>
          <w:p w14:paraId="23E4A199">
            <w:pPr>
              <w:spacing w:line="360" w:lineRule="auto"/>
              <w:rPr>
                <w:rFonts w:ascii="宋体" w:hAnsi="宋体"/>
                <w:sz w:val="26"/>
              </w:rPr>
            </w:pPr>
            <w:r>
              <w:rPr>
                <w:rFonts w:hint="eastAsia" w:ascii="宋体" w:hAnsi="宋体"/>
                <w:sz w:val="26"/>
              </w:rPr>
              <w:t>类别</w:t>
            </w:r>
          </w:p>
        </w:tc>
        <w:tc>
          <w:tcPr>
            <w:tcW w:w="938" w:type="dxa"/>
            <w:vAlign w:val="center"/>
          </w:tcPr>
          <w:p w14:paraId="153F7EFC">
            <w:pPr>
              <w:spacing w:line="360" w:lineRule="auto"/>
              <w:rPr>
                <w:rFonts w:ascii="宋体" w:hAnsi="宋体"/>
                <w:sz w:val="26"/>
              </w:rPr>
            </w:pPr>
            <w:r>
              <w:rPr>
                <w:rFonts w:hint="eastAsia" w:ascii="宋体" w:hAnsi="宋体"/>
                <w:sz w:val="26"/>
              </w:rPr>
              <w:t>序号</w:t>
            </w:r>
          </w:p>
        </w:tc>
        <w:tc>
          <w:tcPr>
            <w:tcW w:w="1235" w:type="dxa"/>
            <w:vAlign w:val="center"/>
          </w:tcPr>
          <w:p w14:paraId="0A0E6868">
            <w:pPr>
              <w:spacing w:line="360" w:lineRule="auto"/>
              <w:rPr>
                <w:rFonts w:ascii="宋体" w:hAnsi="宋体"/>
                <w:sz w:val="26"/>
              </w:rPr>
            </w:pPr>
            <w:r>
              <w:rPr>
                <w:rFonts w:hint="eastAsia" w:ascii="宋体" w:hAnsi="宋体"/>
                <w:sz w:val="26"/>
              </w:rPr>
              <w:t>发生时间</w:t>
            </w:r>
          </w:p>
        </w:tc>
        <w:tc>
          <w:tcPr>
            <w:tcW w:w="3505" w:type="dxa"/>
            <w:vAlign w:val="center"/>
          </w:tcPr>
          <w:p w14:paraId="1ECC6EF4">
            <w:pPr>
              <w:spacing w:line="360" w:lineRule="auto"/>
              <w:rPr>
                <w:rFonts w:ascii="宋体" w:hAnsi="宋体"/>
                <w:sz w:val="26"/>
              </w:rPr>
            </w:pPr>
            <w:r>
              <w:rPr>
                <w:rFonts w:hint="eastAsia" w:ascii="宋体" w:hAnsi="宋体"/>
                <w:sz w:val="26"/>
              </w:rPr>
              <w:t>情况简介</w:t>
            </w:r>
          </w:p>
        </w:tc>
        <w:tc>
          <w:tcPr>
            <w:tcW w:w="1906" w:type="dxa"/>
            <w:vAlign w:val="center"/>
          </w:tcPr>
          <w:p w14:paraId="2D28296F">
            <w:pPr>
              <w:spacing w:line="360" w:lineRule="auto"/>
              <w:rPr>
                <w:rFonts w:ascii="宋体" w:hAnsi="宋体"/>
                <w:sz w:val="26"/>
              </w:rPr>
            </w:pPr>
            <w:r>
              <w:rPr>
                <w:rFonts w:hint="eastAsia" w:ascii="宋体" w:hAnsi="宋体"/>
                <w:sz w:val="26"/>
              </w:rPr>
              <w:t>证明材料索引</w:t>
            </w:r>
          </w:p>
        </w:tc>
      </w:tr>
      <w:tr w14:paraId="14EA0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restart"/>
            <w:vAlign w:val="center"/>
          </w:tcPr>
          <w:p w14:paraId="1EEFD889">
            <w:pPr>
              <w:spacing w:line="360" w:lineRule="auto"/>
              <w:rPr>
                <w:rFonts w:ascii="宋体" w:hAnsi="宋体"/>
                <w:sz w:val="26"/>
              </w:rPr>
            </w:pPr>
            <w:r>
              <w:rPr>
                <w:rFonts w:hint="eastAsia" w:ascii="宋体" w:hAnsi="宋体"/>
                <w:sz w:val="26"/>
              </w:rPr>
              <w:t>诉</w:t>
            </w:r>
          </w:p>
          <w:p w14:paraId="13D70417">
            <w:pPr>
              <w:spacing w:line="360" w:lineRule="auto"/>
              <w:rPr>
                <w:rFonts w:ascii="宋体" w:hAnsi="宋体"/>
                <w:sz w:val="26"/>
              </w:rPr>
            </w:pPr>
            <w:r>
              <w:rPr>
                <w:rFonts w:hint="eastAsia" w:ascii="宋体" w:hAnsi="宋体"/>
                <w:sz w:val="26"/>
              </w:rPr>
              <w:t>讼</w:t>
            </w:r>
          </w:p>
          <w:p w14:paraId="1E3E934F">
            <w:pPr>
              <w:spacing w:line="360" w:lineRule="auto"/>
              <w:rPr>
                <w:rFonts w:ascii="宋体" w:hAnsi="宋体"/>
                <w:sz w:val="26"/>
              </w:rPr>
            </w:pPr>
            <w:r>
              <w:rPr>
                <w:rFonts w:hint="eastAsia" w:ascii="宋体" w:hAnsi="宋体"/>
                <w:sz w:val="26"/>
              </w:rPr>
              <w:t>情</w:t>
            </w:r>
          </w:p>
          <w:p w14:paraId="4FCB7DB6">
            <w:pPr>
              <w:spacing w:line="360" w:lineRule="auto"/>
              <w:rPr>
                <w:rFonts w:ascii="宋体" w:hAnsi="宋体"/>
                <w:sz w:val="26"/>
              </w:rPr>
            </w:pPr>
            <w:r>
              <w:rPr>
                <w:rFonts w:hint="eastAsia" w:ascii="宋体" w:hAnsi="宋体"/>
                <w:sz w:val="26"/>
              </w:rPr>
              <w:t>况</w:t>
            </w:r>
          </w:p>
        </w:tc>
        <w:tc>
          <w:tcPr>
            <w:tcW w:w="938" w:type="dxa"/>
            <w:vAlign w:val="center"/>
          </w:tcPr>
          <w:p w14:paraId="5779B6A9">
            <w:pPr>
              <w:spacing w:line="360" w:lineRule="auto"/>
              <w:rPr>
                <w:rFonts w:ascii="宋体" w:hAnsi="宋体"/>
                <w:sz w:val="26"/>
              </w:rPr>
            </w:pPr>
          </w:p>
        </w:tc>
        <w:tc>
          <w:tcPr>
            <w:tcW w:w="1235" w:type="dxa"/>
            <w:vAlign w:val="center"/>
          </w:tcPr>
          <w:p w14:paraId="41DAE3D5">
            <w:pPr>
              <w:spacing w:line="360" w:lineRule="auto"/>
              <w:rPr>
                <w:rFonts w:ascii="宋体" w:hAnsi="宋体"/>
                <w:sz w:val="26"/>
              </w:rPr>
            </w:pPr>
          </w:p>
        </w:tc>
        <w:tc>
          <w:tcPr>
            <w:tcW w:w="3505" w:type="dxa"/>
            <w:vAlign w:val="center"/>
          </w:tcPr>
          <w:p w14:paraId="3E00F74F">
            <w:pPr>
              <w:spacing w:line="360" w:lineRule="auto"/>
              <w:rPr>
                <w:rFonts w:ascii="宋体" w:hAnsi="宋体"/>
                <w:sz w:val="26"/>
              </w:rPr>
            </w:pPr>
          </w:p>
        </w:tc>
        <w:tc>
          <w:tcPr>
            <w:tcW w:w="1906" w:type="dxa"/>
            <w:vAlign w:val="center"/>
          </w:tcPr>
          <w:p w14:paraId="0F21D79B">
            <w:pPr>
              <w:spacing w:line="360" w:lineRule="auto"/>
              <w:rPr>
                <w:rFonts w:ascii="宋体" w:hAnsi="宋体"/>
                <w:sz w:val="26"/>
              </w:rPr>
            </w:pPr>
          </w:p>
        </w:tc>
      </w:tr>
      <w:tr w14:paraId="60002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7C5889FD">
            <w:pPr>
              <w:spacing w:line="360" w:lineRule="auto"/>
              <w:rPr>
                <w:rFonts w:ascii="宋体" w:hAnsi="宋体"/>
                <w:sz w:val="26"/>
              </w:rPr>
            </w:pPr>
          </w:p>
        </w:tc>
        <w:tc>
          <w:tcPr>
            <w:tcW w:w="938" w:type="dxa"/>
            <w:vAlign w:val="center"/>
          </w:tcPr>
          <w:p w14:paraId="67B06081">
            <w:pPr>
              <w:spacing w:line="360" w:lineRule="auto"/>
              <w:rPr>
                <w:rFonts w:ascii="宋体" w:hAnsi="宋体"/>
                <w:sz w:val="26"/>
              </w:rPr>
            </w:pPr>
          </w:p>
        </w:tc>
        <w:tc>
          <w:tcPr>
            <w:tcW w:w="1235" w:type="dxa"/>
            <w:vAlign w:val="center"/>
          </w:tcPr>
          <w:p w14:paraId="4427D572">
            <w:pPr>
              <w:spacing w:line="360" w:lineRule="auto"/>
              <w:rPr>
                <w:rFonts w:ascii="宋体" w:hAnsi="宋体"/>
                <w:sz w:val="26"/>
              </w:rPr>
            </w:pPr>
          </w:p>
        </w:tc>
        <w:tc>
          <w:tcPr>
            <w:tcW w:w="3505" w:type="dxa"/>
            <w:vAlign w:val="center"/>
          </w:tcPr>
          <w:p w14:paraId="79461EC6">
            <w:pPr>
              <w:spacing w:line="360" w:lineRule="auto"/>
              <w:rPr>
                <w:rFonts w:ascii="宋体" w:hAnsi="宋体"/>
                <w:sz w:val="26"/>
              </w:rPr>
            </w:pPr>
          </w:p>
        </w:tc>
        <w:tc>
          <w:tcPr>
            <w:tcW w:w="1906" w:type="dxa"/>
            <w:vAlign w:val="center"/>
          </w:tcPr>
          <w:p w14:paraId="223CB8E0">
            <w:pPr>
              <w:spacing w:line="360" w:lineRule="auto"/>
              <w:rPr>
                <w:rFonts w:ascii="宋体" w:hAnsi="宋体"/>
                <w:sz w:val="26"/>
              </w:rPr>
            </w:pPr>
          </w:p>
        </w:tc>
      </w:tr>
      <w:tr w14:paraId="68A60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4A44E29">
            <w:pPr>
              <w:spacing w:line="360" w:lineRule="auto"/>
              <w:rPr>
                <w:rFonts w:ascii="宋体" w:hAnsi="宋体"/>
                <w:sz w:val="26"/>
              </w:rPr>
            </w:pPr>
          </w:p>
        </w:tc>
        <w:tc>
          <w:tcPr>
            <w:tcW w:w="938" w:type="dxa"/>
            <w:vAlign w:val="center"/>
          </w:tcPr>
          <w:p w14:paraId="3AACF98B">
            <w:pPr>
              <w:spacing w:line="360" w:lineRule="auto"/>
              <w:rPr>
                <w:rFonts w:ascii="宋体" w:hAnsi="宋体"/>
                <w:sz w:val="26"/>
              </w:rPr>
            </w:pPr>
          </w:p>
        </w:tc>
        <w:tc>
          <w:tcPr>
            <w:tcW w:w="1235" w:type="dxa"/>
            <w:vAlign w:val="center"/>
          </w:tcPr>
          <w:p w14:paraId="36763C47">
            <w:pPr>
              <w:spacing w:line="360" w:lineRule="auto"/>
              <w:rPr>
                <w:rFonts w:ascii="宋体" w:hAnsi="宋体"/>
                <w:sz w:val="26"/>
              </w:rPr>
            </w:pPr>
          </w:p>
        </w:tc>
        <w:tc>
          <w:tcPr>
            <w:tcW w:w="3505" w:type="dxa"/>
            <w:vAlign w:val="center"/>
          </w:tcPr>
          <w:p w14:paraId="1D3BD82E">
            <w:pPr>
              <w:spacing w:line="360" w:lineRule="auto"/>
              <w:rPr>
                <w:rFonts w:ascii="宋体" w:hAnsi="宋体"/>
                <w:sz w:val="26"/>
              </w:rPr>
            </w:pPr>
          </w:p>
        </w:tc>
        <w:tc>
          <w:tcPr>
            <w:tcW w:w="1906" w:type="dxa"/>
            <w:vAlign w:val="center"/>
          </w:tcPr>
          <w:p w14:paraId="6402E78B">
            <w:pPr>
              <w:spacing w:line="360" w:lineRule="auto"/>
              <w:rPr>
                <w:rFonts w:ascii="宋体" w:hAnsi="宋体"/>
                <w:sz w:val="26"/>
              </w:rPr>
            </w:pPr>
          </w:p>
        </w:tc>
      </w:tr>
      <w:tr w14:paraId="66D97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34A09DF0">
            <w:pPr>
              <w:spacing w:line="360" w:lineRule="auto"/>
              <w:rPr>
                <w:rFonts w:ascii="宋体" w:hAnsi="宋体"/>
                <w:sz w:val="26"/>
              </w:rPr>
            </w:pPr>
          </w:p>
        </w:tc>
        <w:tc>
          <w:tcPr>
            <w:tcW w:w="938" w:type="dxa"/>
            <w:vAlign w:val="center"/>
          </w:tcPr>
          <w:p w14:paraId="5756EC08">
            <w:pPr>
              <w:spacing w:line="360" w:lineRule="auto"/>
              <w:rPr>
                <w:rFonts w:ascii="宋体" w:hAnsi="宋体"/>
                <w:sz w:val="26"/>
              </w:rPr>
            </w:pPr>
          </w:p>
        </w:tc>
        <w:tc>
          <w:tcPr>
            <w:tcW w:w="1235" w:type="dxa"/>
            <w:vAlign w:val="center"/>
          </w:tcPr>
          <w:p w14:paraId="3D7F78B6">
            <w:pPr>
              <w:spacing w:line="360" w:lineRule="auto"/>
              <w:rPr>
                <w:rFonts w:ascii="宋体" w:hAnsi="宋体"/>
                <w:sz w:val="26"/>
              </w:rPr>
            </w:pPr>
          </w:p>
        </w:tc>
        <w:tc>
          <w:tcPr>
            <w:tcW w:w="3505" w:type="dxa"/>
            <w:vAlign w:val="center"/>
          </w:tcPr>
          <w:p w14:paraId="7F10EF70">
            <w:pPr>
              <w:spacing w:line="360" w:lineRule="auto"/>
              <w:rPr>
                <w:rFonts w:ascii="宋体" w:hAnsi="宋体"/>
                <w:sz w:val="26"/>
              </w:rPr>
            </w:pPr>
          </w:p>
        </w:tc>
        <w:tc>
          <w:tcPr>
            <w:tcW w:w="1906" w:type="dxa"/>
            <w:vAlign w:val="center"/>
          </w:tcPr>
          <w:p w14:paraId="473B8489">
            <w:pPr>
              <w:spacing w:line="360" w:lineRule="auto"/>
              <w:rPr>
                <w:rFonts w:ascii="宋体" w:hAnsi="宋体"/>
                <w:sz w:val="26"/>
              </w:rPr>
            </w:pPr>
          </w:p>
        </w:tc>
      </w:tr>
      <w:tr w14:paraId="06FA5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restart"/>
            <w:vAlign w:val="center"/>
          </w:tcPr>
          <w:p w14:paraId="3478A433">
            <w:pPr>
              <w:spacing w:line="360" w:lineRule="auto"/>
              <w:rPr>
                <w:rFonts w:ascii="宋体" w:hAnsi="宋体"/>
                <w:sz w:val="26"/>
              </w:rPr>
            </w:pPr>
            <w:r>
              <w:rPr>
                <w:rFonts w:hint="eastAsia" w:ascii="宋体" w:hAnsi="宋体"/>
                <w:sz w:val="26"/>
              </w:rPr>
              <w:t>仲</w:t>
            </w:r>
          </w:p>
          <w:p w14:paraId="7C817C05">
            <w:pPr>
              <w:spacing w:line="360" w:lineRule="auto"/>
              <w:rPr>
                <w:rFonts w:ascii="宋体" w:hAnsi="宋体"/>
                <w:sz w:val="26"/>
              </w:rPr>
            </w:pPr>
            <w:r>
              <w:rPr>
                <w:rFonts w:hint="eastAsia" w:ascii="宋体" w:hAnsi="宋体"/>
                <w:sz w:val="26"/>
              </w:rPr>
              <w:t>裁</w:t>
            </w:r>
          </w:p>
          <w:p w14:paraId="74C92AEC">
            <w:pPr>
              <w:spacing w:line="360" w:lineRule="auto"/>
              <w:rPr>
                <w:rFonts w:ascii="宋体" w:hAnsi="宋体"/>
                <w:sz w:val="26"/>
              </w:rPr>
            </w:pPr>
            <w:r>
              <w:rPr>
                <w:rFonts w:hint="eastAsia" w:ascii="宋体" w:hAnsi="宋体"/>
                <w:sz w:val="26"/>
              </w:rPr>
              <w:t>情</w:t>
            </w:r>
          </w:p>
          <w:p w14:paraId="53443509">
            <w:pPr>
              <w:spacing w:line="360" w:lineRule="auto"/>
              <w:rPr>
                <w:rFonts w:ascii="宋体" w:hAnsi="宋体"/>
                <w:sz w:val="26"/>
              </w:rPr>
            </w:pPr>
            <w:r>
              <w:rPr>
                <w:rFonts w:hint="eastAsia" w:ascii="宋体" w:hAnsi="宋体"/>
                <w:sz w:val="26"/>
              </w:rPr>
              <w:t>况</w:t>
            </w:r>
          </w:p>
        </w:tc>
        <w:tc>
          <w:tcPr>
            <w:tcW w:w="938" w:type="dxa"/>
            <w:vAlign w:val="center"/>
          </w:tcPr>
          <w:p w14:paraId="4EEB4306">
            <w:pPr>
              <w:spacing w:line="360" w:lineRule="auto"/>
              <w:rPr>
                <w:rFonts w:ascii="宋体" w:hAnsi="宋体"/>
                <w:sz w:val="26"/>
              </w:rPr>
            </w:pPr>
          </w:p>
        </w:tc>
        <w:tc>
          <w:tcPr>
            <w:tcW w:w="1235" w:type="dxa"/>
            <w:vAlign w:val="center"/>
          </w:tcPr>
          <w:p w14:paraId="67F5F45F">
            <w:pPr>
              <w:spacing w:line="360" w:lineRule="auto"/>
              <w:rPr>
                <w:rFonts w:ascii="宋体" w:hAnsi="宋体"/>
                <w:sz w:val="26"/>
              </w:rPr>
            </w:pPr>
          </w:p>
        </w:tc>
        <w:tc>
          <w:tcPr>
            <w:tcW w:w="3505" w:type="dxa"/>
            <w:vAlign w:val="center"/>
          </w:tcPr>
          <w:p w14:paraId="14EAC102">
            <w:pPr>
              <w:spacing w:line="360" w:lineRule="auto"/>
              <w:rPr>
                <w:rFonts w:ascii="宋体" w:hAnsi="宋体"/>
                <w:sz w:val="26"/>
              </w:rPr>
            </w:pPr>
          </w:p>
        </w:tc>
        <w:tc>
          <w:tcPr>
            <w:tcW w:w="1906" w:type="dxa"/>
            <w:vAlign w:val="center"/>
          </w:tcPr>
          <w:p w14:paraId="6277EA63">
            <w:pPr>
              <w:spacing w:line="360" w:lineRule="auto"/>
              <w:rPr>
                <w:rFonts w:ascii="宋体" w:hAnsi="宋体"/>
                <w:sz w:val="26"/>
              </w:rPr>
            </w:pPr>
          </w:p>
        </w:tc>
      </w:tr>
      <w:tr w14:paraId="06987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7EB4B17">
            <w:pPr>
              <w:spacing w:line="360" w:lineRule="auto"/>
              <w:rPr>
                <w:rFonts w:ascii="宋体" w:hAnsi="宋体"/>
                <w:sz w:val="26"/>
              </w:rPr>
            </w:pPr>
          </w:p>
        </w:tc>
        <w:tc>
          <w:tcPr>
            <w:tcW w:w="938" w:type="dxa"/>
            <w:vAlign w:val="center"/>
          </w:tcPr>
          <w:p w14:paraId="106A60B1">
            <w:pPr>
              <w:spacing w:line="360" w:lineRule="auto"/>
              <w:rPr>
                <w:rFonts w:ascii="宋体" w:hAnsi="宋体"/>
                <w:sz w:val="26"/>
              </w:rPr>
            </w:pPr>
          </w:p>
        </w:tc>
        <w:tc>
          <w:tcPr>
            <w:tcW w:w="1235" w:type="dxa"/>
            <w:vAlign w:val="center"/>
          </w:tcPr>
          <w:p w14:paraId="0ECB226B">
            <w:pPr>
              <w:spacing w:line="360" w:lineRule="auto"/>
              <w:rPr>
                <w:rFonts w:ascii="宋体" w:hAnsi="宋体"/>
                <w:sz w:val="26"/>
              </w:rPr>
            </w:pPr>
          </w:p>
        </w:tc>
        <w:tc>
          <w:tcPr>
            <w:tcW w:w="3505" w:type="dxa"/>
            <w:vAlign w:val="center"/>
          </w:tcPr>
          <w:p w14:paraId="1D90EBA1">
            <w:pPr>
              <w:spacing w:line="360" w:lineRule="auto"/>
              <w:rPr>
                <w:rFonts w:ascii="宋体" w:hAnsi="宋体"/>
                <w:sz w:val="26"/>
              </w:rPr>
            </w:pPr>
          </w:p>
        </w:tc>
        <w:tc>
          <w:tcPr>
            <w:tcW w:w="1906" w:type="dxa"/>
            <w:vAlign w:val="center"/>
          </w:tcPr>
          <w:p w14:paraId="557C2509">
            <w:pPr>
              <w:spacing w:line="360" w:lineRule="auto"/>
              <w:rPr>
                <w:rFonts w:ascii="宋体" w:hAnsi="宋体"/>
                <w:sz w:val="26"/>
              </w:rPr>
            </w:pPr>
          </w:p>
        </w:tc>
      </w:tr>
      <w:tr w14:paraId="4C49E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19C6379">
            <w:pPr>
              <w:spacing w:line="360" w:lineRule="auto"/>
              <w:rPr>
                <w:rFonts w:ascii="宋体" w:hAnsi="宋体"/>
                <w:sz w:val="26"/>
              </w:rPr>
            </w:pPr>
          </w:p>
        </w:tc>
        <w:tc>
          <w:tcPr>
            <w:tcW w:w="938" w:type="dxa"/>
            <w:vAlign w:val="center"/>
          </w:tcPr>
          <w:p w14:paraId="27307E0B">
            <w:pPr>
              <w:spacing w:line="360" w:lineRule="auto"/>
              <w:rPr>
                <w:rFonts w:ascii="宋体" w:hAnsi="宋体"/>
                <w:sz w:val="26"/>
              </w:rPr>
            </w:pPr>
          </w:p>
        </w:tc>
        <w:tc>
          <w:tcPr>
            <w:tcW w:w="1235" w:type="dxa"/>
            <w:vAlign w:val="center"/>
          </w:tcPr>
          <w:p w14:paraId="37285D2F">
            <w:pPr>
              <w:spacing w:line="360" w:lineRule="auto"/>
              <w:rPr>
                <w:rFonts w:ascii="宋体" w:hAnsi="宋体"/>
                <w:sz w:val="26"/>
              </w:rPr>
            </w:pPr>
          </w:p>
        </w:tc>
        <w:tc>
          <w:tcPr>
            <w:tcW w:w="3505" w:type="dxa"/>
            <w:vAlign w:val="center"/>
          </w:tcPr>
          <w:p w14:paraId="7DEC8CF4">
            <w:pPr>
              <w:spacing w:line="360" w:lineRule="auto"/>
              <w:rPr>
                <w:rFonts w:ascii="宋体" w:hAnsi="宋体"/>
                <w:sz w:val="26"/>
              </w:rPr>
            </w:pPr>
          </w:p>
        </w:tc>
        <w:tc>
          <w:tcPr>
            <w:tcW w:w="1906" w:type="dxa"/>
            <w:vAlign w:val="center"/>
          </w:tcPr>
          <w:p w14:paraId="78BE894D">
            <w:pPr>
              <w:spacing w:line="360" w:lineRule="auto"/>
              <w:rPr>
                <w:rFonts w:ascii="宋体" w:hAnsi="宋体"/>
                <w:sz w:val="26"/>
              </w:rPr>
            </w:pPr>
          </w:p>
        </w:tc>
      </w:tr>
    </w:tbl>
    <w:p w14:paraId="0F161243">
      <w:pPr>
        <w:spacing w:line="360" w:lineRule="auto"/>
        <w:rPr>
          <w:rFonts w:ascii="宋体" w:hAnsi="宋体"/>
          <w:sz w:val="26"/>
        </w:rPr>
      </w:pPr>
      <w:r>
        <w:rPr>
          <w:rFonts w:hint="eastAsia" w:ascii="宋体" w:hAnsi="宋体"/>
          <w:sz w:val="26"/>
        </w:rPr>
        <w:t>注：发生的诉讼和仲裁情况仅限于供应商败诉的，且与经营活动有关的案件，不包括调解结案的案件。与经营活动有关，但尚未裁决或终审判决的案件请单独另附《情况说明》（说明内容：案件当事人、基本案情）。</w:t>
      </w:r>
    </w:p>
    <w:p w14:paraId="6B016973">
      <w:pPr>
        <w:spacing w:line="360" w:lineRule="auto"/>
        <w:rPr>
          <w:rFonts w:ascii="宋体" w:hAnsi="宋体"/>
          <w:sz w:val="26"/>
        </w:rPr>
      </w:pPr>
    </w:p>
    <w:p w14:paraId="18FB4CC3">
      <w:pPr>
        <w:spacing w:line="360" w:lineRule="auto"/>
        <w:rPr>
          <w:rFonts w:ascii="宋体" w:hAnsi="宋体"/>
          <w:sz w:val="26"/>
        </w:rPr>
      </w:pPr>
      <w:r>
        <w:rPr>
          <w:rFonts w:hint="eastAsia" w:ascii="宋体" w:hAnsi="宋体"/>
          <w:sz w:val="26"/>
        </w:rPr>
        <w:t>（四）获奖情况（如果有的话）</w:t>
      </w:r>
    </w:p>
    <w:p w14:paraId="3A1A87D7">
      <w:pPr>
        <w:spacing w:line="360" w:lineRule="auto"/>
        <w:rPr>
          <w:rFonts w:ascii="宋体" w:hAnsi="宋体"/>
          <w:sz w:val="26"/>
        </w:rPr>
      </w:pPr>
      <w:r>
        <w:rPr>
          <w:rFonts w:hint="eastAsia" w:ascii="宋体" w:hAnsi="宋体"/>
          <w:sz w:val="26"/>
        </w:rPr>
        <w:t>（五）</w:t>
      </w:r>
      <w:bookmarkEnd w:id="304"/>
      <w:bookmarkEnd w:id="306"/>
      <w:r>
        <w:rPr>
          <w:rFonts w:hint="eastAsia" w:ascii="宋体" w:hAnsi="宋体"/>
          <w:sz w:val="26"/>
        </w:rPr>
        <w:t>“竞争性磋商公告要求的其他资格证明材料”</w:t>
      </w:r>
    </w:p>
    <w:p w14:paraId="48893716">
      <w:pPr>
        <w:spacing w:line="360" w:lineRule="auto"/>
        <w:rPr>
          <w:rFonts w:ascii="宋体" w:hAnsi="宋体"/>
          <w:sz w:val="26"/>
        </w:rPr>
      </w:pPr>
      <w:r>
        <w:rPr>
          <w:rFonts w:hint="eastAsia" w:ascii="宋体" w:hAnsi="宋体"/>
          <w:sz w:val="26"/>
        </w:rPr>
        <w:t>（六）相关查询截图</w:t>
      </w:r>
    </w:p>
    <w:p w14:paraId="7A63471F">
      <w:pPr>
        <w:spacing w:line="360" w:lineRule="auto"/>
        <w:rPr>
          <w:rFonts w:ascii="宋体" w:hAnsi="宋体"/>
          <w:sz w:val="26"/>
        </w:rPr>
      </w:pPr>
      <w:r>
        <w:rPr>
          <w:rFonts w:hint="eastAsia" w:ascii="宋体" w:hAnsi="宋体"/>
          <w:sz w:val="26"/>
        </w:rPr>
        <w:t>（七）中小企业声明函</w:t>
      </w:r>
    </w:p>
    <w:p w14:paraId="3E449359">
      <w:pPr>
        <w:pStyle w:val="5"/>
      </w:pPr>
      <w:r>
        <w:br w:type="page"/>
      </w:r>
    </w:p>
    <w:p w14:paraId="15CB7F5A">
      <w:pPr>
        <w:jc w:val="center"/>
        <w:rPr>
          <w:b/>
          <w:sz w:val="32"/>
          <w:szCs w:val="32"/>
        </w:rPr>
      </w:pPr>
      <w:r>
        <w:rPr>
          <w:rFonts w:hint="eastAsia"/>
          <w:b/>
          <w:sz w:val="32"/>
          <w:szCs w:val="32"/>
        </w:rPr>
        <w:t>中小企业声明函（工程、服务）</w:t>
      </w:r>
    </w:p>
    <w:p w14:paraId="289865C3">
      <w:pPr>
        <w:adjustRightInd w:val="0"/>
        <w:snapToGrid w:val="0"/>
        <w:spacing w:line="480" w:lineRule="auto"/>
      </w:pPr>
      <w:r>
        <w:rPr>
          <w:rFonts w:hint="eastAsia"/>
        </w:rPr>
        <w:t xml:space="preserve">   </w:t>
      </w:r>
    </w:p>
    <w:p w14:paraId="7DE11D05">
      <w:pPr>
        <w:adjustRightInd w:val="0"/>
        <w:snapToGrid w:val="0"/>
        <w:spacing w:line="480" w:lineRule="auto"/>
        <w:rPr>
          <w:sz w:val="24"/>
          <w:szCs w:val="24"/>
        </w:rPr>
      </w:pPr>
      <w:r>
        <w:rPr>
          <w:rFonts w:hint="eastAsia"/>
        </w:rPr>
        <w:t xml:space="preserve">    </w:t>
      </w:r>
      <w:r>
        <w:rPr>
          <w:rFonts w:hint="eastAsia"/>
          <w:sz w:val="24"/>
          <w:szCs w:val="24"/>
        </w:rPr>
        <w:t xml:space="preserve">本公司（联合体）郑重声明，根据《政府采购促进中小企业发展管理办法》（财库﹝2020﹞46 号）的规定，本公司（联合体）参加 </w:t>
      </w:r>
      <w:r>
        <w:rPr>
          <w:rFonts w:hint="eastAsia"/>
          <w:sz w:val="24"/>
          <w:szCs w:val="24"/>
          <w:u w:val="single"/>
        </w:rPr>
        <w:t xml:space="preserve">（单位名称）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F12C6B4">
      <w:pPr>
        <w:adjustRightInd w:val="0"/>
        <w:snapToGrid w:val="0"/>
        <w:spacing w:line="480" w:lineRule="auto"/>
        <w:rPr>
          <w:sz w:val="24"/>
          <w:szCs w:val="24"/>
        </w:rPr>
      </w:pPr>
      <w:r>
        <w:rPr>
          <w:rFonts w:hint="eastAsia"/>
          <w:sz w:val="24"/>
          <w:szCs w:val="24"/>
        </w:rPr>
        <w:t xml:space="preserve">    1.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（采购文件中明确的所属行业）行业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w:t>
      </w:r>
      <w:r>
        <w:rPr>
          <w:rStyle w:val="24"/>
          <w:sz w:val="24"/>
          <w:szCs w:val="24"/>
        </w:rPr>
        <w:footnoteReference w:id="0" w:customMarkFollows="1"/>
        <w:sym w:font="Symbol" w:char="F031"/>
      </w:r>
      <w:r>
        <w:rPr>
          <w:rFonts w:hint="eastAsia"/>
          <w:sz w:val="24"/>
          <w:szCs w:val="24"/>
        </w:rPr>
        <w:t>，属于（中型企业、小型企业、微型企业）；</w:t>
      </w:r>
    </w:p>
    <w:p w14:paraId="5BED7118">
      <w:pPr>
        <w:adjustRightInd w:val="0"/>
        <w:snapToGrid w:val="0"/>
        <w:spacing w:line="480" w:lineRule="auto"/>
        <w:rPr>
          <w:sz w:val="24"/>
          <w:szCs w:val="24"/>
        </w:rPr>
      </w:pPr>
      <w:r>
        <w:rPr>
          <w:rFonts w:hint="eastAsia"/>
          <w:sz w:val="24"/>
          <w:szCs w:val="24"/>
        </w:rPr>
        <w:t xml:space="preserve">    2.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（采购文件中明确的所属行业）行业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万元，属于（中型企业、小型企业、微型企业）；</w:t>
      </w:r>
    </w:p>
    <w:p w14:paraId="1D970F62">
      <w:pPr>
        <w:adjustRightInd w:val="0"/>
        <w:snapToGrid w:val="0"/>
        <w:spacing w:line="480" w:lineRule="auto"/>
        <w:rPr>
          <w:sz w:val="24"/>
          <w:szCs w:val="24"/>
        </w:rPr>
      </w:pPr>
      <w:r>
        <w:rPr>
          <w:rFonts w:hint="eastAsia"/>
          <w:sz w:val="24"/>
          <w:szCs w:val="24"/>
        </w:rPr>
        <w:t xml:space="preserve">    ……</w:t>
      </w:r>
    </w:p>
    <w:p w14:paraId="52F92910">
      <w:pPr>
        <w:adjustRightInd w:val="0"/>
        <w:snapToGrid w:val="0"/>
        <w:spacing w:line="480" w:lineRule="auto"/>
        <w:rPr>
          <w:sz w:val="24"/>
          <w:szCs w:val="24"/>
        </w:rPr>
      </w:pPr>
      <w:r>
        <w:rPr>
          <w:rFonts w:hint="eastAsia"/>
          <w:sz w:val="24"/>
          <w:szCs w:val="24"/>
        </w:rPr>
        <w:t xml:space="preserve">    以上企业，不属于大企业的分支机构，不存在控股股东为大企业的情形，也不存在与大企业的负责人为同一人的情形。</w:t>
      </w:r>
    </w:p>
    <w:p w14:paraId="193BF067">
      <w:pPr>
        <w:adjustRightInd w:val="0"/>
        <w:snapToGrid w:val="0"/>
        <w:spacing w:line="480" w:lineRule="auto"/>
        <w:rPr>
          <w:sz w:val="24"/>
          <w:szCs w:val="24"/>
        </w:rPr>
      </w:pPr>
      <w:r>
        <w:rPr>
          <w:rFonts w:hint="eastAsia"/>
          <w:sz w:val="24"/>
          <w:szCs w:val="24"/>
        </w:rPr>
        <w:t xml:space="preserve">    本企业对上述声明内容的真实性负责。如有虚假，将依法承担相应责任。</w:t>
      </w:r>
    </w:p>
    <w:p w14:paraId="4356F4A7">
      <w:pPr>
        <w:adjustRightInd w:val="0"/>
        <w:snapToGrid w:val="0"/>
        <w:spacing w:line="480" w:lineRule="auto"/>
        <w:rPr>
          <w:sz w:val="24"/>
          <w:szCs w:val="24"/>
        </w:rPr>
      </w:pPr>
      <w:r>
        <w:rPr>
          <w:rFonts w:hint="eastAsia"/>
          <w:sz w:val="24"/>
          <w:szCs w:val="24"/>
        </w:rPr>
        <w:t xml:space="preserve">                                   企业名称（盖章）：</w:t>
      </w:r>
    </w:p>
    <w:p w14:paraId="064886FA">
      <w:pPr>
        <w:adjustRightInd w:val="0"/>
        <w:snapToGrid w:val="0"/>
        <w:spacing w:line="480" w:lineRule="auto"/>
        <w:rPr>
          <w:sz w:val="24"/>
          <w:szCs w:val="24"/>
        </w:rPr>
      </w:pPr>
      <w:r>
        <w:rPr>
          <w:rFonts w:hint="eastAsia"/>
          <w:sz w:val="24"/>
          <w:szCs w:val="24"/>
        </w:rPr>
        <w:t xml:space="preserve">                                   日 期：</w:t>
      </w:r>
    </w:p>
    <w:p w14:paraId="4EC03D08">
      <w:pPr>
        <w:spacing w:line="360" w:lineRule="auto"/>
        <w:rPr>
          <w:rFonts w:ascii="宋体" w:hAnsi="宋体"/>
          <w:sz w:val="26"/>
        </w:rPr>
      </w:pPr>
    </w:p>
    <w:p w14:paraId="224FB06E">
      <w:pPr>
        <w:spacing w:line="360" w:lineRule="auto"/>
        <w:rPr>
          <w:rFonts w:ascii="宋体" w:hAnsi="宋体"/>
          <w:sz w:val="26"/>
        </w:rPr>
      </w:pPr>
    </w:p>
    <w:p w14:paraId="515F8147">
      <w:pPr>
        <w:widowControl/>
        <w:jc w:val="center"/>
        <w:rPr>
          <w:rFonts w:ascii="宋体" w:hAnsi="宋体"/>
          <w:b/>
          <w:sz w:val="30"/>
          <w:szCs w:val="30"/>
        </w:rPr>
      </w:pPr>
      <w:bookmarkStart w:id="307" w:name="_Toc4777"/>
      <w:bookmarkStart w:id="308" w:name="_Toc4556"/>
      <w:r>
        <w:rPr>
          <w:rFonts w:hint="eastAsia" w:ascii="宋体" w:hAnsi="宋体"/>
          <w:b/>
          <w:sz w:val="30"/>
          <w:szCs w:val="30"/>
        </w:rPr>
        <w:t>十、偏离情况说明</w:t>
      </w:r>
    </w:p>
    <w:p w14:paraId="727978B8">
      <w:pPr>
        <w:widowControl/>
        <w:jc w:val="left"/>
        <w:rPr>
          <w:rFonts w:ascii="宋体" w:hAnsi="宋体"/>
          <w:b/>
          <w:sz w:val="30"/>
          <w:szCs w:val="30"/>
        </w:rPr>
      </w:pPr>
      <w:r>
        <w:rPr>
          <w:rFonts w:ascii="宋体" w:hAnsi="宋体"/>
          <w:sz w:val="26"/>
        </w:rPr>
        <w:t>对本项目的商务条款及技术条款是否存在偏离，如存在请列明</w:t>
      </w:r>
    </w:p>
    <w:p w14:paraId="56B6529D">
      <w:pPr>
        <w:widowControl/>
        <w:jc w:val="left"/>
        <w:rPr>
          <w:rFonts w:ascii="宋体" w:hAnsi="宋体"/>
          <w:b/>
          <w:sz w:val="30"/>
          <w:szCs w:val="30"/>
        </w:rPr>
      </w:pPr>
      <w:r>
        <w:rPr>
          <w:rFonts w:ascii="宋体" w:hAnsi="宋体"/>
          <w:b/>
          <w:sz w:val="30"/>
          <w:szCs w:val="30"/>
        </w:rPr>
        <w:br w:type="page"/>
      </w:r>
    </w:p>
    <w:p w14:paraId="66E9CFC9">
      <w:pPr>
        <w:spacing w:line="360" w:lineRule="auto"/>
        <w:jc w:val="center"/>
        <w:rPr>
          <w:rFonts w:ascii="宋体" w:hAnsi="宋体"/>
          <w:b/>
          <w:sz w:val="30"/>
          <w:szCs w:val="30"/>
        </w:rPr>
      </w:pPr>
      <w:r>
        <w:rPr>
          <w:rFonts w:hint="eastAsia" w:ascii="宋体" w:hAnsi="宋体"/>
          <w:b/>
          <w:sz w:val="30"/>
          <w:szCs w:val="30"/>
        </w:rPr>
        <w:t>十一、其他材料（如有）</w:t>
      </w:r>
      <w:bookmarkEnd w:id="307"/>
      <w:bookmarkEnd w:id="308"/>
    </w:p>
    <w:p w14:paraId="57BE98DA">
      <w:pPr>
        <w:widowControl/>
        <w:jc w:val="left"/>
        <w:rPr>
          <w:rFonts w:ascii="宋体" w:hAnsi="宋体"/>
          <w:sz w:val="26"/>
        </w:rPr>
      </w:pPr>
      <w:r>
        <w:rPr>
          <w:rFonts w:ascii="宋体" w:hAnsi="宋体"/>
          <w:sz w:val="26"/>
        </w:rPr>
        <w:br w:type="page"/>
      </w:r>
    </w:p>
    <w:p w14:paraId="38B909DA">
      <w:pPr>
        <w:jc w:val="center"/>
        <w:rPr>
          <w:rFonts w:ascii="宋体" w:hAnsi="宋体" w:cs="Times New Roman"/>
          <w:b/>
          <w:sz w:val="30"/>
          <w:szCs w:val="21"/>
        </w:rPr>
      </w:pPr>
      <w:r>
        <w:rPr>
          <w:rFonts w:hint="eastAsia" w:ascii="宋体" w:hAnsi="宋体" w:cs="Times New Roman"/>
          <w:b/>
          <w:sz w:val="30"/>
          <w:szCs w:val="21"/>
        </w:rPr>
        <w:t>报价一览表（格式）</w:t>
      </w:r>
    </w:p>
    <w:p w14:paraId="61D6351D">
      <w:pPr>
        <w:spacing w:line="500" w:lineRule="exact"/>
        <w:jc w:val="center"/>
        <w:rPr>
          <w:rFonts w:ascii="宋体" w:hAnsi="宋体" w:cs="Times New Roman"/>
          <w:sz w:val="24"/>
          <w:szCs w:val="21"/>
        </w:rPr>
      </w:pPr>
      <w:r>
        <w:rPr>
          <w:rFonts w:hint="eastAsia" w:ascii="宋体" w:hAnsi="宋体" w:cs="Times New Roman"/>
          <w:sz w:val="24"/>
          <w:szCs w:val="21"/>
        </w:rPr>
        <w:t>(第二次报价)</w:t>
      </w:r>
    </w:p>
    <w:p w14:paraId="17CA41CD">
      <w:pPr>
        <w:spacing w:line="360" w:lineRule="auto"/>
        <w:rPr>
          <w:rFonts w:ascii="宋体" w:hAnsi="宋体"/>
          <w:sz w:val="26"/>
        </w:rPr>
      </w:pPr>
      <w:r>
        <w:rPr>
          <w:rFonts w:hint="eastAsia" w:ascii="宋体" w:hAnsi="宋体"/>
          <w:sz w:val="26"/>
        </w:rPr>
        <w:t xml:space="preserve">项目名称：（项目名称）          </w:t>
      </w:r>
    </w:p>
    <w:p w14:paraId="309AB957">
      <w:pPr>
        <w:spacing w:line="360" w:lineRule="auto"/>
        <w:rPr>
          <w:rFonts w:ascii="宋体" w:hAnsi="宋体"/>
          <w:sz w:val="26"/>
        </w:rPr>
      </w:pPr>
      <w:r>
        <w:rPr>
          <w:rFonts w:hint="eastAsia" w:ascii="宋体" w:hAnsi="宋体"/>
          <w:sz w:val="26"/>
        </w:rPr>
        <w:t>项目编号：</w:t>
      </w:r>
    </w:p>
    <w:tbl>
      <w:tblPr>
        <w:tblStyle w:val="19"/>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5386"/>
        <w:gridCol w:w="1134"/>
      </w:tblGrid>
      <w:tr w14:paraId="427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jc w:val="center"/>
        </w:trPr>
        <w:tc>
          <w:tcPr>
            <w:tcW w:w="2065" w:type="dxa"/>
            <w:vAlign w:val="center"/>
          </w:tcPr>
          <w:p w14:paraId="554EC2C9">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5386" w:type="dxa"/>
            <w:vAlign w:val="center"/>
          </w:tcPr>
          <w:p w14:paraId="75C041E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投标总价(第二次报价)</w:t>
            </w:r>
          </w:p>
          <w:p w14:paraId="255A5C3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134" w:type="dxa"/>
            <w:vAlign w:val="center"/>
          </w:tcPr>
          <w:p w14:paraId="56AF2963">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3326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538935EC">
            <w:pPr>
              <w:widowControl/>
              <w:tabs>
                <w:tab w:val="left" w:pos="1197"/>
              </w:tabs>
              <w:autoSpaceDE w:val="0"/>
              <w:autoSpaceDN w:val="0"/>
              <w:ind w:right="215"/>
              <w:jc w:val="center"/>
              <w:textAlignment w:val="bottom"/>
              <w:rPr>
                <w:rFonts w:ascii="Arial" w:hAnsi="Arial" w:cs="Arial"/>
                <w:color w:val="000000"/>
              </w:rPr>
            </w:pPr>
          </w:p>
        </w:tc>
        <w:tc>
          <w:tcPr>
            <w:tcW w:w="5386" w:type="dxa"/>
            <w:vAlign w:val="center"/>
          </w:tcPr>
          <w:p w14:paraId="47875D84">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7E4F0AAE">
            <w:pPr>
              <w:widowControl/>
              <w:tabs>
                <w:tab w:val="left" w:pos="1197"/>
              </w:tabs>
              <w:autoSpaceDE w:val="0"/>
              <w:autoSpaceDN w:val="0"/>
              <w:ind w:right="215"/>
              <w:jc w:val="center"/>
              <w:textAlignment w:val="bottom"/>
              <w:rPr>
                <w:rFonts w:ascii="Arial" w:hAnsi="Arial" w:cs="Arial"/>
                <w:color w:val="000000"/>
              </w:rPr>
            </w:pPr>
          </w:p>
        </w:tc>
      </w:tr>
    </w:tbl>
    <w:p w14:paraId="446E6AD9">
      <w:pPr>
        <w:spacing w:line="360" w:lineRule="auto"/>
        <w:rPr>
          <w:rFonts w:ascii="宋体" w:hAnsi="宋体"/>
          <w:sz w:val="26"/>
        </w:rPr>
      </w:pPr>
    </w:p>
    <w:p w14:paraId="28ABF90D">
      <w:pPr>
        <w:spacing w:line="360" w:lineRule="auto"/>
        <w:rPr>
          <w:rFonts w:ascii="宋体" w:hAnsi="宋体"/>
          <w:sz w:val="26"/>
        </w:rPr>
      </w:pPr>
    </w:p>
    <w:p w14:paraId="52296156">
      <w:pPr>
        <w:spacing w:line="360" w:lineRule="auto"/>
        <w:jc w:val="right"/>
        <w:rPr>
          <w:rFonts w:ascii="宋体" w:hAnsi="宋体"/>
          <w:sz w:val="26"/>
        </w:rPr>
      </w:pPr>
      <w:r>
        <w:rPr>
          <w:rFonts w:hint="eastAsia" w:ascii="宋体" w:hAnsi="宋体"/>
          <w:sz w:val="26"/>
        </w:rPr>
        <w:t>供应商：（盖单位章）</w:t>
      </w:r>
    </w:p>
    <w:p w14:paraId="280E543B">
      <w:pPr>
        <w:spacing w:line="360" w:lineRule="auto"/>
        <w:jc w:val="right"/>
        <w:rPr>
          <w:rFonts w:ascii="宋体" w:hAnsi="宋体"/>
          <w:sz w:val="26"/>
        </w:rPr>
      </w:pPr>
      <w:r>
        <w:rPr>
          <w:rFonts w:hint="eastAsia" w:ascii="宋体" w:hAnsi="宋体"/>
          <w:sz w:val="26"/>
        </w:rPr>
        <w:t>法定代表人或其委托代理人：（签字）</w:t>
      </w:r>
    </w:p>
    <w:p w14:paraId="6162A551">
      <w:pPr>
        <w:spacing w:line="360" w:lineRule="auto"/>
        <w:jc w:val="right"/>
        <w:rPr>
          <w:rFonts w:ascii="宋体" w:hAnsi="宋体"/>
          <w:sz w:val="26"/>
        </w:rPr>
      </w:pPr>
      <w:r>
        <w:rPr>
          <w:rFonts w:hint="eastAsia" w:ascii="宋体" w:hAnsi="宋体"/>
          <w:sz w:val="26"/>
        </w:rPr>
        <w:t>年月日</w:t>
      </w:r>
    </w:p>
    <w:p w14:paraId="40424BF7">
      <w:pPr>
        <w:spacing w:line="500" w:lineRule="exact"/>
        <w:jc w:val="center"/>
        <w:rPr>
          <w:rFonts w:ascii="宋体" w:hAnsi="宋体" w:cs="Times New Roman"/>
          <w:b/>
          <w:sz w:val="30"/>
          <w:szCs w:val="21"/>
        </w:rPr>
      </w:pPr>
    </w:p>
    <w:p w14:paraId="259B6C0A">
      <w:pPr>
        <w:spacing w:line="500" w:lineRule="exact"/>
        <w:rPr>
          <w:rFonts w:ascii="宋体" w:hAnsi="宋体" w:cs="Times New Roman"/>
          <w:b/>
          <w:sz w:val="24"/>
          <w:szCs w:val="21"/>
        </w:rPr>
      </w:pPr>
    </w:p>
    <w:p w14:paraId="0F535070">
      <w:pPr>
        <w:spacing w:line="500" w:lineRule="exact"/>
        <w:ind w:firstLine="562" w:firstLineChars="200"/>
        <w:outlineLvl w:val="0"/>
        <w:rPr>
          <w:rFonts w:ascii="宋体" w:hAnsi="宋体" w:cs="Times New Roman"/>
          <w:b/>
          <w:sz w:val="28"/>
          <w:szCs w:val="28"/>
          <w:em w:val="dot"/>
        </w:rPr>
      </w:pPr>
      <w:bookmarkStart w:id="309" w:name="_Toc15466"/>
      <w:bookmarkStart w:id="310" w:name="_Toc376439322"/>
      <w:bookmarkStart w:id="311" w:name="_Toc72756004"/>
      <w:r>
        <w:rPr>
          <w:rFonts w:hint="eastAsia" w:ascii="宋体" w:hAnsi="宋体" w:cs="Times New Roman"/>
          <w:b/>
          <w:sz w:val="28"/>
          <w:szCs w:val="28"/>
          <w:em w:val="dot"/>
        </w:rPr>
        <w:t>※注：第二次报价一览表不要装订在响应文件中，初审合格后，在政采云平台统一按平台格式上交。</w:t>
      </w:r>
      <w:bookmarkEnd w:id="309"/>
      <w:bookmarkEnd w:id="310"/>
      <w:bookmarkEnd w:id="311"/>
    </w:p>
    <w:p w14:paraId="21B8E498">
      <w:pPr>
        <w:widowControl/>
        <w:jc w:val="left"/>
        <w:rPr>
          <w:rFonts w:ascii="宋体" w:hAnsi="宋体"/>
          <w:sz w:val="26"/>
        </w:rPr>
      </w:pPr>
    </w:p>
    <w:p w14:paraId="2D2B6B15">
      <w:pPr>
        <w:widowControl/>
        <w:jc w:val="left"/>
        <w:rPr>
          <w:rFonts w:ascii="宋体" w:hAnsi="宋体"/>
          <w:sz w:val="26"/>
        </w:rPr>
      </w:pPr>
      <w:r>
        <w:rPr>
          <w:rFonts w:hint="eastAsia" w:ascii="宋体" w:hAnsi="宋体"/>
          <w:sz w:val="26"/>
        </w:rPr>
        <w:t>附：本项目共2轮报价，第一轮为在竞争性磋商响应文件中的报价，第二轮报价需要在谈判小组（评标委员会）要求时进行第二轮报价。</w:t>
      </w:r>
    </w:p>
    <w:sectPr>
      <w:headerReference r:id="rId4" w:type="default"/>
      <w:footerReference r:id="rId5"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6F52">
    <w:pPr>
      <w:pStyle w:val="12"/>
      <w:jc w:val="center"/>
    </w:pPr>
    <w:r>
      <w:fldChar w:fldCharType="begin"/>
    </w:r>
    <w:r>
      <w:instrText xml:space="preserve"> PAGE   \* MERGEFORMAT </w:instrText>
    </w:r>
    <w:r>
      <w:fldChar w:fldCharType="separate"/>
    </w:r>
    <w:r>
      <w:rPr>
        <w:lang w:val="zh-CN"/>
      </w:rPr>
      <w:t>35</w:t>
    </w:r>
    <w:r>
      <w:rPr>
        <w:lang w:val="zh-CN"/>
      </w:rPr>
      <w:fldChar w:fldCharType="end"/>
    </w:r>
  </w:p>
  <w:p w14:paraId="669F5A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FDBBBC3">
      <w:pPr>
        <w:pStyle w:val="16"/>
      </w:pPr>
      <w:r>
        <w:rPr>
          <w:rFonts w:hint="eastAsia"/>
        </w:rPr>
        <w:t>1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013C">
    <w:pPr>
      <w:pStyle w:val="13"/>
      <w:pBdr>
        <w:bottom w:val="none" w:color="auto" w:sz="0" w:space="0"/>
      </w:pBdr>
      <w:jc w:val="left"/>
      <w:rPr>
        <w:sz w:val="21"/>
        <w:szCs w:val="21"/>
        <w:u w:val="single"/>
      </w:rPr>
    </w:pPr>
    <w:r>
      <w:rPr>
        <w:rFonts w:hint="eastAsia"/>
        <w:sz w:val="21"/>
        <w:szCs w:val="21"/>
        <w:u w:val="single"/>
      </w:rPr>
      <w:t>吉林远大工程咨询有限责任公司                                     0432-67655555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A04EB"/>
    <w:multiLevelType w:val="singleLevel"/>
    <w:tmpl w:val="F1AA04EB"/>
    <w:lvl w:ilvl="0" w:tentative="0">
      <w:start w:val="1"/>
      <w:numFmt w:val="decimal"/>
      <w:suff w:val="nothing"/>
      <w:lvlText w:val="%1、"/>
      <w:lvlJc w:val="left"/>
    </w:lvl>
  </w:abstractNum>
  <w:abstractNum w:abstractNumId="1">
    <w:nsid w:val="09EA778B"/>
    <w:multiLevelType w:val="singleLevel"/>
    <w:tmpl w:val="09EA778B"/>
    <w:lvl w:ilvl="0" w:tentative="0">
      <w:start w:val="1"/>
      <w:numFmt w:val="decimal"/>
      <w:suff w:val="nothing"/>
      <w:lvlText w:val="%1、"/>
      <w:lvlJc w:val="left"/>
    </w:lvl>
  </w:abstractNum>
  <w:abstractNum w:abstractNumId="2">
    <w:nsid w:val="24980207"/>
    <w:multiLevelType w:val="singleLevel"/>
    <w:tmpl w:val="24980207"/>
    <w:lvl w:ilvl="0" w:tentative="0">
      <w:start w:val="1"/>
      <w:numFmt w:val="decimal"/>
      <w:suff w:val="nothing"/>
      <w:lvlText w:val="%1、"/>
      <w:lvlJc w:val="left"/>
    </w:lvl>
  </w:abstractNum>
  <w:abstractNum w:abstractNumId="3">
    <w:nsid w:val="3AE558D8"/>
    <w:multiLevelType w:val="singleLevel"/>
    <w:tmpl w:val="3AE558D8"/>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1D2081"/>
    <w:rsid w:val="000222CC"/>
    <w:rsid w:val="0002767B"/>
    <w:rsid w:val="000313FB"/>
    <w:rsid w:val="00042587"/>
    <w:rsid w:val="00042B20"/>
    <w:rsid w:val="0004334A"/>
    <w:rsid w:val="00047F0C"/>
    <w:rsid w:val="000533A3"/>
    <w:rsid w:val="00074C00"/>
    <w:rsid w:val="00077AAA"/>
    <w:rsid w:val="000836CD"/>
    <w:rsid w:val="00083F47"/>
    <w:rsid w:val="0009006A"/>
    <w:rsid w:val="0009583E"/>
    <w:rsid w:val="000A2ADD"/>
    <w:rsid w:val="000A6FD9"/>
    <w:rsid w:val="000B2186"/>
    <w:rsid w:val="000B40F0"/>
    <w:rsid w:val="000B6192"/>
    <w:rsid w:val="000C16F8"/>
    <w:rsid w:val="000E39CE"/>
    <w:rsid w:val="000E7720"/>
    <w:rsid w:val="0010174A"/>
    <w:rsid w:val="001068DD"/>
    <w:rsid w:val="00115151"/>
    <w:rsid w:val="001200CA"/>
    <w:rsid w:val="00130D32"/>
    <w:rsid w:val="00131B2A"/>
    <w:rsid w:val="00155E09"/>
    <w:rsid w:val="00166EF2"/>
    <w:rsid w:val="0017272A"/>
    <w:rsid w:val="001777FC"/>
    <w:rsid w:val="001A283E"/>
    <w:rsid w:val="001B19E7"/>
    <w:rsid w:val="001B3AE7"/>
    <w:rsid w:val="001B6FAB"/>
    <w:rsid w:val="001C61EC"/>
    <w:rsid w:val="001D2081"/>
    <w:rsid w:val="001E2018"/>
    <w:rsid w:val="001E3206"/>
    <w:rsid w:val="001F4EB7"/>
    <w:rsid w:val="00217004"/>
    <w:rsid w:val="00236162"/>
    <w:rsid w:val="00236483"/>
    <w:rsid w:val="002423E3"/>
    <w:rsid w:val="00244AF1"/>
    <w:rsid w:val="00246B7E"/>
    <w:rsid w:val="002556EA"/>
    <w:rsid w:val="0026322A"/>
    <w:rsid w:val="0026378B"/>
    <w:rsid w:val="00273ABB"/>
    <w:rsid w:val="002770D2"/>
    <w:rsid w:val="00281529"/>
    <w:rsid w:val="002822D8"/>
    <w:rsid w:val="002867C4"/>
    <w:rsid w:val="002934AD"/>
    <w:rsid w:val="002940CD"/>
    <w:rsid w:val="00294DB2"/>
    <w:rsid w:val="00297BFC"/>
    <w:rsid w:val="002A4D97"/>
    <w:rsid w:val="002B1B06"/>
    <w:rsid w:val="002B3574"/>
    <w:rsid w:val="002B3F84"/>
    <w:rsid w:val="002C7F59"/>
    <w:rsid w:val="002D1FC8"/>
    <w:rsid w:val="002E0389"/>
    <w:rsid w:val="002F1BC7"/>
    <w:rsid w:val="003005F4"/>
    <w:rsid w:val="003016E6"/>
    <w:rsid w:val="00321C71"/>
    <w:rsid w:val="003223F5"/>
    <w:rsid w:val="00332817"/>
    <w:rsid w:val="003419F8"/>
    <w:rsid w:val="00346025"/>
    <w:rsid w:val="0035220F"/>
    <w:rsid w:val="00367AE0"/>
    <w:rsid w:val="00370ECD"/>
    <w:rsid w:val="003733BA"/>
    <w:rsid w:val="00391F17"/>
    <w:rsid w:val="003B021D"/>
    <w:rsid w:val="003B0BBC"/>
    <w:rsid w:val="003B7D2A"/>
    <w:rsid w:val="003C2F6E"/>
    <w:rsid w:val="003E12EB"/>
    <w:rsid w:val="0040196A"/>
    <w:rsid w:val="00403BA6"/>
    <w:rsid w:val="00406A09"/>
    <w:rsid w:val="00410AF4"/>
    <w:rsid w:val="00415472"/>
    <w:rsid w:val="004374DA"/>
    <w:rsid w:val="00455D0F"/>
    <w:rsid w:val="00460C1B"/>
    <w:rsid w:val="00462B43"/>
    <w:rsid w:val="00495EF5"/>
    <w:rsid w:val="00497498"/>
    <w:rsid w:val="004A1277"/>
    <w:rsid w:val="004A413D"/>
    <w:rsid w:val="004D1558"/>
    <w:rsid w:val="004E0E23"/>
    <w:rsid w:val="004F2D0C"/>
    <w:rsid w:val="005024A9"/>
    <w:rsid w:val="00503191"/>
    <w:rsid w:val="00515300"/>
    <w:rsid w:val="005179D5"/>
    <w:rsid w:val="00521640"/>
    <w:rsid w:val="0053186B"/>
    <w:rsid w:val="0054124E"/>
    <w:rsid w:val="00543AB5"/>
    <w:rsid w:val="005574B3"/>
    <w:rsid w:val="005616D0"/>
    <w:rsid w:val="00582B71"/>
    <w:rsid w:val="005A1B2D"/>
    <w:rsid w:val="005A2907"/>
    <w:rsid w:val="005A46A3"/>
    <w:rsid w:val="005A4723"/>
    <w:rsid w:val="005B46EE"/>
    <w:rsid w:val="005E3095"/>
    <w:rsid w:val="005E400E"/>
    <w:rsid w:val="005F2442"/>
    <w:rsid w:val="005F545C"/>
    <w:rsid w:val="00605B64"/>
    <w:rsid w:val="00611ECF"/>
    <w:rsid w:val="00612426"/>
    <w:rsid w:val="00613045"/>
    <w:rsid w:val="006165B6"/>
    <w:rsid w:val="00623411"/>
    <w:rsid w:val="00636A3B"/>
    <w:rsid w:val="006379BA"/>
    <w:rsid w:val="00650158"/>
    <w:rsid w:val="006549AE"/>
    <w:rsid w:val="00666869"/>
    <w:rsid w:val="006710BA"/>
    <w:rsid w:val="00677E5B"/>
    <w:rsid w:val="006828C0"/>
    <w:rsid w:val="00683255"/>
    <w:rsid w:val="00683B0C"/>
    <w:rsid w:val="0069034D"/>
    <w:rsid w:val="006909F1"/>
    <w:rsid w:val="00694C37"/>
    <w:rsid w:val="006A4662"/>
    <w:rsid w:val="006B59D9"/>
    <w:rsid w:val="006B7A65"/>
    <w:rsid w:val="006C5FFE"/>
    <w:rsid w:val="006C7D82"/>
    <w:rsid w:val="006D34B8"/>
    <w:rsid w:val="006D7304"/>
    <w:rsid w:val="006E59C4"/>
    <w:rsid w:val="006E6BFF"/>
    <w:rsid w:val="00704543"/>
    <w:rsid w:val="007137D6"/>
    <w:rsid w:val="00726CB6"/>
    <w:rsid w:val="00737F91"/>
    <w:rsid w:val="007462AD"/>
    <w:rsid w:val="00750E64"/>
    <w:rsid w:val="00752B77"/>
    <w:rsid w:val="007531BE"/>
    <w:rsid w:val="00755375"/>
    <w:rsid w:val="00765747"/>
    <w:rsid w:val="0077400D"/>
    <w:rsid w:val="00775BAC"/>
    <w:rsid w:val="0077663D"/>
    <w:rsid w:val="00787EEE"/>
    <w:rsid w:val="007A0443"/>
    <w:rsid w:val="007A0E1B"/>
    <w:rsid w:val="007A7ACA"/>
    <w:rsid w:val="007B4E74"/>
    <w:rsid w:val="007D66C3"/>
    <w:rsid w:val="007E4194"/>
    <w:rsid w:val="007F120D"/>
    <w:rsid w:val="007F15E5"/>
    <w:rsid w:val="007F1E8B"/>
    <w:rsid w:val="007F3633"/>
    <w:rsid w:val="00800A0C"/>
    <w:rsid w:val="00817965"/>
    <w:rsid w:val="00833D73"/>
    <w:rsid w:val="00850233"/>
    <w:rsid w:val="00853511"/>
    <w:rsid w:val="00874C4E"/>
    <w:rsid w:val="00880D5A"/>
    <w:rsid w:val="008875A0"/>
    <w:rsid w:val="008909C4"/>
    <w:rsid w:val="008A305E"/>
    <w:rsid w:val="008C638D"/>
    <w:rsid w:val="008E4337"/>
    <w:rsid w:val="008F1B1E"/>
    <w:rsid w:val="008F4DB1"/>
    <w:rsid w:val="008F5E9F"/>
    <w:rsid w:val="0090021E"/>
    <w:rsid w:val="00904A52"/>
    <w:rsid w:val="009122EC"/>
    <w:rsid w:val="009141BF"/>
    <w:rsid w:val="009250A5"/>
    <w:rsid w:val="00943752"/>
    <w:rsid w:val="009466C2"/>
    <w:rsid w:val="009475BE"/>
    <w:rsid w:val="00956BBC"/>
    <w:rsid w:val="0097004B"/>
    <w:rsid w:val="009834B2"/>
    <w:rsid w:val="0098556E"/>
    <w:rsid w:val="00996705"/>
    <w:rsid w:val="009A762C"/>
    <w:rsid w:val="009B4472"/>
    <w:rsid w:val="009C5CC0"/>
    <w:rsid w:val="009C7E7F"/>
    <w:rsid w:val="009D480A"/>
    <w:rsid w:val="009E161C"/>
    <w:rsid w:val="009F470A"/>
    <w:rsid w:val="00A01423"/>
    <w:rsid w:val="00A06E86"/>
    <w:rsid w:val="00A10A1B"/>
    <w:rsid w:val="00A10F61"/>
    <w:rsid w:val="00A17496"/>
    <w:rsid w:val="00A25B88"/>
    <w:rsid w:val="00A32424"/>
    <w:rsid w:val="00A33DB2"/>
    <w:rsid w:val="00A43B9B"/>
    <w:rsid w:val="00A468A5"/>
    <w:rsid w:val="00A74F42"/>
    <w:rsid w:val="00AA57DF"/>
    <w:rsid w:val="00AC1106"/>
    <w:rsid w:val="00AC7AC7"/>
    <w:rsid w:val="00AD1CC7"/>
    <w:rsid w:val="00AE1CDE"/>
    <w:rsid w:val="00AE585B"/>
    <w:rsid w:val="00AF17C7"/>
    <w:rsid w:val="00AF3430"/>
    <w:rsid w:val="00AF348F"/>
    <w:rsid w:val="00B150FF"/>
    <w:rsid w:val="00B20A95"/>
    <w:rsid w:val="00B23174"/>
    <w:rsid w:val="00B301CB"/>
    <w:rsid w:val="00B314F4"/>
    <w:rsid w:val="00B37C83"/>
    <w:rsid w:val="00B74246"/>
    <w:rsid w:val="00B82844"/>
    <w:rsid w:val="00B8323A"/>
    <w:rsid w:val="00B85C64"/>
    <w:rsid w:val="00B94880"/>
    <w:rsid w:val="00BA4A3D"/>
    <w:rsid w:val="00BB2383"/>
    <w:rsid w:val="00BB2B09"/>
    <w:rsid w:val="00BC5252"/>
    <w:rsid w:val="00BD12B7"/>
    <w:rsid w:val="00BD3C7A"/>
    <w:rsid w:val="00BD6330"/>
    <w:rsid w:val="00BE3FC2"/>
    <w:rsid w:val="00BF37C1"/>
    <w:rsid w:val="00BF54AF"/>
    <w:rsid w:val="00C016AD"/>
    <w:rsid w:val="00C05C2E"/>
    <w:rsid w:val="00C14183"/>
    <w:rsid w:val="00C1504B"/>
    <w:rsid w:val="00C247B6"/>
    <w:rsid w:val="00C302EB"/>
    <w:rsid w:val="00C31819"/>
    <w:rsid w:val="00C32DAF"/>
    <w:rsid w:val="00C368E2"/>
    <w:rsid w:val="00C410DB"/>
    <w:rsid w:val="00C52F74"/>
    <w:rsid w:val="00C53E5C"/>
    <w:rsid w:val="00C649C9"/>
    <w:rsid w:val="00C67647"/>
    <w:rsid w:val="00C732D2"/>
    <w:rsid w:val="00C755EF"/>
    <w:rsid w:val="00C81868"/>
    <w:rsid w:val="00C84FBA"/>
    <w:rsid w:val="00C95512"/>
    <w:rsid w:val="00CA3932"/>
    <w:rsid w:val="00CC09C9"/>
    <w:rsid w:val="00CD2A45"/>
    <w:rsid w:val="00CD5B49"/>
    <w:rsid w:val="00CE1709"/>
    <w:rsid w:val="00CF0361"/>
    <w:rsid w:val="00CF2004"/>
    <w:rsid w:val="00CF4A2E"/>
    <w:rsid w:val="00D04572"/>
    <w:rsid w:val="00D04D11"/>
    <w:rsid w:val="00D06A8A"/>
    <w:rsid w:val="00D16AAF"/>
    <w:rsid w:val="00D21401"/>
    <w:rsid w:val="00D26B97"/>
    <w:rsid w:val="00D43761"/>
    <w:rsid w:val="00D453CB"/>
    <w:rsid w:val="00D50CC6"/>
    <w:rsid w:val="00D545C9"/>
    <w:rsid w:val="00D761B0"/>
    <w:rsid w:val="00D77F3F"/>
    <w:rsid w:val="00D92D48"/>
    <w:rsid w:val="00DA42F2"/>
    <w:rsid w:val="00DA7E71"/>
    <w:rsid w:val="00DB3494"/>
    <w:rsid w:val="00DB4A43"/>
    <w:rsid w:val="00DC23A5"/>
    <w:rsid w:val="00DC5A66"/>
    <w:rsid w:val="00DC62F8"/>
    <w:rsid w:val="00DE759F"/>
    <w:rsid w:val="00E13F91"/>
    <w:rsid w:val="00E24286"/>
    <w:rsid w:val="00E35EA9"/>
    <w:rsid w:val="00E37795"/>
    <w:rsid w:val="00E6574F"/>
    <w:rsid w:val="00E671B3"/>
    <w:rsid w:val="00E721E3"/>
    <w:rsid w:val="00E730DF"/>
    <w:rsid w:val="00E7674D"/>
    <w:rsid w:val="00EB0CCE"/>
    <w:rsid w:val="00EB6B8F"/>
    <w:rsid w:val="00EB7657"/>
    <w:rsid w:val="00EC41C8"/>
    <w:rsid w:val="00EC6C7F"/>
    <w:rsid w:val="00ED2C87"/>
    <w:rsid w:val="00EE5DAE"/>
    <w:rsid w:val="00EF0EB1"/>
    <w:rsid w:val="00F129E3"/>
    <w:rsid w:val="00F25590"/>
    <w:rsid w:val="00F37E7B"/>
    <w:rsid w:val="00F638CE"/>
    <w:rsid w:val="00F66552"/>
    <w:rsid w:val="00F73BDF"/>
    <w:rsid w:val="00F749AA"/>
    <w:rsid w:val="00F77620"/>
    <w:rsid w:val="00F839B2"/>
    <w:rsid w:val="00F84A8D"/>
    <w:rsid w:val="00FA4DEB"/>
    <w:rsid w:val="00FB0BAC"/>
    <w:rsid w:val="00FB6FF6"/>
    <w:rsid w:val="00FD3D17"/>
    <w:rsid w:val="00FD5E55"/>
    <w:rsid w:val="00FE19A1"/>
    <w:rsid w:val="00FF3177"/>
    <w:rsid w:val="00FF65A0"/>
    <w:rsid w:val="00FF7708"/>
    <w:rsid w:val="04E065B4"/>
    <w:rsid w:val="06220667"/>
    <w:rsid w:val="166C5148"/>
    <w:rsid w:val="18A45264"/>
    <w:rsid w:val="1B4641B9"/>
    <w:rsid w:val="1D091942"/>
    <w:rsid w:val="224D673B"/>
    <w:rsid w:val="2DEB107B"/>
    <w:rsid w:val="318A0A94"/>
    <w:rsid w:val="35380917"/>
    <w:rsid w:val="36707454"/>
    <w:rsid w:val="3AD46C94"/>
    <w:rsid w:val="3F46487E"/>
    <w:rsid w:val="41E2613A"/>
    <w:rsid w:val="46982FF8"/>
    <w:rsid w:val="48E332D4"/>
    <w:rsid w:val="4A0A26D2"/>
    <w:rsid w:val="4A146D4F"/>
    <w:rsid w:val="4A6D7A89"/>
    <w:rsid w:val="532F6D06"/>
    <w:rsid w:val="540B32CF"/>
    <w:rsid w:val="55075F26"/>
    <w:rsid w:val="56951575"/>
    <w:rsid w:val="56BA23F1"/>
    <w:rsid w:val="56E4733A"/>
    <w:rsid w:val="679B09B6"/>
    <w:rsid w:val="6878511A"/>
    <w:rsid w:val="6A141F06"/>
    <w:rsid w:val="6EA5451D"/>
    <w:rsid w:val="75B3511C"/>
    <w:rsid w:val="77224C3E"/>
    <w:rsid w:val="78EE3D36"/>
    <w:rsid w:val="79AB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Cambria" w:hAnsi="Cambria"/>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5"/>
    <w:semiHidden/>
    <w:unhideWhenUsed/>
    <w:qFormat/>
    <w:uiPriority w:val="0"/>
    <w:pPr>
      <w:ind w:firstLine="420" w:firstLineChars="200"/>
    </w:pPr>
  </w:style>
  <w:style w:type="paragraph" w:styleId="3">
    <w:name w:val="Body Text Indent"/>
    <w:basedOn w:val="1"/>
    <w:link w:val="44"/>
    <w:unhideWhenUsed/>
    <w:qFormat/>
    <w:uiPriority w:val="0"/>
    <w:pPr>
      <w:spacing w:after="120"/>
      <w:ind w:left="420" w:leftChars="200"/>
    </w:pPr>
  </w:style>
  <w:style w:type="paragraph" w:styleId="6">
    <w:name w:val="Normal Indent"/>
    <w:basedOn w:val="1"/>
    <w:semiHidden/>
    <w:unhideWhenUsed/>
    <w:qFormat/>
    <w:uiPriority w:val="0"/>
    <w:pPr>
      <w:ind w:firstLine="420" w:firstLineChars="200"/>
    </w:pPr>
  </w:style>
  <w:style w:type="paragraph" w:styleId="7">
    <w:name w:val="index 5"/>
    <w:basedOn w:val="1"/>
    <w:next w:val="1"/>
    <w:qFormat/>
    <w:uiPriority w:val="0"/>
    <w:pPr>
      <w:adjustRightInd w:val="0"/>
      <w:snapToGrid w:val="0"/>
      <w:spacing w:line="360" w:lineRule="auto"/>
      <w:jc w:val="center"/>
    </w:pPr>
    <w:rPr>
      <w:rFonts w:ascii="宋体" w:hAnsi="宋体" w:cs="宋体"/>
      <w:bCs/>
      <w:kern w:val="0"/>
    </w:rPr>
  </w:style>
  <w:style w:type="paragraph" w:styleId="8">
    <w:name w:val="Body Text"/>
    <w:basedOn w:val="1"/>
    <w:link w:val="37"/>
    <w:qFormat/>
    <w:uiPriority w:val="0"/>
    <w:pPr>
      <w:spacing w:line="0" w:lineRule="atLeast"/>
    </w:pPr>
    <w:rPr>
      <w:rFonts w:ascii="Times New Roman" w:hAnsi="Times New Roman" w:cs="Times New Roman"/>
      <w:sz w:val="30"/>
      <w:szCs w:val="20"/>
    </w:rPr>
  </w:style>
  <w:style w:type="paragraph" w:styleId="9">
    <w:name w:val="Plain Text"/>
    <w:basedOn w:val="1"/>
    <w:link w:val="32"/>
    <w:qFormat/>
    <w:uiPriority w:val="0"/>
    <w:rPr>
      <w:rFonts w:ascii="宋体" w:hAnsi="Courier New"/>
    </w:rPr>
  </w:style>
  <w:style w:type="paragraph" w:styleId="10">
    <w:name w:val="Date"/>
    <w:basedOn w:val="1"/>
    <w:next w:val="1"/>
    <w:link w:val="42"/>
    <w:semiHidden/>
    <w:unhideWhenUsed/>
    <w:qFormat/>
    <w:uiPriority w:val="0"/>
    <w:pPr>
      <w:ind w:left="100" w:leftChars="2500"/>
    </w:pPr>
  </w:style>
  <w:style w:type="paragraph" w:styleId="11">
    <w:name w:val="Balloon Text"/>
    <w:basedOn w:val="1"/>
    <w:link w:val="38"/>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jc w:val="left"/>
    </w:pPr>
  </w:style>
  <w:style w:type="paragraph" w:styleId="15">
    <w:name w:val="Subtitle"/>
    <w:basedOn w:val="1"/>
    <w:next w:val="1"/>
    <w:link w:val="28"/>
    <w:qFormat/>
    <w:uiPriority w:val="11"/>
    <w:pPr>
      <w:spacing w:before="240" w:after="60" w:line="312" w:lineRule="auto"/>
      <w:jc w:val="center"/>
      <w:outlineLvl w:val="1"/>
    </w:pPr>
    <w:rPr>
      <w:rFonts w:ascii="Cambria" w:hAnsi="Cambria"/>
      <w:b/>
      <w:bCs/>
      <w:kern w:val="28"/>
      <w:sz w:val="32"/>
      <w:szCs w:val="32"/>
    </w:rPr>
  </w:style>
  <w:style w:type="paragraph" w:styleId="16">
    <w:name w:val="footnote text"/>
    <w:basedOn w:val="1"/>
    <w:link w:val="46"/>
    <w:semiHidden/>
    <w:unhideWhenUsed/>
    <w:qFormat/>
    <w:uiPriority w:val="99"/>
    <w:pPr>
      <w:snapToGrid w:val="0"/>
      <w:jc w:val="left"/>
    </w:pPr>
    <w:rPr>
      <w:rFonts w:asciiTheme="minorHAnsi" w:hAnsiTheme="minorHAnsi" w:eastAsiaTheme="minorEastAsia" w:cstheme="minorBidi"/>
      <w:sz w:val="18"/>
      <w:szCs w:val="18"/>
    </w:rPr>
  </w:style>
  <w:style w:type="paragraph" w:styleId="17">
    <w:name w:val="toc 2"/>
    <w:basedOn w:val="1"/>
    <w:next w:val="1"/>
    <w:unhideWhenUsed/>
    <w:qFormat/>
    <w:uiPriority w:val="39"/>
    <w:pPr>
      <w:ind w:left="420" w:leftChars="200"/>
    </w:pPr>
  </w:style>
  <w:style w:type="paragraph" w:styleId="18">
    <w:name w:val="Title"/>
    <w:basedOn w:val="1"/>
    <w:link w:val="34"/>
    <w:qFormat/>
    <w:uiPriority w:val="0"/>
    <w:pPr>
      <w:widowControl/>
      <w:spacing w:before="240" w:after="60"/>
      <w:jc w:val="center"/>
      <w:outlineLvl w:val="0"/>
    </w:pPr>
    <w:rPr>
      <w:rFonts w:ascii="Arial" w:hAnsi="Arial" w:cs="Arial"/>
      <w:b/>
      <w:bCs/>
      <w:sz w:val="44"/>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Hyperlink"/>
    <w:unhideWhenUsed/>
    <w:qFormat/>
    <w:uiPriority w:val="99"/>
    <w:rPr>
      <w:color w:val="0000FF"/>
      <w:u w:val="single"/>
    </w:rPr>
  </w:style>
  <w:style w:type="character" w:styleId="24">
    <w:name w:val="footnote reference"/>
    <w:basedOn w:val="21"/>
    <w:semiHidden/>
    <w:unhideWhenUsed/>
    <w:qFormat/>
    <w:uiPriority w:val="99"/>
    <w:rPr>
      <w:vertAlign w:val="superscript"/>
    </w:rPr>
  </w:style>
  <w:style w:type="paragraph" w:customStyle="1" w:styleId="25">
    <w:name w:val="TOC 标题1"/>
    <w:basedOn w:val="4"/>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26">
    <w:name w:val="无间隔1"/>
    <w:link w:val="39"/>
    <w:qFormat/>
    <w:uiPriority w:val="1"/>
    <w:rPr>
      <w:rFonts w:ascii="Calibri" w:hAnsi="Calibri" w:eastAsia="宋体" w:cs="黑体"/>
      <w:sz w:val="22"/>
      <w:szCs w:val="22"/>
      <w:lang w:val="en-US" w:eastAsia="zh-CN" w:bidi="ar-SA"/>
    </w:rPr>
  </w:style>
  <w:style w:type="character" w:customStyle="1" w:styleId="27">
    <w:name w:val="标题 1 Char"/>
    <w:link w:val="4"/>
    <w:qFormat/>
    <w:uiPriority w:val="9"/>
    <w:rPr>
      <w:b/>
      <w:bCs/>
      <w:kern w:val="44"/>
      <w:sz w:val="44"/>
      <w:szCs w:val="44"/>
    </w:rPr>
  </w:style>
  <w:style w:type="character" w:customStyle="1" w:styleId="28">
    <w:name w:val="副标题 Char"/>
    <w:link w:val="15"/>
    <w:qFormat/>
    <w:uiPriority w:val="11"/>
    <w:rPr>
      <w:rFonts w:ascii="Cambria" w:hAnsi="Cambria" w:eastAsia="宋体" w:cs="黑体"/>
      <w:b/>
      <w:bCs/>
      <w:kern w:val="28"/>
      <w:sz w:val="32"/>
      <w:szCs w:val="32"/>
    </w:rPr>
  </w:style>
  <w:style w:type="character" w:customStyle="1" w:styleId="29">
    <w:name w:val="页眉 Char"/>
    <w:link w:val="13"/>
    <w:qFormat/>
    <w:uiPriority w:val="0"/>
    <w:rPr>
      <w:sz w:val="18"/>
      <w:szCs w:val="18"/>
    </w:rPr>
  </w:style>
  <w:style w:type="character" w:customStyle="1" w:styleId="30">
    <w:name w:val="页脚 Char"/>
    <w:link w:val="12"/>
    <w:qFormat/>
    <w:uiPriority w:val="99"/>
    <w:rPr>
      <w:sz w:val="18"/>
      <w:szCs w:val="18"/>
    </w:rPr>
  </w:style>
  <w:style w:type="character" w:customStyle="1" w:styleId="31">
    <w:name w:val="标题 2 Char"/>
    <w:link w:val="5"/>
    <w:qFormat/>
    <w:uiPriority w:val="9"/>
    <w:rPr>
      <w:rFonts w:ascii="Cambria" w:hAnsi="Cambria" w:eastAsia="宋体" w:cs="黑体"/>
      <w:b/>
      <w:bCs/>
      <w:sz w:val="32"/>
      <w:szCs w:val="32"/>
    </w:rPr>
  </w:style>
  <w:style w:type="character" w:customStyle="1" w:styleId="32">
    <w:name w:val="纯文本 Char"/>
    <w:link w:val="9"/>
    <w:qFormat/>
    <w:uiPriority w:val="0"/>
    <w:rPr>
      <w:rFonts w:ascii="宋体" w:hAnsi="Courier New" w:eastAsia="宋体"/>
    </w:rPr>
  </w:style>
  <w:style w:type="character" w:customStyle="1" w:styleId="33">
    <w:name w:val="纯文本 Char1"/>
    <w:qFormat/>
    <w:uiPriority w:val="99"/>
    <w:rPr>
      <w:rFonts w:ascii="宋体" w:hAnsi="Courier New" w:eastAsia="宋体" w:cs="Courier New"/>
      <w:szCs w:val="21"/>
    </w:rPr>
  </w:style>
  <w:style w:type="character" w:customStyle="1" w:styleId="34">
    <w:name w:val="标题 Char"/>
    <w:link w:val="18"/>
    <w:qFormat/>
    <w:uiPriority w:val="0"/>
    <w:rPr>
      <w:rFonts w:ascii="Arial" w:hAnsi="Arial" w:eastAsia="宋体" w:cs="Arial"/>
      <w:b/>
      <w:bCs/>
      <w:sz w:val="44"/>
      <w:szCs w:val="32"/>
    </w:rPr>
  </w:style>
  <w:style w:type="character" w:customStyle="1" w:styleId="35">
    <w:name w:val="标题 Char1"/>
    <w:qFormat/>
    <w:uiPriority w:val="10"/>
    <w:rPr>
      <w:rFonts w:ascii="Cambria" w:hAnsi="Cambria" w:eastAsia="宋体" w:cs="黑体"/>
      <w:b/>
      <w:bCs/>
      <w:sz w:val="32"/>
      <w:szCs w:val="32"/>
    </w:rPr>
  </w:style>
  <w:style w:type="character" w:customStyle="1" w:styleId="36">
    <w:name w:val="正文文本 Char Char"/>
    <w:basedOn w:val="21"/>
    <w:qFormat/>
    <w:uiPriority w:val="99"/>
  </w:style>
  <w:style w:type="character" w:customStyle="1" w:styleId="37">
    <w:name w:val="正文文本 Char"/>
    <w:link w:val="8"/>
    <w:qFormat/>
    <w:uiPriority w:val="0"/>
    <w:rPr>
      <w:rFonts w:ascii="Times New Roman" w:hAnsi="Times New Roman" w:eastAsia="宋体" w:cs="Times New Roman"/>
      <w:sz w:val="30"/>
      <w:szCs w:val="20"/>
    </w:rPr>
  </w:style>
  <w:style w:type="character" w:customStyle="1" w:styleId="38">
    <w:name w:val="批注框文本 Char"/>
    <w:link w:val="11"/>
    <w:qFormat/>
    <w:uiPriority w:val="99"/>
    <w:rPr>
      <w:sz w:val="18"/>
      <w:szCs w:val="18"/>
    </w:rPr>
  </w:style>
  <w:style w:type="character" w:customStyle="1" w:styleId="39">
    <w:name w:val="无间隔 Char"/>
    <w:link w:val="26"/>
    <w:qFormat/>
    <w:uiPriority w:val="1"/>
    <w:rPr>
      <w:kern w:val="0"/>
      <w:sz w:val="22"/>
    </w:rPr>
  </w:style>
  <w:style w:type="paragraph" w:customStyle="1" w:styleId="40">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1">
    <w:name w:val="样式 正文（首行缩进两字） + 宋体 小四"/>
    <w:basedOn w:val="6"/>
    <w:qFormat/>
    <w:uiPriority w:val="0"/>
    <w:pPr>
      <w:spacing w:line="100" w:lineRule="atLeast"/>
      <w:ind w:firstLine="614" w:firstLineChars="192"/>
      <w:jc w:val="left"/>
    </w:pPr>
    <w:rPr>
      <w:rFonts w:ascii="仿宋_GB2312" w:hAnsi="宋体" w:eastAsia="仿宋_GB2312" w:cs="Times New Roman"/>
      <w:sz w:val="32"/>
      <w:szCs w:val="20"/>
    </w:rPr>
  </w:style>
  <w:style w:type="character" w:customStyle="1" w:styleId="42">
    <w:name w:val="日期 Char"/>
    <w:basedOn w:val="21"/>
    <w:link w:val="10"/>
    <w:semiHidden/>
    <w:qFormat/>
    <w:uiPriority w:val="0"/>
    <w:rPr>
      <w:rFonts w:ascii="Calibri" w:hAnsi="Calibri" w:cs="黑体"/>
      <w:kern w:val="2"/>
      <w:sz w:val="21"/>
      <w:szCs w:val="22"/>
    </w:rPr>
  </w:style>
  <w:style w:type="paragraph" w:styleId="43">
    <w:name w:val="List Paragraph"/>
    <w:basedOn w:val="1"/>
    <w:unhideWhenUsed/>
    <w:qFormat/>
    <w:uiPriority w:val="99"/>
    <w:pPr>
      <w:ind w:firstLine="420" w:firstLineChars="200"/>
    </w:pPr>
  </w:style>
  <w:style w:type="character" w:customStyle="1" w:styleId="44">
    <w:name w:val="正文文本缩进 Char"/>
    <w:basedOn w:val="21"/>
    <w:link w:val="3"/>
    <w:qFormat/>
    <w:uiPriority w:val="0"/>
    <w:rPr>
      <w:rFonts w:ascii="Calibri" w:hAnsi="Calibri" w:cs="黑体"/>
      <w:kern w:val="2"/>
      <w:sz w:val="21"/>
      <w:szCs w:val="22"/>
    </w:rPr>
  </w:style>
  <w:style w:type="character" w:customStyle="1" w:styleId="45">
    <w:name w:val="正文首行缩进 2 Char"/>
    <w:basedOn w:val="44"/>
    <w:link w:val="2"/>
    <w:semiHidden/>
    <w:qFormat/>
    <w:uiPriority w:val="0"/>
  </w:style>
  <w:style w:type="character" w:customStyle="1" w:styleId="46">
    <w:name w:val="脚注文本 Char"/>
    <w:basedOn w:val="21"/>
    <w:link w:val="1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9837</Words>
  <Characters>10926</Characters>
  <Lines>202</Lines>
  <Paragraphs>57</Paragraphs>
  <TotalTime>71</TotalTime>
  <ScaleCrop>false</ScaleCrop>
  <LinksUpToDate>false</LinksUpToDate>
  <CharactersWithSpaces>11102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2021-03-10T01:19:00Z</dcterms:created>
  <dc:creator>NTKO</dc:creator>
  <cp:lastModifiedBy>李数三</cp:lastModifiedBy>
  <cp:lastPrinted>2023-05-18T02:31:00Z</cp:lastPrinted>
  <dcterms:modified xsi:type="dcterms:W3CDTF">2024-12-12T07:54:54Z</dcterms:modified>
  <dc:title>辉发河桦甸段水质变化分析论证</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896DEB5D2093415A9A5CFD90775A303C</vt:lpwstr>
  </property>
</Properties>
</file>