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宋体" w:hAnsi="宋体" w:eastAsia="宋体" w:cs="宋体"/>
          <w:b/>
          <w:bCs/>
          <w:sz w:val="44"/>
          <w:szCs w:val="44"/>
          <w:highlight w:val="none"/>
          <w:lang w:eastAsia="zh-CN"/>
        </w:rPr>
      </w:pPr>
    </w:p>
    <w:p>
      <w:pPr>
        <w:spacing w:line="720" w:lineRule="exact"/>
        <w:jc w:val="center"/>
        <w:rPr>
          <w:rFonts w:hint="eastAsia" w:ascii="宋体" w:hAnsi="宋体" w:eastAsia="宋体" w:cs="宋体"/>
          <w:b/>
          <w:bCs/>
          <w:sz w:val="48"/>
          <w:szCs w:val="48"/>
          <w:lang w:eastAsia="zh-CN"/>
        </w:rPr>
      </w:pPr>
    </w:p>
    <w:p>
      <w:pPr>
        <w:spacing w:line="720" w:lineRule="exact"/>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2024年防洪挡水板项目</w:t>
      </w:r>
    </w:p>
    <w:p>
      <w:pPr>
        <w:spacing w:line="720" w:lineRule="exact"/>
        <w:jc w:val="center"/>
        <w:rPr>
          <w:rFonts w:hint="eastAsia" w:ascii="宋体" w:hAnsi="宋体" w:eastAsia="宋体" w:cs="宋体"/>
          <w:b/>
          <w:bCs/>
          <w:sz w:val="72"/>
          <w:szCs w:val="72"/>
          <w:lang w:eastAsia="zh-CN"/>
        </w:rPr>
      </w:pPr>
    </w:p>
    <w:p>
      <w:pPr>
        <w:pStyle w:val="54"/>
        <w:rPr>
          <w:rFonts w:hint="eastAsia" w:ascii="宋体" w:hAnsi="宋体" w:eastAsia="宋体" w:cs="宋体"/>
          <w:b/>
          <w:bCs/>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highlight w:val="cyan"/>
          <w:lang w:val="en-US" w:eastAsia="zh-CN"/>
        </w:rPr>
      </w:pPr>
      <w:r>
        <w:rPr>
          <w:rFonts w:hint="eastAsia" w:ascii="宋体" w:hAnsi="宋体" w:eastAsia="宋体" w:cs="宋体"/>
          <w:b/>
          <w:bCs/>
          <w:sz w:val="84"/>
          <w:szCs w:val="84"/>
          <w:highlight w:val="none"/>
        </w:rPr>
        <w:t>竞争性谈判文件</w:t>
      </w:r>
      <w:r>
        <w:rPr>
          <w:rFonts w:hint="eastAsia" w:ascii="宋体" w:hAnsi="宋体" w:eastAsia="宋体" w:cs="宋体"/>
          <w:b/>
          <w:bCs/>
          <w:sz w:val="84"/>
          <w:szCs w:val="84"/>
          <w:highlight w:val="none"/>
        </w:rPr>
        <w:cr/>
      </w:r>
      <w:r>
        <w:rPr>
          <w:rFonts w:hint="eastAsia" w:ascii="宋体" w:hAnsi="宋体" w:eastAsia="宋体" w:cs="宋体"/>
          <w:b/>
          <w:bCs/>
          <w:sz w:val="28"/>
          <w:szCs w:val="28"/>
          <w:highlight w:val="none"/>
          <w:lang w:val="en-US" w:eastAsia="zh-CN"/>
        </w:rPr>
        <w:t>项目</w:t>
      </w:r>
      <w:r>
        <w:rPr>
          <w:rFonts w:hint="eastAsia" w:ascii="宋体" w:hAnsi="宋体" w:eastAsia="宋体" w:cs="宋体"/>
          <w:b/>
          <w:bCs/>
          <w:sz w:val="28"/>
          <w:szCs w:val="28"/>
          <w:highlight w:val="none"/>
        </w:rPr>
        <w:t>编号：JM-2024-07-00810</w:t>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pPr>
        <w:spacing w:line="1000" w:lineRule="exact"/>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cr/>
      </w:r>
    </w:p>
    <w:p>
      <w:pPr>
        <w:pStyle w:val="101"/>
        <w:spacing w:line="360" w:lineRule="auto"/>
        <w:jc w:val="center"/>
        <w:outlineLvl w:val="9"/>
        <w:rPr>
          <w:rFonts w:hint="eastAsia" w:ascii="宋体" w:hAnsi="宋体" w:eastAsia="宋体" w:cs="宋体"/>
          <w:b/>
          <w:sz w:val="32"/>
        </w:rPr>
      </w:pPr>
    </w:p>
    <w:p>
      <w:pPr>
        <w:bidi w:val="0"/>
        <w:spacing w:line="480" w:lineRule="auto"/>
        <w:jc w:val="center"/>
        <w:rPr>
          <w:rFonts w:hint="eastAsia"/>
          <w:b/>
          <w:bCs/>
          <w:sz w:val="28"/>
          <w:szCs w:val="36"/>
        </w:rPr>
      </w:pPr>
      <w:bookmarkStart w:id="0" w:name="_Toc6732"/>
      <w:bookmarkStart w:id="1" w:name="_Toc15251"/>
      <w:r>
        <w:rPr>
          <w:rFonts w:hint="eastAsia"/>
          <w:b/>
          <w:bCs/>
          <w:sz w:val="28"/>
          <w:szCs w:val="36"/>
          <w:lang w:val="en-US" w:eastAsia="zh-CN"/>
        </w:rPr>
        <w:t>采购</w:t>
      </w:r>
      <w:r>
        <w:rPr>
          <w:rFonts w:hint="eastAsia"/>
          <w:b/>
          <w:bCs/>
          <w:sz w:val="28"/>
          <w:szCs w:val="36"/>
        </w:rPr>
        <w:t>人：</w:t>
      </w:r>
      <w:bookmarkEnd w:id="0"/>
      <w:r>
        <w:rPr>
          <w:rFonts w:hint="eastAsia"/>
          <w:b/>
          <w:bCs/>
          <w:sz w:val="28"/>
          <w:szCs w:val="36"/>
        </w:rPr>
        <w:t>长春市军粮供应管理站（长春市物资储备中心）</w:t>
      </w:r>
      <w:bookmarkEnd w:id="1"/>
    </w:p>
    <w:p>
      <w:pPr>
        <w:bidi w:val="0"/>
        <w:spacing w:line="480" w:lineRule="auto"/>
        <w:jc w:val="center"/>
        <w:rPr>
          <w:rFonts w:hint="eastAsia"/>
          <w:b/>
          <w:bCs/>
          <w:sz w:val="28"/>
          <w:szCs w:val="36"/>
          <w:lang w:eastAsia="zh-CN"/>
        </w:rPr>
      </w:pPr>
      <w:bookmarkStart w:id="2" w:name="_Toc30559"/>
      <w:bookmarkStart w:id="3" w:name="_Toc13554"/>
      <w:r>
        <w:rPr>
          <w:rFonts w:hint="eastAsia"/>
          <w:b/>
          <w:bCs/>
          <w:sz w:val="28"/>
          <w:szCs w:val="36"/>
          <w:lang w:val="en-US" w:eastAsia="zh-CN"/>
        </w:rPr>
        <w:t>采购</w:t>
      </w:r>
      <w:r>
        <w:rPr>
          <w:rFonts w:hint="eastAsia"/>
          <w:b/>
          <w:bCs/>
          <w:sz w:val="28"/>
          <w:szCs w:val="36"/>
        </w:rPr>
        <w:t>代理机构：</w:t>
      </w:r>
      <w:bookmarkEnd w:id="2"/>
      <w:r>
        <w:rPr>
          <w:rFonts w:hint="eastAsia"/>
          <w:b/>
          <w:bCs/>
          <w:sz w:val="28"/>
          <w:szCs w:val="36"/>
          <w:lang w:eastAsia="zh-CN"/>
        </w:rPr>
        <w:t>吉林省易晟项目管理咨询有限公司</w:t>
      </w:r>
      <w:bookmarkEnd w:id="3"/>
    </w:p>
    <w:p>
      <w:pPr>
        <w:bidi w:val="0"/>
        <w:spacing w:line="480" w:lineRule="auto"/>
        <w:jc w:val="center"/>
        <w:rPr>
          <w:rFonts w:hint="eastAsia"/>
          <w:b/>
          <w:bCs/>
          <w:sz w:val="28"/>
          <w:szCs w:val="36"/>
        </w:rPr>
      </w:pPr>
      <w:r>
        <w:rPr>
          <w:rFonts w:hint="eastAsia"/>
          <w:b/>
          <w:bCs/>
          <w:sz w:val="28"/>
          <w:szCs w:val="36"/>
          <w:lang w:val="en-US" w:eastAsia="zh-CN"/>
        </w:rPr>
        <w:t>日期：</w:t>
      </w:r>
      <w:r>
        <w:rPr>
          <w:rFonts w:hint="eastAsia"/>
          <w:b/>
          <w:bCs/>
          <w:sz w:val="28"/>
          <w:szCs w:val="36"/>
          <w:lang w:val="zh-CN"/>
        </w:rPr>
        <w:t>二〇二</w:t>
      </w:r>
      <w:r>
        <w:rPr>
          <w:rFonts w:hint="eastAsia"/>
          <w:b/>
          <w:bCs/>
          <w:sz w:val="28"/>
          <w:szCs w:val="36"/>
          <w:lang w:val="en-US" w:eastAsia="zh-CN"/>
        </w:rPr>
        <w:t>四</w:t>
      </w:r>
      <w:r>
        <w:rPr>
          <w:rFonts w:hint="eastAsia"/>
          <w:b/>
          <w:bCs/>
          <w:sz w:val="28"/>
          <w:szCs w:val="36"/>
          <w:lang w:val="zh-CN"/>
        </w:rPr>
        <w:t>年</w:t>
      </w:r>
      <w:r>
        <w:rPr>
          <w:rFonts w:hint="eastAsia"/>
          <w:b/>
          <w:bCs/>
          <w:sz w:val="28"/>
          <w:szCs w:val="36"/>
          <w:lang w:val="en-US" w:eastAsia="zh-CN"/>
        </w:rPr>
        <w:t>七</w:t>
      </w:r>
      <w:r>
        <w:rPr>
          <w:rFonts w:hint="eastAsia"/>
          <w:b/>
          <w:bCs/>
          <w:sz w:val="28"/>
          <w:szCs w:val="36"/>
          <w:lang w:val="zh-CN"/>
        </w:rPr>
        <w:t>月</w:t>
      </w:r>
    </w:p>
    <w:p>
      <w:pPr>
        <w:pStyle w:val="2"/>
        <w:rPr>
          <w:rFonts w:hint="eastAsia" w:ascii="宋体" w:hAnsi="宋体" w:eastAsia="宋体" w:cs="宋体"/>
          <w:b/>
          <w:sz w:val="30"/>
          <w:szCs w:val="30"/>
          <w:highlight w:val="none"/>
        </w:rPr>
      </w:pPr>
    </w:p>
    <w:p>
      <w:pPr>
        <w:pStyle w:val="32"/>
        <w:rPr>
          <w:rFonts w:hint="eastAsia" w:ascii="宋体" w:hAnsi="宋体" w:eastAsia="宋体" w:cs="宋体"/>
        </w:rPr>
      </w:pPr>
    </w:p>
    <w:p>
      <w:pPr>
        <w:jc w:val="center"/>
        <w:rPr>
          <w:rFonts w:hint="eastAsia" w:ascii="宋体" w:hAnsi="宋体" w:eastAsia="宋体" w:cs="宋体"/>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ascii="宋体" w:hAnsi="宋体" w:eastAsia="宋体" w:cs="宋体"/>
          <w:b/>
          <w:bCs/>
          <w:sz w:val="44"/>
          <w:szCs w:val="44"/>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目   录</w:t>
      </w:r>
    </w:p>
    <w:p>
      <w:pPr>
        <w:pStyle w:val="22"/>
        <w:tabs>
          <w:tab w:val="right" w:leader="dot" w:pos="9780"/>
        </w:tabs>
      </w:pPr>
      <w:bookmarkStart w:id="4" w:name="_Toc455565641"/>
      <w:bookmarkStart w:id="5" w:name="_Toc432264365"/>
      <w:bookmarkStart w:id="6" w:name="_Toc432277437"/>
      <w:r>
        <w:rPr>
          <w:rFonts w:hint="eastAsia" w:ascii="宋体" w:hAnsi="宋体" w:eastAsia="宋体" w:cs="宋体"/>
          <w:b/>
          <w:sz w:val="32"/>
          <w:szCs w:val="32"/>
          <w:highlight w:val="none"/>
        </w:rPr>
        <w:fldChar w:fldCharType="begin"/>
      </w:r>
      <w:r>
        <w:rPr>
          <w:rFonts w:hint="eastAsia" w:ascii="宋体" w:hAnsi="宋体" w:eastAsia="宋体" w:cs="宋体"/>
          <w:b/>
          <w:sz w:val="32"/>
          <w:szCs w:val="32"/>
          <w:highlight w:val="none"/>
        </w:rPr>
        <w:instrText xml:space="preserve">TOC \o "1-2" \h \u </w:instrText>
      </w:r>
      <w:r>
        <w:rPr>
          <w:rFonts w:hint="eastAsia" w:ascii="宋体" w:hAnsi="宋体" w:eastAsia="宋体" w:cs="宋体"/>
          <w:b/>
          <w:sz w:val="32"/>
          <w:szCs w:val="32"/>
          <w:highlight w:val="none"/>
        </w:rPr>
        <w:fldChar w:fldCharType="separate"/>
      </w:r>
    </w:p>
    <w:p>
      <w:pPr>
        <w:pStyle w:val="27"/>
        <w:keepNext w:val="0"/>
        <w:keepLines w:val="0"/>
        <w:pageBreakBefore w:val="0"/>
        <w:widowControl w:val="0"/>
        <w:tabs>
          <w:tab w:val="right" w:leader="dot" w:pos="9780"/>
        </w:tabs>
        <w:kinsoku/>
        <w:wordWrap/>
        <w:overflowPunct/>
        <w:topLinePunct w:val="0"/>
        <w:autoSpaceDE/>
        <w:autoSpaceDN/>
        <w:bidi w:val="0"/>
        <w:adjustRightInd w:val="0"/>
        <w:snapToGrid w:val="0"/>
        <w:spacing w:line="480" w:lineRule="auto"/>
        <w:ind w:left="0" w:leftChars="0" w:firstLine="0" w:firstLineChars="0"/>
        <w:textAlignment w:val="auto"/>
        <w:rPr>
          <w:sz w:val="28"/>
          <w:szCs w:val="28"/>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_Toc30253 </w:instrText>
      </w:r>
      <w:r>
        <w:rPr>
          <w:rFonts w:hint="eastAsia" w:ascii="宋体" w:hAnsi="宋体" w:eastAsia="宋体" w:cs="宋体"/>
          <w:sz w:val="28"/>
          <w:szCs w:val="48"/>
          <w:highlight w:val="none"/>
        </w:rPr>
        <w:fldChar w:fldCharType="separate"/>
      </w:r>
      <w:r>
        <w:rPr>
          <w:rFonts w:hint="eastAsia" w:ascii="Calibri" w:hAnsi="Calibri" w:eastAsia="宋体" w:cs="Calibri"/>
          <w:b/>
          <w:bCs/>
          <w:caps/>
          <w:smallCaps w:val="0"/>
          <w:kern w:val="2"/>
          <w:sz w:val="28"/>
          <w:szCs w:val="28"/>
          <w:lang w:val="en-US" w:eastAsia="zh-CN" w:bidi="ar-SA"/>
        </w:rPr>
        <w:t>第一章  竞争性谈判公告</w:t>
      </w:r>
      <w:r>
        <w:rPr>
          <w:sz w:val="28"/>
          <w:szCs w:val="28"/>
        </w:rPr>
        <w:tab/>
      </w:r>
      <w:r>
        <w:rPr>
          <w:sz w:val="28"/>
          <w:szCs w:val="28"/>
        </w:rPr>
        <w:fldChar w:fldCharType="begin"/>
      </w:r>
      <w:r>
        <w:rPr>
          <w:sz w:val="28"/>
          <w:szCs w:val="28"/>
        </w:rPr>
        <w:instrText xml:space="preserve"> PAGEREF _Toc30253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48"/>
          <w:highlight w:val="none"/>
        </w:rPr>
        <w:fldChar w:fldCharType="end"/>
      </w:r>
    </w:p>
    <w:p>
      <w:pPr>
        <w:pStyle w:val="22"/>
        <w:keepNext w:val="0"/>
        <w:keepLines w:val="0"/>
        <w:pageBreakBefore w:val="0"/>
        <w:widowControl w:val="0"/>
        <w:tabs>
          <w:tab w:val="right" w:leader="dot" w:pos="9780"/>
        </w:tabs>
        <w:kinsoku/>
        <w:wordWrap/>
        <w:overflowPunct/>
        <w:topLinePunct w:val="0"/>
        <w:autoSpaceDE/>
        <w:autoSpaceDN/>
        <w:bidi w:val="0"/>
        <w:adjustRightInd w:val="0"/>
        <w:snapToGrid w:val="0"/>
        <w:spacing w:line="480" w:lineRule="auto"/>
        <w:textAlignment w:val="auto"/>
        <w:rPr>
          <w:sz w:val="28"/>
          <w:szCs w:val="28"/>
        </w:rPr>
      </w:pPr>
      <w:r>
        <w:rPr>
          <w:rFonts w:hint="eastAsia" w:ascii="宋体" w:hAnsi="宋体" w:eastAsia="宋体" w:cs="宋体"/>
          <w:sz w:val="28"/>
          <w:szCs w:val="48"/>
          <w:highlight w:val="none"/>
        </w:rPr>
        <w:fldChar w:fldCharType="begin"/>
      </w:r>
      <w:r>
        <w:rPr>
          <w:rFonts w:hint="eastAsia" w:ascii="宋体" w:hAnsi="宋体" w:eastAsia="宋体" w:cs="宋体"/>
          <w:sz w:val="28"/>
          <w:szCs w:val="48"/>
          <w:highlight w:val="none"/>
        </w:rPr>
        <w:instrText xml:space="preserve"> HYPERLINK \l _Toc26711 </w:instrText>
      </w:r>
      <w:r>
        <w:rPr>
          <w:rFonts w:hint="eastAsia" w:ascii="宋体" w:hAnsi="宋体" w:eastAsia="宋体" w:cs="宋体"/>
          <w:sz w:val="28"/>
          <w:szCs w:val="48"/>
          <w:highlight w:val="none"/>
        </w:rPr>
        <w:fldChar w:fldCharType="separate"/>
      </w:r>
      <w:r>
        <w:rPr>
          <w:rFonts w:hint="eastAsia"/>
          <w:bCs/>
          <w:sz w:val="28"/>
          <w:szCs w:val="28"/>
        </w:rPr>
        <w:t xml:space="preserve">第二章  </w:t>
      </w:r>
      <w:r>
        <w:rPr>
          <w:rFonts w:hint="eastAsia"/>
          <w:bCs/>
          <w:sz w:val="28"/>
          <w:szCs w:val="28"/>
          <w:lang w:eastAsia="zh-CN"/>
        </w:rPr>
        <w:t>供应商</w:t>
      </w:r>
      <w:r>
        <w:rPr>
          <w:rFonts w:hint="eastAsia"/>
          <w:bCs/>
          <w:sz w:val="28"/>
          <w:szCs w:val="28"/>
        </w:rPr>
        <w:t>须知</w:t>
      </w:r>
      <w:r>
        <w:rPr>
          <w:sz w:val="28"/>
          <w:szCs w:val="28"/>
        </w:rPr>
        <w:tab/>
      </w:r>
      <w:r>
        <w:rPr>
          <w:sz w:val="28"/>
          <w:szCs w:val="28"/>
        </w:rPr>
        <w:fldChar w:fldCharType="begin"/>
      </w:r>
      <w:r>
        <w:rPr>
          <w:sz w:val="28"/>
          <w:szCs w:val="28"/>
        </w:rPr>
        <w:instrText xml:space="preserve"> PAGEREF _Toc26711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48"/>
          <w:highlight w:val="none"/>
        </w:rPr>
        <w:fldChar w:fldCharType="end"/>
      </w:r>
    </w:p>
    <w:p>
      <w:pPr>
        <w:pStyle w:val="27"/>
        <w:keepNext w:val="0"/>
        <w:keepLines w:val="0"/>
        <w:pageBreakBefore w:val="0"/>
        <w:widowControl w:val="0"/>
        <w:tabs>
          <w:tab w:val="right" w:leader="dot" w:pos="9780"/>
        </w:tabs>
        <w:kinsoku/>
        <w:wordWrap/>
        <w:overflowPunct/>
        <w:topLinePunct w:val="0"/>
        <w:autoSpaceDE/>
        <w:autoSpaceDN/>
        <w:bidi w:val="0"/>
        <w:adjustRightInd w:val="0"/>
        <w:snapToGrid w:val="0"/>
        <w:spacing w:line="480" w:lineRule="auto"/>
        <w:ind w:left="0" w:leftChars="0" w:firstLine="0" w:firstLineChars="0"/>
        <w:textAlignment w:val="auto"/>
        <w:rPr>
          <w:rFonts w:hint="eastAsia" w:ascii="Calibri" w:hAnsi="Calibri" w:eastAsia="宋体" w:cs="Calibri"/>
          <w:b/>
          <w:bCs/>
          <w:caps/>
          <w:smallCaps w:val="0"/>
          <w:kern w:val="2"/>
          <w:sz w:val="28"/>
          <w:szCs w:val="28"/>
          <w:lang w:val="en-US" w:eastAsia="zh-CN" w:bidi="ar-SA"/>
        </w:rPr>
      </w:pP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HYPERLINK \l _Toc18548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zh-CN" w:eastAsia="zh-CN" w:bidi="ar-SA"/>
        </w:rPr>
        <w:t xml:space="preserve">第三章 </w:t>
      </w:r>
      <w:r>
        <w:rPr>
          <w:rFonts w:hint="eastAsia" w:cs="Calibri"/>
          <w:b/>
          <w:bCs/>
          <w:caps/>
          <w:smallCaps w:val="0"/>
          <w:kern w:val="2"/>
          <w:sz w:val="28"/>
          <w:szCs w:val="28"/>
          <w:lang w:val="en-US" w:eastAsia="zh-CN" w:bidi="ar-SA"/>
        </w:rPr>
        <w:t xml:space="preserve"> </w:t>
      </w:r>
      <w:r>
        <w:rPr>
          <w:rFonts w:hint="eastAsia" w:ascii="Calibri" w:hAnsi="Calibri" w:eastAsia="宋体" w:cs="Calibri"/>
          <w:b/>
          <w:bCs/>
          <w:caps/>
          <w:smallCaps w:val="0"/>
          <w:kern w:val="2"/>
          <w:sz w:val="28"/>
          <w:szCs w:val="28"/>
          <w:lang w:val="en-US" w:eastAsia="zh-CN" w:bidi="ar-SA"/>
        </w:rPr>
        <w:t>货物采购</w:t>
      </w:r>
      <w:r>
        <w:rPr>
          <w:rFonts w:hint="eastAsia" w:ascii="Calibri" w:hAnsi="Calibri" w:eastAsia="宋体" w:cs="Calibri"/>
          <w:b/>
          <w:bCs/>
          <w:caps/>
          <w:smallCaps w:val="0"/>
          <w:kern w:val="2"/>
          <w:sz w:val="28"/>
          <w:szCs w:val="28"/>
          <w:lang w:val="zh-CN" w:eastAsia="zh-CN" w:bidi="ar-SA"/>
        </w:rPr>
        <w:t>需求</w:t>
      </w:r>
      <w:r>
        <w:rPr>
          <w:rFonts w:hint="eastAsia" w:ascii="Calibri" w:hAnsi="Calibri" w:eastAsia="宋体" w:cs="Calibri"/>
          <w:b/>
          <w:bCs/>
          <w:caps/>
          <w:smallCaps w:val="0"/>
          <w:kern w:val="2"/>
          <w:sz w:val="28"/>
          <w:szCs w:val="28"/>
          <w:lang w:val="en-US" w:eastAsia="zh-CN" w:bidi="ar-SA"/>
        </w:rPr>
        <w:tab/>
      </w: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PAGEREF _Toc18548 \h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16</w:t>
      </w:r>
      <w:r>
        <w:rPr>
          <w:rFonts w:hint="eastAsia" w:ascii="Calibri" w:hAnsi="Calibri" w:eastAsia="宋体" w:cs="Calibri"/>
          <w:b/>
          <w:bCs/>
          <w:caps/>
          <w:smallCaps w:val="0"/>
          <w:kern w:val="2"/>
          <w:sz w:val="28"/>
          <w:szCs w:val="28"/>
          <w:lang w:val="en-US" w:eastAsia="zh-CN" w:bidi="ar-SA"/>
        </w:rPr>
        <w:fldChar w:fldCharType="end"/>
      </w:r>
      <w:r>
        <w:rPr>
          <w:rFonts w:hint="eastAsia" w:ascii="Calibri" w:hAnsi="Calibri" w:eastAsia="宋体" w:cs="Calibri"/>
          <w:b/>
          <w:bCs/>
          <w:caps/>
          <w:smallCaps w:val="0"/>
          <w:kern w:val="2"/>
          <w:sz w:val="28"/>
          <w:szCs w:val="28"/>
          <w:lang w:val="en-US" w:eastAsia="zh-CN" w:bidi="ar-SA"/>
        </w:rPr>
        <w:fldChar w:fldCharType="end"/>
      </w:r>
    </w:p>
    <w:p>
      <w:pPr>
        <w:pStyle w:val="27"/>
        <w:keepNext w:val="0"/>
        <w:keepLines w:val="0"/>
        <w:pageBreakBefore w:val="0"/>
        <w:widowControl w:val="0"/>
        <w:tabs>
          <w:tab w:val="right" w:leader="dot" w:pos="9780"/>
        </w:tabs>
        <w:kinsoku/>
        <w:wordWrap/>
        <w:overflowPunct/>
        <w:topLinePunct w:val="0"/>
        <w:autoSpaceDE/>
        <w:autoSpaceDN/>
        <w:bidi w:val="0"/>
        <w:adjustRightInd w:val="0"/>
        <w:snapToGrid w:val="0"/>
        <w:spacing w:line="480" w:lineRule="auto"/>
        <w:ind w:left="0" w:leftChars="0" w:firstLine="0" w:firstLineChars="0"/>
        <w:textAlignment w:val="auto"/>
        <w:rPr>
          <w:rFonts w:hint="eastAsia" w:ascii="Calibri" w:hAnsi="Calibri" w:eastAsia="宋体" w:cs="Calibri"/>
          <w:b/>
          <w:bCs/>
          <w:caps/>
          <w:smallCaps w:val="0"/>
          <w:kern w:val="2"/>
          <w:sz w:val="28"/>
          <w:szCs w:val="28"/>
          <w:lang w:val="en-US" w:eastAsia="zh-CN" w:bidi="ar-SA"/>
        </w:rPr>
      </w:pP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HYPERLINK \l _Toc27539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第四章  评审方法</w:t>
      </w:r>
      <w:r>
        <w:rPr>
          <w:rFonts w:hint="eastAsia" w:ascii="Calibri" w:hAnsi="Calibri" w:eastAsia="宋体" w:cs="Calibri"/>
          <w:b/>
          <w:bCs/>
          <w:caps/>
          <w:smallCaps w:val="0"/>
          <w:kern w:val="2"/>
          <w:sz w:val="28"/>
          <w:szCs w:val="28"/>
          <w:lang w:val="en-US" w:eastAsia="zh-CN" w:bidi="ar-SA"/>
        </w:rPr>
        <w:tab/>
      </w: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PAGEREF _Toc27539 \h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17</w:t>
      </w:r>
      <w:r>
        <w:rPr>
          <w:rFonts w:hint="eastAsia" w:ascii="Calibri" w:hAnsi="Calibri" w:eastAsia="宋体" w:cs="Calibri"/>
          <w:b/>
          <w:bCs/>
          <w:caps/>
          <w:smallCaps w:val="0"/>
          <w:kern w:val="2"/>
          <w:sz w:val="28"/>
          <w:szCs w:val="28"/>
          <w:lang w:val="en-US" w:eastAsia="zh-CN" w:bidi="ar-SA"/>
        </w:rPr>
        <w:fldChar w:fldCharType="end"/>
      </w:r>
      <w:r>
        <w:rPr>
          <w:rFonts w:hint="eastAsia" w:ascii="Calibri" w:hAnsi="Calibri" w:eastAsia="宋体" w:cs="Calibri"/>
          <w:b/>
          <w:bCs/>
          <w:caps/>
          <w:smallCaps w:val="0"/>
          <w:kern w:val="2"/>
          <w:sz w:val="28"/>
          <w:szCs w:val="28"/>
          <w:lang w:val="en-US" w:eastAsia="zh-CN" w:bidi="ar-SA"/>
        </w:rPr>
        <w:fldChar w:fldCharType="end"/>
      </w:r>
    </w:p>
    <w:p>
      <w:pPr>
        <w:pStyle w:val="27"/>
        <w:keepNext w:val="0"/>
        <w:keepLines w:val="0"/>
        <w:pageBreakBefore w:val="0"/>
        <w:widowControl w:val="0"/>
        <w:tabs>
          <w:tab w:val="right" w:leader="dot" w:pos="9780"/>
        </w:tabs>
        <w:kinsoku/>
        <w:wordWrap/>
        <w:overflowPunct/>
        <w:topLinePunct w:val="0"/>
        <w:autoSpaceDE/>
        <w:autoSpaceDN/>
        <w:bidi w:val="0"/>
        <w:adjustRightInd w:val="0"/>
        <w:snapToGrid w:val="0"/>
        <w:spacing w:line="480" w:lineRule="auto"/>
        <w:ind w:left="0" w:leftChars="0" w:firstLine="0" w:firstLineChars="0"/>
        <w:textAlignment w:val="auto"/>
        <w:rPr>
          <w:rFonts w:hint="eastAsia" w:ascii="Calibri" w:hAnsi="Calibri" w:eastAsia="宋体" w:cs="Calibri"/>
          <w:b/>
          <w:bCs/>
          <w:caps/>
          <w:smallCaps w:val="0"/>
          <w:kern w:val="2"/>
          <w:sz w:val="28"/>
          <w:szCs w:val="28"/>
          <w:lang w:val="en-US" w:eastAsia="zh-CN" w:bidi="ar-SA"/>
        </w:rPr>
      </w:pP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HYPERLINK \l _Toc1498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 xml:space="preserve">第五章 </w:t>
      </w:r>
      <w:r>
        <w:rPr>
          <w:rFonts w:hint="eastAsia" w:cs="Calibri"/>
          <w:b/>
          <w:bCs/>
          <w:caps/>
          <w:smallCaps w:val="0"/>
          <w:kern w:val="2"/>
          <w:sz w:val="28"/>
          <w:szCs w:val="28"/>
          <w:lang w:val="en-US" w:eastAsia="zh-CN" w:bidi="ar-SA"/>
        </w:rPr>
        <w:t xml:space="preserve"> </w:t>
      </w:r>
      <w:r>
        <w:rPr>
          <w:rFonts w:hint="eastAsia" w:ascii="Calibri" w:hAnsi="Calibri" w:eastAsia="宋体" w:cs="Calibri"/>
          <w:b/>
          <w:bCs/>
          <w:caps/>
          <w:smallCaps w:val="0"/>
          <w:kern w:val="2"/>
          <w:sz w:val="28"/>
          <w:szCs w:val="28"/>
          <w:lang w:val="en-US" w:eastAsia="zh-CN" w:bidi="ar-SA"/>
        </w:rPr>
        <w:t>合同主要条款及格式</w:t>
      </w:r>
      <w:r>
        <w:rPr>
          <w:rFonts w:hint="eastAsia" w:ascii="Calibri" w:hAnsi="Calibri" w:eastAsia="宋体" w:cs="Calibri"/>
          <w:b/>
          <w:bCs/>
          <w:caps/>
          <w:smallCaps w:val="0"/>
          <w:kern w:val="2"/>
          <w:sz w:val="28"/>
          <w:szCs w:val="28"/>
          <w:lang w:val="en-US" w:eastAsia="zh-CN" w:bidi="ar-SA"/>
        </w:rPr>
        <w:tab/>
      </w: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PAGEREF _Toc1498 \h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21</w:t>
      </w:r>
      <w:r>
        <w:rPr>
          <w:rFonts w:hint="eastAsia" w:ascii="Calibri" w:hAnsi="Calibri" w:eastAsia="宋体" w:cs="Calibri"/>
          <w:b/>
          <w:bCs/>
          <w:caps/>
          <w:smallCaps w:val="0"/>
          <w:kern w:val="2"/>
          <w:sz w:val="28"/>
          <w:szCs w:val="28"/>
          <w:lang w:val="en-US" w:eastAsia="zh-CN" w:bidi="ar-SA"/>
        </w:rPr>
        <w:fldChar w:fldCharType="end"/>
      </w:r>
      <w:r>
        <w:rPr>
          <w:rFonts w:hint="eastAsia" w:ascii="Calibri" w:hAnsi="Calibri" w:eastAsia="宋体" w:cs="Calibri"/>
          <w:b/>
          <w:bCs/>
          <w:caps/>
          <w:smallCaps w:val="0"/>
          <w:kern w:val="2"/>
          <w:sz w:val="28"/>
          <w:szCs w:val="28"/>
          <w:lang w:val="en-US" w:eastAsia="zh-CN" w:bidi="ar-SA"/>
        </w:rPr>
        <w:fldChar w:fldCharType="end"/>
      </w:r>
    </w:p>
    <w:p>
      <w:pPr>
        <w:pStyle w:val="27"/>
        <w:keepNext w:val="0"/>
        <w:keepLines w:val="0"/>
        <w:pageBreakBefore w:val="0"/>
        <w:widowControl w:val="0"/>
        <w:tabs>
          <w:tab w:val="right" w:leader="dot" w:pos="9780"/>
        </w:tabs>
        <w:kinsoku/>
        <w:wordWrap/>
        <w:overflowPunct/>
        <w:topLinePunct w:val="0"/>
        <w:autoSpaceDE/>
        <w:autoSpaceDN/>
        <w:bidi w:val="0"/>
        <w:adjustRightInd w:val="0"/>
        <w:snapToGrid w:val="0"/>
        <w:spacing w:line="480" w:lineRule="auto"/>
        <w:ind w:left="0" w:leftChars="0" w:firstLine="0" w:firstLineChars="0"/>
        <w:textAlignment w:val="auto"/>
        <w:rPr>
          <w:sz w:val="28"/>
          <w:szCs w:val="28"/>
        </w:rPr>
      </w:pP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HYPERLINK \l _Toc23405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 xml:space="preserve">第六章 </w:t>
      </w:r>
      <w:r>
        <w:rPr>
          <w:rFonts w:hint="eastAsia" w:cs="Calibri"/>
          <w:b/>
          <w:bCs/>
          <w:caps/>
          <w:smallCaps w:val="0"/>
          <w:kern w:val="2"/>
          <w:sz w:val="28"/>
          <w:szCs w:val="28"/>
          <w:lang w:val="en-US" w:eastAsia="zh-CN" w:bidi="ar-SA"/>
        </w:rPr>
        <w:t xml:space="preserve"> </w:t>
      </w:r>
      <w:r>
        <w:rPr>
          <w:rFonts w:hint="eastAsia" w:ascii="Calibri" w:hAnsi="Calibri" w:eastAsia="宋体" w:cs="Calibri"/>
          <w:b/>
          <w:bCs/>
          <w:caps/>
          <w:smallCaps w:val="0"/>
          <w:kern w:val="2"/>
          <w:sz w:val="28"/>
          <w:szCs w:val="28"/>
          <w:lang w:val="en-US" w:eastAsia="zh-CN" w:bidi="ar-SA"/>
        </w:rPr>
        <w:t>响应文件格式</w:t>
      </w:r>
      <w:r>
        <w:rPr>
          <w:rFonts w:hint="eastAsia" w:ascii="Calibri" w:hAnsi="Calibri" w:eastAsia="宋体" w:cs="Calibri"/>
          <w:b/>
          <w:bCs/>
          <w:caps/>
          <w:smallCaps w:val="0"/>
          <w:kern w:val="2"/>
          <w:sz w:val="28"/>
          <w:szCs w:val="28"/>
          <w:lang w:val="en-US" w:eastAsia="zh-CN" w:bidi="ar-SA"/>
        </w:rPr>
        <w:tab/>
      </w:r>
      <w:r>
        <w:rPr>
          <w:rFonts w:hint="eastAsia" w:ascii="Calibri" w:hAnsi="Calibri" w:eastAsia="宋体" w:cs="Calibri"/>
          <w:b/>
          <w:bCs/>
          <w:caps/>
          <w:smallCaps w:val="0"/>
          <w:kern w:val="2"/>
          <w:sz w:val="28"/>
          <w:szCs w:val="28"/>
          <w:lang w:val="en-US" w:eastAsia="zh-CN" w:bidi="ar-SA"/>
        </w:rPr>
        <w:fldChar w:fldCharType="begin"/>
      </w:r>
      <w:r>
        <w:rPr>
          <w:rFonts w:hint="eastAsia" w:ascii="Calibri" w:hAnsi="Calibri" w:eastAsia="宋体" w:cs="Calibri"/>
          <w:b/>
          <w:bCs/>
          <w:caps/>
          <w:smallCaps w:val="0"/>
          <w:kern w:val="2"/>
          <w:sz w:val="28"/>
          <w:szCs w:val="28"/>
          <w:lang w:val="en-US" w:eastAsia="zh-CN" w:bidi="ar-SA"/>
        </w:rPr>
        <w:instrText xml:space="preserve"> PAGEREF _Toc23405 \h </w:instrText>
      </w:r>
      <w:r>
        <w:rPr>
          <w:rFonts w:hint="eastAsia" w:ascii="Calibri" w:hAnsi="Calibri" w:eastAsia="宋体" w:cs="Calibri"/>
          <w:b/>
          <w:bCs/>
          <w:caps/>
          <w:smallCaps w:val="0"/>
          <w:kern w:val="2"/>
          <w:sz w:val="28"/>
          <w:szCs w:val="28"/>
          <w:lang w:val="en-US" w:eastAsia="zh-CN" w:bidi="ar-SA"/>
        </w:rPr>
        <w:fldChar w:fldCharType="separate"/>
      </w:r>
      <w:r>
        <w:rPr>
          <w:rFonts w:hint="eastAsia" w:ascii="Calibri" w:hAnsi="Calibri" w:eastAsia="宋体" w:cs="Calibri"/>
          <w:b/>
          <w:bCs/>
          <w:caps/>
          <w:smallCaps w:val="0"/>
          <w:kern w:val="2"/>
          <w:sz w:val="28"/>
          <w:szCs w:val="28"/>
          <w:lang w:val="en-US" w:eastAsia="zh-CN" w:bidi="ar-SA"/>
        </w:rPr>
        <w:t>37</w:t>
      </w:r>
      <w:r>
        <w:rPr>
          <w:rFonts w:hint="eastAsia" w:ascii="Calibri" w:hAnsi="Calibri" w:eastAsia="宋体" w:cs="Calibri"/>
          <w:b/>
          <w:bCs/>
          <w:caps/>
          <w:smallCaps w:val="0"/>
          <w:kern w:val="2"/>
          <w:sz w:val="28"/>
          <w:szCs w:val="28"/>
          <w:lang w:val="en-US" w:eastAsia="zh-CN" w:bidi="ar-SA"/>
        </w:rPr>
        <w:fldChar w:fldCharType="end"/>
      </w:r>
      <w:r>
        <w:rPr>
          <w:rFonts w:hint="eastAsia" w:ascii="Calibri" w:hAnsi="Calibri" w:eastAsia="宋体" w:cs="Calibri"/>
          <w:b/>
          <w:bCs/>
          <w:caps/>
          <w:smallCaps w:val="0"/>
          <w:kern w:val="2"/>
          <w:sz w:val="28"/>
          <w:szCs w:val="28"/>
          <w:lang w:val="en-US" w:eastAsia="zh-CN" w:bidi="ar-SA"/>
        </w:rPr>
        <w:fldChar w:fldCharType="end"/>
      </w:r>
    </w:p>
    <w:p>
      <w:pPr>
        <w:pStyle w:val="2"/>
        <w:rPr>
          <w:rFonts w:hint="eastAsia" w:ascii="宋体" w:hAnsi="宋体" w:eastAsia="宋体" w:cs="宋体"/>
          <w:b/>
          <w:sz w:val="32"/>
          <w:szCs w:val="32"/>
          <w:highlight w:val="none"/>
        </w:rPr>
      </w:pPr>
      <w:r>
        <w:rPr>
          <w:rFonts w:hint="eastAsia" w:ascii="宋体" w:hAnsi="宋体" w:eastAsia="宋体" w:cs="宋体"/>
          <w:szCs w:val="32"/>
          <w:highlight w:val="none"/>
        </w:rPr>
        <w:fldChar w:fldCharType="end"/>
      </w: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pStyle w:val="32"/>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bidi w:val="0"/>
        <w:jc w:val="center"/>
        <w:rPr>
          <w:rFonts w:hint="eastAsia"/>
        </w:rPr>
      </w:pPr>
      <w:bookmarkStart w:id="7" w:name="_Toc30253"/>
      <w:r>
        <w:rPr>
          <w:rFonts w:hint="eastAsia"/>
        </w:rPr>
        <w:t>第一章  竞争性谈判</w:t>
      </w:r>
      <w:bookmarkEnd w:id="4"/>
      <w:bookmarkEnd w:id="5"/>
      <w:bookmarkEnd w:id="6"/>
      <w:r>
        <w:rPr>
          <w:rFonts w:hint="eastAsia"/>
        </w:rPr>
        <w:t>公告</w:t>
      </w:r>
      <w:bookmarkEnd w:id="7"/>
    </w:p>
    <w:p>
      <w:pPr>
        <w:pageBreakBefore w:val="0"/>
        <w:widowControl/>
        <w:kinsoku/>
        <w:wordWrap/>
        <w:overflowPunct/>
        <w:topLinePunct w:val="0"/>
        <w:autoSpaceDE/>
        <w:autoSpaceDN/>
        <w:bidi w:val="0"/>
        <w:snapToGrid/>
        <w:spacing w:line="360" w:lineRule="auto"/>
        <w:jc w:val="center"/>
        <w:textAlignment w:val="auto"/>
        <w:rPr>
          <w:rFonts w:hint="eastAsia" w:ascii="宋体" w:hAnsi="宋体" w:eastAsia="宋体" w:cs="宋体"/>
          <w:b w:val="0"/>
          <w:bCs/>
          <w:snapToGrid w:val="0"/>
          <w:sz w:val="24"/>
          <w:szCs w:val="24"/>
          <w:highlight w:val="none"/>
          <w:lang w:val="en-US" w:eastAsia="zh-CN"/>
        </w:rPr>
      </w:pPr>
      <w:r>
        <w:rPr>
          <w:rFonts w:hint="eastAsia" w:ascii="宋体" w:hAnsi="宋体" w:eastAsia="宋体" w:cs="宋体"/>
          <w:b w:val="0"/>
          <w:bCs/>
          <w:snapToGrid w:val="0"/>
          <w:sz w:val="24"/>
          <w:szCs w:val="24"/>
          <w:highlight w:val="none"/>
        </w:rPr>
        <w:t>项目编号：JM-2024-07-00810</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项目概况</w:t>
      </w:r>
    </w:p>
    <w:p>
      <w:pPr>
        <w:pStyle w:val="4"/>
        <w:pageBreakBefore w:val="0"/>
        <w:widowControl/>
        <w:kinsoku/>
        <w:wordWrap/>
        <w:overflowPunct/>
        <w:topLinePunct w:val="0"/>
        <w:autoSpaceDE/>
        <w:autoSpaceDN/>
        <w:bidi w:val="0"/>
        <w:snapToGrid/>
        <w:spacing w:before="0" w:after="0" w:line="360" w:lineRule="auto"/>
        <w:ind w:firstLine="480" w:firstLineChars="200"/>
        <w:jc w:val="left"/>
        <w:textAlignment w:val="auto"/>
        <w:rPr>
          <w:rFonts w:hint="eastAsia" w:ascii="宋体" w:hAnsi="宋体" w:eastAsia="宋体" w:cs="宋体"/>
          <w:b w:val="0"/>
          <w:kern w:val="0"/>
          <w:sz w:val="24"/>
          <w:szCs w:val="24"/>
          <w:highlight w:val="none"/>
          <w:lang w:val="en-US" w:eastAsia="zh-CN"/>
        </w:rPr>
      </w:pPr>
      <w:bookmarkStart w:id="8" w:name="_Toc24741"/>
      <w:r>
        <w:rPr>
          <w:rFonts w:hint="eastAsia" w:ascii="宋体" w:hAnsi="宋体" w:eastAsia="宋体" w:cs="宋体"/>
          <w:b w:val="0"/>
          <w:kern w:val="0"/>
          <w:sz w:val="24"/>
          <w:szCs w:val="24"/>
          <w:highlight w:val="none"/>
          <w:lang w:val="en-US" w:eastAsia="zh-CN"/>
        </w:rPr>
        <w:t>2024年防洪挡水板项目的潜在供应商应在“政采云”平台（https://www.zcygov.cn/）获取（下载）竞争性谈判文件，并于</w:t>
      </w:r>
      <w:r>
        <w:rPr>
          <w:rFonts w:hint="eastAsia" w:ascii="宋体" w:hAnsi="宋体" w:eastAsia="宋体" w:cs="宋体"/>
          <w:b w:val="0"/>
          <w:color w:val="000000"/>
          <w:kern w:val="0"/>
          <w:sz w:val="24"/>
          <w:szCs w:val="24"/>
          <w:highlight w:val="none"/>
          <w:lang w:val="en-US" w:eastAsia="zh-CN"/>
        </w:rPr>
        <w:t>2024年07月</w:t>
      </w:r>
      <w:r>
        <w:rPr>
          <w:rFonts w:hint="eastAsia" w:ascii="宋体" w:hAnsi="宋体" w:cs="宋体"/>
          <w:b w:val="0"/>
          <w:color w:val="000000"/>
          <w:kern w:val="0"/>
          <w:sz w:val="24"/>
          <w:szCs w:val="24"/>
          <w:highlight w:val="none"/>
          <w:lang w:val="en-US" w:eastAsia="zh-CN"/>
        </w:rPr>
        <w:t>29</w:t>
      </w:r>
      <w:r>
        <w:rPr>
          <w:rFonts w:hint="eastAsia" w:ascii="宋体" w:hAnsi="宋体" w:eastAsia="宋体" w:cs="宋体"/>
          <w:b w:val="0"/>
          <w:color w:val="000000"/>
          <w:kern w:val="0"/>
          <w:sz w:val="24"/>
          <w:szCs w:val="24"/>
          <w:highlight w:val="none"/>
          <w:lang w:val="en-US" w:eastAsia="zh-CN"/>
        </w:rPr>
        <w:t>日</w:t>
      </w:r>
      <w:r>
        <w:rPr>
          <w:rFonts w:hint="eastAsia" w:ascii="宋体" w:hAnsi="宋体" w:cs="宋体"/>
          <w:b w:val="0"/>
          <w:color w:val="000000"/>
          <w:kern w:val="0"/>
          <w:sz w:val="24"/>
          <w:szCs w:val="24"/>
          <w:highlight w:val="none"/>
          <w:lang w:val="en-US" w:eastAsia="zh-CN"/>
        </w:rPr>
        <w:t>15</w:t>
      </w:r>
      <w:r>
        <w:rPr>
          <w:rFonts w:hint="eastAsia" w:ascii="宋体" w:hAnsi="宋体" w:eastAsia="宋体" w:cs="宋体"/>
          <w:b w:val="0"/>
          <w:color w:val="000000"/>
          <w:kern w:val="0"/>
          <w:sz w:val="24"/>
          <w:szCs w:val="24"/>
          <w:highlight w:val="none"/>
          <w:lang w:val="en-US" w:eastAsia="zh-CN"/>
        </w:rPr>
        <w:t>时</w:t>
      </w:r>
      <w:r>
        <w:rPr>
          <w:rFonts w:hint="eastAsia" w:ascii="宋体" w:hAnsi="宋体" w:cs="宋体"/>
          <w:b w:val="0"/>
          <w:color w:val="000000"/>
          <w:kern w:val="0"/>
          <w:sz w:val="24"/>
          <w:szCs w:val="24"/>
          <w:highlight w:val="none"/>
          <w:lang w:val="en-US" w:eastAsia="zh-CN"/>
        </w:rPr>
        <w:t>3</w:t>
      </w:r>
      <w:r>
        <w:rPr>
          <w:rFonts w:hint="eastAsia" w:ascii="宋体" w:hAnsi="宋体" w:eastAsia="宋体" w:cs="宋体"/>
          <w:b w:val="0"/>
          <w:color w:val="000000"/>
          <w:kern w:val="0"/>
          <w:sz w:val="24"/>
          <w:szCs w:val="24"/>
          <w:highlight w:val="none"/>
          <w:lang w:val="en-US" w:eastAsia="zh-CN"/>
        </w:rPr>
        <w:t>0分</w:t>
      </w:r>
      <w:r>
        <w:rPr>
          <w:rFonts w:hint="eastAsia" w:ascii="宋体" w:hAnsi="宋体" w:eastAsia="宋体" w:cs="宋体"/>
          <w:b w:val="0"/>
          <w:kern w:val="0"/>
          <w:sz w:val="24"/>
          <w:szCs w:val="24"/>
          <w:highlight w:val="none"/>
          <w:lang w:val="en-US" w:eastAsia="zh-CN"/>
        </w:rPr>
        <w:t>（北京时间）前递交响应文件。</w:t>
      </w:r>
      <w:bookmarkEnd w:id="8"/>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一、项目基本情况：</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kern w:val="0"/>
          <w:sz w:val="24"/>
          <w:szCs w:val="24"/>
          <w:highlight w:val="none"/>
          <w:lang w:val="en-US" w:eastAsia="zh-CN"/>
        </w:rPr>
      </w:pPr>
      <w:r>
        <w:rPr>
          <w:rFonts w:hint="eastAsia" w:ascii="宋体" w:hAnsi="宋体" w:eastAsia="宋体" w:cs="宋体"/>
          <w:b w:val="0"/>
          <w:kern w:val="0"/>
          <w:sz w:val="24"/>
          <w:szCs w:val="24"/>
          <w:highlight w:val="none"/>
          <w:lang w:val="en-US" w:eastAsia="zh-CN"/>
        </w:rPr>
        <w:t>项目编号：JM-2024-07-00810</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项目名称：</w:t>
      </w:r>
      <w:r>
        <w:rPr>
          <w:rFonts w:hint="eastAsia" w:ascii="宋体" w:hAnsi="宋体" w:eastAsia="宋体" w:cs="宋体"/>
          <w:bCs/>
          <w:kern w:val="0"/>
          <w:sz w:val="24"/>
          <w:szCs w:val="24"/>
          <w:highlight w:val="none"/>
          <w:lang w:eastAsia="zh-CN"/>
        </w:rPr>
        <w:t>2024年防洪挡水板项目</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采购方式：竞争性谈判</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rPr>
        <w:t>预算金额：</w:t>
      </w:r>
      <w:r>
        <w:rPr>
          <w:rFonts w:hint="eastAsia" w:ascii="宋体" w:hAnsi="宋体" w:eastAsia="宋体" w:cs="宋体"/>
          <w:bCs/>
          <w:kern w:val="0"/>
          <w:sz w:val="24"/>
          <w:szCs w:val="24"/>
          <w:highlight w:val="none"/>
          <w:lang w:val="en-US" w:eastAsia="zh-CN"/>
        </w:rPr>
        <w:t>1200000</w:t>
      </w:r>
      <w:r>
        <w:rPr>
          <w:rFonts w:hint="eastAsia" w:ascii="宋体" w:hAnsi="宋体" w:eastAsia="宋体" w:cs="宋体"/>
          <w:bCs/>
          <w:kern w:val="0"/>
          <w:sz w:val="24"/>
          <w:szCs w:val="24"/>
          <w:highlight w:val="none"/>
        </w:rPr>
        <w:t>元</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采购</w:t>
      </w:r>
      <w:r>
        <w:rPr>
          <w:rFonts w:hint="eastAsia" w:ascii="宋体" w:hAnsi="宋体" w:eastAsia="宋体" w:cs="宋体"/>
          <w:bCs/>
          <w:kern w:val="0"/>
          <w:sz w:val="24"/>
          <w:szCs w:val="24"/>
          <w:highlight w:val="none"/>
        </w:rPr>
        <w:t>需求：为做好我市防汛应急准备工作，拟采购防洪挡水板1000个（详见第三章</w:t>
      </w:r>
      <w:r>
        <w:rPr>
          <w:rFonts w:hint="eastAsia" w:ascii="宋体" w:hAnsi="宋体" w:eastAsia="宋体" w:cs="宋体"/>
          <w:bCs/>
          <w:kern w:val="0"/>
          <w:sz w:val="24"/>
          <w:szCs w:val="24"/>
          <w:highlight w:val="none"/>
          <w:lang w:eastAsia="zh-CN"/>
        </w:rPr>
        <w:t>货物</w:t>
      </w:r>
      <w:r>
        <w:rPr>
          <w:rFonts w:hint="eastAsia" w:ascii="宋体" w:hAnsi="宋体" w:eastAsia="宋体" w:cs="宋体"/>
          <w:bCs/>
          <w:kern w:val="0"/>
          <w:sz w:val="24"/>
          <w:szCs w:val="24"/>
          <w:highlight w:val="none"/>
          <w:lang w:val="en-US" w:eastAsia="zh-CN"/>
        </w:rPr>
        <w:t>采购</w:t>
      </w:r>
      <w:r>
        <w:rPr>
          <w:rFonts w:hint="eastAsia" w:ascii="宋体" w:hAnsi="宋体" w:eastAsia="宋体" w:cs="宋体"/>
          <w:bCs/>
          <w:kern w:val="0"/>
          <w:sz w:val="24"/>
          <w:szCs w:val="24"/>
          <w:highlight w:val="none"/>
        </w:rPr>
        <w:t>需求）</w:t>
      </w:r>
      <w:r>
        <w:rPr>
          <w:rFonts w:hint="eastAsia" w:ascii="宋体" w:hAnsi="宋体" w:eastAsia="宋体" w:cs="宋体"/>
          <w:bCs/>
          <w:kern w:val="0"/>
          <w:sz w:val="24"/>
          <w:szCs w:val="24"/>
          <w:highlight w:val="none"/>
          <w:lang w:eastAsia="zh-CN"/>
        </w:rPr>
        <w:t>。</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合同履行期限</w:t>
      </w:r>
      <w:r>
        <w:rPr>
          <w:rFonts w:hint="eastAsia" w:ascii="宋体" w:hAnsi="宋体" w:eastAsia="宋体" w:cs="宋体"/>
          <w:bCs/>
          <w:kern w:val="0"/>
          <w:sz w:val="24"/>
          <w:szCs w:val="24"/>
          <w:highlight w:val="none"/>
        </w:rPr>
        <w:t>：</w:t>
      </w:r>
      <w:r>
        <w:rPr>
          <w:rFonts w:hint="eastAsia" w:ascii="宋体" w:hAnsi="宋体" w:cs="宋体"/>
          <w:sz w:val="24"/>
          <w:szCs w:val="24"/>
          <w:highlight w:val="none"/>
          <w:lang w:eastAsia="zh-CN"/>
        </w:rPr>
        <w:t xml:space="preserve">因本次采购属于汛期紧急采购，合同签订后10天内完成甲方指定地点全部供货。  </w:t>
      </w:r>
    </w:p>
    <w:p>
      <w:pPr>
        <w:pStyle w:val="4"/>
        <w:pageBreakBefore w:val="0"/>
        <w:widowControl/>
        <w:kinsoku/>
        <w:wordWrap/>
        <w:overflowPunct/>
        <w:topLinePunct w:val="0"/>
        <w:autoSpaceDE/>
        <w:autoSpaceDN/>
        <w:bidi w:val="0"/>
        <w:snapToGrid/>
        <w:spacing w:before="0" w:after="0" w:line="360" w:lineRule="auto"/>
        <w:ind w:firstLine="480" w:firstLineChars="200"/>
        <w:jc w:val="left"/>
        <w:textAlignment w:val="auto"/>
        <w:rPr>
          <w:rFonts w:hint="eastAsia" w:ascii="宋体" w:hAnsi="宋体" w:eastAsia="宋体" w:cs="宋体"/>
          <w:b w:val="0"/>
          <w:kern w:val="0"/>
          <w:sz w:val="24"/>
          <w:szCs w:val="24"/>
          <w:highlight w:val="none"/>
          <w:lang w:val="en-US" w:eastAsia="zh-CN"/>
        </w:rPr>
      </w:pPr>
      <w:bookmarkStart w:id="9" w:name="_Toc13363"/>
      <w:r>
        <w:rPr>
          <w:rFonts w:hint="eastAsia" w:ascii="宋体" w:hAnsi="宋体" w:eastAsia="宋体" w:cs="宋体"/>
          <w:b w:val="0"/>
          <w:kern w:val="0"/>
          <w:sz w:val="24"/>
          <w:szCs w:val="24"/>
          <w:highlight w:val="none"/>
          <w:lang w:val="en-US" w:eastAsia="zh-CN"/>
        </w:rPr>
        <w:t>本项目不接受联合体投标。</w:t>
      </w:r>
      <w:bookmarkEnd w:id="9"/>
    </w:p>
    <w:p>
      <w:pPr>
        <w:pageBreakBefore w:val="0"/>
        <w:kinsoku/>
        <w:wordWrap/>
        <w:overflowPunct/>
        <w:topLinePunct w:val="0"/>
        <w:autoSpaceDE/>
        <w:autoSpaceDN/>
        <w:bidi w:val="0"/>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二、申请人的资格要求：</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bookmarkStart w:id="10" w:name="_bookmark3"/>
      <w:bookmarkEnd w:id="10"/>
      <w:r>
        <w:rPr>
          <w:rFonts w:hint="eastAsia" w:ascii="宋体" w:hAnsi="宋体" w:eastAsia="宋体" w:cs="宋体"/>
          <w:sz w:val="24"/>
          <w:szCs w:val="24"/>
          <w:lang w:val="en-US" w:eastAsia="zh-CN"/>
        </w:rPr>
        <w:t>1.满足《中华人民共和国政府采购法》第二十二条规定。</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2．落实政府采购政策需满足的资格要求</w:t>
      </w:r>
      <w:r>
        <w:rPr>
          <w:rFonts w:hint="eastAsia" w:ascii="宋体" w:hAnsi="宋体" w:eastAsia="宋体" w:cs="宋体"/>
          <w:sz w:val="24"/>
          <w:szCs w:val="24"/>
          <w:highlight w:val="none"/>
          <w:lang w:val="en-US" w:eastAsia="zh-CN"/>
        </w:rPr>
        <w:t>：本项目专门面向中小企业采购。</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在中华人民共和国境内注册，能够独立承担民事责任的企业法人或其他组织。</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本项目投标人须具备有效的营业执照，并在人员、资金、设备等方面具有相应的承揽能力。</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投标人参加采购活动应当提交反映其财务状况、依法缴纳税收和社保保障资金情况的资格条件承诺函。</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拒绝列入政府取消投标资格记录期间的企业或个人投标，参加政府采购活动前3年内在经营活动中没有重大违法记录。</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 投标人近三年内（截止到本项目公告发布之日）未被工商行政管理机关在全国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单位负责人为同一人或者存在直接控股、管理关系的不同投标人，不得参加同一合同项下的政府采购活动。</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rPr>
        <w:t>三、获取</w:t>
      </w:r>
      <w:r>
        <w:rPr>
          <w:rFonts w:hint="eastAsia" w:ascii="宋体" w:hAnsi="宋体" w:eastAsia="宋体" w:cs="宋体"/>
          <w:b/>
          <w:bCs w:val="0"/>
          <w:sz w:val="24"/>
          <w:szCs w:val="24"/>
          <w:highlight w:val="none"/>
          <w:lang w:val="en-US" w:eastAsia="zh-CN"/>
        </w:rPr>
        <w:t>谈判</w:t>
      </w:r>
      <w:r>
        <w:rPr>
          <w:rFonts w:hint="eastAsia" w:ascii="宋体" w:hAnsi="宋体" w:eastAsia="宋体" w:cs="宋体"/>
          <w:b/>
          <w:bCs w:val="0"/>
          <w:sz w:val="24"/>
          <w:szCs w:val="24"/>
          <w:highlight w:val="none"/>
        </w:rPr>
        <w:t>文件</w:t>
      </w:r>
      <w:r>
        <w:rPr>
          <w:rFonts w:hint="eastAsia" w:ascii="宋体" w:hAnsi="宋体" w:eastAsia="宋体" w:cs="宋体"/>
          <w:b/>
          <w:bCs w:val="0"/>
          <w:sz w:val="24"/>
          <w:szCs w:val="24"/>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lang w:val="en-US" w:eastAsia="zh-CN"/>
        </w:rPr>
        <w:t>时间：2024年</w:t>
      </w:r>
      <w:r>
        <w:rPr>
          <w:rFonts w:hint="eastAsia" w:ascii="宋体" w:hAnsi="宋体" w:cs="宋体"/>
          <w:bCs/>
          <w:snapToGrid w:val="0"/>
          <w:sz w:val="24"/>
          <w:szCs w:val="24"/>
          <w:highlight w:val="none"/>
          <w:lang w:val="en-US" w:eastAsia="zh-CN"/>
        </w:rPr>
        <w:t>7</w:t>
      </w:r>
      <w:r>
        <w:rPr>
          <w:rFonts w:hint="eastAsia" w:ascii="宋体" w:hAnsi="宋体" w:eastAsia="宋体" w:cs="宋体"/>
          <w:bCs/>
          <w:snapToGrid w:val="0"/>
          <w:sz w:val="24"/>
          <w:szCs w:val="24"/>
          <w:highlight w:val="none"/>
          <w:lang w:val="en-US" w:eastAsia="zh-CN"/>
        </w:rPr>
        <w:t>月</w:t>
      </w:r>
      <w:r>
        <w:rPr>
          <w:rFonts w:hint="eastAsia" w:ascii="宋体" w:hAnsi="宋体" w:cs="宋体"/>
          <w:bCs/>
          <w:snapToGrid w:val="0"/>
          <w:sz w:val="24"/>
          <w:szCs w:val="24"/>
          <w:highlight w:val="none"/>
          <w:lang w:val="en-US" w:eastAsia="zh-CN"/>
        </w:rPr>
        <w:t>24</w:t>
      </w:r>
      <w:r>
        <w:rPr>
          <w:rFonts w:hint="eastAsia" w:ascii="宋体" w:hAnsi="宋体" w:eastAsia="宋体" w:cs="宋体"/>
          <w:bCs/>
          <w:snapToGrid w:val="0"/>
          <w:sz w:val="24"/>
          <w:szCs w:val="24"/>
          <w:highlight w:val="none"/>
          <w:lang w:val="en-US" w:eastAsia="zh-CN"/>
        </w:rPr>
        <w:t>日至2024年</w:t>
      </w:r>
      <w:r>
        <w:rPr>
          <w:rFonts w:hint="eastAsia" w:ascii="宋体" w:hAnsi="宋体" w:cs="宋体"/>
          <w:bCs/>
          <w:snapToGrid w:val="0"/>
          <w:sz w:val="24"/>
          <w:szCs w:val="24"/>
          <w:highlight w:val="none"/>
          <w:lang w:val="en-US" w:eastAsia="zh-CN"/>
        </w:rPr>
        <w:t>7</w:t>
      </w:r>
      <w:r>
        <w:rPr>
          <w:rFonts w:hint="eastAsia" w:ascii="宋体" w:hAnsi="宋体" w:eastAsia="宋体" w:cs="宋体"/>
          <w:bCs/>
          <w:snapToGrid w:val="0"/>
          <w:sz w:val="24"/>
          <w:szCs w:val="24"/>
          <w:highlight w:val="none"/>
          <w:lang w:val="en-US" w:eastAsia="zh-CN"/>
        </w:rPr>
        <w:t>月</w:t>
      </w:r>
      <w:r>
        <w:rPr>
          <w:rFonts w:hint="eastAsia" w:ascii="宋体" w:hAnsi="宋体" w:cs="宋体"/>
          <w:bCs/>
          <w:snapToGrid w:val="0"/>
          <w:sz w:val="24"/>
          <w:szCs w:val="24"/>
          <w:highlight w:val="none"/>
          <w:lang w:val="en-US" w:eastAsia="zh-CN"/>
        </w:rPr>
        <w:t>26</w:t>
      </w:r>
      <w:r>
        <w:rPr>
          <w:rFonts w:hint="eastAsia" w:ascii="宋体" w:hAnsi="宋体" w:eastAsia="宋体" w:cs="宋体"/>
          <w:bCs/>
          <w:snapToGrid w:val="0"/>
          <w:sz w:val="24"/>
          <w:szCs w:val="24"/>
          <w:highlight w:val="none"/>
          <w:lang w:val="en-US" w:eastAsia="zh-CN"/>
        </w:rPr>
        <w:t>日（每日上午</w:t>
      </w:r>
      <w:r>
        <w:rPr>
          <w:rFonts w:hint="eastAsia" w:ascii="宋体" w:hAnsi="宋体" w:cs="宋体"/>
          <w:bCs/>
          <w:snapToGrid w:val="0"/>
          <w:sz w:val="24"/>
          <w:szCs w:val="24"/>
          <w:highlight w:val="none"/>
          <w:lang w:val="en-US" w:eastAsia="zh-CN"/>
        </w:rPr>
        <w:t>9</w:t>
      </w:r>
      <w:r>
        <w:rPr>
          <w:rFonts w:hint="eastAsia" w:ascii="宋体" w:hAnsi="宋体" w:eastAsia="宋体" w:cs="宋体"/>
          <w:bCs/>
          <w:snapToGrid w:val="0"/>
          <w:sz w:val="24"/>
          <w:szCs w:val="24"/>
          <w:highlight w:val="none"/>
          <w:lang w:val="en-US" w:eastAsia="zh-CN"/>
        </w:rPr>
        <w:t>：</w:t>
      </w:r>
      <w:r>
        <w:rPr>
          <w:rFonts w:hint="eastAsia" w:ascii="宋体" w:hAnsi="宋体" w:cs="宋体"/>
          <w:bCs/>
          <w:snapToGrid w:val="0"/>
          <w:sz w:val="24"/>
          <w:szCs w:val="24"/>
          <w:highlight w:val="none"/>
          <w:lang w:val="en-US" w:eastAsia="zh-CN"/>
        </w:rPr>
        <w:t>0</w:t>
      </w:r>
      <w:r>
        <w:rPr>
          <w:rFonts w:hint="eastAsia" w:ascii="宋体" w:hAnsi="宋体" w:eastAsia="宋体" w:cs="宋体"/>
          <w:bCs/>
          <w:snapToGrid w:val="0"/>
          <w:sz w:val="24"/>
          <w:szCs w:val="24"/>
          <w:highlight w:val="none"/>
          <w:lang w:val="en-US" w:eastAsia="zh-CN"/>
        </w:rPr>
        <w:t>0起至下午16：00止）</w:t>
      </w:r>
    </w:p>
    <w:p>
      <w:pPr>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lang w:val="en-US" w:eastAsia="zh-CN"/>
        </w:rPr>
        <w:t>地点：政府采购云平台</w:t>
      </w:r>
    </w:p>
    <w:p>
      <w:pPr>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snapToGrid w:val="0"/>
          <w:sz w:val="24"/>
          <w:szCs w:val="24"/>
          <w:highlight w:val="none"/>
          <w:lang w:val="en-US" w:eastAsia="zh-CN"/>
        </w:rPr>
      </w:pPr>
      <w:r>
        <w:rPr>
          <w:rFonts w:hint="eastAsia" w:ascii="宋体" w:hAnsi="宋体" w:eastAsia="宋体" w:cs="宋体"/>
          <w:bCs/>
          <w:snapToGrid w:val="0"/>
          <w:sz w:val="24"/>
          <w:szCs w:val="24"/>
          <w:highlight w:val="none"/>
          <w:lang w:val="en-US" w:eastAsia="zh-CN"/>
        </w:rPr>
        <w:t>方式：网上免费获取（潜在供应商自行登录政府采购云平台（网址：http:// www.zcygov.cn）注册（https://middle.zcygov.cn/v-settle-front/registry）并下载竞争性谈判文件，其他途径获取的竞争性谈判文件一律按无效投标处理）。</w:t>
      </w:r>
    </w:p>
    <w:p>
      <w:pPr>
        <w:pageBreakBefore w:val="0"/>
        <w:tabs>
          <w:tab w:val="left" w:pos="0"/>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Cs/>
          <w:snapToGrid w:val="0"/>
          <w:sz w:val="24"/>
          <w:szCs w:val="24"/>
          <w:highlight w:val="none"/>
          <w:lang w:val="en-US" w:eastAsia="zh-CN"/>
        </w:rPr>
        <w:t>售价：0元。</w:t>
      </w:r>
      <w:r>
        <w:rPr>
          <w:rFonts w:hint="eastAsia" w:ascii="宋体" w:hAnsi="宋体" w:eastAsia="宋体" w:cs="宋体"/>
          <w:bCs/>
          <w:snapToGrid w:val="0"/>
          <w:sz w:val="24"/>
          <w:szCs w:val="24"/>
          <w:highlight w:val="none"/>
          <w:lang w:val="en-US" w:eastAsia="zh-CN"/>
        </w:rPr>
        <w:tab/>
      </w:r>
    </w:p>
    <w:p>
      <w:pPr>
        <w:pageBreakBefore w:val="0"/>
        <w:widowControl/>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响应文件提交</w:t>
      </w:r>
      <w:r>
        <w:rPr>
          <w:rFonts w:hint="eastAsia" w:ascii="宋体" w:hAnsi="宋体" w:eastAsia="宋体" w:cs="宋体"/>
          <w:b/>
          <w:bCs/>
          <w:sz w:val="24"/>
          <w:szCs w:val="24"/>
          <w:highlight w:val="none"/>
          <w:lang w:val="en-US" w:eastAsia="zh-CN"/>
        </w:rPr>
        <w:t>:</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截止</w:t>
      </w:r>
      <w:r>
        <w:rPr>
          <w:rFonts w:hint="eastAsia" w:ascii="宋体" w:hAnsi="宋体" w:eastAsia="宋体" w:cs="宋体"/>
          <w:bCs/>
          <w:kern w:val="0"/>
          <w:sz w:val="24"/>
          <w:szCs w:val="24"/>
          <w:highlight w:val="none"/>
        </w:rPr>
        <w:t>时间：</w:t>
      </w:r>
      <w:r>
        <w:rPr>
          <w:rFonts w:hint="eastAsia" w:ascii="宋体" w:hAnsi="宋体" w:eastAsia="宋体" w:cs="宋体"/>
          <w:b w:val="0"/>
          <w:color w:val="000000"/>
          <w:kern w:val="0"/>
          <w:sz w:val="24"/>
          <w:szCs w:val="24"/>
          <w:highlight w:val="none"/>
          <w:lang w:val="en-US" w:eastAsia="zh-CN"/>
        </w:rPr>
        <w:t>2024年07月</w:t>
      </w:r>
      <w:r>
        <w:rPr>
          <w:rFonts w:hint="eastAsia" w:ascii="宋体" w:hAnsi="宋体" w:cs="宋体"/>
          <w:b w:val="0"/>
          <w:color w:val="000000"/>
          <w:kern w:val="0"/>
          <w:sz w:val="24"/>
          <w:szCs w:val="24"/>
          <w:highlight w:val="none"/>
          <w:lang w:val="en-US" w:eastAsia="zh-CN"/>
        </w:rPr>
        <w:t>29</w:t>
      </w:r>
      <w:r>
        <w:rPr>
          <w:rFonts w:hint="eastAsia" w:ascii="宋体" w:hAnsi="宋体" w:eastAsia="宋体" w:cs="宋体"/>
          <w:b w:val="0"/>
          <w:color w:val="000000"/>
          <w:kern w:val="0"/>
          <w:sz w:val="24"/>
          <w:szCs w:val="24"/>
          <w:highlight w:val="none"/>
          <w:lang w:val="en-US" w:eastAsia="zh-CN"/>
        </w:rPr>
        <w:t>日</w:t>
      </w:r>
      <w:r>
        <w:rPr>
          <w:rFonts w:hint="eastAsia" w:ascii="宋体" w:hAnsi="宋体" w:cs="宋体"/>
          <w:b w:val="0"/>
          <w:color w:val="000000"/>
          <w:kern w:val="0"/>
          <w:sz w:val="24"/>
          <w:szCs w:val="24"/>
          <w:highlight w:val="none"/>
          <w:lang w:val="en-US" w:eastAsia="zh-CN"/>
        </w:rPr>
        <w:t>15</w:t>
      </w:r>
      <w:r>
        <w:rPr>
          <w:rFonts w:hint="eastAsia" w:ascii="宋体" w:hAnsi="宋体" w:eastAsia="宋体" w:cs="宋体"/>
          <w:b w:val="0"/>
          <w:color w:val="000000"/>
          <w:kern w:val="0"/>
          <w:sz w:val="24"/>
          <w:szCs w:val="24"/>
          <w:highlight w:val="none"/>
          <w:lang w:val="en-US" w:eastAsia="zh-CN"/>
        </w:rPr>
        <w:t>时</w:t>
      </w:r>
      <w:r>
        <w:rPr>
          <w:rFonts w:hint="eastAsia" w:ascii="宋体" w:hAnsi="宋体" w:cs="宋体"/>
          <w:b w:val="0"/>
          <w:color w:val="000000"/>
          <w:kern w:val="0"/>
          <w:sz w:val="24"/>
          <w:szCs w:val="24"/>
          <w:highlight w:val="none"/>
          <w:lang w:val="en-US" w:eastAsia="zh-CN"/>
        </w:rPr>
        <w:t>3</w:t>
      </w:r>
      <w:r>
        <w:rPr>
          <w:rFonts w:hint="eastAsia" w:ascii="宋体" w:hAnsi="宋体" w:eastAsia="宋体" w:cs="宋体"/>
          <w:b w:val="0"/>
          <w:color w:val="000000"/>
          <w:kern w:val="0"/>
          <w:sz w:val="24"/>
          <w:szCs w:val="24"/>
          <w:highlight w:val="none"/>
          <w:lang w:val="en-US" w:eastAsia="zh-CN"/>
        </w:rPr>
        <w:t>0分</w:t>
      </w:r>
      <w:r>
        <w:rPr>
          <w:rFonts w:hint="eastAsia" w:ascii="宋体" w:hAnsi="宋体" w:eastAsia="宋体" w:cs="宋体"/>
          <w:bCs/>
          <w:kern w:val="0"/>
          <w:sz w:val="24"/>
          <w:szCs w:val="24"/>
          <w:highlight w:val="none"/>
        </w:rPr>
        <w:t>（北京时间）；</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地点：长春市二道区洋浦大街6999号凯利中心AB栋101开标</w:t>
      </w:r>
      <w:r>
        <w:rPr>
          <w:rFonts w:hint="eastAsia" w:ascii="宋体" w:hAnsi="宋体" w:eastAsia="宋体" w:cs="宋体"/>
          <w:bCs/>
          <w:kern w:val="0"/>
          <w:sz w:val="24"/>
          <w:szCs w:val="24"/>
          <w:highlight w:val="none"/>
          <w:lang w:eastAsia="zh-CN"/>
        </w:rPr>
        <w:t>四</w:t>
      </w:r>
      <w:r>
        <w:rPr>
          <w:rFonts w:hint="eastAsia" w:ascii="宋体" w:hAnsi="宋体" w:eastAsia="宋体" w:cs="宋体"/>
          <w:bCs/>
          <w:kern w:val="0"/>
          <w:sz w:val="24"/>
          <w:szCs w:val="24"/>
          <w:highlight w:val="none"/>
        </w:rPr>
        <w:t xml:space="preserve">室； </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本项目采用全流程电子化采购，需通过政府采购云平台（https://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numPr>
          <w:ilvl w:val="0"/>
          <w:numId w:val="2"/>
        </w:numPr>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开启</w:t>
      </w:r>
      <w:r>
        <w:rPr>
          <w:rFonts w:hint="eastAsia" w:ascii="宋体" w:hAnsi="宋体" w:eastAsia="宋体" w:cs="宋体"/>
          <w:b/>
          <w:snapToGrid w:val="0"/>
          <w:sz w:val="24"/>
          <w:szCs w:val="24"/>
          <w:highlight w:val="none"/>
          <w:lang w:eastAsia="zh-CN"/>
        </w:rPr>
        <w:t>：</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截止</w:t>
      </w:r>
      <w:r>
        <w:rPr>
          <w:rFonts w:hint="eastAsia" w:ascii="宋体" w:hAnsi="宋体" w:eastAsia="宋体" w:cs="宋体"/>
          <w:bCs/>
          <w:kern w:val="0"/>
          <w:sz w:val="24"/>
          <w:szCs w:val="24"/>
          <w:highlight w:val="none"/>
        </w:rPr>
        <w:t>时间：</w:t>
      </w:r>
      <w:r>
        <w:rPr>
          <w:rFonts w:hint="eastAsia" w:ascii="宋体" w:hAnsi="宋体" w:eastAsia="宋体" w:cs="宋体"/>
          <w:b w:val="0"/>
          <w:color w:val="000000"/>
          <w:kern w:val="0"/>
          <w:sz w:val="24"/>
          <w:szCs w:val="24"/>
          <w:highlight w:val="none"/>
          <w:lang w:val="en-US" w:eastAsia="zh-CN"/>
        </w:rPr>
        <w:t>2024年07月</w:t>
      </w:r>
      <w:r>
        <w:rPr>
          <w:rFonts w:hint="eastAsia" w:ascii="宋体" w:hAnsi="宋体" w:cs="宋体"/>
          <w:b w:val="0"/>
          <w:color w:val="000000"/>
          <w:kern w:val="0"/>
          <w:sz w:val="24"/>
          <w:szCs w:val="24"/>
          <w:highlight w:val="none"/>
          <w:lang w:val="en-US" w:eastAsia="zh-CN"/>
        </w:rPr>
        <w:t>29</w:t>
      </w:r>
      <w:r>
        <w:rPr>
          <w:rFonts w:hint="eastAsia" w:ascii="宋体" w:hAnsi="宋体" w:eastAsia="宋体" w:cs="宋体"/>
          <w:b w:val="0"/>
          <w:color w:val="000000"/>
          <w:kern w:val="0"/>
          <w:sz w:val="24"/>
          <w:szCs w:val="24"/>
          <w:highlight w:val="none"/>
          <w:lang w:val="en-US" w:eastAsia="zh-CN"/>
        </w:rPr>
        <w:t>日</w:t>
      </w:r>
      <w:r>
        <w:rPr>
          <w:rFonts w:hint="eastAsia" w:ascii="宋体" w:hAnsi="宋体" w:cs="宋体"/>
          <w:b w:val="0"/>
          <w:color w:val="000000"/>
          <w:kern w:val="0"/>
          <w:sz w:val="24"/>
          <w:szCs w:val="24"/>
          <w:highlight w:val="none"/>
          <w:lang w:val="en-US" w:eastAsia="zh-CN"/>
        </w:rPr>
        <w:t>15</w:t>
      </w:r>
      <w:r>
        <w:rPr>
          <w:rFonts w:hint="eastAsia" w:ascii="宋体" w:hAnsi="宋体" w:eastAsia="宋体" w:cs="宋体"/>
          <w:b w:val="0"/>
          <w:color w:val="000000"/>
          <w:kern w:val="0"/>
          <w:sz w:val="24"/>
          <w:szCs w:val="24"/>
          <w:highlight w:val="none"/>
          <w:lang w:val="en-US" w:eastAsia="zh-CN"/>
        </w:rPr>
        <w:t>时</w:t>
      </w:r>
      <w:r>
        <w:rPr>
          <w:rFonts w:hint="eastAsia" w:ascii="宋体" w:hAnsi="宋体" w:cs="宋体"/>
          <w:b w:val="0"/>
          <w:color w:val="000000"/>
          <w:kern w:val="0"/>
          <w:sz w:val="24"/>
          <w:szCs w:val="24"/>
          <w:highlight w:val="none"/>
          <w:lang w:val="en-US" w:eastAsia="zh-CN"/>
        </w:rPr>
        <w:t>3</w:t>
      </w:r>
      <w:r>
        <w:rPr>
          <w:rFonts w:hint="eastAsia" w:ascii="宋体" w:hAnsi="宋体" w:eastAsia="宋体" w:cs="宋体"/>
          <w:b w:val="0"/>
          <w:color w:val="000000"/>
          <w:kern w:val="0"/>
          <w:sz w:val="24"/>
          <w:szCs w:val="24"/>
          <w:highlight w:val="none"/>
          <w:lang w:val="en-US" w:eastAsia="zh-CN"/>
        </w:rPr>
        <w:t>0分</w:t>
      </w:r>
      <w:r>
        <w:rPr>
          <w:rFonts w:hint="eastAsia" w:ascii="宋体" w:hAnsi="宋体" w:eastAsia="宋体" w:cs="宋体"/>
          <w:bCs/>
          <w:kern w:val="0"/>
          <w:sz w:val="24"/>
          <w:szCs w:val="24"/>
          <w:highlight w:val="none"/>
        </w:rPr>
        <w:t>（北京时间）；</w:t>
      </w:r>
    </w:p>
    <w:p>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地点：长春市二道区洋浦大街6999号凯利中心AB栋101开标</w:t>
      </w:r>
      <w:r>
        <w:rPr>
          <w:rFonts w:hint="eastAsia" w:ascii="宋体" w:hAnsi="宋体" w:eastAsia="宋体" w:cs="宋体"/>
          <w:bCs/>
          <w:kern w:val="0"/>
          <w:sz w:val="24"/>
          <w:szCs w:val="24"/>
          <w:highlight w:val="none"/>
          <w:lang w:eastAsia="zh-CN"/>
        </w:rPr>
        <w:t>四</w:t>
      </w:r>
      <w:r>
        <w:rPr>
          <w:rFonts w:hint="eastAsia" w:ascii="宋体" w:hAnsi="宋体" w:eastAsia="宋体" w:cs="宋体"/>
          <w:bCs/>
          <w:kern w:val="0"/>
          <w:sz w:val="24"/>
          <w:szCs w:val="24"/>
          <w:highlight w:val="none"/>
        </w:rPr>
        <w:t xml:space="preserve">室； </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lang w:val="en-US" w:eastAsia="zh-CN"/>
        </w:rPr>
      </w:pPr>
      <w:r>
        <w:rPr>
          <w:rFonts w:hint="eastAsia" w:ascii="宋体" w:hAnsi="宋体" w:eastAsia="宋体" w:cs="宋体"/>
          <w:b/>
          <w:snapToGrid w:val="0"/>
          <w:sz w:val="24"/>
          <w:szCs w:val="24"/>
          <w:highlight w:val="none"/>
          <w:lang w:eastAsia="zh-CN"/>
        </w:rPr>
        <w:t>六、</w:t>
      </w:r>
      <w:r>
        <w:rPr>
          <w:rFonts w:hint="eastAsia" w:ascii="宋体" w:hAnsi="宋体" w:eastAsia="宋体" w:cs="宋体"/>
          <w:b/>
          <w:snapToGrid w:val="0"/>
          <w:sz w:val="24"/>
          <w:szCs w:val="24"/>
          <w:highlight w:val="none"/>
        </w:rPr>
        <w:t>公告期限</w:t>
      </w:r>
      <w:r>
        <w:rPr>
          <w:rFonts w:hint="eastAsia" w:ascii="宋体" w:hAnsi="宋体" w:eastAsia="宋体" w:cs="宋体"/>
          <w:b/>
          <w:snapToGrid w:val="0"/>
          <w:sz w:val="24"/>
          <w:szCs w:val="24"/>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 w:val="24"/>
          <w:szCs w:val="24"/>
          <w:highlight w:val="none"/>
          <w:lang w:eastAsia="zh-CN"/>
        </w:rPr>
      </w:pPr>
      <w:r>
        <w:rPr>
          <w:rFonts w:hint="eastAsia" w:ascii="宋体" w:hAnsi="宋体" w:eastAsia="宋体" w:cs="宋体"/>
          <w:bCs/>
          <w:snapToGrid w:val="0"/>
          <w:sz w:val="24"/>
          <w:szCs w:val="24"/>
          <w:highlight w:val="none"/>
        </w:rPr>
        <w:t>自本公告发布之日起3个工作日</w:t>
      </w:r>
      <w:r>
        <w:rPr>
          <w:rFonts w:hint="eastAsia" w:ascii="宋体" w:hAnsi="宋体" w:eastAsia="宋体" w:cs="宋体"/>
          <w:bCs/>
          <w:snapToGrid w:val="0"/>
          <w:sz w:val="24"/>
          <w:szCs w:val="24"/>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 w:val="24"/>
          <w:szCs w:val="24"/>
          <w:highlight w:val="none"/>
          <w:lang w:val="en-US" w:eastAsia="zh-CN"/>
        </w:rPr>
      </w:pPr>
      <w:r>
        <w:rPr>
          <w:rFonts w:hint="eastAsia" w:ascii="宋体" w:hAnsi="宋体" w:eastAsia="宋体" w:cs="宋体"/>
          <w:b/>
          <w:snapToGrid w:val="0"/>
          <w:sz w:val="24"/>
          <w:szCs w:val="24"/>
          <w:highlight w:val="none"/>
          <w:lang w:eastAsia="zh-CN"/>
        </w:rPr>
        <w:t>七</w:t>
      </w:r>
      <w:r>
        <w:rPr>
          <w:rFonts w:hint="eastAsia" w:ascii="宋体" w:hAnsi="宋体" w:eastAsia="宋体" w:cs="宋体"/>
          <w:b/>
          <w:snapToGrid w:val="0"/>
          <w:sz w:val="24"/>
          <w:szCs w:val="24"/>
          <w:highlight w:val="none"/>
        </w:rPr>
        <w:t>、其他补充事宜</w:t>
      </w:r>
      <w:r>
        <w:rPr>
          <w:rFonts w:hint="eastAsia" w:ascii="宋体" w:hAnsi="宋体" w:eastAsia="宋体" w:cs="宋体"/>
          <w:b/>
          <w:snapToGrid w:val="0"/>
          <w:sz w:val="24"/>
          <w:szCs w:val="24"/>
          <w:highlight w:val="none"/>
          <w:lang w:val="en-US" w:eastAsia="zh-CN"/>
        </w:rPr>
        <w:t>:</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w:t>
      </w:r>
      <w:r>
        <w:rPr>
          <w:rFonts w:hint="eastAsia" w:ascii="宋体" w:hAnsi="宋体" w:eastAsia="宋体" w:cs="宋体"/>
          <w:sz w:val="24"/>
          <w:szCs w:val="24"/>
          <w:highlight w:val="none"/>
          <w:lang w:eastAsia="zh-CN"/>
        </w:rPr>
        <w:t>竞争性谈判</w:t>
      </w:r>
      <w:r>
        <w:rPr>
          <w:rFonts w:hint="eastAsia" w:ascii="宋体" w:hAnsi="宋体" w:eastAsia="宋体" w:cs="宋体"/>
          <w:sz w:val="24"/>
          <w:szCs w:val="24"/>
          <w:highlight w:val="none"/>
        </w:rPr>
        <w:t>公告同时在中国政府采购网、长春市公共资源交易网上发布。</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对本次</w:t>
      </w:r>
      <w:r>
        <w:rPr>
          <w:rFonts w:hint="eastAsia" w:ascii="宋体" w:hAnsi="宋体" w:eastAsia="宋体" w:cs="宋体"/>
          <w:b/>
          <w:sz w:val="24"/>
          <w:szCs w:val="24"/>
          <w:highlight w:val="none"/>
          <w:lang w:eastAsia="zh-CN"/>
        </w:rPr>
        <w:t>采购</w:t>
      </w:r>
      <w:r>
        <w:rPr>
          <w:rFonts w:hint="eastAsia" w:ascii="宋体" w:hAnsi="宋体" w:eastAsia="宋体" w:cs="宋体"/>
          <w:b/>
          <w:sz w:val="24"/>
          <w:szCs w:val="24"/>
          <w:highlight w:val="none"/>
        </w:rPr>
        <w:t>提出询问，请按以下方式联系：</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1、采购人名称：长春市军粮供应管理站（长春市物资储备中心）</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地址：长春市宽城区白菊路153号</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联系人：万侠</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电话：0431-88522116</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2、采购代理机构：吉林省易晟项目管理咨询有限公司</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址：长春市南关区生态大街环球贸易中心2号楼8楼</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人：姜薇薇</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话：13844049918</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项目联系人：姜薇薇</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话：13844049918</w:t>
      </w:r>
    </w:p>
    <w:p>
      <w:pPr>
        <w:pageBreakBefore w:val="0"/>
        <w:widowControl/>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监督部门：长春市财政局政府采购管理工作办公室</w:t>
      </w:r>
    </w:p>
    <w:p>
      <w:pPr>
        <w:pStyle w:val="79"/>
        <w:rPr>
          <w:rFonts w:hint="eastAsia" w:ascii="宋体" w:hAnsi="宋体" w:eastAsia="宋体" w:cs="宋体"/>
          <w:highlight w:val="none"/>
        </w:rPr>
      </w:pPr>
      <w:bookmarkStart w:id="11" w:name="_Toc455565642"/>
      <w:bookmarkStart w:id="12" w:name="_Toc432264366"/>
      <w:bookmarkStart w:id="13" w:name="_Toc432277438"/>
      <w:r>
        <w:rPr>
          <w:rFonts w:hint="eastAsia" w:ascii="宋体" w:hAnsi="宋体" w:eastAsia="宋体" w:cs="宋体"/>
          <w:highlight w:val="none"/>
        </w:rPr>
        <w:t xml:space="preserve">                              </w:t>
      </w:r>
    </w:p>
    <w:p>
      <w:pPr>
        <w:pStyle w:val="3"/>
        <w:spacing w:before="0" w:after="0"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bookmarkStart w:id="14" w:name="_Toc26711"/>
      <w:r>
        <w:rPr>
          <w:rStyle w:val="56"/>
          <w:rFonts w:hint="eastAsia"/>
          <w:b/>
          <w:bCs/>
        </w:rPr>
        <w:t xml:space="preserve">第二章  </w:t>
      </w:r>
      <w:r>
        <w:rPr>
          <w:rStyle w:val="56"/>
          <w:rFonts w:hint="eastAsia"/>
          <w:b/>
          <w:bCs/>
          <w:lang w:eastAsia="zh-CN"/>
        </w:rPr>
        <w:t>供应商</w:t>
      </w:r>
      <w:r>
        <w:rPr>
          <w:rStyle w:val="56"/>
          <w:rFonts w:hint="eastAsia"/>
          <w:b/>
          <w:bCs/>
        </w:rPr>
        <w:t>须知</w:t>
      </w:r>
      <w:bookmarkEnd w:id="11"/>
      <w:bookmarkEnd w:id="12"/>
      <w:bookmarkEnd w:id="13"/>
      <w:bookmarkEnd w:id="14"/>
    </w:p>
    <w:p>
      <w:pPr>
        <w:tabs>
          <w:tab w:val="left" w:pos="1065"/>
          <w:tab w:val="center" w:pos="4411"/>
        </w:tabs>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 应 商  须 知 前 附 表</w:t>
      </w:r>
    </w:p>
    <w:tbl>
      <w:tblPr>
        <w:tblStyle w:val="34"/>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01"/>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条款名称</w:t>
            </w:r>
          </w:p>
        </w:tc>
        <w:tc>
          <w:tcPr>
            <w:tcW w:w="6842"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项目名称及项目编号</w:t>
            </w:r>
          </w:p>
        </w:tc>
        <w:tc>
          <w:tcPr>
            <w:tcW w:w="6842" w:type="dxa"/>
            <w:vAlign w:val="center"/>
          </w:tcPr>
          <w:p>
            <w:pPr>
              <w:spacing w:line="360" w:lineRule="exact"/>
              <w:rPr>
                <w:rFonts w:hint="eastAsia" w:ascii="宋体" w:hAnsi="宋体" w:eastAsia="宋体" w:cs="宋体"/>
                <w:spacing w:val="-20"/>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bCs/>
                <w:kern w:val="0"/>
                <w:sz w:val="24"/>
                <w:szCs w:val="24"/>
                <w:highlight w:val="none"/>
                <w:lang w:eastAsia="zh-CN"/>
              </w:rPr>
              <w:t>2024年防洪挡水板项目</w:t>
            </w:r>
          </w:p>
          <w:p>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b w:val="0"/>
                <w:kern w:val="0"/>
                <w:sz w:val="24"/>
                <w:szCs w:val="24"/>
                <w:highlight w:val="none"/>
                <w:lang w:val="en-US" w:eastAsia="zh-CN"/>
              </w:rPr>
              <w:t>JM-2024-07-00810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w:t>
            </w:r>
          </w:p>
        </w:tc>
        <w:tc>
          <w:tcPr>
            <w:tcW w:w="6842" w:type="dxa"/>
            <w:vAlign w:val="center"/>
          </w:tcPr>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2．落实政府采购政策需满足的资格要求：本项目专门面向中小企业采购。</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 在中华人民共和国境内注册，能够独立承担民事责任的企业法人或其他组织。</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3.2 本项目投标人须具备有效的营业执照，并在人员、资金、设备等方面具有相应的承揽能力。</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 投标人参加采购活动应当提交反映其财务状况、依法缴纳税收和社保保障资金情况的资格条件承诺函。</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 拒绝列入政府取消投标资格记录期间的企业或个人投标，参加政府采购活动前3年内在经营活动中没有重大违法记录。</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3.5 投标人近三年内（截止到本项目公告发布之日）未被工商行政管理机关在全国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pPr>
              <w:tabs>
                <w:tab w:val="left" w:pos="5100"/>
              </w:tabs>
              <w:snapToGrid w:val="0"/>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3.6 单位负责人为同一人或者存在直接控股、管理关系的不同投标人，不得参加同一合同项下的政府采购活动。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谈判费用</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不论谈判结果如何，供应商均应自行承担所有与谈判有关的全部费用。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901" w:type="dxa"/>
            <w:vAlign w:val="center"/>
          </w:tcPr>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响应文件电子版</w:t>
            </w:r>
          </w:p>
        </w:tc>
        <w:tc>
          <w:tcPr>
            <w:tcW w:w="6842" w:type="dxa"/>
            <w:vAlign w:val="center"/>
          </w:tcPr>
          <w:p>
            <w:pPr>
              <w:numPr>
                <w:ilvl w:val="0"/>
                <w:numId w:val="0"/>
              </w:numPr>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本项目为全流程电子化招投标项目，投标单位通过政府采购云平台（网址：http:// www.zcygov.cn）递交电子版响应文件。无须到现场递交响应文件。</w:t>
            </w:r>
          </w:p>
          <w:p>
            <w:pPr>
              <w:numPr>
                <w:ilvl w:val="0"/>
                <w:numId w:val="0"/>
              </w:numPr>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pPr>
              <w:numPr>
                <w:ilvl w:val="0"/>
                <w:numId w:val="0"/>
              </w:numPr>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1.投标单位开标时，需携带制作响应文件时用来加密的有效数字证书（CA认证）登录“政采云”平台电子开标大厅现场按规定时间对加密的响应文件进行远程解密。</w:t>
            </w:r>
          </w:p>
          <w:p>
            <w:pPr>
              <w:numPr>
                <w:ilvl w:val="0"/>
                <w:numId w:val="0"/>
              </w:numPr>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提交方式：本项目为全流程电子化项目，通过“政采云”平台（http：//www.zcygov.cn）实行在线电子开标，投标单位应先安装“政采云电子交易客户端”（请自行前往“政采云”平台进行下载），并按照本项目</w:t>
            </w:r>
            <w:r>
              <w:rPr>
                <w:rFonts w:hint="eastAsia" w:ascii="宋体" w:hAnsi="宋体" w:eastAsia="宋体" w:cs="宋体"/>
                <w:sz w:val="24"/>
                <w:szCs w:val="24"/>
                <w:highlight w:val="none"/>
                <w:lang w:eastAsia="zh-CN"/>
              </w:rPr>
              <w:t>竞争性谈判</w:t>
            </w:r>
            <w:r>
              <w:rPr>
                <w:rFonts w:hint="eastAsia" w:ascii="宋体" w:hAnsi="宋体" w:eastAsia="宋体" w:cs="宋体"/>
                <w:sz w:val="24"/>
                <w:szCs w:val="24"/>
                <w:highlight w:val="none"/>
              </w:rPr>
              <w:t>文件和“政采云”平台的要求编制、加密后在提交响应文件截止时间前通过网络上传至“政采云”平台，投标单位在“政采云”平台提交电子版响应文件时，请填写参加开标活动经办人联系方式。</w:t>
            </w:r>
          </w:p>
          <w:p>
            <w:pPr>
              <w:numPr>
                <w:ilvl w:val="0"/>
                <w:numId w:val="0"/>
              </w:numPr>
              <w:snapToGrid w:val="0"/>
              <w:spacing w:line="36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3.本项目需要开标当日1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:00前递交响应文件一正二副，普通U盘2套，递交至</w:t>
            </w:r>
            <w:r>
              <w:rPr>
                <w:rFonts w:hint="eastAsia" w:ascii="宋体" w:hAnsi="宋体" w:eastAsia="宋体" w:cs="宋体"/>
                <w:sz w:val="24"/>
                <w:szCs w:val="24"/>
                <w:highlight w:val="none"/>
                <w:lang w:eastAsia="zh-CN"/>
              </w:rPr>
              <w:t>采购代理机构</w:t>
            </w:r>
          </w:p>
          <w:p>
            <w:pPr>
              <w:numPr>
                <w:ilvl w:val="0"/>
                <w:numId w:val="0"/>
              </w:numPr>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响应文件电子版内容：与纸质响应文件一致。</w:t>
            </w:r>
          </w:p>
          <w:p>
            <w:pPr>
              <w:snapToGrid w:val="0"/>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响应文件电子版形式：可编辑的word文档</w:t>
            </w:r>
            <w:r>
              <w:rPr>
                <w:rFonts w:hint="eastAsia" w:ascii="宋体" w:hAnsi="宋体" w:eastAsia="宋体" w:cs="宋体"/>
                <w:sz w:val="24"/>
                <w:szCs w:val="24"/>
                <w:highlight w:val="none"/>
                <w:lang w:val="en-US" w:eastAsia="zh-CN"/>
              </w:rPr>
              <w:t>和PDF版</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谈判报价及</w:t>
            </w:r>
            <w:r>
              <w:rPr>
                <w:rFonts w:hint="eastAsia" w:ascii="宋体" w:hAnsi="宋体" w:eastAsia="宋体" w:cs="宋体"/>
                <w:position w:val="-2"/>
                <w:sz w:val="24"/>
                <w:szCs w:val="24"/>
                <w:highlight w:val="none"/>
              </w:rPr>
              <w:t>采购预算总金额</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供应商必须就“</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采购需求”中公布的采购内容作完整唯一报价，否则，其响应文件无效。响应文件只允许有一个报价，有选择的或有条件的报价将不予接受。</w:t>
            </w:r>
          </w:p>
          <w:p>
            <w:pPr>
              <w:spacing w:line="3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未退出谈判的供应商在规定时间内</w:t>
            </w:r>
            <w:r>
              <w:rPr>
                <w:rFonts w:hint="eastAsia" w:ascii="宋体" w:hAnsi="宋体" w:eastAsia="宋体" w:cs="宋体"/>
                <w:kern w:val="0"/>
                <w:sz w:val="24"/>
                <w:szCs w:val="24"/>
                <w:highlight w:val="none"/>
                <w:lang w:val="en-US" w:eastAsia="zh-CN"/>
              </w:rPr>
              <w:t>单独依次线上进行</w:t>
            </w:r>
            <w:r>
              <w:rPr>
                <w:rFonts w:hint="eastAsia" w:ascii="宋体" w:hAnsi="宋体" w:eastAsia="宋体" w:cs="宋体"/>
                <w:kern w:val="0"/>
                <w:sz w:val="24"/>
                <w:szCs w:val="24"/>
                <w:highlight w:val="none"/>
              </w:rPr>
              <w:t>二次报价，其二次报价超出采购预算导致已通过评审的响应文件无效的，按供应商在提交响应文件截止时间后撤回响应文件处理。</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本项目政府采购预算金额（人民币）：</w:t>
            </w:r>
            <w:r>
              <w:rPr>
                <w:rFonts w:hint="eastAsia" w:ascii="宋体" w:hAnsi="宋体" w:eastAsia="宋体" w:cs="宋体"/>
                <w:sz w:val="24"/>
                <w:szCs w:val="24"/>
                <w:highlight w:val="none"/>
                <w:lang w:val="en-US" w:eastAsia="zh-CN"/>
              </w:rPr>
              <w:t>1200000</w:t>
            </w:r>
            <w:r>
              <w:rPr>
                <w:rFonts w:hint="eastAsia" w:ascii="宋体" w:hAnsi="宋体" w:eastAsia="宋体" w:cs="宋体"/>
                <w:sz w:val="24"/>
                <w:szCs w:val="24"/>
                <w:highlight w:val="none"/>
              </w:rPr>
              <w:t>元，超出采购预算金额响应文件作无效处理。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01" w:type="dxa"/>
            <w:vAlign w:val="center"/>
          </w:tcPr>
          <w:p>
            <w:pPr>
              <w:spacing w:line="360" w:lineRule="exact"/>
              <w:jc w:val="center"/>
              <w:rPr>
                <w:rFonts w:hint="eastAsia" w:ascii="宋体" w:hAnsi="宋体" w:eastAsia="宋体" w:cs="宋体"/>
                <w:position w:val="-2"/>
                <w:sz w:val="24"/>
                <w:szCs w:val="24"/>
                <w:highlight w:val="none"/>
              </w:rPr>
            </w:pPr>
            <w:r>
              <w:rPr>
                <w:rFonts w:hint="eastAsia" w:ascii="宋体" w:hAnsi="宋体" w:eastAsia="宋体" w:cs="宋体"/>
                <w:position w:val="-2"/>
                <w:sz w:val="24"/>
                <w:szCs w:val="24"/>
                <w:highlight w:val="none"/>
              </w:rPr>
              <w:t>响应文件有效期</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highlight w:val="none"/>
              </w:rPr>
            </w:pP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谈判保证金</w:t>
            </w:r>
          </w:p>
        </w:tc>
        <w:tc>
          <w:tcPr>
            <w:tcW w:w="684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响应文件装订要求</w:t>
            </w:r>
          </w:p>
        </w:tc>
        <w:tc>
          <w:tcPr>
            <w:tcW w:w="6842" w:type="dxa"/>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按供应商须知“响应文件组成”规定的顺序自编目录及页码，响应文件的“正本”、“副本”应当单独装订成册并标注页码，装订应牢固，不易拆散和换页。封面应注明“正本”、“副本”字样，封面上写明项目名称、项目编号、供应商单位名称</w:t>
            </w:r>
            <w:r>
              <w:rPr>
                <w:rFonts w:hint="eastAsia" w:ascii="宋体" w:hAnsi="宋体" w:eastAsia="宋体" w:cs="宋体"/>
                <w:sz w:val="24"/>
                <w:szCs w:val="24"/>
                <w:highlight w:val="none"/>
                <w:lang w:eastAsia="zh-CN"/>
              </w:rPr>
              <w:t>、法定代表人（单位负责人）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lang w:eastAsia="zh-CN"/>
              </w:rPr>
              <w:t>签字</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lang w:eastAsia="zh-CN"/>
              </w:rPr>
              <w:t>盖章）等内容组成。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响应文件包装标记</w:t>
            </w:r>
          </w:p>
        </w:tc>
        <w:tc>
          <w:tcPr>
            <w:tcW w:w="6842" w:type="dxa"/>
            <w:vAlign w:val="center"/>
          </w:tcPr>
          <w:p>
            <w:pPr>
              <w:spacing w:line="360" w:lineRule="exact"/>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其他形式非正规公章</w:t>
            </w:r>
            <w:r>
              <w:rPr>
                <w:rFonts w:hint="eastAsia" w:ascii="宋体" w:hAnsi="宋体" w:eastAsia="宋体" w:cs="宋体"/>
                <w:sz w:val="24"/>
                <w:szCs w:val="24"/>
                <w:highlight w:val="none"/>
              </w:rPr>
              <w:t>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w:t>
            </w:r>
          </w:p>
        </w:tc>
        <w:tc>
          <w:tcPr>
            <w:tcW w:w="6842" w:type="dxa"/>
            <w:vAlign w:val="center"/>
          </w:tcPr>
          <w:p>
            <w:pPr>
              <w:spacing w:line="360" w:lineRule="exact"/>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响应文件递交截止时间：</w:t>
            </w:r>
            <w:r>
              <w:rPr>
                <w:rFonts w:hint="eastAsia" w:ascii="宋体" w:hAnsi="宋体" w:eastAsia="宋体" w:cs="宋体"/>
                <w:bCs/>
                <w:kern w:val="0"/>
                <w:sz w:val="24"/>
                <w:szCs w:val="24"/>
                <w:highlight w:val="none"/>
                <w:lang w:val="zh-CN" w:eastAsia="zh-CN"/>
              </w:rPr>
              <w:t>2024年</w:t>
            </w:r>
            <w:r>
              <w:rPr>
                <w:rFonts w:hint="eastAsia" w:ascii="宋体" w:hAnsi="宋体" w:eastAsia="宋体" w:cs="宋体"/>
                <w:bCs/>
                <w:kern w:val="0"/>
                <w:sz w:val="24"/>
                <w:szCs w:val="24"/>
                <w:highlight w:val="none"/>
                <w:lang w:val="en-US" w:eastAsia="zh-CN"/>
              </w:rPr>
              <w:t>7</w:t>
            </w:r>
            <w:r>
              <w:rPr>
                <w:rFonts w:hint="eastAsia" w:ascii="宋体" w:hAnsi="宋体" w:eastAsia="宋体" w:cs="宋体"/>
                <w:bCs/>
                <w:kern w:val="0"/>
                <w:sz w:val="24"/>
                <w:szCs w:val="24"/>
                <w:highlight w:val="none"/>
                <w:lang w:val="zh-CN" w:eastAsia="zh-CN"/>
              </w:rPr>
              <w:t>月</w:t>
            </w:r>
            <w:r>
              <w:rPr>
                <w:rFonts w:hint="eastAsia" w:ascii="宋体" w:hAnsi="宋体" w:cs="宋体"/>
                <w:bCs/>
                <w:kern w:val="0"/>
                <w:sz w:val="24"/>
                <w:szCs w:val="24"/>
                <w:highlight w:val="none"/>
                <w:lang w:val="en-US" w:eastAsia="zh-CN"/>
              </w:rPr>
              <w:t>29</w:t>
            </w:r>
            <w:r>
              <w:rPr>
                <w:rFonts w:hint="eastAsia" w:ascii="宋体" w:hAnsi="宋体" w:eastAsia="宋体" w:cs="宋体"/>
                <w:bCs/>
                <w:kern w:val="0"/>
                <w:sz w:val="24"/>
                <w:szCs w:val="24"/>
                <w:highlight w:val="none"/>
                <w:lang w:val="zh-CN" w:eastAsia="zh-CN"/>
              </w:rPr>
              <w:t>日</w:t>
            </w:r>
            <w:r>
              <w:rPr>
                <w:rFonts w:hint="eastAsia" w:ascii="宋体" w:hAnsi="宋体" w:cs="宋体"/>
                <w:bCs/>
                <w:kern w:val="0"/>
                <w:sz w:val="24"/>
                <w:szCs w:val="24"/>
                <w:highlight w:val="none"/>
                <w:lang w:val="en-US" w:eastAsia="zh-CN"/>
              </w:rPr>
              <w:t>15</w:t>
            </w:r>
            <w:r>
              <w:rPr>
                <w:rFonts w:hint="eastAsia" w:ascii="宋体" w:hAnsi="宋体" w:eastAsia="宋体" w:cs="宋体"/>
                <w:bCs/>
                <w:kern w:val="0"/>
                <w:sz w:val="24"/>
                <w:szCs w:val="24"/>
                <w:highlight w:val="none"/>
                <w:lang w:val="zh-CN" w:eastAsia="zh-CN"/>
              </w:rPr>
              <w:t>时</w:t>
            </w:r>
            <w:r>
              <w:rPr>
                <w:rFonts w:hint="eastAsia" w:ascii="宋体" w:hAnsi="宋体" w:cs="宋体"/>
                <w:bCs/>
                <w:kern w:val="0"/>
                <w:sz w:val="24"/>
                <w:szCs w:val="24"/>
                <w:highlight w:val="none"/>
                <w:lang w:val="en-US" w:eastAsia="zh-CN"/>
              </w:rPr>
              <w:t>3</w:t>
            </w:r>
            <w:r>
              <w:rPr>
                <w:rFonts w:hint="eastAsia" w:ascii="宋体" w:hAnsi="宋体" w:eastAsia="宋体" w:cs="宋体"/>
                <w:bCs/>
                <w:kern w:val="0"/>
                <w:sz w:val="24"/>
                <w:szCs w:val="24"/>
                <w:highlight w:val="none"/>
                <w:lang w:val="en-US" w:eastAsia="zh-CN"/>
              </w:rPr>
              <w:t>0</w:t>
            </w:r>
            <w:r>
              <w:rPr>
                <w:rFonts w:hint="eastAsia" w:ascii="宋体" w:hAnsi="宋体" w:eastAsia="宋体" w:cs="宋体"/>
                <w:bCs/>
                <w:kern w:val="0"/>
                <w:sz w:val="24"/>
                <w:szCs w:val="24"/>
                <w:highlight w:val="none"/>
                <w:lang w:val="zh-CN" w:eastAsia="zh-CN"/>
              </w:rPr>
              <w:t>分</w:t>
            </w:r>
            <w:r>
              <w:rPr>
                <w:rFonts w:hint="eastAsia" w:ascii="宋体" w:hAnsi="宋体" w:eastAsia="宋体" w:cs="宋体"/>
                <w:bCs/>
                <w:kern w:val="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谈判小组组成</w:t>
            </w:r>
          </w:p>
        </w:tc>
        <w:tc>
          <w:tcPr>
            <w:tcW w:w="6842" w:type="dxa"/>
            <w:vAlign w:val="center"/>
          </w:tcPr>
          <w:p>
            <w:pPr>
              <w:spacing w:line="36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谈判及评审工作由采购代理机构负责组织，具体谈判、评审工作由依法组建的谈判小组负责，谈判小组由采购人代表和有关方面的专家组成。</w:t>
            </w:r>
          </w:p>
          <w:p>
            <w:pPr>
              <w:spacing w:line="36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谈判小组的构成：</w:t>
            </w:r>
            <w:r>
              <w:rPr>
                <w:rFonts w:hint="eastAsia" w:ascii="宋体" w:hAnsi="宋体" w:eastAsia="宋体" w:cs="宋体"/>
                <w:i w:val="0"/>
                <w:iCs w:val="0"/>
                <w:sz w:val="24"/>
                <w:szCs w:val="24"/>
                <w:highlight w:val="none"/>
                <w:u w:val="single"/>
              </w:rPr>
              <w:t>3</w:t>
            </w:r>
            <w:r>
              <w:rPr>
                <w:rFonts w:hint="eastAsia" w:ascii="宋体" w:hAnsi="宋体" w:eastAsia="宋体" w:cs="宋体"/>
                <w:i w:val="0"/>
                <w:iCs w:val="0"/>
                <w:sz w:val="24"/>
                <w:szCs w:val="24"/>
                <w:highlight w:val="none"/>
              </w:rPr>
              <w:t>人，其中采购人代表</w:t>
            </w:r>
            <w:r>
              <w:rPr>
                <w:rFonts w:hint="eastAsia" w:ascii="宋体" w:hAnsi="宋体" w:eastAsia="宋体" w:cs="宋体"/>
                <w:i w:val="0"/>
                <w:iCs w:val="0"/>
                <w:sz w:val="24"/>
                <w:szCs w:val="24"/>
                <w:highlight w:val="none"/>
                <w:u w:val="single"/>
              </w:rPr>
              <w:t xml:space="preserve"> 0</w:t>
            </w:r>
            <w:r>
              <w:rPr>
                <w:rFonts w:hint="eastAsia" w:ascii="宋体" w:hAnsi="宋体" w:eastAsia="宋体" w:cs="宋体"/>
                <w:i w:val="0"/>
                <w:iCs w:val="0"/>
                <w:sz w:val="24"/>
                <w:szCs w:val="24"/>
                <w:highlight w:val="none"/>
              </w:rPr>
              <w:t xml:space="preserve"> 人， 专家 </w:t>
            </w:r>
            <w:r>
              <w:rPr>
                <w:rFonts w:hint="eastAsia" w:ascii="宋体" w:hAnsi="宋体" w:eastAsia="宋体" w:cs="宋体"/>
                <w:i w:val="0"/>
                <w:iCs w:val="0"/>
                <w:sz w:val="24"/>
                <w:szCs w:val="24"/>
                <w:highlight w:val="none"/>
                <w:u w:val="single"/>
              </w:rPr>
              <w:t xml:space="preserve">3 </w:t>
            </w:r>
            <w:r>
              <w:rPr>
                <w:rFonts w:hint="eastAsia" w:ascii="宋体" w:hAnsi="宋体" w:eastAsia="宋体" w:cs="宋体"/>
                <w:i w:val="0"/>
                <w:iCs w:val="0"/>
                <w:sz w:val="24"/>
                <w:szCs w:val="24"/>
                <w:highlight w:val="none"/>
              </w:rPr>
              <w:t>人。</w:t>
            </w:r>
          </w:p>
          <w:p>
            <w:pPr>
              <w:spacing w:line="36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专家确定方式</w:t>
            </w:r>
            <w:r>
              <w:rPr>
                <w:rFonts w:hint="eastAsia" w:ascii="宋体" w:hAnsi="宋体" w:eastAsia="宋体" w:cs="宋体"/>
                <w:i w:val="0"/>
                <w:iCs w:val="0"/>
                <w:sz w:val="24"/>
                <w:szCs w:val="24"/>
                <w:highlight w:val="none"/>
                <w:u w:val="none"/>
              </w:rPr>
              <w:t>：</w:t>
            </w:r>
            <w:r>
              <w:rPr>
                <w:rFonts w:hint="eastAsia" w:ascii="宋体" w:hAnsi="宋体" w:eastAsia="宋体" w:cs="宋体"/>
                <w:i w:val="0"/>
                <w:iCs w:val="0"/>
                <w:sz w:val="24"/>
                <w:szCs w:val="24"/>
                <w:highlight w:val="none"/>
                <w:u w:val="none"/>
                <w:lang w:val="zh-CN"/>
              </w:rPr>
              <w:t>从</w:t>
            </w:r>
            <w:r>
              <w:rPr>
                <w:rFonts w:hint="eastAsia" w:ascii="宋体" w:hAnsi="宋体" w:eastAsia="宋体" w:cs="宋体"/>
                <w:i w:val="0"/>
                <w:iCs w:val="0"/>
                <w:sz w:val="24"/>
                <w:szCs w:val="24"/>
                <w:highlight w:val="none"/>
                <w:u w:val="none"/>
                <w:lang w:val="zh-CN" w:eastAsia="zh-CN"/>
              </w:rPr>
              <w:t>吉林省</w:t>
            </w:r>
            <w:r>
              <w:rPr>
                <w:rFonts w:hint="eastAsia" w:ascii="宋体" w:hAnsi="宋体" w:eastAsia="宋体" w:cs="宋体"/>
                <w:i w:val="0"/>
                <w:iCs w:val="0"/>
                <w:sz w:val="24"/>
                <w:szCs w:val="24"/>
                <w:highlight w:val="none"/>
                <w:u w:val="none"/>
                <w:lang w:val="en-US" w:eastAsia="zh-CN"/>
              </w:rPr>
              <w:t>政府采购云平台</w:t>
            </w:r>
            <w:r>
              <w:rPr>
                <w:rFonts w:hint="eastAsia" w:ascii="宋体" w:hAnsi="宋体" w:eastAsia="宋体" w:cs="宋体"/>
                <w:i w:val="0"/>
                <w:iCs w:val="0"/>
                <w:sz w:val="24"/>
                <w:szCs w:val="24"/>
                <w:highlight w:val="none"/>
                <w:u w:val="none"/>
                <w:lang w:val="zh-CN"/>
              </w:rPr>
              <w:t>专家库中随机抽取</w:t>
            </w:r>
            <w:r>
              <w:rPr>
                <w:rFonts w:hint="eastAsia" w:ascii="宋体" w:hAnsi="宋体" w:eastAsia="宋体" w:cs="宋体"/>
                <w:i w:val="0"/>
                <w:iCs w:val="0"/>
                <w:sz w:val="24"/>
                <w:szCs w:val="24"/>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34"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1901" w:type="dxa"/>
            <w:vAlign w:val="center"/>
          </w:tcPr>
          <w:p>
            <w:pPr>
              <w:spacing w:line="360" w:lineRule="exact"/>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谈判时间、地点</w:t>
            </w:r>
          </w:p>
        </w:tc>
        <w:tc>
          <w:tcPr>
            <w:tcW w:w="6842" w:type="dxa"/>
            <w:vAlign w:val="center"/>
          </w:tcPr>
          <w:p>
            <w:pPr>
              <w:spacing w:line="36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谈判时间：</w:t>
            </w:r>
            <w:r>
              <w:rPr>
                <w:rFonts w:hint="eastAsia" w:ascii="宋体" w:hAnsi="宋体" w:eastAsia="宋体" w:cs="宋体"/>
                <w:i w:val="0"/>
                <w:iCs w:val="0"/>
                <w:sz w:val="24"/>
                <w:szCs w:val="24"/>
                <w:highlight w:val="none"/>
                <w:lang w:val="en-US" w:eastAsia="zh-CN"/>
              </w:rPr>
              <w:t>同</w:t>
            </w:r>
            <w:r>
              <w:rPr>
                <w:rFonts w:hint="eastAsia" w:ascii="宋体" w:hAnsi="宋体" w:eastAsia="宋体" w:cs="宋体"/>
                <w:i w:val="0"/>
                <w:iCs w:val="0"/>
                <w:sz w:val="24"/>
                <w:szCs w:val="24"/>
                <w:highlight w:val="none"/>
              </w:rPr>
              <w:t>响应文件递交截止时间。</w:t>
            </w:r>
          </w:p>
          <w:p>
            <w:pPr>
              <w:spacing w:line="360" w:lineRule="exact"/>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谈判地点：</w:t>
            </w:r>
            <w:r>
              <w:rPr>
                <w:rFonts w:hint="eastAsia" w:ascii="宋体" w:hAnsi="宋体" w:eastAsia="宋体" w:cs="宋体"/>
                <w:bCs/>
                <w:kern w:val="0"/>
                <w:sz w:val="24"/>
                <w:szCs w:val="24"/>
                <w:highlight w:val="none"/>
              </w:rPr>
              <w:t>长春市二道区洋浦大街6999号凯利中心AB栋101开标</w:t>
            </w:r>
            <w:r>
              <w:rPr>
                <w:rFonts w:hint="eastAsia" w:ascii="宋体" w:hAnsi="宋体" w:eastAsia="宋体" w:cs="宋体"/>
                <w:bCs/>
                <w:kern w:val="0"/>
                <w:sz w:val="24"/>
                <w:szCs w:val="24"/>
                <w:highlight w:val="none"/>
                <w:lang w:eastAsia="zh-CN"/>
              </w:rPr>
              <w:t>四</w:t>
            </w:r>
            <w:r>
              <w:rPr>
                <w:rFonts w:hint="eastAsia" w:ascii="宋体" w:hAnsi="宋体" w:eastAsia="宋体" w:cs="宋体"/>
                <w:bCs/>
                <w:kern w:val="0"/>
                <w:sz w:val="24"/>
                <w:szCs w:val="24"/>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评审办法</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1901" w:type="dxa"/>
            <w:vAlign w:val="center"/>
          </w:tcPr>
          <w:p>
            <w:pPr>
              <w:autoSpaceDE w:val="0"/>
              <w:autoSpaceDN w:val="0"/>
              <w:snapToGrid w:val="0"/>
              <w:spacing w:line="360" w:lineRule="exact"/>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成交人信用信息查询</w:t>
            </w:r>
          </w:p>
          <w:p>
            <w:pPr>
              <w:spacing w:line="360" w:lineRule="exact"/>
              <w:jc w:val="center"/>
              <w:rPr>
                <w:rFonts w:hint="eastAsia" w:ascii="宋体" w:hAnsi="宋体" w:eastAsia="宋体" w:cs="宋体"/>
                <w:kern w:val="0"/>
                <w:sz w:val="24"/>
                <w:szCs w:val="24"/>
                <w:highlight w:val="none"/>
              </w:rPr>
            </w:pPr>
          </w:p>
        </w:tc>
        <w:tc>
          <w:tcPr>
            <w:tcW w:w="6842" w:type="dxa"/>
            <w:vAlign w:val="center"/>
          </w:tcPr>
          <w:p>
            <w:pPr>
              <w:autoSpaceDN w:val="0"/>
              <w:adjustRightInd w:val="0"/>
              <w:snapToGrid w:val="0"/>
              <w:spacing w:line="276" w:lineRule="auto"/>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查询渠道：</w:t>
            </w:r>
          </w:p>
          <w:p>
            <w:pPr>
              <w:autoSpaceDN w:val="0"/>
              <w:adjustRightInd w:val="0"/>
              <w:snapToGrid w:val="0"/>
              <w:spacing w:line="276" w:lineRule="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①“信用中国”网站（www.creditchina.gov.cn）：失信被执行人</w:t>
            </w:r>
            <w:r>
              <w:rPr>
                <w:rFonts w:hint="eastAsia" w:ascii="宋体" w:hAnsi="宋体" w:eastAsia="宋体" w:cs="宋体"/>
                <w:color w:val="auto"/>
                <w:sz w:val="24"/>
                <w:szCs w:val="24"/>
                <w:lang w:val="zh-CN" w:eastAsia="zh-CN" w:bidi="ar-SA"/>
              </w:rPr>
              <w:t>、</w:t>
            </w:r>
            <w:r>
              <w:rPr>
                <w:rFonts w:hint="eastAsia" w:ascii="宋体" w:hAnsi="宋体" w:eastAsia="宋体" w:cs="宋体"/>
                <w:color w:val="auto"/>
                <w:sz w:val="24"/>
                <w:szCs w:val="24"/>
                <w:lang w:bidi="ar-SA"/>
              </w:rPr>
              <w:t>重大税收违法案件当事人名单。</w:t>
            </w:r>
          </w:p>
          <w:p>
            <w:pPr>
              <w:autoSpaceDN w:val="0"/>
              <w:adjustRightInd w:val="0"/>
              <w:snapToGrid w:val="0"/>
              <w:spacing w:line="276" w:lineRule="auto"/>
              <w:rPr>
                <w:rFonts w:hint="eastAsia" w:ascii="宋体" w:hAnsi="宋体" w:eastAsia="宋体" w:cs="宋体"/>
                <w:color w:val="auto"/>
                <w:sz w:val="24"/>
                <w:szCs w:val="24"/>
                <w:lang w:bidi="ar-SA"/>
              </w:rPr>
            </w:pPr>
            <w:r>
              <w:rPr>
                <w:rFonts w:hint="eastAsia" w:ascii="宋体" w:hAnsi="宋体" w:eastAsia="宋体" w:cs="宋体"/>
                <w:color w:val="auto"/>
                <w:sz w:val="24"/>
                <w:szCs w:val="24"/>
                <w:lang w:bidi="ar-SA"/>
              </w:rPr>
              <w:t>②中国政府采购网(www.ccgp.gov.cn)：政府采购严重违法失信行为信息记录。</w:t>
            </w:r>
          </w:p>
          <w:p>
            <w:pPr>
              <w:autoSpaceDN w:val="0"/>
              <w:adjustRightInd w:val="0"/>
              <w:snapToGrid w:val="0"/>
              <w:spacing w:line="276" w:lineRule="auto"/>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查询截止时</w:t>
            </w:r>
            <w:r>
              <w:rPr>
                <w:rFonts w:hint="eastAsia" w:ascii="宋体" w:hAnsi="宋体" w:eastAsia="宋体" w:cs="宋体"/>
                <w:b/>
                <w:bCs/>
                <w:color w:val="auto"/>
                <w:sz w:val="24"/>
                <w:szCs w:val="24"/>
                <w:lang w:val="en-US" w:eastAsia="zh-CN" w:bidi="ar-SA"/>
              </w:rPr>
              <w:t>间</w:t>
            </w:r>
            <w:r>
              <w:rPr>
                <w:rFonts w:hint="eastAsia" w:ascii="宋体" w:hAnsi="宋体" w:eastAsia="宋体" w:cs="宋体"/>
                <w:b/>
                <w:bCs/>
                <w:color w:val="auto"/>
                <w:sz w:val="24"/>
                <w:szCs w:val="24"/>
                <w:lang w:bidi="ar-SA"/>
              </w:rPr>
              <w:t>：</w:t>
            </w:r>
            <w:r>
              <w:rPr>
                <w:rFonts w:hint="eastAsia" w:ascii="宋体" w:hAnsi="宋体" w:eastAsia="宋体" w:cs="宋体"/>
                <w:b/>
                <w:bCs/>
                <w:color w:val="auto"/>
                <w:sz w:val="24"/>
                <w:szCs w:val="24"/>
                <w:lang w:val="zh-CN" w:eastAsia="zh-CN" w:bidi="ar-SA"/>
              </w:rPr>
              <w:t>同谈判截止时间</w:t>
            </w:r>
          </w:p>
          <w:p>
            <w:pPr>
              <w:autoSpaceDN w:val="0"/>
              <w:adjustRightInd w:val="0"/>
              <w:snapToGrid w:val="0"/>
              <w:spacing w:line="276" w:lineRule="auto"/>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信用信息查询记录的具体方式：</w:t>
            </w:r>
          </w:p>
          <w:p>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vertAlign w:val="baseline"/>
                <w:lang w:bidi="ar"/>
              </w:rPr>
            </w:pPr>
            <w:r>
              <w:rPr>
                <w:rFonts w:hint="eastAsia" w:ascii="宋体" w:hAnsi="宋体" w:eastAsia="宋体" w:cs="宋体"/>
                <w:b w:val="0"/>
                <w:bCs w:val="0"/>
                <w:caps w:val="0"/>
                <w:color w:val="auto"/>
                <w:kern w:val="0"/>
                <w:sz w:val="24"/>
                <w:szCs w:val="24"/>
                <w:vertAlign w:val="baseline"/>
                <w:lang w:val="en-US" w:eastAsia="zh-CN" w:bidi="ar"/>
              </w:rPr>
              <w:t>采购人或采购代理机构将按查询截止时点对所有供应商的信用信息进行查询，网站查询记录作为招投标存档备案材料的组成部分进行留存。</w:t>
            </w:r>
          </w:p>
          <w:p>
            <w:pPr>
              <w:autoSpaceDN w:val="0"/>
              <w:adjustRightInd w:val="0"/>
              <w:snapToGrid w:val="0"/>
              <w:spacing w:line="276" w:lineRule="auto"/>
              <w:rPr>
                <w:rFonts w:hint="eastAsia" w:ascii="宋体" w:hAnsi="宋体" w:eastAsia="宋体" w:cs="宋体"/>
                <w:b/>
                <w:bCs/>
                <w:color w:val="auto"/>
                <w:sz w:val="24"/>
                <w:szCs w:val="24"/>
                <w:lang w:bidi="ar-SA"/>
              </w:rPr>
            </w:pPr>
            <w:r>
              <w:rPr>
                <w:rFonts w:hint="eastAsia" w:ascii="宋体" w:hAnsi="宋体" w:eastAsia="宋体" w:cs="宋体"/>
                <w:b/>
                <w:bCs/>
                <w:color w:val="auto"/>
                <w:sz w:val="24"/>
                <w:szCs w:val="24"/>
                <w:lang w:bidi="ar-SA"/>
              </w:rPr>
              <w:t>信用信息的使用规则：</w:t>
            </w:r>
          </w:p>
          <w:p>
            <w:pPr>
              <w:pStyle w:val="87"/>
              <w:spacing w:line="360" w:lineRule="exact"/>
              <w:rPr>
                <w:rFonts w:hint="eastAsia" w:ascii="宋体" w:hAnsi="宋体" w:eastAsia="宋体" w:cs="宋体"/>
                <w:sz w:val="24"/>
                <w:szCs w:val="24"/>
                <w:highlight w:val="none"/>
              </w:rPr>
            </w:pPr>
            <w:r>
              <w:rPr>
                <w:rFonts w:hint="eastAsia" w:ascii="宋体" w:hAnsi="宋体" w:eastAsia="宋体" w:cs="宋体"/>
                <w:color w:val="auto"/>
                <w:sz w:val="24"/>
                <w:szCs w:val="24"/>
                <w:lang w:bidi="ar-SA"/>
              </w:rPr>
              <w:t>采购人或采购代理机构按查询截止时点对所有供应商的信用信息进行查询，查询记录将作为评委评标的依据，对列入失信被执行人、重大税收违法案件当事人名单、政府采购严重违法失信行为记录名单的供应商，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1901" w:type="dxa"/>
            <w:vAlign w:val="center"/>
          </w:tcPr>
          <w:p>
            <w:pPr>
              <w:spacing w:line="3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近年发生诉讼及仲裁情况</w:t>
            </w:r>
          </w:p>
        </w:tc>
        <w:tc>
          <w:tcPr>
            <w:tcW w:w="6842" w:type="dxa"/>
          </w:tcPr>
          <w:p>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指2021年01月01日至今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签订合同时间</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合同备案存档</w:t>
            </w:r>
          </w:p>
        </w:tc>
        <w:tc>
          <w:tcPr>
            <w:tcW w:w="6842" w:type="dxa"/>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采购代理服务费</w:t>
            </w:r>
          </w:p>
        </w:tc>
        <w:tc>
          <w:tcPr>
            <w:tcW w:w="6842" w:type="dxa"/>
            <w:vAlign w:val="center"/>
          </w:tcPr>
          <w:p>
            <w:pPr>
              <w:pStyle w:val="16"/>
              <w:spacing w:line="400" w:lineRule="exact"/>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zh-CN"/>
              </w:rPr>
              <w:t>执行国家发展改革委《关于进一步放开建设项目专业服务价格的通知》（发改价格〔2015〕299号）文件，</w:t>
            </w:r>
            <w:r>
              <w:rPr>
                <w:rFonts w:hint="eastAsia" w:ascii="宋体" w:hAnsi="宋体" w:eastAsia="宋体" w:cs="宋体"/>
                <w:bCs/>
                <w:sz w:val="24"/>
                <w:szCs w:val="24"/>
                <w:highlight w:val="none"/>
              </w:rPr>
              <w:t>由</w:t>
            </w:r>
            <w:r>
              <w:rPr>
                <w:rFonts w:hint="eastAsia" w:ascii="宋体" w:hAnsi="宋体" w:eastAsia="宋体" w:cs="宋体"/>
                <w:bCs/>
                <w:sz w:val="24"/>
                <w:szCs w:val="24"/>
                <w:highlight w:val="none"/>
                <w:lang w:val="en-US" w:eastAsia="zh-CN"/>
              </w:rPr>
              <w:t>成交供应商支付</w:t>
            </w:r>
            <w:r>
              <w:rPr>
                <w:rFonts w:hint="eastAsia" w:ascii="宋体" w:hAnsi="宋体" w:eastAsia="宋体" w:cs="宋体"/>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解释权</w:t>
            </w:r>
          </w:p>
        </w:tc>
        <w:tc>
          <w:tcPr>
            <w:tcW w:w="6842" w:type="dxa"/>
            <w:shd w:val="clear" w:color="auto" w:fill="auto"/>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w:t>
            </w:r>
          </w:p>
        </w:tc>
        <w:tc>
          <w:tcPr>
            <w:tcW w:w="1901" w:type="dxa"/>
            <w:vAlign w:val="center"/>
          </w:tcPr>
          <w:p>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履约保证金</w:t>
            </w:r>
          </w:p>
        </w:tc>
        <w:tc>
          <w:tcPr>
            <w:tcW w:w="6842" w:type="dxa"/>
            <w:shd w:val="clear" w:color="auto" w:fill="auto"/>
            <w:vAlign w:val="center"/>
          </w:tcPr>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形式：成交</w:t>
            </w:r>
            <w:r>
              <w:rPr>
                <w:rFonts w:hint="eastAsia" w:ascii="宋体" w:hAnsi="宋体" w:eastAsia="宋体" w:cs="宋体"/>
                <w:sz w:val="24"/>
                <w:szCs w:val="24"/>
                <w:highlight w:val="none"/>
              </w:rPr>
              <w:t>供应商应当以支票、汇票、本票或者金融机构、担保机构出具的保函等非现金形式提交。</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金额：中标金额的</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34" w:type="dxa"/>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1901" w:type="dxa"/>
            <w:vAlign w:val="center"/>
          </w:tcPr>
          <w:p>
            <w:pPr>
              <w:keepNext w:val="0"/>
              <w:keepLines w:val="0"/>
              <w:pageBreakBefore w:val="0"/>
              <w:widowControl w:val="0"/>
              <w:kinsoku/>
              <w:overflowPunct/>
              <w:topLinePunct w:val="0"/>
              <w:bidi w:val="0"/>
              <w:adjustRightInd w:val="0"/>
              <w:snapToGrid w:val="0"/>
              <w:spacing w:line="360" w:lineRule="exact"/>
              <w:ind w:left="0" w:leftChars="0" w:right="0" w:rightChars="0" w:firstLine="0" w:firstLineChars="0"/>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质量保证期</w:t>
            </w:r>
          </w:p>
        </w:tc>
        <w:tc>
          <w:tcPr>
            <w:tcW w:w="6842" w:type="dxa"/>
            <w:vAlign w:val="center"/>
          </w:tcPr>
          <w:p>
            <w:pPr>
              <w:pStyle w:val="75"/>
              <w:keepNext w:val="0"/>
              <w:keepLines w:val="0"/>
              <w:pageBreakBefore w:val="0"/>
              <w:widowControl w:val="0"/>
              <w:kinsoku/>
              <w:overflowPunct/>
              <w:topLinePunct w:val="0"/>
              <w:bidi w:val="0"/>
              <w:adjustRightInd w:val="0"/>
              <w:snapToGrid w:val="0"/>
              <w:spacing w:line="360" w:lineRule="exact"/>
              <w:ind w:left="0" w:leftChars="0" w:right="0" w:rightChars="0" w:firstLine="0" w:firstLineChars="0"/>
              <w:contextualSpacing/>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供应商对其供货的产品质量负责并实行三包，免费质量保证期为3年；</w:t>
            </w:r>
          </w:p>
          <w:p>
            <w:pPr>
              <w:pStyle w:val="75"/>
              <w:keepNext w:val="0"/>
              <w:keepLines w:val="0"/>
              <w:pageBreakBefore w:val="0"/>
              <w:widowControl w:val="0"/>
              <w:kinsoku/>
              <w:overflowPunct/>
              <w:topLinePunct w:val="0"/>
              <w:bidi w:val="0"/>
              <w:adjustRightInd w:val="0"/>
              <w:snapToGrid w:val="0"/>
              <w:spacing w:line="360" w:lineRule="exact"/>
              <w:ind w:left="0" w:leftChars="0" w:right="0" w:rightChars="0" w:firstLine="0" w:firstLineChars="0"/>
              <w:contextualSpacing/>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质量保证期内发生的质量问题，由供应商负责免费解决（因采购人使用不当或其他人为因素造成的故障除外）。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23</w:t>
            </w:r>
          </w:p>
        </w:tc>
        <w:tc>
          <w:tcPr>
            <w:tcW w:w="1901" w:type="dxa"/>
            <w:shd w:val="clear" w:color="auto" w:fill="auto"/>
            <w:vAlign w:val="center"/>
          </w:tcPr>
          <w:p>
            <w:pPr>
              <w:keepNext w:val="0"/>
              <w:keepLines w:val="0"/>
              <w:pageBreakBefore w:val="0"/>
              <w:widowControl w:val="0"/>
              <w:kinsoku/>
              <w:overflowPunct/>
              <w:topLinePunct w:val="0"/>
              <w:bidi w:val="0"/>
              <w:adjustRightInd w:val="0"/>
              <w:snapToGrid w:val="0"/>
              <w:spacing w:line="360" w:lineRule="exact"/>
              <w:ind w:left="0" w:leftChars="0" w:right="0" w:rightChars="0" w:firstLine="0" w:firstLineChars="0"/>
              <w:contextualSpacing/>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违约责任与解决争议的方法</w:t>
            </w:r>
          </w:p>
        </w:tc>
        <w:tc>
          <w:tcPr>
            <w:tcW w:w="6842" w:type="dxa"/>
            <w:shd w:val="clear" w:color="auto" w:fill="auto"/>
            <w:vAlign w:val="center"/>
          </w:tcPr>
          <w:p>
            <w:pPr>
              <w:pStyle w:val="75"/>
              <w:keepNext w:val="0"/>
              <w:keepLines w:val="0"/>
              <w:pageBreakBefore w:val="0"/>
              <w:widowControl w:val="0"/>
              <w:kinsoku/>
              <w:overflowPunct/>
              <w:topLinePunct w:val="0"/>
              <w:bidi w:val="0"/>
              <w:adjustRightInd w:val="0"/>
              <w:snapToGrid w:val="0"/>
              <w:spacing w:line="360" w:lineRule="exact"/>
              <w:ind w:right="0" w:rightChars="0"/>
              <w:contextualSpacing/>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因本次采购属于汛期紧急采购，合同签订后10天内完成甲方指定地点全部供货。</w:t>
            </w:r>
            <w:r>
              <w:rPr>
                <w:rFonts w:hint="eastAsia" w:ascii="宋体" w:hAnsi="宋体" w:eastAsia="宋体" w:cs="宋体"/>
                <w:sz w:val="24"/>
                <w:szCs w:val="24"/>
                <w:highlight w:val="none"/>
                <w:lang w:val="en-US" w:eastAsia="zh-CN"/>
              </w:rPr>
              <w:t>在规定的供货期间内，因供应商未及时供货或未达到产品质量合格标准，给采购人造成经济损失，并应给予采购人相应的赔偿，每推迟一天交货扣除合同总价款5%的费用赔偿，直至扣除合同总价款10％的费用赔偿，本项目双方终止合同关系，未履行的合同义务不再履行，完成部分项目所有权归采购人所有。采购人可以按照评审报告推荐的成交候选人名单排序，确定下一候选人为成交供应商，也可以重新开展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w:t>
            </w:r>
          </w:p>
        </w:tc>
        <w:tc>
          <w:tcPr>
            <w:tcW w:w="1901" w:type="dxa"/>
            <w:vAlign w:val="center"/>
          </w:tcPr>
          <w:p>
            <w:pPr>
              <w:spacing w:line="34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其他要求</w:t>
            </w:r>
          </w:p>
        </w:tc>
        <w:tc>
          <w:tcPr>
            <w:tcW w:w="6842" w:type="dxa"/>
            <w:vAlign w:val="top"/>
          </w:tcPr>
          <w:p>
            <w:pPr>
              <w:spacing w:line="340" w:lineRule="exact"/>
              <w:rPr>
                <w:rFonts w:hint="eastAsia" w:ascii="宋体" w:hAnsi="宋体" w:eastAsia="宋体" w:cs="宋体"/>
                <w:sz w:val="24"/>
                <w:szCs w:val="24"/>
                <w:highlight w:val="none"/>
                <w:lang w:eastAsia="zh-CN"/>
              </w:rPr>
            </w:pPr>
            <w:r>
              <w:rPr>
                <w:rFonts w:hint="eastAsia" w:ascii="宋体" w:hAnsi="宋体" w:eastAsia="宋体" w:cs="宋体"/>
                <w:b w:val="0"/>
                <w:bCs/>
                <w:caps w:val="0"/>
                <w:color w:val="auto"/>
                <w:kern w:val="15"/>
                <w:sz w:val="24"/>
                <w:szCs w:val="24"/>
                <w:vertAlign w:val="baseline"/>
                <w:lang w:val="en-US" w:eastAsia="zh-CN" w:bidi="ar"/>
              </w:rPr>
              <w:t>供应商必须保证投标时所报资料真实有效，采购人保留对资料的核查权力，一旦发现资料有虚假现象将没收供应商投标保证金，并移交有关部门处理。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25</w:t>
            </w:r>
          </w:p>
        </w:tc>
        <w:tc>
          <w:tcPr>
            <w:tcW w:w="1901" w:type="dxa"/>
            <w:vAlign w:val="center"/>
          </w:tcPr>
          <w:p>
            <w:pPr>
              <w:spacing w:line="3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tc>
        <w:tc>
          <w:tcPr>
            <w:tcW w:w="6842" w:type="dxa"/>
            <w:vAlign w:val="top"/>
          </w:tcPr>
          <w:p>
            <w:pPr>
              <w:widowControl w:val="0"/>
              <w:autoSpaceDN w:val="0"/>
              <w:adjustRightInd w:val="0"/>
              <w:snapToGrid w:val="0"/>
              <w:spacing w:line="288" w:lineRule="auto"/>
              <w:jc w:val="left"/>
              <w:rPr>
                <w:rFonts w:hint="eastAsia" w:ascii="宋体" w:hAnsi="宋体" w:eastAsia="宋体" w:cs="宋体"/>
                <w:bCs/>
                <w:color w:val="auto"/>
                <w:kern w:val="15"/>
                <w:sz w:val="24"/>
                <w:szCs w:val="24"/>
                <w:lang w:val="zh-CN" w:eastAsia="zh-CN" w:bidi="ar-SA"/>
              </w:rPr>
            </w:pPr>
            <w:r>
              <w:rPr>
                <w:rFonts w:hint="eastAsia" w:ascii="宋体" w:hAnsi="宋体" w:eastAsia="宋体" w:cs="宋体"/>
                <w:bCs/>
                <w:color w:val="auto"/>
                <w:kern w:val="15"/>
                <w:sz w:val="24"/>
                <w:szCs w:val="24"/>
                <w:lang w:val="en-US" w:eastAsia="zh-CN" w:bidi="ar-SA"/>
              </w:rPr>
              <w:t>1</w:t>
            </w:r>
            <w:r>
              <w:rPr>
                <w:rFonts w:hint="eastAsia" w:ascii="宋体" w:hAnsi="宋体" w:eastAsia="宋体" w:cs="宋体"/>
                <w:bCs/>
                <w:color w:val="auto"/>
                <w:kern w:val="15"/>
                <w:sz w:val="24"/>
                <w:szCs w:val="24"/>
                <w:lang w:val="zh-CN" w:eastAsia="zh-CN" w:bidi="ar-SA"/>
              </w:rPr>
              <w:t>、供应商应按竞争性谈判文件要求编制响应文件，将所有响应文件内容上传至“政采云”平台。</w:t>
            </w:r>
          </w:p>
          <w:p>
            <w:pPr>
              <w:widowControl w:val="0"/>
              <w:autoSpaceDN w:val="0"/>
              <w:adjustRightInd w:val="0"/>
              <w:snapToGrid w:val="0"/>
              <w:spacing w:line="288" w:lineRule="auto"/>
              <w:jc w:val="left"/>
              <w:rPr>
                <w:rFonts w:hint="eastAsia" w:ascii="宋体" w:hAnsi="宋体" w:eastAsia="宋体" w:cs="宋体"/>
                <w:bCs/>
                <w:color w:val="auto"/>
                <w:kern w:val="15"/>
                <w:sz w:val="24"/>
                <w:szCs w:val="24"/>
                <w:lang w:val="zh-CN" w:eastAsia="zh-CN" w:bidi="ar-SA"/>
              </w:rPr>
            </w:pPr>
            <w:r>
              <w:rPr>
                <w:rFonts w:hint="eastAsia" w:ascii="宋体" w:hAnsi="宋体" w:eastAsia="宋体" w:cs="宋体"/>
                <w:bCs/>
                <w:color w:val="auto"/>
                <w:kern w:val="15"/>
                <w:sz w:val="24"/>
                <w:szCs w:val="24"/>
                <w:lang w:val="en-US" w:eastAsia="zh-CN" w:bidi="ar-SA"/>
              </w:rPr>
              <w:t>2</w:t>
            </w:r>
            <w:r>
              <w:rPr>
                <w:rFonts w:hint="eastAsia" w:ascii="宋体" w:hAnsi="宋体" w:eastAsia="宋体" w:cs="宋体"/>
                <w:bCs/>
                <w:color w:val="auto"/>
                <w:kern w:val="15"/>
                <w:sz w:val="24"/>
                <w:szCs w:val="24"/>
                <w:lang w:val="zh-CN" w:eastAsia="zh-CN" w:bidi="ar-SA"/>
              </w:rPr>
              <w:t>、响应文件中反应供应商资格审查的图片、扫描件、文字描述等，必须清晰可见。其中所有证书和执照必须为原件扫描。</w:t>
            </w:r>
          </w:p>
          <w:p>
            <w:pPr>
              <w:widowControl w:val="0"/>
              <w:autoSpaceDN w:val="0"/>
              <w:adjustRightInd w:val="0"/>
              <w:snapToGrid w:val="0"/>
              <w:spacing w:line="288" w:lineRule="auto"/>
              <w:jc w:val="left"/>
              <w:rPr>
                <w:rFonts w:hint="eastAsia" w:ascii="宋体" w:hAnsi="宋体" w:eastAsia="宋体" w:cs="宋体"/>
                <w:bCs/>
                <w:color w:val="auto"/>
                <w:kern w:val="15"/>
                <w:sz w:val="24"/>
                <w:szCs w:val="24"/>
                <w:lang w:val="zh-CN" w:eastAsia="zh-CN" w:bidi="ar-SA"/>
              </w:rPr>
            </w:pPr>
            <w:r>
              <w:rPr>
                <w:rFonts w:hint="eastAsia" w:ascii="宋体" w:hAnsi="宋体" w:eastAsia="宋体" w:cs="宋体"/>
                <w:bCs/>
                <w:color w:val="auto"/>
                <w:kern w:val="15"/>
                <w:sz w:val="24"/>
                <w:szCs w:val="24"/>
                <w:lang w:val="en-US" w:eastAsia="zh-CN" w:bidi="ar-SA"/>
              </w:rPr>
              <w:t>3</w:t>
            </w:r>
            <w:r>
              <w:rPr>
                <w:rFonts w:hint="eastAsia" w:ascii="宋体" w:hAnsi="宋体" w:eastAsia="宋体" w:cs="宋体"/>
                <w:bCs/>
                <w:color w:val="auto"/>
                <w:kern w:val="15"/>
                <w:sz w:val="24"/>
                <w:szCs w:val="24"/>
                <w:lang w:val="zh-CN" w:eastAsia="zh-CN" w:bidi="ar-SA"/>
              </w:rPr>
              <w:t>、若供应商上传的电子响应文件因无法解密而对响应文件无法进行评价的，采购人可以拒绝该供应商投标。</w:t>
            </w:r>
          </w:p>
          <w:p>
            <w:pPr>
              <w:widowControl w:val="0"/>
              <w:autoSpaceDN w:val="0"/>
              <w:adjustRightInd w:val="0"/>
              <w:snapToGrid w:val="0"/>
              <w:spacing w:line="288" w:lineRule="auto"/>
              <w:jc w:val="left"/>
              <w:rPr>
                <w:rFonts w:hint="eastAsia" w:ascii="宋体" w:hAnsi="宋体" w:eastAsia="宋体" w:cs="宋体"/>
                <w:bCs/>
                <w:color w:val="auto"/>
                <w:kern w:val="15"/>
                <w:sz w:val="24"/>
                <w:szCs w:val="24"/>
                <w:lang w:val="zh-CN" w:eastAsia="zh-CN" w:bidi="ar-SA"/>
              </w:rPr>
            </w:pPr>
            <w:r>
              <w:rPr>
                <w:rFonts w:hint="eastAsia" w:ascii="宋体" w:hAnsi="宋体" w:eastAsia="宋体" w:cs="宋体"/>
                <w:bCs/>
                <w:color w:val="auto"/>
                <w:kern w:val="15"/>
                <w:sz w:val="24"/>
                <w:szCs w:val="24"/>
                <w:lang w:val="en-US" w:eastAsia="zh-CN" w:bidi="ar-SA"/>
              </w:rPr>
              <w:t>4</w:t>
            </w:r>
            <w:r>
              <w:rPr>
                <w:rFonts w:hint="eastAsia" w:ascii="宋体" w:hAnsi="宋体" w:eastAsia="宋体" w:cs="宋体"/>
                <w:bCs/>
                <w:color w:val="auto"/>
                <w:kern w:val="15"/>
                <w:sz w:val="24"/>
                <w:szCs w:val="24"/>
                <w:lang w:val="zh-CN" w:eastAsia="zh-CN" w:bidi="ar-SA"/>
              </w:rPr>
              <w:t>、未进行网上注册并办理数字证书（CA认证）的供应商将无法参与本项目政府采购活动，潜在供应商应当在提交响应文件截止时间前，完成电子交易平台上的CA数字证书办理及响应文件的提交。</w:t>
            </w:r>
          </w:p>
          <w:p>
            <w:pPr>
              <w:widowControl w:val="0"/>
              <w:autoSpaceDN w:val="0"/>
              <w:adjustRightInd w:val="0"/>
              <w:snapToGrid w:val="0"/>
              <w:spacing w:line="288" w:lineRule="auto"/>
              <w:jc w:val="left"/>
              <w:rPr>
                <w:rFonts w:hint="eastAsia" w:ascii="宋体" w:hAnsi="宋体" w:eastAsia="宋体" w:cs="宋体"/>
                <w:bCs/>
                <w:color w:val="auto"/>
                <w:kern w:val="15"/>
                <w:sz w:val="24"/>
                <w:szCs w:val="24"/>
                <w:lang w:val="zh-CN" w:eastAsia="zh-CN" w:bidi="ar-SA"/>
              </w:rPr>
            </w:pPr>
            <w:r>
              <w:rPr>
                <w:rFonts w:hint="eastAsia" w:ascii="宋体" w:hAnsi="宋体" w:eastAsia="宋体" w:cs="宋体"/>
                <w:bCs/>
                <w:color w:val="auto"/>
                <w:kern w:val="15"/>
                <w:sz w:val="24"/>
                <w:szCs w:val="24"/>
                <w:lang w:val="en-US" w:eastAsia="zh-CN" w:bidi="ar-SA"/>
              </w:rPr>
              <w:t>5</w:t>
            </w:r>
            <w:r>
              <w:rPr>
                <w:rFonts w:hint="eastAsia" w:ascii="宋体" w:hAnsi="宋体" w:eastAsia="宋体" w:cs="宋体"/>
                <w:bCs/>
                <w:color w:val="auto"/>
                <w:kern w:val="15"/>
                <w:sz w:val="24"/>
                <w:szCs w:val="24"/>
                <w:lang w:val="zh-CN" w:eastAsia="zh-CN" w:bidi="ar-SA"/>
              </w:rPr>
              <w:t>、供应商应当在提交响应文件截止时间前完成电子响应文件的上传、递交，提交响应文件截止时间前可以补充、修改或者撤回响应文件。补充或者修改响应文件的，应当先行撤回原文件，补充、修改后重新上传、递交。开启截止时间前未完成上传、递交的，视为撤回响应文件。投标截止时间以后上传递交的响应文件“政采云”平台将予以拒收。</w:t>
            </w:r>
          </w:p>
          <w:p>
            <w:pPr>
              <w:spacing w:line="340" w:lineRule="exact"/>
              <w:rPr>
                <w:rFonts w:hint="eastAsia" w:ascii="宋体" w:hAnsi="宋体" w:eastAsia="宋体" w:cs="宋体"/>
                <w:b w:val="0"/>
                <w:bCs/>
                <w:caps w:val="0"/>
                <w:color w:val="auto"/>
                <w:kern w:val="15"/>
                <w:sz w:val="24"/>
                <w:szCs w:val="24"/>
                <w:vertAlign w:val="baseline"/>
                <w:lang w:val="en-US" w:eastAsia="zh-CN" w:bidi="ar"/>
              </w:rPr>
            </w:pPr>
            <w:r>
              <w:rPr>
                <w:rFonts w:hint="eastAsia" w:ascii="宋体" w:hAnsi="宋体" w:eastAsia="宋体" w:cs="宋体"/>
                <w:bCs/>
                <w:color w:val="auto"/>
                <w:kern w:val="15"/>
                <w:sz w:val="24"/>
                <w:szCs w:val="24"/>
                <w:lang w:val="en-US" w:eastAsia="zh-CN" w:bidi="ar-SA"/>
              </w:rPr>
              <w:t>6</w:t>
            </w:r>
            <w:r>
              <w:rPr>
                <w:rFonts w:hint="eastAsia" w:ascii="宋体" w:hAnsi="宋体" w:eastAsia="宋体" w:cs="宋体"/>
                <w:bCs/>
                <w:color w:val="auto"/>
                <w:kern w:val="15"/>
                <w:sz w:val="24"/>
                <w:szCs w:val="24"/>
                <w:lang w:val="zh-CN" w:eastAsia="zh-CN" w:bidi="ar-SA"/>
              </w:rPr>
              <w:t>、</w:t>
            </w:r>
            <w:r>
              <w:rPr>
                <w:rFonts w:hint="eastAsia" w:ascii="宋体" w:hAnsi="宋体" w:eastAsia="宋体" w:cs="宋体"/>
                <w:bCs/>
                <w:color w:val="auto"/>
                <w:kern w:val="15"/>
                <w:sz w:val="24"/>
                <w:szCs w:val="24"/>
                <w:lang w:bidi="ar-SA"/>
              </w:rPr>
              <w:t>CA 证书解密：供应商持制作该电子响应文件的同一数字证书（CA 锁）及电脑进行远程解密（各供应商开标前及网上开评标系统公布供应商名单前，不要提前进行远程解密；具体解密时间 在开标直播时</w:t>
            </w:r>
            <w:r>
              <w:rPr>
                <w:rFonts w:hint="eastAsia" w:ascii="宋体" w:hAnsi="宋体" w:eastAsia="宋体" w:cs="宋体"/>
                <w:bCs/>
                <w:color w:val="auto"/>
                <w:kern w:val="15"/>
                <w:sz w:val="24"/>
                <w:szCs w:val="24"/>
                <w:lang w:eastAsia="zh-CN" w:bidi="ar-SA"/>
              </w:rPr>
              <w:t>采购代理机构</w:t>
            </w:r>
            <w:r>
              <w:rPr>
                <w:rFonts w:hint="eastAsia" w:ascii="宋体" w:hAnsi="宋体" w:eastAsia="宋体" w:cs="宋体"/>
                <w:bCs/>
                <w:color w:val="auto"/>
                <w:kern w:val="15"/>
                <w:sz w:val="24"/>
                <w:szCs w:val="24"/>
                <w:lang w:bidi="ar-SA"/>
              </w:rPr>
              <w:t>工作人员会进行通知）。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77" w:type="dxa"/>
            <w:gridSpan w:val="3"/>
            <w:vAlign w:val="center"/>
          </w:tcPr>
          <w:p>
            <w:pPr>
              <w:spacing w:line="340" w:lineRule="exact"/>
              <w:rPr>
                <w:rFonts w:hint="eastAsia" w:ascii="宋体" w:hAnsi="宋体" w:eastAsia="宋体" w:cs="宋体"/>
                <w:bCs/>
                <w:color w:val="auto"/>
                <w:kern w:val="15"/>
                <w:sz w:val="24"/>
                <w:szCs w:val="24"/>
                <w:lang w:val="en-US" w:eastAsia="zh-CN" w:bidi="ar-SA"/>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公告与竞争性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文件不一致处以竞争性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文件为准。</w:t>
            </w:r>
          </w:p>
        </w:tc>
      </w:tr>
    </w:tbl>
    <w:p>
      <w:pPr>
        <w:rPr>
          <w:rFonts w:hint="eastAsia" w:ascii="宋体" w:hAnsi="宋体" w:eastAsia="宋体" w:cs="宋体"/>
          <w:b/>
          <w:szCs w:val="21"/>
          <w:highlight w:val="none"/>
        </w:rPr>
      </w:pPr>
      <w:r>
        <w:rPr>
          <w:rFonts w:hint="eastAsia" w:ascii="宋体" w:hAnsi="宋体" w:eastAsia="宋体" w:cs="宋体"/>
          <w:b/>
          <w:szCs w:val="21"/>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2024年防洪挡水板项目</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b w:val="0"/>
          <w:kern w:val="0"/>
          <w:sz w:val="24"/>
          <w:szCs w:val="24"/>
          <w:highlight w:val="none"/>
          <w:lang w:val="en-US" w:eastAsia="zh-CN"/>
        </w:rPr>
        <w:t>JM-2024-07-00810</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2、定义</w:t>
      </w:r>
      <w:r>
        <w:rPr>
          <w:rFonts w:hint="eastAsia" w:ascii="宋体" w:hAnsi="宋体" w:eastAsia="宋体" w:cs="宋体"/>
          <w:b/>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2.2、“货物”系指按谈判文件规定，供应商须向采购人提供的一切设备、保险、税金、备品备件、工具、手册及其它有关技术资料和材料。</w:t>
      </w:r>
    </w:p>
    <w:p>
      <w:pPr>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2.3、“服务”系指按谈判文件规定，供应商须承担的安装、调试、技术协助、校准、培训、技术指导以及其他类似的义务。</w:t>
      </w:r>
    </w:p>
    <w:p>
      <w:pPr>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2.4、“项目”系指供应商按谈判文件规定向采购人提供的货物和服务。</w:t>
      </w:r>
    </w:p>
    <w:p>
      <w:pPr>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2.5、“书面形式”包括信函、传真、电报等。</w:t>
      </w:r>
    </w:p>
    <w:p>
      <w:pPr>
        <w:spacing w:line="400" w:lineRule="exact"/>
        <w:ind w:firstLine="435"/>
        <w:rPr>
          <w:rFonts w:hint="eastAsia" w:ascii="宋体" w:hAnsi="宋体" w:eastAsia="宋体" w:cs="宋体"/>
          <w:bCs/>
          <w:sz w:val="24"/>
          <w:szCs w:val="24"/>
          <w:highlight w:val="none"/>
        </w:rPr>
      </w:pPr>
      <w:r>
        <w:rPr>
          <w:rFonts w:hint="eastAsia" w:ascii="宋体" w:hAnsi="宋体" w:eastAsia="宋体" w:cs="宋体"/>
          <w:bCs/>
          <w:sz w:val="24"/>
          <w:szCs w:val="24"/>
          <w:highlight w:val="none"/>
        </w:rPr>
        <w:t>2.6、 货物采购需求表中所有条款均为实质性条款。</w:t>
      </w:r>
    </w:p>
    <w:p>
      <w:pPr>
        <w:spacing w:line="400" w:lineRule="exact"/>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3、供应商资格</w:t>
      </w:r>
    </w:p>
    <w:p>
      <w:pPr>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见供应商须知前附表。</w:t>
      </w:r>
    </w:p>
    <w:p>
      <w:pPr>
        <w:spacing w:line="400" w:lineRule="exact"/>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4、谈判费用</w:t>
      </w:r>
    </w:p>
    <w:p>
      <w:pPr>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见供应商须知前附表。</w:t>
      </w:r>
    </w:p>
    <w:p>
      <w:pPr>
        <w:tabs>
          <w:tab w:val="left" w:pos="1635"/>
        </w:tabs>
        <w:spacing w:line="400" w:lineRule="exact"/>
        <w:ind w:firstLine="435"/>
        <w:rPr>
          <w:rFonts w:hint="eastAsia" w:ascii="宋体" w:hAnsi="宋体" w:eastAsia="宋体" w:cs="宋体"/>
          <w:b/>
          <w:sz w:val="24"/>
          <w:szCs w:val="24"/>
          <w:highlight w:val="none"/>
        </w:rPr>
      </w:pPr>
      <w:r>
        <w:rPr>
          <w:rFonts w:hint="eastAsia" w:ascii="宋体" w:hAnsi="宋体" w:eastAsia="宋体" w:cs="宋体"/>
          <w:b/>
          <w:sz w:val="24"/>
          <w:szCs w:val="24"/>
          <w:highlight w:val="none"/>
        </w:rPr>
        <w:t>5、联合体谈判要求</w:t>
      </w:r>
    </w:p>
    <w:p>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本项目不接受联合体参与谈判。</w:t>
      </w:r>
    </w:p>
    <w:p>
      <w:pPr>
        <w:tabs>
          <w:tab w:val="left" w:pos="2190"/>
        </w:tabs>
        <w:spacing w:line="400" w:lineRule="exact"/>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6、质疑和投诉</w:t>
      </w:r>
      <w:r>
        <w:rPr>
          <w:rFonts w:hint="eastAsia" w:ascii="宋体" w:hAnsi="宋体" w:eastAsia="宋体" w:cs="宋体"/>
          <w:b/>
          <w:sz w:val="24"/>
          <w:szCs w:val="24"/>
          <w:highlight w:val="none"/>
        </w:rPr>
        <w:tab/>
      </w:r>
    </w:p>
    <w:p>
      <w:pPr>
        <w:tabs>
          <w:tab w:val="left" w:pos="2190"/>
        </w:tabs>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6.1、供应对政府采购活动事项有疑问的，可以向采购人、采购代理机构提出询问。</w:t>
      </w:r>
    </w:p>
    <w:p>
      <w:pPr>
        <w:tabs>
          <w:tab w:val="left" w:pos="2190"/>
        </w:tabs>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6.2、供应商认为谈判文件使自己的合法权益受到损害的，应当在为购买谈判文件之日起七个工作日内，以书面形式向采购代理机构提出质疑。采购代理机构应认真做好质疑处理工作。</w:t>
      </w:r>
    </w:p>
    <w:p>
      <w:pPr>
        <w:tabs>
          <w:tab w:val="left" w:pos="2190"/>
        </w:tabs>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6.3、供应商认为采购过程使自己的合法权益受到损害的，应当在为各采购程序环节结束之日起七个工作日内，以书面形式向采购代理机构提出质疑。采购代理机构应认真做好质疑处理工作。</w:t>
      </w:r>
    </w:p>
    <w:p>
      <w:pPr>
        <w:tabs>
          <w:tab w:val="left" w:pos="2190"/>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6.4、供应商认为成交结果使自己的合法权益受到损害的，应当在成交公告期限届满之日起七个工作日内，以书面形式向采购代理机构提出质疑。采购代理机构应认真做好质疑处理工作。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6.5、供应商对采购代理机构的质疑答复不满意或者采购代理机构未在规定的时间内作出答复的，可以在答复期满后十五个工作日内向</w:t>
      </w:r>
      <w:r>
        <w:rPr>
          <w:rFonts w:hint="eastAsia" w:ascii="宋体" w:hAnsi="宋体" w:cs="宋体"/>
          <w:sz w:val="24"/>
          <w:szCs w:val="24"/>
          <w:highlight w:val="none"/>
          <w:lang w:eastAsia="zh-CN"/>
        </w:rPr>
        <w:t>长春市财政局政府采购管理工作办公室</w:t>
      </w:r>
      <w:r>
        <w:rPr>
          <w:rFonts w:hint="eastAsia" w:ascii="宋体" w:hAnsi="宋体" w:eastAsia="宋体" w:cs="宋体"/>
          <w:sz w:val="24"/>
          <w:szCs w:val="24"/>
          <w:highlight w:val="none"/>
        </w:rPr>
        <w:t>投诉。</w:t>
      </w:r>
    </w:p>
    <w:p>
      <w:pPr>
        <w:tabs>
          <w:tab w:val="left" w:pos="2190"/>
        </w:tabs>
        <w:spacing w:line="38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7、转包与分包</w:t>
      </w:r>
    </w:p>
    <w:p>
      <w:pPr>
        <w:tabs>
          <w:tab w:val="left" w:pos="2190"/>
        </w:tabs>
        <w:spacing w:line="40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8.1单位负责人为同一人或者存在直接控股、管理关系的，不得参加同一合同项下分标谈判或未划分分标的同一合同项下的谈判，否则，响应文件无效。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3"/>
        <w:keepNext w:val="0"/>
        <w:keepLines w:val="0"/>
        <w:pageBreakBefore w:val="0"/>
        <w:kinsoku/>
        <w:wordWrap/>
        <w:overflowPunct/>
        <w:topLinePunct w:val="0"/>
        <w:autoSpaceDE/>
        <w:autoSpaceDN/>
        <w:bidi w:val="0"/>
        <w:adjustRightInd/>
        <w:snapToGrid w:val="0"/>
        <w:spacing w:after="0" w:line="380" w:lineRule="exact"/>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供应商应仔细阅读竞争性谈判文件的所有内容，按照竞争性谈判文件的要求提交响应文件，并对所提供的全部资料的真实性承担法律责任。</w:t>
      </w:r>
    </w:p>
    <w:p>
      <w:pPr>
        <w:pStyle w:val="13"/>
        <w:keepNext w:val="0"/>
        <w:keepLines w:val="0"/>
        <w:pageBreakBefore w:val="0"/>
        <w:kinsoku/>
        <w:wordWrap/>
        <w:overflowPunct/>
        <w:topLinePunct w:val="0"/>
        <w:autoSpaceDE/>
        <w:autoSpaceDN/>
        <w:bidi w:val="0"/>
        <w:adjustRightInd/>
        <w:snapToGrid w:val="0"/>
        <w:spacing w:after="0" w:line="380" w:lineRule="exact"/>
        <w:ind w:left="2" w:leftChars="1"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3"/>
        <w:keepNext w:val="0"/>
        <w:keepLines w:val="0"/>
        <w:pageBreakBefore w:val="0"/>
        <w:kinsoku/>
        <w:wordWrap/>
        <w:overflowPunct/>
        <w:topLinePunct w:val="0"/>
        <w:autoSpaceDE/>
        <w:autoSpaceDN/>
        <w:bidi w:val="0"/>
        <w:adjustRightInd/>
        <w:snapToGrid w:val="0"/>
        <w:spacing w:after="0" w:line="380" w:lineRule="exact"/>
        <w:ind w:left="2" w:leftChars="1"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8.5根据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政府采购促进中小企业发展管理办法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（财库</w:t>
      </w:r>
      <w:r>
        <w:rPr>
          <w:rFonts w:hint="eastAsia" w:ascii="宋体" w:hAnsi="宋体" w:eastAsia="宋体" w:cs="宋体"/>
          <w:sz w:val="24"/>
          <w:szCs w:val="24"/>
          <w:highlight w:val="none"/>
          <w:lang w:val="en-US" w:eastAsia="zh-CN"/>
        </w:rPr>
        <w:t>[2020]46号规定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吉林省政府采购促进中小企业发展实施方案</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的通知【</w:t>
      </w: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8.5</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8.5.</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80" w:firstLineChars="200"/>
        <w:jc w:val="lef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8.5.3</w:t>
      </w:r>
      <w:r>
        <w:rPr>
          <w:rFonts w:hint="eastAsia" w:ascii="宋体" w:hAnsi="宋体" w:eastAsia="宋体" w:cs="宋体"/>
          <w:bCs/>
          <w:sz w:val="24"/>
          <w:szCs w:val="24"/>
          <w:lang w:val="zh-CN"/>
        </w:rPr>
        <w:t>供应商不得存在下列情形之一：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bCs/>
          <w:sz w:val="24"/>
          <w:szCs w:val="24"/>
          <w:lang w:val="zh-CN"/>
        </w:rPr>
        <w:t xml:space="preserve">     </w:t>
      </w:r>
      <w:r>
        <w:rPr>
          <w:rFonts w:hint="eastAsia" w:ascii="宋体" w:hAnsi="宋体" w:eastAsia="宋体" w:cs="宋体"/>
          <w:sz w:val="24"/>
          <w:szCs w:val="24"/>
        </w:rPr>
        <w:t>（1）为</w:t>
      </w:r>
      <w:r>
        <w:rPr>
          <w:rFonts w:hint="eastAsia" w:ascii="宋体" w:hAnsi="宋体" w:eastAsia="宋体" w:cs="宋体"/>
          <w:sz w:val="24"/>
          <w:szCs w:val="24"/>
          <w:lang w:eastAsia="zh-CN"/>
        </w:rPr>
        <w:t>采购人</w:t>
      </w:r>
      <w:r>
        <w:rPr>
          <w:rFonts w:hint="eastAsia" w:ascii="宋体" w:hAnsi="宋体" w:eastAsia="宋体" w:cs="宋体"/>
          <w:sz w:val="24"/>
          <w:szCs w:val="24"/>
        </w:rPr>
        <w:t>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（2）与</w:t>
      </w:r>
      <w:r>
        <w:rPr>
          <w:rFonts w:hint="eastAsia" w:ascii="宋体" w:hAnsi="宋体" w:eastAsia="宋体" w:cs="宋体"/>
          <w:sz w:val="24"/>
          <w:szCs w:val="24"/>
          <w:lang w:eastAsia="zh-CN"/>
        </w:rPr>
        <w:t>采购人</w:t>
      </w:r>
      <w:r>
        <w:rPr>
          <w:rFonts w:hint="eastAsia" w:ascii="宋体" w:hAnsi="宋体" w:eastAsia="宋体" w:cs="宋体"/>
          <w:sz w:val="24"/>
          <w:szCs w:val="24"/>
        </w:rPr>
        <w:t>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（3）与本招标项目的其他</w:t>
      </w:r>
      <w:r>
        <w:rPr>
          <w:rFonts w:hint="eastAsia" w:ascii="宋体" w:hAnsi="宋体" w:eastAsia="宋体" w:cs="宋体"/>
          <w:sz w:val="24"/>
          <w:szCs w:val="24"/>
          <w:lang w:eastAsia="zh-CN"/>
        </w:rPr>
        <w:t>供应商</w:t>
      </w:r>
      <w:r>
        <w:rPr>
          <w:rFonts w:hint="eastAsia" w:ascii="宋体" w:hAnsi="宋体" w:eastAsia="宋体" w:cs="宋体"/>
          <w:sz w:val="24"/>
          <w:szCs w:val="24"/>
        </w:rPr>
        <w:t>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（4）与本招标项目的其他</w:t>
      </w:r>
      <w:r>
        <w:rPr>
          <w:rFonts w:hint="eastAsia" w:ascii="宋体" w:hAnsi="宋体" w:eastAsia="宋体" w:cs="宋体"/>
          <w:sz w:val="24"/>
          <w:szCs w:val="24"/>
          <w:lang w:eastAsia="zh-CN"/>
        </w:rPr>
        <w:t>供应商</w:t>
      </w:r>
      <w:r>
        <w:rPr>
          <w:rFonts w:hint="eastAsia" w:ascii="宋体" w:hAnsi="宋体" w:eastAsia="宋体" w:cs="宋体"/>
          <w:sz w:val="24"/>
          <w:szCs w:val="24"/>
        </w:rPr>
        <w:t>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（6）为本招标项目的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（7）与本招标项目的代建人或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（8）与本招标项目的代建人或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（9）与本招标项目的施工承包人以及建筑材料、建筑构配件和设备</w:t>
      </w:r>
      <w:r>
        <w:rPr>
          <w:rFonts w:hint="eastAsia" w:ascii="宋体" w:hAnsi="宋体" w:eastAsia="宋体" w:cs="宋体"/>
          <w:sz w:val="24"/>
          <w:szCs w:val="24"/>
          <w:lang w:eastAsia="zh-CN"/>
        </w:rPr>
        <w:t>供应商</w:t>
      </w:r>
      <w:r>
        <w:rPr>
          <w:rFonts w:hint="eastAsia" w:ascii="宋体" w:hAnsi="宋体" w:eastAsia="宋体" w:cs="宋体"/>
          <w:sz w:val="24"/>
          <w:szCs w:val="24"/>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（15）被最高人民法院在“信用中国”网站（www.creditchina.gov.cn）列入失信被执行人名单及</w:t>
      </w:r>
      <w:r>
        <w:rPr>
          <w:rFonts w:hint="eastAsia" w:ascii="宋体" w:hAnsi="宋体" w:eastAsia="宋体" w:cs="宋体"/>
          <w:kern w:val="0"/>
          <w:sz w:val="24"/>
          <w:szCs w:val="24"/>
        </w:rPr>
        <w:t>重大税收违法案件当事人名单</w:t>
      </w:r>
      <w:r>
        <w:rPr>
          <w:rFonts w:hint="eastAsia" w:ascii="宋体" w:hAnsi="宋体" w:eastAsia="宋体" w:cs="宋体"/>
          <w:sz w:val="24"/>
          <w:szCs w:val="24"/>
        </w:rPr>
        <w:t>；</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6</w:t>
      </w:r>
      <w:r>
        <w:rPr>
          <w:rFonts w:hint="eastAsia" w:ascii="宋体" w:hAnsi="宋体" w:eastAsia="宋体" w:cs="宋体"/>
          <w:sz w:val="24"/>
          <w:szCs w:val="24"/>
        </w:rPr>
        <w:t>）法律法规或</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eastAsia="宋体" w:cs="宋体"/>
          <w:sz w:val="24"/>
          <w:szCs w:val="24"/>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8.6.1符合条件的残疾人福利性单位在参加政府采购活动时，应当提供本通知规定的《残疾人福利性单位声明函》（见本竞争性谈判文件第六章附件），并对声明的真实性负责。</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8.6.2供应商提供的《残疾人福利性单位声明函》与事实不符的，依照《政府采购法》第七十七条第一款的规定追究法律责任。</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8.6.3享受政府采购支持政策的残疾人福利性单位应当同时满足以下条件：</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（1）安置的残疾人占本单位在职职工人数的比例不低于25%（含25%），并且安置的残疾人人数不少于10人（含10人）；</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（2）依法与安置的每位残疾人签订了一年以上（含一年）的劳动合同或服务协议；</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（3）为安置的每位残疾人按月足额缴纳了基本养老保险、基本医疗保险、失业保险、工伤保险和生育保险等社会保险费；</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（4）通过银行等金融机构向安置的每位残疾人，按月支付了不低于单位所在区县适用的经省级人民政府批准的月最低工资标准的工资；</w:t>
      </w:r>
    </w:p>
    <w:p>
      <w:pPr>
        <w:widowControl/>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2190"/>
        </w:tabs>
        <w:spacing w:line="380" w:lineRule="exact"/>
        <w:ind w:firstLine="435"/>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二、谈判文件</w:t>
      </w:r>
    </w:p>
    <w:p>
      <w:pPr>
        <w:tabs>
          <w:tab w:val="left" w:pos="2190"/>
        </w:tabs>
        <w:spacing w:line="400" w:lineRule="exact"/>
        <w:ind w:firstLine="437"/>
        <w:rPr>
          <w:rFonts w:hint="eastAsia" w:ascii="宋体" w:hAnsi="宋体" w:eastAsia="宋体" w:cs="宋体"/>
          <w:b/>
          <w:sz w:val="24"/>
          <w:szCs w:val="24"/>
          <w:highlight w:val="none"/>
        </w:rPr>
      </w:pPr>
      <w:r>
        <w:rPr>
          <w:rFonts w:hint="eastAsia" w:ascii="宋体" w:hAnsi="宋体" w:eastAsia="宋体" w:cs="宋体"/>
          <w:b/>
          <w:sz w:val="24"/>
          <w:szCs w:val="24"/>
          <w:highlight w:val="none"/>
        </w:rPr>
        <w:t>9、谈判文件的构成</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（1）竞争性谈判公告；</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（2）供应商须知；</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color w:val="000000" w:themeColor="text1"/>
          <w:sz w:val="24"/>
          <w:szCs w:val="24"/>
          <w:highlight w:val="none"/>
          <w14:textFill>
            <w14:solidFill>
              <w14:schemeClr w14:val="tx1"/>
            </w14:solidFill>
          </w14:textFill>
        </w:rPr>
        <w:t>采购需求</w:t>
      </w:r>
      <w:r>
        <w:rPr>
          <w:rFonts w:hint="eastAsia" w:ascii="宋体" w:hAnsi="宋体" w:eastAsia="宋体" w:cs="宋体"/>
          <w:b/>
          <w:color w:val="000000" w:themeColor="text1"/>
          <w:sz w:val="24"/>
          <w:szCs w:val="24"/>
          <w:highlight w:val="none"/>
          <w14:textFill>
            <w14:solidFill>
              <w14:schemeClr w14:val="tx1"/>
            </w14:solidFill>
          </w14:textFill>
        </w:rPr>
        <w:t>（“货物采</w:t>
      </w:r>
      <w:r>
        <w:rPr>
          <w:rFonts w:hint="eastAsia" w:ascii="宋体" w:hAnsi="宋体" w:eastAsia="宋体" w:cs="宋体"/>
          <w:b/>
          <w:sz w:val="24"/>
          <w:szCs w:val="24"/>
          <w:highlight w:val="none"/>
        </w:rPr>
        <w:t>购需求”中的所有条款要求均为实质性要求）；</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（4）评审方法；</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（5）采购合同（合同主要条款及格式）；</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（6）响应文件格式。</w:t>
      </w:r>
    </w:p>
    <w:p>
      <w:pPr>
        <w:tabs>
          <w:tab w:val="left" w:pos="2190"/>
        </w:tabs>
        <w:spacing w:line="400" w:lineRule="exact"/>
        <w:ind w:firstLine="437"/>
        <w:rPr>
          <w:rFonts w:hint="eastAsia" w:ascii="宋体" w:hAnsi="宋体" w:eastAsia="宋体" w:cs="宋体"/>
          <w:b/>
          <w:sz w:val="24"/>
          <w:szCs w:val="24"/>
          <w:highlight w:val="none"/>
        </w:rPr>
      </w:pPr>
      <w:r>
        <w:rPr>
          <w:rFonts w:hint="eastAsia" w:ascii="宋体" w:hAnsi="宋体" w:eastAsia="宋体" w:cs="宋体"/>
          <w:b/>
          <w:sz w:val="24"/>
          <w:szCs w:val="24"/>
          <w:highlight w:val="none"/>
        </w:rPr>
        <w:t>10、谈判文件的澄清与修改</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hint="eastAsia" w:ascii="宋体" w:hAnsi="宋体" w:eastAsia="宋体" w:cs="宋体"/>
          <w:sz w:val="24"/>
          <w:szCs w:val="24"/>
          <w:highlight w:val="none"/>
        </w:rPr>
      </w:pPr>
      <w:r>
        <w:rPr>
          <w:rFonts w:hint="eastAsia" w:ascii="宋体" w:hAnsi="宋体" w:eastAsia="宋体" w:cs="宋体"/>
          <w:sz w:val="24"/>
          <w:szCs w:val="24"/>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11、竞争性谈判响应文件（以下简称响应文件）的组成及要求</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11.1、响应文件组成（格式见第六章响应文件格式）</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（1）响应函（格式见附件）（必须提供）；</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（2）供应商的法定代表人（单位负责人）或自然人身份证正反两面复印件（必须提供）；</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（3）供应商的授权委托书原件、委托代理人身份证正反面复印件（委托代理时必须提供）；</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（4）供应商参加政府采购活动前3年内在经营活动中没有重大违法记录的书面声明（格式见附件，必须提供）；</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（5）关于政府采购活动中信用信息记录的</w:t>
      </w:r>
      <w:r>
        <w:rPr>
          <w:rFonts w:hint="eastAsia" w:ascii="宋体" w:hAnsi="宋体" w:cs="宋体"/>
          <w:bCs/>
          <w:sz w:val="24"/>
          <w:szCs w:val="24"/>
          <w:highlight w:val="none"/>
          <w:lang w:eastAsia="zh-CN"/>
        </w:rPr>
        <w:t>承诺书</w:t>
      </w:r>
      <w:bookmarkStart w:id="83" w:name="_GoBack"/>
      <w:bookmarkEnd w:id="83"/>
      <w:r>
        <w:rPr>
          <w:rFonts w:hint="eastAsia" w:ascii="宋体" w:hAnsi="宋体" w:eastAsia="宋体" w:cs="宋体"/>
          <w:bCs/>
          <w:sz w:val="24"/>
          <w:szCs w:val="24"/>
          <w:highlight w:val="none"/>
        </w:rPr>
        <w:t>（格式见附件）；</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（6）供应商的法人或者其他组织营业执照等证明文件复印件（必须提供，自然人除外）；</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）谈判报价表</w:t>
      </w:r>
      <w:r>
        <w:rPr>
          <w:rFonts w:hint="eastAsia" w:ascii="宋体" w:hAnsi="宋体" w:eastAsia="宋体" w:cs="宋体"/>
          <w:sz w:val="24"/>
          <w:szCs w:val="24"/>
          <w:highlight w:val="none"/>
          <w:lang w:eastAsia="zh-CN"/>
        </w:rPr>
        <w:t>及附件</w:t>
      </w:r>
      <w:r>
        <w:rPr>
          <w:rFonts w:hint="eastAsia" w:ascii="宋体" w:hAnsi="宋体" w:eastAsia="宋体" w:cs="宋体"/>
          <w:sz w:val="24"/>
          <w:szCs w:val="24"/>
          <w:highlight w:val="none"/>
        </w:rPr>
        <w:t>（格式见附件）（必须提供）；</w:t>
      </w:r>
    </w:p>
    <w:p>
      <w:pPr>
        <w:tabs>
          <w:tab w:val="left" w:pos="1305"/>
        </w:tabs>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rPr>
        <w:t>供应商的财务状况</w:t>
      </w:r>
      <w:r>
        <w:rPr>
          <w:rFonts w:hint="eastAsia" w:ascii="宋体" w:hAnsi="宋体" w:eastAsia="宋体" w:cs="宋体"/>
          <w:sz w:val="24"/>
          <w:szCs w:val="24"/>
          <w:lang w:eastAsia="zh-CN"/>
        </w:rPr>
        <w:t>、</w:t>
      </w:r>
      <w:r>
        <w:rPr>
          <w:rFonts w:hint="eastAsia" w:ascii="宋体" w:hAnsi="宋体" w:eastAsia="宋体" w:cs="宋体"/>
          <w:bCs/>
          <w:snapToGrid w:val="0"/>
          <w:sz w:val="24"/>
          <w:szCs w:val="24"/>
          <w:highlight w:val="none"/>
        </w:rPr>
        <w:t>依法缴纳税收和社会保障金的资格条件承诺函</w:t>
      </w:r>
      <w:r>
        <w:rPr>
          <w:rFonts w:hint="eastAsia" w:ascii="宋体" w:hAnsi="宋体" w:eastAsia="宋体" w:cs="宋体"/>
          <w:sz w:val="24"/>
          <w:szCs w:val="24"/>
          <w:highlight w:val="none"/>
        </w:rPr>
        <w:t>（必须提供）</w:t>
      </w:r>
      <w:r>
        <w:rPr>
          <w:rFonts w:hint="eastAsia" w:ascii="宋体" w:hAnsi="宋体" w:eastAsia="宋体" w:cs="宋体"/>
          <w:sz w:val="24"/>
          <w:szCs w:val="24"/>
          <w:highlight w:val="none"/>
          <w:lang w:eastAsia="zh-CN"/>
        </w:rPr>
        <w:t>；</w:t>
      </w:r>
    </w:p>
    <w:p>
      <w:pPr>
        <w:tabs>
          <w:tab w:val="left" w:pos="13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）供应商的售后服务承诺书（必须提供）；</w:t>
      </w:r>
    </w:p>
    <w:p>
      <w:pPr>
        <w:tabs>
          <w:tab w:val="left" w:pos="13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）项目实施人员一览表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如有，请提供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tabs>
          <w:tab w:val="left" w:pos="1305"/>
        </w:tabs>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pacing w:val="0"/>
          <w:sz w:val="24"/>
          <w:szCs w:val="24"/>
          <w:highlight w:val="none"/>
        </w:rPr>
        <w:t>供应商</w:t>
      </w:r>
      <w:r>
        <w:rPr>
          <w:rFonts w:hint="eastAsia" w:ascii="宋体" w:hAnsi="宋体" w:eastAsia="宋体" w:cs="宋体"/>
          <w:spacing w:val="0"/>
          <w:sz w:val="24"/>
          <w:szCs w:val="24"/>
          <w:highlight w:val="none"/>
          <w:u w:val="none"/>
        </w:rPr>
        <w:t>20</w:t>
      </w:r>
      <w:r>
        <w:rPr>
          <w:rFonts w:hint="eastAsia" w:ascii="宋体" w:hAnsi="宋体" w:eastAsia="宋体" w:cs="宋体"/>
          <w:spacing w:val="0"/>
          <w:sz w:val="24"/>
          <w:szCs w:val="24"/>
          <w:highlight w:val="none"/>
          <w:u w:val="none"/>
          <w:lang w:val="en-US" w:eastAsia="zh-CN"/>
        </w:rPr>
        <w:t>21</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lang w:val="en-US" w:eastAsia="zh-CN"/>
        </w:rPr>
        <w:t>至今须具备与本项目相符货物</w:t>
      </w:r>
      <w:r>
        <w:rPr>
          <w:rFonts w:hint="eastAsia" w:ascii="宋体" w:hAnsi="宋体" w:eastAsia="宋体" w:cs="宋体"/>
          <w:spacing w:val="0"/>
          <w:sz w:val="24"/>
          <w:szCs w:val="24"/>
          <w:highlight w:val="none"/>
        </w:rPr>
        <w:t>业绩的相关证明材料（无不良记录，以中标、成交通知书或签订的销售合同为准</w:t>
      </w:r>
      <w:r>
        <w:rPr>
          <w:rFonts w:hint="eastAsia" w:ascii="宋体" w:hAnsi="宋体" w:eastAsia="宋体" w:cs="宋体"/>
          <w:b/>
          <w:spacing w:val="0"/>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如有，请提供</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w:t>
      </w:r>
    </w:p>
    <w:p>
      <w:pPr>
        <w:tabs>
          <w:tab w:val="left" w:pos="1305"/>
        </w:tabs>
        <w:spacing w:line="400" w:lineRule="exact"/>
        <w:ind w:left="0" w:leftChars="0" w:firstLine="571" w:firstLineChars="238"/>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eastAsia="宋体" w:cs="宋体"/>
          <w:sz w:val="24"/>
          <w:szCs w:val="24"/>
          <w:highlight w:val="none"/>
          <w:lang w:eastAsia="zh-CN"/>
        </w:rPr>
        <w:t>必须</w:t>
      </w:r>
      <w:r>
        <w:rPr>
          <w:rFonts w:hint="eastAsia" w:ascii="宋体" w:hAnsi="宋体" w:eastAsia="宋体" w:cs="宋体"/>
          <w:sz w:val="24"/>
          <w:szCs w:val="24"/>
          <w:highlight w:val="none"/>
        </w:rPr>
        <w:t>提供）；</w:t>
      </w:r>
    </w:p>
    <w:p>
      <w:pPr>
        <w:tabs>
          <w:tab w:val="left" w:pos="1305"/>
        </w:tabs>
        <w:spacing w:line="400" w:lineRule="exact"/>
        <w:ind w:left="0" w:leftChars="0" w:firstLine="571" w:firstLineChars="23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）监狱企业的证明文件[竞标产品如为监狱企业的，应当提供由省级以上监狱管理局、戒毒管理局（含新疆生产建设兵团）出具的属于监狱企业的证明文件, 否则不予享受优惠政策] （如有，请提供）；</w:t>
      </w:r>
    </w:p>
    <w:p>
      <w:pPr>
        <w:tabs>
          <w:tab w:val="left" w:pos="1305"/>
        </w:tabs>
        <w:spacing w:line="400" w:lineRule="exact"/>
        <w:ind w:left="0" w:leftChars="0" w:firstLine="571" w:firstLineChars="23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）残疾人福利性单位声明函（供应商如为残疾人福利性单位的，否则不予享受优惠政策，格式见附件）（如有，请提供）；</w:t>
      </w:r>
    </w:p>
    <w:p>
      <w:pPr>
        <w:tabs>
          <w:tab w:val="left" w:pos="1305"/>
        </w:tabs>
        <w:spacing w:line="400" w:lineRule="exact"/>
        <w:ind w:left="0" w:leftChars="0" w:firstLine="571" w:firstLineChars="23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)供应商可结合本项目自身情况自行提交其它相关证明材料（如有，请提供）。</w:t>
      </w:r>
    </w:p>
    <w:p>
      <w:pPr>
        <w:tabs>
          <w:tab w:val="left" w:pos="1305"/>
        </w:tabs>
        <w:spacing w:line="400" w:lineRule="exact"/>
        <w:ind w:left="0" w:leftChars="0" w:firstLine="571" w:firstLineChars="238"/>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)“近年发生的诉讼及仲裁情况”</w:t>
      </w:r>
      <w:r>
        <w:rPr>
          <w:rFonts w:hint="eastAsia" w:ascii="宋体" w:hAnsi="宋体" w:eastAsia="宋体" w:cs="宋体"/>
          <w:sz w:val="24"/>
          <w:szCs w:val="24"/>
          <w:highlight w:val="none"/>
          <w:lang w:val="en-US" w:eastAsia="zh-CN"/>
        </w:rPr>
        <w:t>按照供应商须知</w:t>
      </w:r>
      <w:r>
        <w:rPr>
          <w:rFonts w:hint="eastAsia" w:ascii="宋体" w:hAnsi="宋体" w:eastAsia="宋体" w:cs="宋体"/>
          <w:sz w:val="24"/>
          <w:szCs w:val="24"/>
          <w:highlight w:val="none"/>
          <w:lang w:eastAsia="zh-CN"/>
        </w:rPr>
        <w:t>具体年份要求应</w:t>
      </w:r>
      <w:r>
        <w:rPr>
          <w:rFonts w:hint="eastAsia" w:ascii="宋体" w:hAnsi="宋体" w:eastAsia="宋体" w:cs="宋体"/>
          <w:sz w:val="24"/>
          <w:szCs w:val="24"/>
          <w:highlight w:val="none"/>
          <w:lang w:val="en-US" w:eastAsia="zh-CN"/>
        </w:rPr>
        <w:t>写明</w:t>
      </w:r>
      <w:r>
        <w:rPr>
          <w:rFonts w:hint="eastAsia" w:ascii="宋体" w:hAnsi="宋体" w:eastAsia="宋体" w:cs="宋体"/>
          <w:sz w:val="24"/>
          <w:szCs w:val="24"/>
          <w:highlight w:val="none"/>
          <w:lang w:eastAsia="zh-CN"/>
        </w:rPr>
        <w:t>相关情况</w:t>
      </w:r>
      <w:r>
        <w:rPr>
          <w:rFonts w:hint="eastAsia" w:ascii="宋体" w:hAnsi="宋体" w:eastAsia="宋体" w:cs="宋体"/>
          <w:sz w:val="24"/>
          <w:szCs w:val="24"/>
          <w:highlight w:val="none"/>
          <w:lang w:val="en-US" w:eastAsia="zh-CN"/>
        </w:rPr>
        <w:t>说明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lang w:eastAsia="zh-CN"/>
        </w:rPr>
        <w:t>附法院或仲裁机构作出的判决、裁决等有关法律文书复印件，</w:t>
      </w:r>
      <w:r>
        <w:rPr>
          <w:rFonts w:hint="eastAsia" w:ascii="宋体" w:hAnsi="宋体" w:eastAsia="宋体" w:cs="宋体"/>
          <w:sz w:val="24"/>
          <w:szCs w:val="24"/>
          <w:highlight w:val="none"/>
          <w:lang w:val="en-US" w:eastAsia="zh-CN"/>
        </w:rPr>
        <w:t>若无，还需提供信用良好承诺书。</w:t>
      </w:r>
      <w:r>
        <w:rPr>
          <w:rFonts w:hint="eastAsia" w:ascii="宋体" w:hAnsi="宋体" w:eastAsia="宋体" w:cs="宋体"/>
          <w:sz w:val="24"/>
          <w:szCs w:val="24"/>
          <w:highlight w:val="none"/>
          <w:lang w:eastAsia="zh-CN"/>
        </w:rPr>
        <w:t>（格式自拟，必须提供）</w:t>
      </w:r>
    </w:p>
    <w:p>
      <w:pPr>
        <w:tabs>
          <w:tab w:val="left" w:pos="1305"/>
        </w:tabs>
        <w:spacing w:line="38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11.2、以上有关材料应真实有效，属于“必须提供”的文件必须于本项目截标前与响应文件同时提交，并加盖供应商公章（扫描公章无效，自然人除外）；其余由供应商视自身情况自行提交。</w:t>
      </w:r>
      <w:r>
        <w:rPr>
          <w:rFonts w:hint="eastAsia" w:ascii="宋体" w:hAnsi="宋体" w:eastAsia="宋体" w:cs="宋体"/>
          <w:b/>
          <w:bCs/>
          <w:sz w:val="24"/>
          <w:szCs w:val="24"/>
          <w:highlight w:val="none"/>
        </w:rPr>
        <w:t>本项目</w:t>
      </w:r>
      <w:r>
        <w:rPr>
          <w:rFonts w:hint="eastAsia" w:ascii="宋体" w:hAnsi="宋体" w:eastAsia="宋体" w:cs="宋体"/>
          <w:b/>
          <w:bCs/>
          <w:sz w:val="24"/>
          <w:szCs w:val="24"/>
          <w:highlight w:val="none"/>
          <w:lang w:eastAsia="zh-CN"/>
        </w:rPr>
        <w:t>要求</w:t>
      </w:r>
      <w:r>
        <w:rPr>
          <w:rFonts w:hint="eastAsia" w:ascii="宋体" w:hAnsi="宋体" w:eastAsia="宋体" w:cs="宋体"/>
          <w:b/>
          <w:bCs/>
          <w:sz w:val="24"/>
          <w:szCs w:val="24"/>
          <w:highlight w:val="none"/>
        </w:rPr>
        <w:t>提供的</w:t>
      </w:r>
      <w:r>
        <w:rPr>
          <w:rFonts w:hint="eastAsia" w:ascii="宋体" w:hAnsi="宋体" w:eastAsia="宋体" w:cs="宋体"/>
          <w:b/>
          <w:bCs/>
          <w:sz w:val="24"/>
          <w:szCs w:val="24"/>
          <w:highlight w:val="none"/>
          <w:lang w:eastAsia="zh-CN"/>
        </w:rPr>
        <w:t>格式自拟</w:t>
      </w:r>
      <w:r>
        <w:rPr>
          <w:rFonts w:hint="eastAsia" w:ascii="宋体" w:hAnsi="宋体" w:eastAsia="宋体" w:cs="宋体"/>
          <w:b/>
          <w:bCs/>
          <w:sz w:val="24"/>
          <w:szCs w:val="24"/>
          <w:highlight w:val="none"/>
        </w:rPr>
        <w:t>承诺书（</w:t>
      </w:r>
      <w:r>
        <w:rPr>
          <w:rFonts w:hint="eastAsia" w:ascii="宋体" w:hAnsi="宋体" w:eastAsia="宋体" w:cs="宋体"/>
          <w:b/>
          <w:bCs/>
          <w:sz w:val="24"/>
          <w:szCs w:val="24"/>
          <w:highlight w:val="none"/>
          <w:lang w:eastAsia="zh-CN"/>
        </w:rPr>
        <w:t>包含</w:t>
      </w:r>
      <w:r>
        <w:rPr>
          <w:rFonts w:hint="eastAsia" w:ascii="宋体" w:hAnsi="宋体" w:eastAsia="宋体" w:cs="宋体"/>
          <w:b/>
          <w:bCs/>
          <w:sz w:val="24"/>
          <w:szCs w:val="24"/>
          <w:highlight w:val="none"/>
        </w:rPr>
        <w:t>格式自拟内容）均需</w:t>
      </w:r>
      <w:r>
        <w:rPr>
          <w:rFonts w:hint="eastAsia" w:ascii="宋体" w:hAnsi="宋体" w:eastAsia="宋体" w:cs="宋体"/>
          <w:b/>
          <w:bCs/>
          <w:sz w:val="24"/>
          <w:szCs w:val="24"/>
          <w:highlight w:val="none"/>
          <w:lang w:val="en-US" w:eastAsia="zh-CN"/>
        </w:rPr>
        <w:t>加盖公章</w:t>
      </w:r>
      <w:r>
        <w:rPr>
          <w:rFonts w:hint="eastAsia" w:ascii="宋体" w:hAnsi="宋体" w:eastAsia="宋体" w:cs="宋体"/>
          <w:b/>
          <w:bCs/>
          <w:sz w:val="24"/>
          <w:szCs w:val="24"/>
          <w:highlight w:val="none"/>
        </w:rPr>
        <w:t>。</w:t>
      </w:r>
    </w:p>
    <w:p>
      <w:pPr>
        <w:pStyle w:val="16"/>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11.3、供应商应按竞争性谈判文件第六章“响应文件格式”编制响应文件。</w:t>
      </w:r>
    </w:p>
    <w:p>
      <w:pPr>
        <w:pStyle w:val="16"/>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11.4 响应文件电子版</w:t>
      </w:r>
    </w:p>
    <w:p>
      <w:pPr>
        <w:pStyle w:val="16"/>
        <w:spacing w:line="400" w:lineRule="exact"/>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详见供应商须知前附表。</w:t>
      </w:r>
    </w:p>
    <w:p>
      <w:pPr>
        <w:pStyle w:val="16"/>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12、响应文件的语言及计量</w:t>
      </w:r>
    </w:p>
    <w:p>
      <w:pPr>
        <w:tabs>
          <w:tab w:val="left" w:pos="13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准。</w:t>
      </w:r>
    </w:p>
    <w:p>
      <w:pPr>
        <w:tabs>
          <w:tab w:val="left" w:pos="13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13、谈判报价</w:t>
      </w:r>
    </w:p>
    <w:p>
      <w:pPr>
        <w:tabs>
          <w:tab w:val="left" w:pos="1305"/>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13.1、谈判报价应按谈判文件中相关附表格式填写。最后报价</w:t>
      </w:r>
      <w:r>
        <w:rPr>
          <w:rFonts w:hint="eastAsia" w:ascii="宋体" w:hAnsi="宋体" w:eastAsia="宋体" w:cs="宋体"/>
          <w:kern w:val="0"/>
          <w:sz w:val="24"/>
          <w:szCs w:val="24"/>
          <w:highlight w:val="none"/>
        </w:rPr>
        <w:t>超过所竞项目采购预算总金额的，响应文件作相应无效处理。</w:t>
      </w:r>
    </w:p>
    <w:p>
      <w:pPr>
        <w:tabs>
          <w:tab w:val="left" w:pos="1305"/>
        </w:tabs>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13.2、供应商必须就“</w:t>
      </w:r>
      <w:r>
        <w:rPr>
          <w:rFonts w:hint="eastAsia" w:ascii="宋体" w:hAnsi="宋体" w:eastAsia="宋体" w:cs="宋体"/>
          <w:color w:val="000000" w:themeColor="text1"/>
          <w:sz w:val="24"/>
          <w:szCs w:val="24"/>
          <w:highlight w:val="none"/>
          <w:lang w:eastAsia="zh-CN"/>
          <w14:textFill>
            <w14:solidFill>
              <w14:schemeClr w14:val="tx1"/>
            </w14:solidFill>
          </w14:textFill>
        </w:rPr>
        <w:t>货物</w:t>
      </w:r>
      <w:r>
        <w:rPr>
          <w:rFonts w:hint="eastAsia" w:ascii="宋体" w:hAnsi="宋体" w:eastAsia="宋体" w:cs="宋体"/>
          <w:sz w:val="24"/>
          <w:szCs w:val="24"/>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未书面退出谈判的供应商在规定时间内</w:t>
      </w:r>
      <w:r>
        <w:rPr>
          <w:rFonts w:hint="eastAsia" w:ascii="宋体" w:hAnsi="宋体" w:eastAsia="宋体" w:cs="宋体"/>
          <w:kern w:val="0"/>
          <w:sz w:val="24"/>
          <w:szCs w:val="24"/>
          <w:highlight w:val="none"/>
          <w:lang w:val="en-US" w:eastAsia="zh-CN"/>
        </w:rPr>
        <w:t>线上</w:t>
      </w:r>
      <w:r>
        <w:rPr>
          <w:rFonts w:hint="eastAsia" w:ascii="宋体" w:hAnsi="宋体" w:eastAsia="宋体" w:cs="宋体"/>
          <w:kern w:val="0"/>
          <w:sz w:val="24"/>
          <w:szCs w:val="24"/>
          <w:highlight w:val="none"/>
        </w:rPr>
        <w:t>提交最后报价，其最后报价超出采购预算导致已通过评审的响应文件无效的，按供应商在提交响应文件截止时间后撤回响应文件处理。</w:t>
      </w:r>
    </w:p>
    <w:p>
      <w:pPr>
        <w:tabs>
          <w:tab w:val="left" w:pos="1305"/>
        </w:tabs>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 响应文件有效期</w:t>
      </w:r>
    </w:p>
    <w:p>
      <w:pPr>
        <w:tabs>
          <w:tab w:val="left" w:pos="1305"/>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响应文件有效期：响应文件递交截止时间之日起90天，有效期不足的响应文件将被拒绝。</w:t>
      </w:r>
    </w:p>
    <w:p>
      <w:pPr>
        <w:tabs>
          <w:tab w:val="left" w:pos="1305"/>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82" w:firstLineChars="200"/>
        <w:rPr>
          <w:rFonts w:hint="eastAsia" w:ascii="宋体" w:hAnsi="宋体" w:eastAsia="宋体" w:cs="宋体"/>
          <w:b w:val="0"/>
          <w:bCs/>
          <w:sz w:val="24"/>
          <w:szCs w:val="24"/>
          <w:highlight w:val="none"/>
        </w:rPr>
      </w:pPr>
      <w:r>
        <w:rPr>
          <w:rFonts w:hint="eastAsia" w:ascii="宋体" w:hAnsi="宋体" w:eastAsia="宋体" w:cs="宋体"/>
          <w:b/>
          <w:sz w:val="24"/>
          <w:szCs w:val="24"/>
          <w:highlight w:val="none"/>
        </w:rPr>
        <w:t>谈判保证金：</w:t>
      </w:r>
      <w:r>
        <w:rPr>
          <w:rFonts w:hint="eastAsia" w:ascii="宋体" w:hAnsi="宋体" w:eastAsia="宋体" w:cs="宋体"/>
          <w:b w:val="0"/>
          <w:bCs/>
          <w:sz w:val="24"/>
          <w:szCs w:val="24"/>
          <w:highlight w:val="none"/>
          <w:lang w:val="en-US" w:eastAsia="zh-CN"/>
        </w:rPr>
        <w:t>详见供应商须知前附表。</w:t>
      </w:r>
    </w:p>
    <w:p>
      <w:pPr>
        <w:tabs>
          <w:tab w:val="left" w:pos="1305"/>
        </w:tabs>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 响应文件的份数、装订、签署</w:t>
      </w:r>
    </w:p>
    <w:p>
      <w:pPr>
        <w:tabs>
          <w:tab w:val="left" w:pos="1305"/>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响应文件份数：</w:t>
      </w:r>
      <w:r>
        <w:rPr>
          <w:rFonts w:hint="eastAsia" w:ascii="宋体" w:hAnsi="宋体" w:eastAsia="宋体" w:cs="宋体"/>
          <w:b w:val="0"/>
          <w:bCs/>
          <w:sz w:val="24"/>
          <w:szCs w:val="24"/>
          <w:highlight w:val="none"/>
          <w:lang w:val="en-US" w:eastAsia="zh-CN"/>
        </w:rPr>
        <w:t>详见供应商须知前附表</w:t>
      </w:r>
      <w:r>
        <w:rPr>
          <w:rFonts w:hint="eastAsia" w:ascii="宋体" w:hAnsi="宋体" w:eastAsia="宋体" w:cs="宋体"/>
          <w:sz w:val="24"/>
          <w:szCs w:val="24"/>
          <w:highlight w:val="none"/>
        </w:rPr>
        <w:t>。</w:t>
      </w:r>
    </w:p>
    <w:p>
      <w:pPr>
        <w:tabs>
          <w:tab w:val="left" w:pos="1305"/>
        </w:tabs>
        <w:spacing w:line="380" w:lineRule="exact"/>
        <w:ind w:firstLine="480" w:firstLineChars="200"/>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16.2 响应文件装订要求：</w:t>
      </w:r>
      <w:r>
        <w:rPr>
          <w:rFonts w:hint="eastAsia" w:ascii="宋体" w:hAnsi="宋体" w:eastAsia="宋体" w:cs="宋体"/>
          <w:b w:val="0"/>
          <w:bCs/>
          <w:sz w:val="24"/>
          <w:szCs w:val="24"/>
          <w:highlight w:val="none"/>
          <w:lang w:val="en-US" w:eastAsia="zh-CN"/>
        </w:rPr>
        <w:t>详见供应商须知前附表</w:t>
      </w:r>
      <w:r>
        <w:rPr>
          <w:rFonts w:hint="eastAsia" w:ascii="宋体" w:hAnsi="宋体" w:eastAsia="宋体" w:cs="宋体"/>
          <w:sz w:val="24"/>
          <w:szCs w:val="24"/>
          <w:highlight w:val="none"/>
          <w:lang w:eastAsia="zh-CN"/>
        </w:rPr>
        <w:t>。</w:t>
      </w:r>
    </w:p>
    <w:p>
      <w:pPr>
        <w:tabs>
          <w:tab w:val="left" w:pos="1305"/>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响应文件须由供应商在</w:t>
      </w:r>
      <w:r>
        <w:rPr>
          <w:rFonts w:hint="eastAsia" w:ascii="宋体" w:hAnsi="宋体" w:eastAsia="宋体" w:cs="宋体"/>
          <w:sz w:val="24"/>
          <w:szCs w:val="24"/>
          <w:highlight w:val="none"/>
          <w:lang w:val="en-US" w:eastAsia="zh-CN"/>
        </w:rPr>
        <w:t>谈判文件</w:t>
      </w:r>
      <w:r>
        <w:rPr>
          <w:rFonts w:hint="eastAsia" w:ascii="宋体" w:hAnsi="宋体" w:eastAsia="宋体" w:cs="宋体"/>
          <w:sz w:val="24"/>
          <w:szCs w:val="24"/>
          <w:highlight w:val="none"/>
        </w:rPr>
        <w:t>规定</w:t>
      </w:r>
      <w:r>
        <w:rPr>
          <w:rFonts w:hint="eastAsia" w:ascii="宋体" w:hAnsi="宋体" w:eastAsia="宋体" w:cs="宋体"/>
          <w:sz w:val="24"/>
          <w:szCs w:val="24"/>
          <w:highlight w:val="none"/>
          <w:lang w:val="en-US" w:eastAsia="zh-CN"/>
        </w:rPr>
        <w:t>的准确</w:t>
      </w:r>
      <w:r>
        <w:rPr>
          <w:rFonts w:hint="eastAsia" w:ascii="宋体" w:hAnsi="宋体" w:eastAsia="宋体" w:cs="宋体"/>
          <w:sz w:val="24"/>
          <w:szCs w:val="24"/>
          <w:highlight w:val="none"/>
        </w:rPr>
        <w:t>位置加盖供应商公章（扫描公章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财务章、部门章、分公司章、工会章、合同章、谈判专用章、业务专用章及银行转账章、现金收讫章、现金付讫章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其他形式非正规公章</w:t>
      </w:r>
      <w:r>
        <w:rPr>
          <w:rFonts w:hint="eastAsia" w:ascii="宋体" w:hAnsi="宋体" w:eastAsia="宋体" w:cs="宋体"/>
          <w:sz w:val="24"/>
          <w:szCs w:val="24"/>
          <w:highlight w:val="none"/>
        </w:rPr>
        <w:t>等其它形式印章</w:t>
      </w:r>
      <w:r>
        <w:rPr>
          <w:rFonts w:hint="eastAsia" w:ascii="宋体" w:hAnsi="宋体" w:eastAsia="宋体" w:cs="宋体"/>
          <w:sz w:val="24"/>
          <w:szCs w:val="24"/>
          <w:highlight w:val="none"/>
          <w:lang w:val="en-US" w:eastAsia="zh-CN"/>
        </w:rPr>
        <w:t>均</w:t>
      </w:r>
      <w:r>
        <w:rPr>
          <w:rFonts w:hint="eastAsia" w:ascii="宋体" w:hAnsi="宋体" w:eastAsia="宋体" w:cs="宋体"/>
          <w:sz w:val="24"/>
          <w:szCs w:val="24"/>
          <w:highlight w:val="none"/>
        </w:rPr>
        <w:t>无效，自然人除外）并由法定代表人（单位负责人）或授权委托代理人</w:t>
      </w:r>
      <w:r>
        <w:rPr>
          <w:rFonts w:hint="eastAsia" w:ascii="宋体" w:hAnsi="宋体" w:eastAsia="宋体" w:cs="宋体"/>
          <w:sz w:val="24"/>
          <w:szCs w:val="24"/>
          <w:lang w:val="en-US" w:eastAsia="zh-CN"/>
        </w:rPr>
        <w:t>签字或签章</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响应文件格式中相对应的位置不得随意签字或盖章，严格按照响应文件格式中要求的位置和签字（盖章）形式进行填写，</w:t>
      </w:r>
      <w:r>
        <w:rPr>
          <w:rFonts w:hint="eastAsia" w:ascii="宋体" w:hAnsi="宋体" w:eastAsia="宋体" w:cs="宋体"/>
          <w:sz w:val="24"/>
          <w:szCs w:val="24"/>
          <w:highlight w:val="none"/>
        </w:rPr>
        <w:t>供应商应写全称，当正本与副本不一致时，以正本为准。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响应文件不得涂改，若有修改错漏处，须加盖供应商公章（自然人除外）及法定代表人</w:t>
      </w:r>
      <w:r>
        <w:rPr>
          <w:rFonts w:hint="eastAsia" w:ascii="宋体" w:hAnsi="宋体" w:eastAsia="宋体" w:cs="宋体"/>
          <w:sz w:val="24"/>
          <w:szCs w:val="24"/>
          <w:highlight w:val="none"/>
          <w:lang w:eastAsia="zh-CN"/>
        </w:rPr>
        <w:t>（单位负责人）</w:t>
      </w:r>
      <w:r>
        <w:rPr>
          <w:rFonts w:hint="eastAsia" w:ascii="宋体" w:hAnsi="宋体" w:eastAsia="宋体" w:cs="宋体"/>
          <w:sz w:val="24"/>
          <w:szCs w:val="24"/>
          <w:highlight w:val="none"/>
        </w:rPr>
        <w:t>或自然人或相应的授权委托代理人</w:t>
      </w:r>
      <w:r>
        <w:rPr>
          <w:rFonts w:hint="eastAsia" w:ascii="宋体" w:hAnsi="宋体" w:eastAsia="宋体" w:cs="宋体"/>
          <w:sz w:val="24"/>
          <w:szCs w:val="24"/>
          <w:lang w:val="en-US" w:eastAsia="zh-CN"/>
        </w:rPr>
        <w:t>签字或签章</w:t>
      </w:r>
      <w:r>
        <w:rPr>
          <w:rFonts w:hint="eastAsia" w:ascii="宋体" w:hAnsi="宋体" w:eastAsia="宋体" w:cs="宋体"/>
          <w:sz w:val="24"/>
          <w:szCs w:val="24"/>
          <w:highlight w:val="none"/>
        </w:rPr>
        <w:t>。响应文件因字迹潦草或表达不清所引起的后果由供应商负责。</w:t>
      </w:r>
    </w:p>
    <w:p>
      <w:pPr>
        <w:tabs>
          <w:tab w:val="left" w:pos="1305"/>
        </w:tabs>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 响应文件的修改和撤回</w:t>
      </w:r>
    </w:p>
    <w:p>
      <w:pPr>
        <w:spacing w:line="38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17.1 供应商在响应文件递交截止时间之前，可以对已递交的响应文件进行修改或撤回，并书面通知采购代理机构。</w:t>
      </w:r>
    </w:p>
    <w:p>
      <w:pPr>
        <w:tabs>
          <w:tab w:val="left" w:pos="1305"/>
        </w:tabs>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在响应文件递交截止时间后的响应文件有效期内，供应商不得撤回其响应文件。</w:t>
      </w:r>
    </w:p>
    <w:p>
      <w:pPr>
        <w:tabs>
          <w:tab w:val="left" w:pos="1305"/>
        </w:tabs>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18. 响应文件的递交截止时间：</w:t>
      </w:r>
      <w:r>
        <w:rPr>
          <w:rFonts w:hint="eastAsia" w:ascii="宋体" w:hAnsi="宋体" w:eastAsia="宋体" w:cs="宋体"/>
          <w:b w:val="0"/>
          <w:bCs/>
          <w:sz w:val="24"/>
          <w:szCs w:val="24"/>
          <w:highlight w:val="none"/>
          <w:lang w:val="en-US" w:eastAsia="zh-CN"/>
        </w:rPr>
        <w:t>详见供应商须知前附表。</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szCs w:val="24"/>
          <w:highlight w:val="none"/>
        </w:rPr>
      </w:pP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19.1 谈判小组组成：</w:t>
      </w:r>
    </w:p>
    <w:p>
      <w:pPr>
        <w:spacing w:line="380" w:lineRule="exact"/>
        <w:ind w:firstLine="435"/>
        <w:rPr>
          <w:rFonts w:hint="eastAsia" w:ascii="宋体" w:hAnsi="宋体" w:eastAsia="宋体" w:cs="宋体"/>
          <w:sz w:val="24"/>
          <w:szCs w:val="24"/>
          <w:highlight w:val="none"/>
          <w:u w:val="none"/>
        </w:rPr>
      </w:pPr>
      <w:r>
        <w:rPr>
          <w:rFonts w:hint="eastAsia" w:ascii="宋体" w:hAnsi="宋体" w:eastAsia="宋体" w:cs="宋体"/>
          <w:sz w:val="24"/>
          <w:szCs w:val="24"/>
          <w:highlight w:val="none"/>
        </w:rPr>
        <w:t>谈判及评审工作由采购代理机构负责组织，具体谈判、评审工作由依法组建的谈判小组负责，谈判小组有关方面的专家组成。谈判小组的构成：</w:t>
      </w:r>
      <w:r>
        <w:rPr>
          <w:rFonts w:hint="eastAsia" w:ascii="宋体" w:hAnsi="宋体" w:eastAsia="宋体" w:cs="宋体"/>
          <w:sz w:val="24"/>
          <w:szCs w:val="24"/>
          <w:highlight w:val="none"/>
          <w:u w:val="none"/>
        </w:rPr>
        <w:t>3人，其中采购人代表0人，专家3人。专家确定方式：</w:t>
      </w:r>
      <w:r>
        <w:rPr>
          <w:rFonts w:hint="eastAsia" w:ascii="宋体" w:hAnsi="宋体" w:eastAsia="宋体" w:cs="宋体"/>
          <w:sz w:val="24"/>
          <w:szCs w:val="24"/>
          <w:highlight w:val="none"/>
          <w:u w:val="none"/>
          <w:lang w:val="zh-CN"/>
        </w:rPr>
        <w:t>从</w:t>
      </w:r>
      <w:r>
        <w:rPr>
          <w:rFonts w:hint="eastAsia" w:ascii="宋体" w:hAnsi="宋体" w:eastAsia="宋体" w:cs="宋体"/>
          <w:sz w:val="24"/>
          <w:szCs w:val="24"/>
          <w:highlight w:val="none"/>
          <w:u w:val="none"/>
          <w:lang w:val="zh-CN" w:eastAsia="zh-CN"/>
        </w:rPr>
        <w:t>吉林省</w:t>
      </w:r>
      <w:r>
        <w:rPr>
          <w:rFonts w:hint="eastAsia" w:ascii="宋体" w:hAnsi="宋体" w:eastAsia="宋体" w:cs="宋体"/>
          <w:sz w:val="24"/>
          <w:szCs w:val="24"/>
          <w:highlight w:val="none"/>
          <w:u w:val="none"/>
          <w:lang w:val="en-US" w:eastAsia="zh-CN"/>
        </w:rPr>
        <w:t>政府采购云平台</w:t>
      </w:r>
      <w:r>
        <w:rPr>
          <w:rFonts w:hint="eastAsia" w:ascii="宋体" w:hAnsi="宋体" w:eastAsia="宋体" w:cs="宋体"/>
          <w:sz w:val="24"/>
          <w:szCs w:val="24"/>
          <w:highlight w:val="none"/>
          <w:u w:val="none"/>
          <w:lang w:val="zh-CN"/>
        </w:rPr>
        <w:t>专家库中随机抽取</w:t>
      </w:r>
      <w:r>
        <w:rPr>
          <w:rFonts w:hint="eastAsia" w:ascii="宋体" w:hAnsi="宋体" w:eastAsia="宋体" w:cs="宋体"/>
          <w:sz w:val="24"/>
          <w:szCs w:val="24"/>
          <w:highlight w:val="none"/>
          <w:u w:val="none"/>
        </w:rPr>
        <w:t>。</w:t>
      </w:r>
    </w:p>
    <w:p>
      <w:pPr>
        <w:tabs>
          <w:tab w:val="left" w:pos="1140"/>
        </w:tabs>
        <w:spacing w:line="380" w:lineRule="exact"/>
        <w:ind w:left="428" w:leftChars="172" w:hanging="67" w:hangingChars="28"/>
        <w:rPr>
          <w:rFonts w:hint="eastAsia" w:ascii="宋体" w:hAnsi="宋体" w:eastAsia="宋体" w:cs="宋体"/>
          <w:b/>
          <w:sz w:val="24"/>
          <w:szCs w:val="24"/>
          <w:highlight w:val="none"/>
        </w:rPr>
      </w:pPr>
      <w:r>
        <w:rPr>
          <w:rFonts w:hint="eastAsia" w:ascii="宋体" w:hAnsi="宋体" w:eastAsia="宋体" w:cs="宋体"/>
          <w:b/>
          <w:sz w:val="24"/>
          <w:szCs w:val="24"/>
          <w:highlight w:val="none"/>
        </w:rPr>
        <w:t>19.2 谈判时间、地点、人员：</w:t>
      </w:r>
    </w:p>
    <w:p>
      <w:pPr>
        <w:spacing w:line="380" w:lineRule="exact"/>
        <w:ind w:left="315" w:leftChars="15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19.2.1 谈判时间：</w:t>
      </w:r>
      <w:r>
        <w:rPr>
          <w:rFonts w:hint="eastAsia" w:ascii="宋体" w:hAnsi="宋体" w:eastAsia="宋体" w:cs="宋体"/>
          <w:b w:val="0"/>
          <w:bCs/>
          <w:sz w:val="24"/>
          <w:szCs w:val="24"/>
          <w:highlight w:val="none"/>
          <w:lang w:val="en-US" w:eastAsia="zh-CN"/>
        </w:rPr>
        <w:t>详见供应商须知前附表。</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19.2.2 谈判地点：</w:t>
      </w:r>
      <w:r>
        <w:rPr>
          <w:rFonts w:hint="eastAsia" w:ascii="宋体" w:hAnsi="宋体" w:eastAsia="宋体" w:cs="宋体"/>
          <w:b w:val="0"/>
          <w:bCs/>
          <w:sz w:val="24"/>
          <w:szCs w:val="24"/>
          <w:highlight w:val="none"/>
          <w:lang w:val="en-US" w:eastAsia="zh-CN"/>
        </w:rPr>
        <w:t>详见供应商须知前附表。</w:t>
      </w:r>
    </w:p>
    <w:p>
      <w:pPr>
        <w:tabs>
          <w:tab w:val="left" w:pos="1140"/>
        </w:tabs>
        <w:spacing w:line="38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19.2.3 谈判参加人员：</w:t>
      </w:r>
      <w:r>
        <w:rPr>
          <w:rFonts w:hint="eastAsia" w:ascii="宋体" w:hAnsi="宋体" w:eastAsia="宋体" w:cs="宋体"/>
          <w:sz w:val="24"/>
          <w:szCs w:val="24"/>
          <w:highlight w:val="none"/>
          <w:lang w:val="en-US" w:eastAsia="zh-CN"/>
        </w:rPr>
        <w:t>供应商通过线上“政采云”</w:t>
      </w:r>
      <w:r>
        <w:rPr>
          <w:rFonts w:hint="eastAsia" w:ascii="宋体" w:hAnsi="宋体" w:eastAsia="宋体" w:cs="宋体"/>
          <w:sz w:val="24"/>
          <w:szCs w:val="24"/>
          <w:highlight w:val="none"/>
          <w:lang w:eastAsia="zh-CN"/>
        </w:rPr>
        <w:t xml:space="preserve">（网址：http:// </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"http://www.zcygov.cn）递交电子版响应文件。"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www.zcygov.cn）</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val="en-US" w:eastAsia="zh-CN"/>
        </w:rPr>
        <w:t>平台进行参与</w:t>
      </w:r>
      <w:r>
        <w:rPr>
          <w:rFonts w:hint="eastAsia" w:ascii="宋体" w:hAnsi="宋体" w:eastAsia="宋体" w:cs="宋体"/>
          <w:sz w:val="24"/>
          <w:szCs w:val="24"/>
          <w:highlight w:val="none"/>
        </w:rPr>
        <w:t>。</w:t>
      </w:r>
    </w:p>
    <w:p>
      <w:pPr>
        <w:tabs>
          <w:tab w:val="left" w:pos="1140"/>
        </w:tabs>
        <w:spacing w:line="380" w:lineRule="exact"/>
        <w:ind w:left="428" w:leftChars="172" w:hanging="67" w:hangingChars="28"/>
        <w:rPr>
          <w:rFonts w:hint="eastAsia" w:ascii="宋体" w:hAnsi="宋体" w:eastAsia="宋体" w:cs="宋体"/>
          <w:b/>
          <w:sz w:val="24"/>
          <w:szCs w:val="24"/>
          <w:highlight w:val="none"/>
        </w:rPr>
      </w:pPr>
      <w:r>
        <w:rPr>
          <w:rFonts w:hint="eastAsia" w:ascii="宋体" w:hAnsi="宋体" w:eastAsia="宋体" w:cs="宋体"/>
          <w:b/>
          <w:sz w:val="24"/>
          <w:szCs w:val="24"/>
          <w:highlight w:val="none"/>
        </w:rPr>
        <w:t>20. 评审原则和评审办法</w:t>
      </w:r>
    </w:p>
    <w:p>
      <w:pPr>
        <w:tabs>
          <w:tab w:val="left" w:pos="1140"/>
        </w:tabs>
        <w:spacing w:line="38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20.1 谈判小组必须坚持公平、公正、科学和择优的原则。</w:t>
      </w:r>
    </w:p>
    <w:p>
      <w:pPr>
        <w:tabs>
          <w:tab w:val="left" w:pos="1140"/>
        </w:tabs>
        <w:spacing w:line="38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20.2 评审办法：具体详见第四章评审办法。</w:t>
      </w:r>
    </w:p>
    <w:p>
      <w:pPr>
        <w:pStyle w:val="16"/>
        <w:spacing w:line="38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20.3 谈判小组应按谈判文件进行评审，不得擅自更改评审办法。</w:t>
      </w:r>
    </w:p>
    <w:p>
      <w:pPr>
        <w:pStyle w:val="16"/>
        <w:spacing w:line="380" w:lineRule="exact"/>
        <w:ind w:firstLine="410" w:firstLineChars="171"/>
        <w:rPr>
          <w:rFonts w:hint="eastAsia" w:ascii="宋体" w:hAnsi="宋体" w:eastAsia="宋体" w:cs="宋体"/>
          <w:sz w:val="24"/>
          <w:szCs w:val="24"/>
          <w:highlight w:val="none"/>
        </w:rPr>
      </w:pPr>
      <w:r>
        <w:rPr>
          <w:rFonts w:hint="eastAsia" w:ascii="宋体" w:hAnsi="宋体" w:eastAsia="宋体" w:cs="宋体"/>
          <w:sz w:val="24"/>
          <w:szCs w:val="24"/>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410" w:firstLineChars="17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20.5 谈判小组成员对需要共同认定的事项存在争议的，按照少数服从多数的原则作出结论。持不同意见的谈判小组成员应当在评审报告上签署不同意见并说明理由，否则视为同意。</w:t>
      </w:r>
    </w:p>
    <w:p>
      <w:pPr>
        <w:tabs>
          <w:tab w:val="left" w:pos="1140"/>
        </w:tabs>
        <w:spacing w:line="380" w:lineRule="exact"/>
        <w:ind w:left="428" w:leftChars="172" w:hanging="67" w:hangingChars="28"/>
        <w:rPr>
          <w:rFonts w:hint="eastAsia" w:ascii="宋体" w:hAnsi="宋体" w:eastAsia="宋体" w:cs="宋体"/>
          <w:b/>
          <w:sz w:val="24"/>
          <w:szCs w:val="24"/>
          <w:highlight w:val="none"/>
        </w:rPr>
      </w:pPr>
      <w:r>
        <w:rPr>
          <w:rFonts w:hint="eastAsia" w:ascii="宋体" w:hAnsi="宋体" w:eastAsia="宋体" w:cs="宋体"/>
          <w:b/>
          <w:sz w:val="24"/>
          <w:szCs w:val="24"/>
          <w:highlight w:val="none"/>
        </w:rPr>
        <w:t>21. 评审程序及谈判要求</w:t>
      </w:r>
    </w:p>
    <w:p>
      <w:pPr>
        <w:pStyle w:val="16"/>
        <w:spacing w:line="38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21.1 采购代理机构核实谈判小组成员身份，告知回避要求，宣布评审工作纪律和程序，统一保管通讯工具或相关电子设备，推选谈判小组组长。</w:t>
      </w:r>
    </w:p>
    <w:p>
      <w:pPr>
        <w:spacing w:line="38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21.2 谈判小组应当对发布公告的竞争性谈判文件（简称谈判文件）进行确认，</w:t>
      </w:r>
      <w:r>
        <w:rPr>
          <w:rFonts w:hint="eastAsia" w:ascii="宋体" w:hAnsi="宋体" w:eastAsia="宋体" w:cs="宋体"/>
          <w:kern w:val="0"/>
          <w:sz w:val="24"/>
          <w:szCs w:val="24"/>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21.3</w:t>
      </w:r>
      <w:r>
        <w:rPr>
          <w:rFonts w:hint="eastAsia" w:ascii="宋体" w:hAnsi="宋体" w:eastAsia="宋体" w:cs="宋体"/>
          <w:kern w:val="0"/>
          <w:sz w:val="24"/>
          <w:szCs w:val="24"/>
          <w:highlight w:val="none"/>
        </w:rPr>
        <w:t>谈判小组</w:t>
      </w:r>
      <w:r>
        <w:rPr>
          <w:rFonts w:hint="eastAsia" w:ascii="宋体" w:hAnsi="宋体" w:eastAsia="宋体" w:cs="宋体"/>
          <w:sz w:val="24"/>
          <w:szCs w:val="24"/>
          <w:highlight w:val="none"/>
        </w:rPr>
        <w:t>依据法律法规和竞争性谈判文件的规定，首先对响应文件中的资格证明等进行资格性审查，以确定供应商是否具备本项目供应商资格</w:t>
      </w:r>
      <w:r>
        <w:rPr>
          <w:rFonts w:hint="eastAsia" w:ascii="宋体" w:hAnsi="宋体" w:eastAsia="宋体" w:cs="宋体"/>
          <w:sz w:val="24"/>
          <w:szCs w:val="24"/>
          <w:highlight w:val="none"/>
          <w:lang w:eastAsia="zh-CN"/>
        </w:rPr>
        <w:t>。</w:t>
      </w:r>
    </w:p>
    <w:p>
      <w:pPr>
        <w:spacing w:line="38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审查流程</w:t>
      </w:r>
    </w:p>
    <w:p>
      <w:pPr>
        <w:spacing w:line="38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1、进入《国家企业信用信息公示系统》（网址：http://www.gsxt.gov.cn/index.html），输入企业名称，进入企业信息主页面。</w:t>
      </w:r>
    </w:p>
    <w:p>
      <w:pPr>
        <w:spacing w:line="38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2、查看主页 “股东及出资信息”栏，或年报中的“股东及出资信息”栏信息。</w:t>
      </w:r>
    </w:p>
    <w:p>
      <w:pPr>
        <w:spacing w:line="360" w:lineRule="exact"/>
        <w:ind w:firstLine="360" w:firstLineChars="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60" w:firstLineChars="15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4、将相关资料打印存档。</w:t>
      </w:r>
    </w:p>
    <w:p>
      <w:pPr>
        <w:spacing w:line="36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21.4谈判小组在对响应文件的资格性和符合性进行审查时，如发现供应商提供的证明文件不齐全或不符合规定形式的，应一次性告之供应商。</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21.5谈判小组在对响应文件的有效性、完整性和响应程度进行审查时，可以要求供应商对</w:t>
      </w:r>
      <w:r>
        <w:rPr>
          <w:rFonts w:hint="eastAsia" w:ascii="宋体" w:hAnsi="宋体" w:eastAsia="宋体" w:cs="宋体"/>
          <w:sz w:val="24"/>
          <w:szCs w:val="24"/>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sz w:val="24"/>
          <w:szCs w:val="24"/>
          <w:highlight w:val="none"/>
          <w:lang w:eastAsia="zh-CN"/>
        </w:rPr>
        <w:t>（单位负责人）</w:t>
      </w:r>
      <w:r>
        <w:rPr>
          <w:rFonts w:hint="eastAsia" w:ascii="宋体" w:hAnsi="宋体" w:eastAsia="宋体" w:cs="宋体"/>
          <w:sz w:val="24"/>
          <w:szCs w:val="24"/>
          <w:highlight w:val="none"/>
        </w:rPr>
        <w:t>或自然人或相应的授权委托代表签字或者加盖供应商公章（自然人除外）。</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根据谈判文件规定的程序、评定成交的标准等事项与实质性响应竞争性谈判文件要求的供应商进行谈判。未实质性响应谈判文件的响应文件按无效处理，谈判小组应当告知有关供应商。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谈判小组</w:t>
      </w:r>
      <w:r>
        <w:rPr>
          <w:rFonts w:hint="eastAsia" w:ascii="宋体" w:hAnsi="宋体" w:eastAsia="宋体" w:cs="宋体"/>
          <w:sz w:val="24"/>
          <w:szCs w:val="24"/>
          <w:highlight w:val="none"/>
        </w:rPr>
        <w:t>所有成员应当</w:t>
      </w:r>
      <w:r>
        <w:rPr>
          <w:rFonts w:hint="eastAsia" w:ascii="宋体" w:hAnsi="宋体" w:eastAsia="宋体" w:cs="宋体"/>
          <w:kern w:val="0"/>
          <w:sz w:val="24"/>
          <w:szCs w:val="24"/>
          <w:highlight w:val="none"/>
        </w:rPr>
        <w:t>按已确定的</w:t>
      </w:r>
      <w:r>
        <w:rPr>
          <w:rFonts w:hint="eastAsia" w:ascii="宋体" w:hAnsi="宋体" w:eastAsia="宋体" w:cs="宋体"/>
          <w:sz w:val="24"/>
          <w:szCs w:val="24"/>
          <w:highlight w:val="none"/>
        </w:rPr>
        <w:t>谈判顺序集中与供应商分别</w:t>
      </w:r>
      <w:r>
        <w:rPr>
          <w:rFonts w:hint="eastAsia" w:ascii="宋体" w:hAnsi="宋体" w:eastAsia="宋体" w:cs="宋体"/>
          <w:sz w:val="24"/>
          <w:szCs w:val="24"/>
          <w:highlight w:val="none"/>
          <w:lang w:val="en-US" w:eastAsia="zh-CN"/>
        </w:rPr>
        <w:t>线上</w:t>
      </w:r>
      <w:r>
        <w:rPr>
          <w:rFonts w:hint="eastAsia" w:ascii="宋体" w:hAnsi="宋体" w:eastAsia="宋体" w:cs="宋体"/>
          <w:sz w:val="24"/>
          <w:szCs w:val="24"/>
          <w:highlight w:val="none"/>
        </w:rPr>
        <w:t>进行谈判，并给予所有实质性响应竞争性谈判文件要求的供应商平等的谈判机会。</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w:t>
      </w:r>
      <w:r>
        <w:rPr>
          <w:rFonts w:hint="eastAsia" w:ascii="宋体" w:hAnsi="宋体" w:eastAsia="宋体" w:cs="宋体"/>
          <w:sz w:val="24"/>
          <w:szCs w:val="24"/>
          <w:highlight w:val="none"/>
          <w:lang w:val="en-US" w:eastAsia="zh-CN"/>
        </w:rPr>
        <w:t>过程中及评审结束</w:t>
      </w:r>
      <w:r>
        <w:rPr>
          <w:rFonts w:hint="eastAsia" w:ascii="宋体" w:hAnsi="宋体" w:eastAsia="宋体" w:cs="宋体"/>
          <w:sz w:val="24"/>
          <w:szCs w:val="24"/>
          <w:highlight w:val="none"/>
        </w:rPr>
        <w:t>，谈判小组不得透露与谈判有关的其他供应商的技术资料、价格和其他信息。</w:t>
      </w:r>
    </w:p>
    <w:p>
      <w:pPr>
        <w:widowControl/>
        <w:tabs>
          <w:tab w:val="left" w:pos="540"/>
        </w:tabs>
        <w:spacing w:line="3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采购代理机构对谈判过程和重要谈判内容进行记录，</w:t>
      </w:r>
      <w:r>
        <w:rPr>
          <w:rFonts w:hint="eastAsia" w:ascii="宋体" w:hAnsi="宋体" w:eastAsia="宋体" w:cs="宋体"/>
          <w:sz w:val="24"/>
          <w:szCs w:val="24"/>
          <w:highlight w:val="none"/>
          <w:lang w:val="en-US" w:eastAsia="zh-CN"/>
        </w:rPr>
        <w:t>供应商对</w:t>
      </w:r>
      <w:r>
        <w:rPr>
          <w:rFonts w:hint="eastAsia" w:ascii="宋体" w:hAnsi="宋体" w:eastAsia="宋体" w:cs="宋体"/>
          <w:sz w:val="24"/>
          <w:szCs w:val="24"/>
          <w:highlight w:val="none"/>
        </w:rPr>
        <w:t>谈判</w:t>
      </w:r>
      <w:r>
        <w:rPr>
          <w:rFonts w:hint="eastAsia" w:ascii="宋体" w:hAnsi="宋体" w:eastAsia="宋体" w:cs="宋体"/>
          <w:sz w:val="24"/>
          <w:szCs w:val="24"/>
          <w:highlight w:val="none"/>
          <w:lang w:val="en-US" w:eastAsia="zh-CN"/>
        </w:rPr>
        <w:t>内容进行</w:t>
      </w:r>
      <w:r>
        <w:rPr>
          <w:rFonts w:hint="eastAsia" w:ascii="宋体" w:hAnsi="宋体" w:eastAsia="宋体" w:cs="宋体"/>
          <w:sz w:val="24"/>
          <w:szCs w:val="24"/>
          <w:highlight w:val="none"/>
        </w:rPr>
        <w:t>确认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val="en-US" w:eastAsia="zh-CN"/>
        </w:rPr>
        <w:t>对谈判的实质性内容（包含</w:t>
      </w:r>
      <w:r>
        <w:rPr>
          <w:rFonts w:hint="eastAsia" w:ascii="宋体" w:hAnsi="宋体" w:eastAsia="宋体" w:cs="宋体"/>
          <w:sz w:val="24"/>
          <w:szCs w:val="24"/>
          <w:highlight w:val="none"/>
        </w:rPr>
        <w:t>供应商的技术资料、</w:t>
      </w:r>
      <w:r>
        <w:rPr>
          <w:rFonts w:hint="eastAsia" w:ascii="宋体" w:hAnsi="宋体" w:eastAsia="宋体" w:cs="宋体"/>
          <w:sz w:val="24"/>
          <w:szCs w:val="24"/>
          <w:highlight w:val="none"/>
          <w:lang w:val="en-US" w:eastAsia="zh-CN"/>
        </w:rPr>
        <w:t>优惠条件、最终</w:t>
      </w:r>
      <w:r>
        <w:rPr>
          <w:rFonts w:hint="eastAsia" w:ascii="宋体" w:hAnsi="宋体" w:eastAsia="宋体" w:cs="宋体"/>
          <w:sz w:val="24"/>
          <w:szCs w:val="24"/>
          <w:highlight w:val="none"/>
        </w:rPr>
        <w:t>价格</w:t>
      </w:r>
      <w:r>
        <w:rPr>
          <w:rFonts w:hint="eastAsia" w:ascii="宋体" w:hAnsi="宋体" w:eastAsia="宋体" w:cs="宋体"/>
          <w:sz w:val="24"/>
          <w:szCs w:val="24"/>
          <w:highlight w:val="none"/>
          <w:lang w:val="en-US" w:eastAsia="zh-CN"/>
        </w:rPr>
        <w:t>等）不得泄露。</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21.6在谈判过程中，谈判小组可以根据谈判文件和谈判情况实质性变动项目需求中的技术、服务要求以及合同草案条款，但不得变动谈判文件中的其他内容。实质性变动的内容，须经采购人代表确认。</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对谈判文件作出的实质性变动是谈判文件的有效组成部分，谈判小组应当及时以书面形式同时通知所有参加谈判的供应商。</w:t>
      </w:r>
    </w:p>
    <w:p>
      <w:pPr>
        <w:widowControl/>
        <w:spacing w:line="36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21.7在采购过程中符合竞争要求的供应商或者报价未超过采购预算的供应商不足3家的，采购人或者采购代理机构应当终止竞争性谈判采购活动。</w:t>
      </w:r>
    </w:p>
    <w:p>
      <w:pPr>
        <w:widowControl/>
        <w:spacing w:line="36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21.8最后报价</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21.8.1谈判文件能够详细列明采购标的的技术、服务要求的，谈判结束后，谈判小组应当要求所有继续参加谈判的供应商在规定时间内</w:t>
      </w:r>
      <w:r>
        <w:rPr>
          <w:rFonts w:hint="eastAsia" w:ascii="宋体" w:hAnsi="宋体" w:eastAsia="宋体" w:cs="宋体"/>
          <w:kern w:val="0"/>
          <w:sz w:val="24"/>
          <w:szCs w:val="24"/>
          <w:highlight w:val="none"/>
          <w:lang w:val="en-US" w:eastAsia="zh-CN"/>
        </w:rPr>
        <w:t>线上</w:t>
      </w:r>
      <w:r>
        <w:rPr>
          <w:rFonts w:hint="eastAsia" w:ascii="宋体" w:hAnsi="宋体" w:eastAsia="宋体" w:cs="宋体"/>
          <w:kern w:val="0"/>
          <w:sz w:val="24"/>
          <w:szCs w:val="24"/>
          <w:highlight w:val="none"/>
        </w:rPr>
        <w:t>提交最后报价，提交最后报价的供应商不得少于3家。</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w:t>
      </w:r>
      <w:r>
        <w:rPr>
          <w:rFonts w:hint="eastAsia" w:ascii="宋体" w:hAnsi="宋体" w:eastAsia="宋体" w:cs="宋体"/>
          <w:kern w:val="0"/>
          <w:sz w:val="24"/>
          <w:szCs w:val="24"/>
          <w:highlight w:val="none"/>
          <w:lang w:val="en-US" w:eastAsia="zh-CN"/>
        </w:rPr>
        <w:t>线上</w:t>
      </w:r>
      <w:r>
        <w:rPr>
          <w:rFonts w:hint="eastAsia" w:ascii="宋体" w:hAnsi="宋体" w:eastAsia="宋体" w:cs="宋体"/>
          <w:kern w:val="0"/>
          <w:sz w:val="24"/>
          <w:szCs w:val="24"/>
          <w:highlight w:val="none"/>
        </w:rPr>
        <w:t>提交最后报价。</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21.8.3最后报价是供应商响应文件的有效组成部分。</w:t>
      </w:r>
    </w:p>
    <w:p>
      <w:pPr>
        <w:tabs>
          <w:tab w:val="left" w:pos="1305"/>
        </w:tabs>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按上述勘误修正原则及方法调整或修正响应文件的谈判报价，供应商需签字确认。</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21.9已提交响应文件的供应商，在</w:t>
      </w:r>
      <w:r>
        <w:rPr>
          <w:rFonts w:hint="eastAsia" w:ascii="宋体" w:hAnsi="宋体" w:eastAsia="宋体" w:cs="宋体"/>
          <w:kern w:val="0"/>
          <w:sz w:val="24"/>
          <w:szCs w:val="24"/>
          <w:highlight w:val="none"/>
          <w:lang w:val="en-US" w:eastAsia="zh-CN"/>
        </w:rPr>
        <w:t>线上</w:t>
      </w:r>
      <w:r>
        <w:rPr>
          <w:rFonts w:hint="eastAsia" w:ascii="宋体" w:hAnsi="宋体" w:eastAsia="宋体" w:cs="宋体"/>
          <w:kern w:val="0"/>
          <w:sz w:val="24"/>
          <w:szCs w:val="24"/>
          <w:highlight w:val="none"/>
        </w:rPr>
        <w:t>提交最后报价之前，可以根据谈判情况书面退出谈判。</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w:t>
      </w:r>
      <w:r>
        <w:rPr>
          <w:rFonts w:hint="eastAsia" w:ascii="宋体" w:hAnsi="宋体" w:eastAsia="宋体" w:cs="宋体"/>
          <w:kern w:val="0"/>
          <w:sz w:val="24"/>
          <w:szCs w:val="24"/>
          <w:highlight w:val="none"/>
          <w:lang w:val="en-US" w:eastAsia="zh-CN"/>
        </w:rPr>
        <w:t>线上</w:t>
      </w:r>
      <w:r>
        <w:rPr>
          <w:rFonts w:hint="eastAsia" w:ascii="宋体" w:hAnsi="宋体" w:eastAsia="宋体" w:cs="宋体"/>
          <w:kern w:val="0"/>
          <w:sz w:val="24"/>
          <w:szCs w:val="24"/>
          <w:highlight w:val="none"/>
        </w:rPr>
        <w:t>退出谈判的供应商在规定时间内提交最后报价，其最后报价超出采购预算导致已通过评审的响应文件无效的，按供应商在提交响应文件截止时间后撤回响应文件处理。</w:t>
      </w:r>
    </w:p>
    <w:p>
      <w:pPr>
        <w:widowControl/>
        <w:tabs>
          <w:tab w:val="left" w:pos="540"/>
        </w:tabs>
        <w:spacing w:line="36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21.10评审报告</w:t>
      </w:r>
    </w:p>
    <w:p>
      <w:pPr>
        <w:spacing w:line="36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谈判小组应当从质量和服务均能满足谈判文件全部实质性响应要求的供应商中，按照评审报价（最后报价及享受政府采购政策的优惠扣除）由低到高的顺序提出3名以上（含3名）成交候选人，并编写评审报告。</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 w:val="24"/>
          <w:szCs w:val="24"/>
          <w:highlight w:val="none"/>
          <w:lang w:eastAsia="zh-CN"/>
        </w:rPr>
        <w:t>长春市财政局政府采购管理工作办公室</w:t>
      </w:r>
      <w:r>
        <w:rPr>
          <w:rFonts w:hint="eastAsia" w:ascii="宋体" w:hAnsi="宋体" w:eastAsia="宋体" w:cs="宋体"/>
          <w:sz w:val="24"/>
          <w:szCs w:val="24"/>
          <w:highlight w:val="none"/>
        </w:rPr>
        <w:t>报告。</w:t>
      </w:r>
    </w:p>
    <w:p>
      <w:pPr>
        <w:pStyle w:val="16"/>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确定成交供应商</w:t>
      </w:r>
    </w:p>
    <w:p>
      <w:pPr>
        <w:pStyle w:val="16"/>
        <w:tabs>
          <w:tab w:val="left" w:pos="4214"/>
        </w:tabs>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22.1采购单位应当确定谈判小组推荐排名第一的成交候选人为成交供应商。</w:t>
      </w:r>
    </w:p>
    <w:p>
      <w:pPr>
        <w:pStyle w:val="16"/>
        <w:spacing w:line="360" w:lineRule="exact"/>
        <w:ind w:firstLine="511" w:firstLineChars="213"/>
        <w:rPr>
          <w:rFonts w:hint="eastAsia" w:ascii="宋体" w:hAnsi="宋体" w:eastAsia="宋体" w:cs="宋体"/>
          <w:sz w:val="24"/>
          <w:szCs w:val="24"/>
          <w:highlight w:val="none"/>
        </w:rPr>
      </w:pPr>
      <w:r>
        <w:rPr>
          <w:rFonts w:hint="eastAsia" w:ascii="宋体" w:hAnsi="宋体" w:eastAsia="宋体" w:cs="宋体"/>
          <w:sz w:val="24"/>
          <w:szCs w:val="24"/>
          <w:highlight w:val="none"/>
        </w:rPr>
        <w:t>22.2排名第一的成交候选人放弃成交、因不可抗力提出不能履行合同，</w:t>
      </w:r>
      <w:r>
        <w:rPr>
          <w:rFonts w:hint="eastAsia" w:ascii="宋体" w:hAnsi="宋体" w:eastAsia="宋体" w:cs="宋体"/>
          <w:kern w:val="0"/>
          <w:sz w:val="24"/>
          <w:szCs w:val="24"/>
          <w:highlight w:val="none"/>
        </w:rPr>
        <w:t>或信用信息记录不符合相关规定的，</w:t>
      </w:r>
      <w:r>
        <w:rPr>
          <w:rFonts w:hint="eastAsia" w:ascii="宋体" w:hAnsi="宋体" w:eastAsia="宋体" w:cs="宋体"/>
          <w:sz w:val="24"/>
          <w:szCs w:val="24"/>
          <w:highlight w:val="none"/>
        </w:rPr>
        <w:t>或者谈判文件规定应当提交履约保证金而在规定的期限内未能提交的，采购单位可以确定排名第二的成交候选人为成交供应商</w:t>
      </w:r>
      <w:r>
        <w:rPr>
          <w:rFonts w:hint="eastAsia" w:ascii="宋体" w:hAnsi="宋体" w:eastAsia="宋体" w:cs="宋体"/>
          <w:sz w:val="24"/>
          <w:szCs w:val="24"/>
          <w:highlight w:val="none"/>
          <w:lang w:val="en-US" w:eastAsia="zh-CN"/>
        </w:rPr>
        <w:t>或者重新招标</w:t>
      </w:r>
      <w:r>
        <w:rPr>
          <w:rFonts w:hint="eastAsia" w:ascii="宋体" w:hAnsi="宋体" w:eastAsia="宋体" w:cs="宋体"/>
          <w:sz w:val="24"/>
          <w:szCs w:val="24"/>
          <w:highlight w:val="none"/>
        </w:rPr>
        <w:t>。</w:t>
      </w:r>
    </w:p>
    <w:p>
      <w:pPr>
        <w:pStyle w:val="16"/>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22.3排名第二的成交候选人因前款规定的同样原因不能签订合同的，采购单位可以确定排名第三的成交候选人为成交供应商</w:t>
      </w:r>
      <w:r>
        <w:rPr>
          <w:rFonts w:hint="eastAsia" w:ascii="宋体" w:hAnsi="宋体" w:eastAsia="宋体" w:cs="宋体"/>
          <w:sz w:val="24"/>
          <w:szCs w:val="24"/>
          <w:highlight w:val="none"/>
          <w:lang w:val="en-US" w:eastAsia="zh-CN"/>
        </w:rPr>
        <w:t>或者重新招标</w:t>
      </w:r>
      <w:r>
        <w:rPr>
          <w:rFonts w:hint="eastAsia" w:ascii="宋体" w:hAnsi="宋体" w:eastAsia="宋体" w:cs="宋体"/>
          <w:sz w:val="24"/>
          <w:szCs w:val="24"/>
          <w:highlight w:val="none"/>
        </w:rPr>
        <w:t>。</w:t>
      </w:r>
    </w:p>
    <w:p>
      <w:pPr>
        <w:pStyle w:val="16"/>
        <w:spacing w:line="360" w:lineRule="exact"/>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22.4</w:t>
      </w:r>
      <w:r>
        <w:rPr>
          <w:rFonts w:hint="eastAsia" w:ascii="宋体" w:hAnsi="宋体" w:eastAsia="宋体" w:cs="宋体"/>
          <w:sz w:val="24"/>
          <w:szCs w:val="24"/>
          <w:highlight w:val="none"/>
          <w:lang w:val="en-US" w:eastAsia="zh-CN"/>
        </w:rPr>
        <w:t>采购人也可重新招标。</w:t>
      </w:r>
    </w:p>
    <w:p>
      <w:pPr>
        <w:widowControl/>
        <w:shd w:val="clear" w:color="auto" w:fill="FFFFFF"/>
        <w:spacing w:line="360" w:lineRule="exact"/>
        <w:ind w:firstLine="480"/>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rPr>
        <w:t xml:space="preserve">23. </w:t>
      </w:r>
      <w:r>
        <w:rPr>
          <w:rFonts w:hint="eastAsia" w:ascii="宋体" w:hAnsi="宋体" w:eastAsia="宋体" w:cs="宋体"/>
          <w:b/>
          <w:sz w:val="24"/>
          <w:szCs w:val="24"/>
          <w:highlight w:val="none"/>
        </w:rPr>
        <w:t>属于下列情况之一者，响应文件无效：</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（1）未按谈判文件第11项、第16项规定完整编制、提交响应文件和未按规定要求签字、盖章的；</w:t>
      </w:r>
    </w:p>
    <w:p>
      <w:pPr>
        <w:snapToGrid w:val="0"/>
        <w:spacing w:line="360" w:lineRule="exact"/>
        <w:ind w:firstLine="480" w:firstLineChars="200"/>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（2）不具备谈判文件规定的资格要求的；</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（3）响应文件未按谈判文件的内容和要求编制，或提供虚假材料的；</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（4）响应文件有效期、交货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质保</w:t>
      </w:r>
      <w:r>
        <w:rPr>
          <w:rFonts w:hint="eastAsia" w:ascii="宋体" w:hAnsi="宋体" w:eastAsia="宋体" w:cs="宋体"/>
          <w:sz w:val="24"/>
          <w:szCs w:val="24"/>
          <w:highlight w:val="none"/>
        </w:rPr>
        <w:t>期、售后服务不能满足谈判文件要求的；</w:t>
      </w:r>
    </w:p>
    <w:p>
      <w:pPr>
        <w:snapToGrid w:val="0"/>
        <w:spacing w:line="360" w:lineRule="exact"/>
        <w:ind w:firstLine="480" w:firstLineChars="200"/>
        <w:outlineLvl w:val="4"/>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（5）供应商未就“</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val="en-US" w:eastAsia="zh-CN"/>
        </w:rPr>
        <w:t>表</w:t>
      </w:r>
      <w:r>
        <w:rPr>
          <w:rFonts w:hint="eastAsia" w:ascii="宋体" w:hAnsi="宋体" w:eastAsia="宋体" w:cs="宋体"/>
          <w:sz w:val="24"/>
          <w:szCs w:val="24"/>
          <w:highlight w:val="none"/>
        </w:rPr>
        <w:t>”中所竞所有货物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内容分别作完整唯一报价的，或报价超出采购预算总金额的；</w:t>
      </w:r>
      <w:r>
        <w:rPr>
          <w:rFonts w:hint="eastAsia" w:ascii="宋体" w:hAnsi="宋体" w:eastAsia="宋体" w:cs="宋体"/>
          <w:sz w:val="24"/>
          <w:szCs w:val="24"/>
          <w:highlight w:val="none"/>
          <w:lang w:val="en-US" w:eastAsia="zh-CN"/>
        </w:rPr>
        <w:t>或未按招要求提供相关资料的。</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（6）未在谈判小组规定的时间内重新提交响应文件的；</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（7）单位负责人为同一人或者存在直接控股、管理关系的不同供应商参加同一合同项下分标或未划分分标的同一合同项下的政府采购活动；</w:t>
      </w:r>
    </w:p>
    <w:p>
      <w:pPr>
        <w:pStyle w:val="16"/>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（8）未满足谈判文件全部实质性要求的或者响应文件有采购人不能接受的附加条件的；</w:t>
      </w:r>
    </w:p>
    <w:p>
      <w:pPr>
        <w:pStyle w:val="16"/>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（9）不符合法律、法规和谈判文件规定的其他实质性要求和条件的。</w:t>
      </w:r>
    </w:p>
    <w:p>
      <w:pPr>
        <w:snapToGrid w:val="0"/>
        <w:spacing w:line="36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24.有下列情形之一的视为供应商相互串通谈判，响应文件将被视为无效：</w:t>
      </w:r>
    </w:p>
    <w:p>
      <w:pPr>
        <w:snapToGrid w:val="0"/>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（1）不同供应商的响应文件由同一单位或者个人编制；或不同供应商报名的IP地址一致的；</w:t>
      </w:r>
    </w:p>
    <w:p>
      <w:pPr>
        <w:snapToGrid w:val="0"/>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（2）不同供应商委托同一单位或者个人办理谈判事宜；</w:t>
      </w:r>
    </w:p>
    <w:p>
      <w:pPr>
        <w:snapToGrid w:val="0"/>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（3）不同的供应商的响应文件载明的项目管理员为同一个人；</w:t>
      </w:r>
    </w:p>
    <w:p>
      <w:pPr>
        <w:snapToGrid w:val="0"/>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（4）不同供应商的响应文件异常一致或竞标报价呈规律性差异；</w:t>
      </w:r>
    </w:p>
    <w:p>
      <w:pPr>
        <w:snapToGrid w:val="0"/>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（5）不同供应商的响应文件相互混装；</w:t>
      </w:r>
    </w:p>
    <w:p>
      <w:pPr>
        <w:snapToGrid w:val="0"/>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（6）响应文件实质性要求未做变动，供应商最后报价高于第一次报价的。</w:t>
      </w:r>
    </w:p>
    <w:p>
      <w:pPr>
        <w:snapToGrid w:val="0"/>
        <w:spacing w:line="360" w:lineRule="exact"/>
        <w:ind w:firstLine="470" w:firstLineChars="196"/>
        <w:outlineLvl w:val="4"/>
        <w:rPr>
          <w:rFonts w:hint="eastAsia" w:ascii="宋体" w:hAnsi="宋体" w:eastAsia="宋体" w:cs="宋体"/>
          <w:bCs/>
          <w:sz w:val="24"/>
          <w:szCs w:val="24"/>
          <w:highlight w:val="none"/>
        </w:rPr>
      </w:pPr>
      <w:r>
        <w:rPr>
          <w:rFonts w:hint="eastAsia" w:ascii="宋体" w:hAnsi="宋体" w:eastAsia="宋体" w:cs="宋体"/>
          <w:bCs/>
          <w:sz w:val="24"/>
          <w:szCs w:val="24"/>
          <w:highlight w:val="none"/>
        </w:rPr>
        <w:t>25. 出现下列情形之一的，采购人或者采购代理机构应当终止竞争性谈判采购活动，发布项目终止公告并说明原因，重新开展采购活动：</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（1）因情况变化，不再符合规定的竞争性谈判采购方式适用情形的；</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（2）出现影响采购公正的违法、违规行为的； </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（3）在采购过程中符合竞争要求的供应商或者报价未超过采购预算的供应商不足3家的。 </w:t>
      </w:r>
    </w:p>
    <w:p>
      <w:pPr>
        <w:snapToGrid w:val="0"/>
        <w:spacing w:line="360" w:lineRule="exact"/>
        <w:ind w:firstLine="482" w:firstLineChars="200"/>
        <w:outlineLvl w:val="4"/>
        <w:rPr>
          <w:rFonts w:hint="eastAsia" w:ascii="宋体" w:hAnsi="宋体" w:eastAsia="宋体" w:cs="宋体"/>
          <w:b/>
          <w:sz w:val="24"/>
          <w:szCs w:val="24"/>
          <w:highlight w:val="none"/>
        </w:rPr>
      </w:pPr>
      <w:r>
        <w:rPr>
          <w:rFonts w:hint="eastAsia" w:ascii="宋体" w:hAnsi="宋体" w:eastAsia="宋体" w:cs="宋体"/>
          <w:b/>
          <w:sz w:val="24"/>
          <w:szCs w:val="24"/>
          <w:highlight w:val="none"/>
        </w:rPr>
        <w:t>26. 谈判过程的监控</w:t>
      </w:r>
    </w:p>
    <w:p>
      <w:pPr>
        <w:pStyle w:val="16"/>
        <w:spacing w:line="3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本项目谈判过程实行全程录音、录像监控，供应商在谈判过程中所进行的试图影响谈判结果的不公正活动，可能导致其谈判被拒绝。</w:t>
      </w:r>
    </w:p>
    <w:p>
      <w:pPr>
        <w:pStyle w:val="16"/>
        <w:spacing w:line="360" w:lineRule="exact"/>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27. 成交结果公告及成交通知书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70" w:firstLineChars="196"/>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27.3</w:t>
      </w:r>
      <w:r>
        <w:rPr>
          <w:rFonts w:hint="eastAsia" w:ascii="宋体" w:hAnsi="宋体" w:eastAsia="宋体" w:cs="宋体"/>
          <w:sz w:val="24"/>
          <w:szCs w:val="24"/>
          <w:highlight w:val="none"/>
        </w:rPr>
        <w:t>成交人在领取成交通知书前必须按照</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文件规定</w:t>
      </w:r>
      <w:r>
        <w:rPr>
          <w:rFonts w:hint="eastAsia" w:ascii="宋体" w:hAnsi="宋体" w:eastAsia="宋体" w:cs="宋体"/>
          <w:sz w:val="24"/>
          <w:szCs w:val="24"/>
          <w:highlight w:val="none"/>
          <w:lang w:eastAsia="zh-CN"/>
        </w:rPr>
        <w:t>一次性向采购代理机构</w:t>
      </w:r>
      <w:r>
        <w:rPr>
          <w:rFonts w:hint="eastAsia" w:ascii="宋体" w:hAnsi="宋体" w:eastAsia="宋体" w:cs="宋体"/>
          <w:sz w:val="24"/>
          <w:szCs w:val="24"/>
          <w:highlight w:val="none"/>
        </w:rPr>
        <w:t>递交代理服务费</w:t>
      </w:r>
      <w:r>
        <w:rPr>
          <w:rFonts w:hint="eastAsia" w:ascii="宋体" w:hAnsi="宋体" w:eastAsia="宋体" w:cs="宋体"/>
          <w:sz w:val="24"/>
          <w:szCs w:val="24"/>
          <w:highlight w:val="none"/>
          <w:lang w:val="en-US" w:eastAsia="zh-CN"/>
        </w:rPr>
        <w:t>。</w:t>
      </w:r>
    </w:p>
    <w:p>
      <w:pPr>
        <w:spacing w:line="36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27.</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采购代理机构无义务向未成交的供应商解释未成交原因和退还响应文件。</w:t>
      </w:r>
    </w:p>
    <w:p>
      <w:pPr>
        <w:tabs>
          <w:tab w:val="left" w:pos="1140"/>
        </w:tabs>
        <w:spacing w:line="36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五、签订合同</w:t>
      </w:r>
    </w:p>
    <w:p>
      <w:pPr>
        <w:spacing w:line="360" w:lineRule="exact"/>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28. 履约保证金</w:t>
      </w:r>
    </w:p>
    <w:p>
      <w:pPr>
        <w:spacing w:line="36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 xml:space="preserve">    28.1 </w:t>
      </w:r>
      <w:r>
        <w:rPr>
          <w:rFonts w:hint="eastAsia" w:ascii="宋体" w:hAnsi="宋体" w:eastAsia="宋体" w:cs="宋体"/>
          <w:b/>
          <w:sz w:val="24"/>
          <w:szCs w:val="24"/>
          <w:highlight w:val="none"/>
          <w:lang w:val="en-US" w:eastAsia="zh-CN"/>
        </w:rPr>
        <w:t>以实际与业主签订的合同内容为准。</w:t>
      </w:r>
    </w:p>
    <w:p>
      <w:pPr>
        <w:pStyle w:val="16"/>
        <w:spacing w:line="360" w:lineRule="exact"/>
        <w:ind w:left="6" w:leftChars="3"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29. 签订合同</w:t>
      </w:r>
    </w:p>
    <w:p>
      <w:pPr>
        <w:tabs>
          <w:tab w:val="left" w:pos="1140"/>
        </w:tabs>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 签订合同时间：成交通知书发出之日起30日内。</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（1）成交后不与采购人签订合同的（不可抗力除外）；</w:t>
      </w:r>
    </w:p>
    <w:p>
      <w:pPr>
        <w:widowControl/>
        <w:spacing w:line="3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（3）拒绝履行合同义务的。</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29.3 合同备案存档：政府采购合同双方自签订之日起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个工作日内将合同原件一份交采购代理机构。</w:t>
      </w:r>
    </w:p>
    <w:p>
      <w:pPr>
        <w:pStyle w:val="16"/>
        <w:spacing w:line="380" w:lineRule="exact"/>
        <w:ind w:left="3"/>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六、其他事项</w:t>
      </w:r>
    </w:p>
    <w:p>
      <w:pPr>
        <w:spacing w:line="360" w:lineRule="exact"/>
        <w:ind w:firstLine="480" w:firstLineChars="200"/>
        <w:rPr>
          <w:rFonts w:hint="eastAsia" w:ascii="宋体" w:hAnsi="宋体" w:eastAsia="宋体" w:cs="宋体"/>
          <w:sz w:val="24"/>
          <w:szCs w:val="24"/>
          <w:highlight w:val="none"/>
          <w:lang w:val="en-US" w:eastAsia="zh-CN"/>
        </w:rPr>
      </w:pPr>
      <w:bookmarkStart w:id="15" w:name="_Toc432264367"/>
      <w:bookmarkStart w:id="16" w:name="_Toc455565643"/>
      <w:bookmarkStart w:id="17" w:name="_Toc432277439"/>
      <w:r>
        <w:rPr>
          <w:rFonts w:hint="eastAsia" w:ascii="宋体" w:hAnsi="宋体" w:eastAsia="宋体" w:cs="宋体"/>
          <w:sz w:val="24"/>
          <w:szCs w:val="24"/>
          <w:highlight w:val="none"/>
          <w:lang w:val="en-US" w:eastAsia="zh-CN"/>
        </w:rPr>
        <w:t>无。</w:t>
      </w:r>
    </w:p>
    <w:p>
      <w:pPr>
        <w:pStyle w:val="51"/>
        <w:rPr>
          <w:rFonts w:hint="eastAsia" w:ascii="宋体" w:hAnsi="宋体" w:cs="宋体"/>
          <w:b/>
          <w:highlight w:val="none"/>
          <w:lang w:val="en-US" w:eastAsia="zh-CN"/>
        </w:rPr>
      </w:pPr>
    </w:p>
    <w:p>
      <w:pPr>
        <w:pStyle w:val="51"/>
        <w:rPr>
          <w:rFonts w:hint="eastAsia" w:ascii="宋体" w:hAnsi="宋体" w:cs="宋体"/>
          <w:b/>
          <w:highlight w:val="none"/>
          <w:lang w:val="en-US" w:eastAsia="zh-CN"/>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15"/>
    <w:bookmarkEnd w:id="16"/>
    <w:bookmarkEnd w:id="17"/>
    <w:p>
      <w:pPr>
        <w:pStyle w:val="4"/>
        <w:numPr>
          <w:ilvl w:val="0"/>
          <w:numId w:val="4"/>
        </w:numPr>
        <w:bidi w:val="0"/>
        <w:jc w:val="center"/>
        <w:rPr>
          <w:rFonts w:hint="eastAsia"/>
          <w:lang w:val="zh-CN"/>
        </w:rPr>
      </w:pPr>
      <w:bookmarkStart w:id="18" w:name="_Toc18548"/>
      <w:r>
        <w:rPr>
          <w:rFonts w:hint="eastAsia"/>
          <w:lang w:val="en-US" w:eastAsia="zh-CN"/>
        </w:rPr>
        <w:t xml:space="preserve"> </w:t>
      </w:r>
      <w:r>
        <w:rPr>
          <w:rFonts w:hint="eastAsia"/>
          <w:lang w:eastAsia="zh-CN"/>
        </w:rPr>
        <w:t>货物采购</w:t>
      </w:r>
      <w:r>
        <w:rPr>
          <w:rFonts w:hint="eastAsia"/>
          <w:lang w:val="zh-CN"/>
        </w:rPr>
        <w:t>需求</w:t>
      </w:r>
      <w:bookmarkEnd w:id="18"/>
    </w:p>
    <w:p>
      <w:pPr>
        <w:pStyle w:val="4"/>
        <w:spacing w:before="0" w:after="0" w:line="240" w:lineRule="auto"/>
        <w:rPr>
          <w:rFonts w:hint="eastAsia" w:ascii="宋体" w:hAnsi="宋体" w:eastAsia="宋体" w:cs="宋体"/>
          <w:sz w:val="24"/>
          <w:szCs w:val="24"/>
        </w:rPr>
      </w:pPr>
      <w:bookmarkStart w:id="19" w:name="_Toc22454"/>
      <w:bookmarkStart w:id="20" w:name="_Toc14770"/>
      <w:r>
        <w:rPr>
          <w:rFonts w:hint="eastAsia" w:ascii="宋体" w:hAnsi="宋体" w:eastAsia="宋体" w:cs="宋体"/>
          <w:sz w:val="24"/>
          <w:szCs w:val="24"/>
        </w:rPr>
        <w:t>一、项目概况及总体要求</w:t>
      </w:r>
      <w:bookmarkEnd w:id="19"/>
      <w:bookmarkEnd w:id="20"/>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2024年防洪挡水板项目</w:t>
      </w:r>
      <w:r>
        <w:rPr>
          <w:rFonts w:hint="eastAsia" w:ascii="宋体" w:hAnsi="宋体" w:eastAsia="宋体" w:cs="宋体"/>
          <w:sz w:val="24"/>
          <w:szCs w:val="24"/>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供货</w:t>
      </w:r>
      <w:r>
        <w:rPr>
          <w:rFonts w:hint="eastAsia" w:ascii="宋体" w:hAnsi="宋体" w:eastAsia="宋体" w:cs="宋体"/>
          <w:sz w:val="24"/>
          <w:szCs w:val="24"/>
        </w:rPr>
        <w:t>地点：甲方指定地点。</w:t>
      </w:r>
    </w:p>
    <w:p>
      <w:pPr>
        <w:spacing w:line="24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期：</w:t>
      </w:r>
      <w:r>
        <w:rPr>
          <w:rFonts w:hint="eastAsia" w:ascii="宋体" w:hAnsi="宋体" w:cs="宋体"/>
          <w:sz w:val="24"/>
          <w:szCs w:val="24"/>
          <w:highlight w:val="none"/>
          <w:lang w:eastAsia="zh-CN"/>
        </w:rPr>
        <w:t xml:space="preserve">因本次采购属于汛期紧急采购，合同签订后10天内完成甲方指定地点全部供货。  </w:t>
      </w:r>
    </w:p>
    <w:p>
      <w:pPr>
        <w:pStyle w:val="52"/>
        <w:spacing w:line="240" w:lineRule="auto"/>
        <w:rPr>
          <w:rFonts w:hint="eastAsia" w:ascii="宋体" w:hAnsi="宋体" w:eastAsia="宋体" w:cs="宋体"/>
          <w:sz w:val="24"/>
          <w:szCs w:val="24"/>
          <w:lang w:val="en-US"/>
        </w:rPr>
      </w:pPr>
      <w:r>
        <w:rPr>
          <w:rFonts w:hint="eastAsia" w:ascii="宋体" w:hAnsi="宋体" w:eastAsia="宋体" w:cs="宋体"/>
          <w:b w:val="0"/>
          <w:bCs w:val="0"/>
          <w:sz w:val="24"/>
          <w:szCs w:val="24"/>
          <w:lang w:val="en-US" w:eastAsia="zh-CN"/>
        </w:rPr>
        <w:t>4、质保期：质保期</w:t>
      </w:r>
      <w:r>
        <w:rPr>
          <w:rFonts w:hint="eastAsia" w:cs="宋体"/>
          <w:b w:val="0"/>
          <w:bCs w:val="0"/>
          <w:sz w:val="24"/>
          <w:szCs w:val="24"/>
          <w:lang w:val="en-US" w:eastAsia="zh-CN"/>
        </w:rPr>
        <w:t>三</w:t>
      </w:r>
      <w:r>
        <w:rPr>
          <w:rFonts w:hint="eastAsia" w:ascii="宋体" w:hAnsi="宋体" w:eastAsia="宋体" w:cs="宋体"/>
          <w:b w:val="0"/>
          <w:bCs w:val="0"/>
          <w:sz w:val="24"/>
          <w:szCs w:val="24"/>
          <w:lang w:val="en-US" w:eastAsia="zh-CN"/>
        </w:rPr>
        <w:t>年。</w:t>
      </w:r>
    </w:p>
    <w:p>
      <w:pPr>
        <w:numPr>
          <w:ilvl w:val="0"/>
          <w:numId w:val="0"/>
        </w:numPr>
        <w:spacing w:line="360" w:lineRule="exact"/>
        <w:rPr>
          <w:rFonts w:hint="eastAsia" w:ascii="宋体" w:hAnsi="宋体" w:eastAsia="宋体" w:cs="宋体"/>
          <w:b/>
          <w:bCs/>
          <w:kern w:val="2"/>
          <w:sz w:val="24"/>
          <w:szCs w:val="24"/>
          <w:lang w:val="en-US" w:eastAsia="zh-CN" w:bidi="ar-SA"/>
        </w:rPr>
      </w:pPr>
      <w:bookmarkStart w:id="21" w:name="_Toc15867"/>
      <w:bookmarkStart w:id="22" w:name="_Toc432277440"/>
      <w:bookmarkStart w:id="23" w:name="_Toc455565644"/>
      <w:bookmarkStart w:id="24" w:name="_Toc432264368"/>
      <w:bookmarkStart w:id="25" w:name="_Toc10263"/>
      <w:r>
        <w:rPr>
          <w:rFonts w:hint="eastAsia" w:ascii="宋体" w:hAnsi="宋体" w:eastAsia="宋体" w:cs="宋体"/>
          <w:b/>
          <w:bCs/>
          <w:kern w:val="2"/>
          <w:sz w:val="24"/>
          <w:szCs w:val="24"/>
          <w:lang w:val="en-US" w:eastAsia="zh-CN" w:bidi="ar-SA"/>
        </w:rPr>
        <w:t>二、</w:t>
      </w:r>
      <w:bookmarkEnd w:id="21"/>
      <w:r>
        <w:rPr>
          <w:rFonts w:hint="eastAsia" w:ascii="宋体" w:hAnsi="宋体" w:eastAsia="宋体" w:cs="宋体"/>
          <w:b/>
          <w:bCs/>
          <w:kern w:val="2"/>
          <w:sz w:val="24"/>
          <w:szCs w:val="24"/>
          <w:lang w:val="en-US" w:eastAsia="zh-CN" w:bidi="ar-SA"/>
        </w:rPr>
        <w:t>规格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1.防洪板适用于坚硬平整的地面上使用，采用“</w:t>
      </w:r>
      <w:r>
        <w:rPr>
          <w:rFonts w:hint="eastAsia" w:ascii="宋体" w:hAnsi="宋体" w:cs="宋体"/>
          <w:b w:val="0"/>
          <w:bCs/>
          <w:sz w:val="24"/>
          <w:szCs w:val="24"/>
          <w:highlight w:val="none"/>
          <w:lang w:val="en-US" w:eastAsia="zh-CN"/>
        </w:rPr>
        <w:t>L</w:t>
      </w:r>
      <w:r>
        <w:rPr>
          <w:rFonts w:hint="eastAsia" w:ascii="宋体" w:hAnsi="宋体" w:eastAsia="宋体" w:cs="宋体"/>
          <w:b w:val="0"/>
          <w:bCs/>
          <w:sz w:val="24"/>
          <w:szCs w:val="24"/>
          <w:highlight w:val="none"/>
          <w:lang w:eastAsia="zh-CN"/>
        </w:rPr>
        <w:t>型书挡原理”</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2.防洪板可阻挡 100cm 高的洪水</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3.外径尺寸:</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eastAsia="zh-CN"/>
        </w:rPr>
        <w:t>120cm*</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eastAsia="zh-CN"/>
        </w:rPr>
        <w:t>83cm*≥100cm(长*宽*高)</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4.每块板上都有不锈钢弹簧锁扣连接固定结构，可灵活组装</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5.塑料 ABS 材料，表面抗</w:t>
      </w:r>
      <w:r>
        <w:rPr>
          <w:rFonts w:hint="eastAsia" w:ascii="宋体" w:hAnsi="宋体" w:cs="宋体"/>
          <w:b w:val="0"/>
          <w:bCs/>
          <w:sz w:val="24"/>
          <w:szCs w:val="24"/>
          <w:highlight w:val="none"/>
          <w:lang w:val="en-US" w:eastAsia="zh-CN"/>
        </w:rPr>
        <w:t>UV</w:t>
      </w:r>
      <w:r>
        <w:rPr>
          <w:rFonts w:hint="eastAsia" w:ascii="宋体" w:hAnsi="宋体" w:eastAsia="宋体" w:cs="宋体"/>
          <w:b w:val="0"/>
          <w:bCs/>
          <w:sz w:val="24"/>
          <w:szCs w:val="24"/>
          <w:highlight w:val="none"/>
          <w:lang w:eastAsia="zh-CN"/>
        </w:rPr>
        <w:t xml:space="preserve"> 涂层</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6.平均厚度5.5mm±5%</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7.每块重量13kg±5%</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8.拉伸强度:不低于 43MPA</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9.弯曲强度:不低于70MPA</w:t>
      </w:r>
      <w:r>
        <w:rPr>
          <w:rFonts w:hint="eastAsia" w:ascii="宋体" w:hAnsi="宋体" w:cs="宋体"/>
          <w:b w:val="0"/>
          <w:bCs/>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10.断裂伸长率:不低于15%</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11.简支梁冲击强度:不低于43K</w:t>
      </w:r>
      <w:r>
        <w:rPr>
          <w:rFonts w:hint="eastAsia" w:ascii="宋体" w:hAnsi="宋体" w:cs="宋体"/>
          <w:b w:val="0"/>
          <w:bCs/>
          <w:sz w:val="24"/>
          <w:szCs w:val="24"/>
          <w:highlight w:val="none"/>
          <w:lang w:val="en-US" w:eastAsia="zh-CN"/>
        </w:rPr>
        <w:t>J</w:t>
      </w:r>
      <w:r>
        <w:rPr>
          <w:rFonts w:hint="eastAsia" w:ascii="宋体" w:hAnsi="宋体" w:eastAsia="宋体" w:cs="宋体"/>
          <w:b w:val="0"/>
          <w:bCs/>
          <w:sz w:val="24"/>
          <w:szCs w:val="24"/>
          <w:highlight w:val="none"/>
          <w:lang w:eastAsia="zh-CN"/>
        </w:rPr>
        <w:t>/立方</w:t>
      </w:r>
      <w:r>
        <w:rPr>
          <w:rFonts w:hint="eastAsia" w:ascii="宋体" w:hAnsi="宋体" w:cs="宋体"/>
          <w:b w:val="0"/>
          <w:bCs/>
          <w:sz w:val="24"/>
          <w:szCs w:val="24"/>
          <w:highlight w:val="none"/>
          <w:lang w:val="en-US" w:eastAsia="zh-CN"/>
        </w:rPr>
        <w:t>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12.表面抗UV。</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13.产品质保三年。</w:t>
      </w:r>
    </w:p>
    <w:p>
      <w:pPr>
        <w:numPr>
          <w:ilvl w:val="0"/>
          <w:numId w:val="0"/>
        </w:numPr>
        <w:spacing w:line="36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三、其他要求：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1、供货方须提供针对本项目的售后服务承诺书。</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2、若发现本次采购的产品本身存在的缺陷，供应商须无条件退货或更换同类产品。</w:t>
      </w:r>
    </w:p>
    <w:p>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pPr>
        <w:bidi w:val="0"/>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pStyle w:val="4"/>
        <w:bidi w:val="0"/>
        <w:jc w:val="center"/>
        <w:rPr>
          <w:rFonts w:hint="eastAsia"/>
        </w:rPr>
      </w:pPr>
      <w:bookmarkStart w:id="26" w:name="_Toc27539"/>
      <w:r>
        <w:rPr>
          <w:rFonts w:hint="eastAsia"/>
        </w:rPr>
        <w:t>第四章  评审方法</w:t>
      </w:r>
      <w:bookmarkEnd w:id="22"/>
      <w:bookmarkEnd w:id="23"/>
      <w:bookmarkEnd w:id="24"/>
      <w:bookmarkEnd w:id="26"/>
    </w:p>
    <w:p>
      <w:pPr>
        <w:ind w:firstLine="241" w:firstLineChars="100"/>
        <w:outlineLvl w:val="1"/>
        <w:rPr>
          <w:rFonts w:hint="eastAsia" w:ascii="宋体" w:hAnsi="宋体" w:eastAsia="宋体" w:cs="宋体"/>
          <w:b/>
          <w:bCs/>
          <w:kern w:val="44"/>
          <w:sz w:val="24"/>
          <w:highlight w:val="none"/>
        </w:rPr>
      </w:pPr>
      <w:bookmarkStart w:id="27" w:name="_Toc14785"/>
      <w:r>
        <w:rPr>
          <w:rFonts w:hint="eastAsia" w:ascii="宋体" w:hAnsi="宋体" w:eastAsia="宋体" w:cs="宋体"/>
          <w:b/>
          <w:sz w:val="24"/>
          <w:highlight w:val="none"/>
        </w:rPr>
        <w:t>（一）初步评审前附表</w:t>
      </w:r>
      <w:bookmarkEnd w:id="25"/>
      <w:bookmarkEnd w:id="27"/>
    </w:p>
    <w:tbl>
      <w:tblPr>
        <w:tblStyle w:val="34"/>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4"/>
        <w:gridCol w:w="1881"/>
        <w:gridCol w:w="5"/>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exact"/>
          <w:jc w:val="center"/>
        </w:trPr>
        <w:tc>
          <w:tcPr>
            <w:tcW w:w="2753" w:type="dxa"/>
            <w:gridSpan w:val="3"/>
            <w:tcBorders>
              <w:top w:val="single" w:color="auto" w:sz="4" w:space="0"/>
              <w:left w:val="single" w:color="auto" w:sz="4" w:space="0"/>
              <w:bottom w:val="single" w:color="auto" w:sz="4" w:space="0"/>
              <w:right w:val="single" w:color="auto" w:sz="4" w:space="0"/>
            </w:tcBorders>
            <w:noWrap w:val="0"/>
            <w:vAlign w:val="top"/>
          </w:tcPr>
          <w:p>
            <w:pPr>
              <w:pStyle w:val="75"/>
              <w:spacing w:line="400" w:lineRule="exact"/>
              <w:ind w:left="105" w:leftChars="50" w:right="105" w:rightChars="50"/>
              <w:contextualSpacing/>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6953" w:type="dxa"/>
            <w:gridSpan w:val="2"/>
            <w:tcBorders>
              <w:top w:val="single" w:color="auto" w:sz="4" w:space="0"/>
              <w:left w:val="single" w:color="auto" w:sz="4" w:space="0"/>
              <w:bottom w:val="single" w:color="auto" w:sz="4" w:space="0"/>
              <w:right w:val="single" w:color="auto" w:sz="4" w:space="0"/>
            </w:tcBorders>
            <w:noWrap w:val="0"/>
            <w:vAlign w:val="top"/>
          </w:tcPr>
          <w:p>
            <w:pPr>
              <w:pStyle w:val="75"/>
              <w:spacing w:line="400" w:lineRule="exact"/>
              <w:ind w:left="105" w:leftChars="50" w:right="105" w:rightChars="50"/>
              <w:contextualSpacing/>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exact"/>
          <w:jc w:val="center"/>
        </w:trPr>
        <w:tc>
          <w:tcPr>
            <w:tcW w:w="868" w:type="dxa"/>
            <w:vMerge w:val="restart"/>
            <w:tcBorders>
              <w:top w:val="single" w:color="auto" w:sz="4" w:space="0"/>
              <w:left w:val="single" w:color="auto" w:sz="4" w:space="0"/>
              <w:right w:val="single" w:color="auto" w:sz="4" w:space="0"/>
            </w:tcBorders>
            <w:noWrap w:val="0"/>
            <w:vAlign w:val="center"/>
          </w:tcPr>
          <w:p>
            <w:pPr>
              <w:spacing w:line="400" w:lineRule="exact"/>
              <w:ind w:left="105" w:leftChars="50" w:right="105" w:rightChars="50"/>
              <w:contextualSpacing/>
              <w:jc w:val="center"/>
              <w:rPr>
                <w:rFonts w:hint="eastAsia" w:ascii="宋体" w:hAnsi="宋体" w:eastAsia="宋体" w:cs="宋体"/>
                <w:sz w:val="24"/>
                <w:szCs w:val="24"/>
                <w:lang w:val="en-US" w:eastAsia="zh-CN"/>
              </w:rPr>
            </w:pPr>
            <w:r>
              <w:rPr>
                <w:rFonts w:hint="eastAsia" w:ascii="宋体" w:hAnsi="宋体" w:eastAsia="宋体" w:cs="宋体"/>
                <w:b w:val="0"/>
                <w:bCs/>
                <w:color w:val="auto"/>
                <w:sz w:val="24"/>
                <w:szCs w:val="24"/>
              </w:rPr>
              <w:t>资格评审标准</w:t>
            </w: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pStyle w:val="75"/>
              <w:spacing w:line="400" w:lineRule="exact"/>
              <w:ind w:left="105" w:leftChars="50" w:right="105" w:rightChars="50"/>
              <w:contextualSpacing/>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营业执照</w:t>
            </w:r>
          </w:p>
        </w:tc>
        <w:tc>
          <w:tcPr>
            <w:tcW w:w="6953" w:type="dxa"/>
            <w:gridSpan w:val="2"/>
            <w:tcBorders>
              <w:top w:val="single" w:color="auto" w:sz="4" w:space="0"/>
              <w:left w:val="single" w:color="auto" w:sz="4" w:space="0"/>
              <w:bottom w:val="single" w:color="auto" w:sz="4" w:space="0"/>
              <w:right w:val="single" w:color="auto" w:sz="4" w:space="0"/>
            </w:tcBorders>
            <w:noWrap w:val="0"/>
            <w:vAlign w:val="center"/>
          </w:tcPr>
          <w:p>
            <w:pPr>
              <w:wordWrap w:val="0"/>
              <w:ind w:left="105" w:leftChars="50" w:right="105" w:rightChars="50"/>
              <w:contextualSpacing/>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具备有效的营业执照副本。</w:t>
            </w:r>
            <w:r>
              <w:rPr>
                <w:rFonts w:hint="eastAsia" w:ascii="宋体" w:hAnsi="宋体" w:eastAsia="宋体" w:cs="宋体"/>
                <w:b/>
                <w:bCs w:val="0"/>
                <w:sz w:val="24"/>
                <w:szCs w:val="24"/>
                <w:lang w:eastAsia="zh-CN"/>
              </w:rPr>
              <w:t>响应文件内附复印件加盖公章。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exact"/>
          <w:jc w:val="center"/>
        </w:trPr>
        <w:tc>
          <w:tcPr>
            <w:tcW w:w="868" w:type="dxa"/>
            <w:vMerge w:val="continue"/>
            <w:tcBorders>
              <w:left w:val="single" w:color="auto" w:sz="4" w:space="0"/>
              <w:right w:val="single" w:color="auto" w:sz="4" w:space="0"/>
            </w:tcBorders>
            <w:noWrap w:val="0"/>
            <w:vAlign w:val="center"/>
          </w:tcPr>
          <w:p>
            <w:pPr>
              <w:pStyle w:val="75"/>
              <w:spacing w:line="400" w:lineRule="exact"/>
              <w:ind w:left="105" w:leftChars="50" w:right="105" w:rightChars="50"/>
              <w:contextualSpacing/>
              <w:jc w:val="center"/>
              <w:rPr>
                <w:rFonts w:hint="eastAsia" w:ascii="宋体" w:hAnsi="宋体" w:eastAsia="宋体" w:cs="宋体"/>
                <w:kern w:val="2"/>
                <w:sz w:val="24"/>
                <w:szCs w:val="24"/>
                <w:lang w:val="en-US" w:eastAsia="zh-CN" w:bidi="zh-CN"/>
              </w:rPr>
            </w:pP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105" w:leftChars="50" w:right="105" w:rightChars="5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财务要求、依法缴纳税收、社保证明</w:t>
            </w:r>
          </w:p>
        </w:tc>
        <w:tc>
          <w:tcPr>
            <w:tcW w:w="6953" w:type="dxa"/>
            <w:gridSpan w:val="2"/>
            <w:tcBorders>
              <w:top w:val="single" w:color="auto" w:sz="4" w:space="0"/>
              <w:left w:val="single" w:color="auto" w:sz="4" w:space="0"/>
              <w:bottom w:val="single" w:color="auto" w:sz="4" w:space="0"/>
              <w:right w:val="single" w:color="auto" w:sz="4" w:space="0"/>
            </w:tcBorders>
            <w:noWrap w:val="0"/>
            <w:vAlign w:val="center"/>
          </w:tcPr>
          <w:p>
            <w:pPr>
              <w:wordWrap w:val="0"/>
              <w:ind w:left="105" w:leftChars="50" w:right="105" w:rightChars="50"/>
              <w:contextualSpacing/>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供应商</w:t>
            </w:r>
            <w:r>
              <w:rPr>
                <w:rFonts w:hint="eastAsia" w:ascii="宋体" w:hAnsi="宋体" w:eastAsia="宋体" w:cs="宋体"/>
                <w:b w:val="0"/>
                <w:bCs/>
                <w:sz w:val="24"/>
                <w:szCs w:val="24"/>
                <w:lang w:val="zh-CN" w:eastAsia="zh-CN"/>
              </w:rPr>
              <w:t>参加采购活动应当提交反映其财务状况、依法缴纳税收和社保保障资金情况的资格条件承诺函。</w:t>
            </w:r>
            <w:r>
              <w:rPr>
                <w:rFonts w:hint="eastAsia" w:ascii="宋体" w:hAnsi="宋体" w:eastAsia="宋体" w:cs="宋体"/>
                <w:b w:val="0"/>
                <w:bCs/>
                <w:sz w:val="24"/>
                <w:szCs w:val="24"/>
                <w:lang w:val="en-US" w:eastAsia="zh-CN"/>
              </w:rPr>
              <w:t>响应文件</w:t>
            </w:r>
            <w:r>
              <w:rPr>
                <w:rFonts w:hint="eastAsia" w:ascii="宋体" w:hAnsi="宋体" w:eastAsia="宋体" w:cs="宋体"/>
                <w:b w:val="0"/>
                <w:bCs/>
                <w:sz w:val="24"/>
                <w:szCs w:val="24"/>
                <w:lang w:val="zh-CN" w:eastAsia="zh-CN"/>
              </w:rPr>
              <w:t>中按格式附资格条件承诺函；</w:t>
            </w:r>
            <w:r>
              <w:rPr>
                <w:rFonts w:hint="eastAsia" w:ascii="宋体" w:hAnsi="宋体" w:eastAsia="宋体" w:cs="宋体"/>
                <w:b/>
                <w:bCs w:val="0"/>
                <w:sz w:val="24"/>
                <w:szCs w:val="24"/>
                <w:lang w:eastAsia="zh-CN"/>
              </w:rPr>
              <w:t>响应文件内附复印件加盖公章。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9" w:hRule="exact"/>
          <w:jc w:val="center"/>
        </w:trPr>
        <w:tc>
          <w:tcPr>
            <w:tcW w:w="868" w:type="dxa"/>
            <w:vMerge w:val="continue"/>
            <w:tcBorders>
              <w:left w:val="single" w:color="auto" w:sz="4" w:space="0"/>
              <w:right w:val="single" w:color="auto" w:sz="4" w:space="0"/>
            </w:tcBorders>
            <w:noWrap w:val="0"/>
            <w:vAlign w:val="center"/>
          </w:tcPr>
          <w:p>
            <w:pPr>
              <w:spacing w:line="400" w:lineRule="exact"/>
              <w:ind w:left="105" w:leftChars="50" w:right="105" w:rightChars="50"/>
              <w:contextualSpacing/>
              <w:jc w:val="center"/>
              <w:rPr>
                <w:rFonts w:hint="eastAsia" w:ascii="宋体" w:hAnsi="宋体" w:eastAsia="宋体" w:cs="宋体"/>
                <w:kern w:val="2"/>
                <w:sz w:val="24"/>
                <w:szCs w:val="24"/>
                <w:lang w:val="en-US" w:eastAsia="zh-CN" w:bidi="ar-SA"/>
              </w:rPr>
            </w:pP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pStyle w:val="75"/>
              <w:spacing w:line="400" w:lineRule="exact"/>
              <w:ind w:left="105" w:leftChars="50" w:right="105" w:rightChars="50"/>
              <w:contextualSpacing/>
              <w:jc w:val="center"/>
              <w:rPr>
                <w:rFonts w:hint="eastAsia" w:ascii="宋体" w:hAnsi="宋体" w:eastAsia="宋体" w:cs="宋体"/>
                <w:sz w:val="24"/>
                <w:szCs w:val="24"/>
              </w:rPr>
            </w:pPr>
            <w:r>
              <w:rPr>
                <w:rFonts w:hint="eastAsia" w:ascii="宋体" w:hAnsi="宋体" w:eastAsia="宋体" w:cs="宋体"/>
                <w:sz w:val="24"/>
                <w:szCs w:val="24"/>
              </w:rPr>
              <w:t>信誉要求</w:t>
            </w:r>
          </w:p>
        </w:tc>
        <w:tc>
          <w:tcPr>
            <w:tcW w:w="6953" w:type="dxa"/>
            <w:gridSpan w:val="2"/>
            <w:tcBorders>
              <w:top w:val="single" w:color="auto" w:sz="4" w:space="0"/>
              <w:left w:val="single" w:color="auto" w:sz="4" w:space="0"/>
              <w:bottom w:val="single" w:color="auto" w:sz="4" w:space="0"/>
              <w:right w:val="single" w:color="auto" w:sz="4" w:space="0"/>
            </w:tcBorders>
            <w:noWrap w:val="0"/>
            <w:vAlign w:val="center"/>
          </w:tcPr>
          <w:p>
            <w:pPr>
              <w:wordWrap w:val="0"/>
              <w:ind w:left="105" w:leftChars="50" w:right="105" w:rightChars="50"/>
              <w:contextualSpacing/>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（1）拒绝列入政府取消投标资格记录期间的企业或个人投标。</w:t>
            </w:r>
          </w:p>
          <w:p>
            <w:pPr>
              <w:wordWrap w:val="0"/>
              <w:ind w:left="105" w:leftChars="50" w:right="105" w:rightChars="50"/>
              <w:contextualSpacing/>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近三年内（截止到本项目公告发布之日）未被工商行政管理机关在全国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pPr>
              <w:wordWrap w:val="0"/>
              <w:ind w:left="105" w:leftChars="50" w:right="105" w:rightChars="50"/>
              <w:contextualSpacing/>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参加政府采购活动前</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年内，在经营活动中没有重大违法记录。</w:t>
            </w:r>
            <w:r>
              <w:rPr>
                <w:rFonts w:hint="eastAsia" w:ascii="宋体" w:hAnsi="宋体" w:eastAsia="宋体" w:cs="宋体"/>
                <w:b/>
                <w:bCs w:val="0"/>
                <w:sz w:val="24"/>
                <w:szCs w:val="24"/>
                <w:lang w:eastAsia="zh-CN"/>
              </w:rPr>
              <w:t>响应文件内附</w:t>
            </w:r>
            <w:r>
              <w:rPr>
                <w:rFonts w:hint="eastAsia" w:ascii="宋体" w:hAnsi="宋体" w:eastAsia="宋体" w:cs="宋体"/>
                <w:b/>
                <w:bCs w:val="0"/>
                <w:sz w:val="24"/>
                <w:szCs w:val="24"/>
                <w:lang w:val="zh-CN" w:eastAsia="zh-CN"/>
              </w:rPr>
              <w:t>加盖公章</w:t>
            </w:r>
            <w:r>
              <w:rPr>
                <w:rFonts w:hint="eastAsia" w:ascii="宋体" w:hAnsi="宋体" w:eastAsia="宋体" w:cs="宋体"/>
                <w:b/>
                <w:bCs w:val="0"/>
                <w:sz w:val="24"/>
                <w:szCs w:val="24"/>
                <w:lang w:val="en-US" w:eastAsia="zh-CN"/>
              </w:rPr>
              <w:t>的承诺书</w:t>
            </w:r>
            <w:r>
              <w:rPr>
                <w:rFonts w:hint="eastAsia" w:ascii="宋体" w:hAnsi="宋体" w:eastAsia="宋体" w:cs="宋体"/>
                <w:b/>
                <w:bCs w:val="0"/>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jc w:val="center"/>
        </w:trPr>
        <w:tc>
          <w:tcPr>
            <w:tcW w:w="868" w:type="dxa"/>
            <w:vMerge w:val="continue"/>
            <w:tcBorders>
              <w:left w:val="single" w:color="auto" w:sz="4" w:space="0"/>
              <w:right w:val="single" w:color="auto" w:sz="4" w:space="0"/>
            </w:tcBorders>
            <w:noWrap w:val="0"/>
            <w:vAlign w:val="center"/>
          </w:tcPr>
          <w:p>
            <w:pPr>
              <w:spacing w:line="400" w:lineRule="exact"/>
              <w:ind w:left="105" w:leftChars="50" w:right="105" w:rightChars="50"/>
              <w:contextualSpacing/>
              <w:jc w:val="center"/>
              <w:rPr>
                <w:rFonts w:hint="eastAsia" w:ascii="宋体" w:hAnsi="宋体" w:eastAsia="宋体" w:cs="宋体"/>
                <w:kern w:val="2"/>
                <w:sz w:val="24"/>
                <w:szCs w:val="24"/>
                <w:lang w:val="en-US" w:eastAsia="zh-CN" w:bidi="ar-SA"/>
              </w:rPr>
            </w:pP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05" w:leftChars="50" w:right="105" w:rightChars="50"/>
              <w:contextualSpacing/>
              <w:jc w:val="center"/>
              <w:rPr>
                <w:rFonts w:hint="eastAsia" w:ascii="宋体" w:hAnsi="宋体" w:eastAsia="宋体" w:cs="宋体"/>
                <w:sz w:val="24"/>
                <w:szCs w:val="24"/>
              </w:rPr>
            </w:pPr>
            <w:r>
              <w:rPr>
                <w:rFonts w:hint="eastAsia" w:ascii="宋体" w:hAnsi="宋体" w:eastAsia="宋体" w:cs="宋体"/>
                <w:sz w:val="24"/>
                <w:szCs w:val="24"/>
              </w:rPr>
              <w:t>授权委托书</w:t>
            </w:r>
          </w:p>
        </w:tc>
        <w:tc>
          <w:tcPr>
            <w:tcW w:w="6953" w:type="dxa"/>
            <w:gridSpan w:val="2"/>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contextualSpacing/>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响应文件内附企业法定代表人（单位负责人）授权委托书(非法定代表人（或单位负责人）亲自投标时提供)</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exact"/>
          <w:jc w:val="center"/>
        </w:trPr>
        <w:tc>
          <w:tcPr>
            <w:tcW w:w="868" w:type="dxa"/>
            <w:vMerge w:val="continue"/>
            <w:tcBorders>
              <w:left w:val="single" w:color="auto" w:sz="4" w:space="0"/>
              <w:right w:val="single" w:color="auto" w:sz="4" w:space="0"/>
            </w:tcBorders>
            <w:noWrap w:val="0"/>
            <w:vAlign w:val="center"/>
          </w:tcPr>
          <w:p>
            <w:pPr>
              <w:spacing w:line="400" w:lineRule="exact"/>
              <w:ind w:left="105" w:leftChars="50" w:right="105" w:rightChars="50"/>
              <w:contextualSpacing/>
              <w:jc w:val="center"/>
              <w:rPr>
                <w:rFonts w:hint="eastAsia" w:ascii="宋体" w:hAnsi="宋体" w:eastAsia="宋体" w:cs="宋体"/>
                <w:kern w:val="2"/>
                <w:sz w:val="24"/>
                <w:szCs w:val="24"/>
                <w:lang w:val="en-US" w:eastAsia="zh-CN" w:bidi="ar-SA"/>
              </w:rPr>
            </w:pP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其他要求</w:t>
            </w:r>
          </w:p>
        </w:tc>
        <w:tc>
          <w:tcPr>
            <w:tcW w:w="6953" w:type="dxa"/>
            <w:gridSpan w:val="2"/>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contextualSpacing/>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单位负责人为同一人或者存在直接控股、管理关系的不同投标人，不得参加同一合同项下的政府采购活动。</w:t>
            </w:r>
          </w:p>
          <w:p>
            <w:pPr>
              <w:ind w:left="105" w:leftChars="50" w:right="105" w:rightChars="50"/>
              <w:contextualSpacing/>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投标人须具有履行合同所必需的设备和专业技术能力。</w:t>
            </w:r>
          </w:p>
          <w:p>
            <w:pPr>
              <w:ind w:left="105" w:leftChars="50" w:right="105" w:rightChars="50"/>
              <w:contextualSpacing/>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（响应文件</w:t>
            </w:r>
            <w:r>
              <w:rPr>
                <w:rFonts w:hint="eastAsia" w:ascii="宋体" w:hAnsi="宋体" w:eastAsia="宋体" w:cs="宋体"/>
                <w:b/>
                <w:bCs/>
                <w:sz w:val="24"/>
                <w:szCs w:val="24"/>
                <w:lang w:val="zh-CN" w:eastAsia="zh-CN"/>
              </w:rPr>
              <w:t>内提供加盖公章的承诺书。</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exact"/>
          <w:jc w:val="center"/>
        </w:trPr>
        <w:tc>
          <w:tcPr>
            <w:tcW w:w="868" w:type="dxa"/>
            <w:vMerge w:val="continue"/>
            <w:tcBorders>
              <w:left w:val="single" w:color="auto" w:sz="4" w:space="0"/>
              <w:bottom w:val="single" w:color="auto" w:sz="4" w:space="0"/>
              <w:right w:val="single" w:color="auto" w:sz="4" w:space="0"/>
            </w:tcBorders>
            <w:noWrap w:val="0"/>
            <w:vAlign w:val="center"/>
          </w:tcPr>
          <w:p>
            <w:pPr>
              <w:spacing w:line="400" w:lineRule="exact"/>
              <w:ind w:left="105" w:leftChars="50" w:right="105" w:rightChars="50"/>
              <w:contextualSpacing/>
              <w:jc w:val="center"/>
              <w:rPr>
                <w:rFonts w:hint="eastAsia" w:ascii="宋体" w:hAnsi="宋体" w:eastAsia="宋体" w:cs="宋体"/>
                <w:sz w:val="24"/>
                <w:szCs w:val="24"/>
                <w:lang w:val="en-US" w:eastAsia="zh-CN"/>
              </w:rPr>
            </w:pP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中小企业声明函</w:t>
            </w:r>
          </w:p>
        </w:tc>
        <w:tc>
          <w:tcPr>
            <w:tcW w:w="6953" w:type="dxa"/>
            <w:gridSpan w:val="2"/>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contextualSpacing/>
              <w:jc w:val="both"/>
              <w:rPr>
                <w:rFonts w:hint="eastAsia" w:ascii="宋体" w:hAnsi="宋体" w:eastAsia="宋体" w:cs="宋体"/>
                <w:b/>
                <w:bCs/>
                <w:sz w:val="24"/>
                <w:szCs w:val="24"/>
                <w:lang w:eastAsia="zh-CN"/>
              </w:rPr>
            </w:pPr>
            <w:r>
              <w:rPr>
                <w:rFonts w:hint="eastAsia" w:ascii="宋体" w:hAnsi="宋体" w:eastAsia="宋体" w:cs="宋体"/>
                <w:sz w:val="24"/>
                <w:szCs w:val="24"/>
                <w:lang w:eastAsia="zh-CN"/>
              </w:rPr>
              <w:t>提供《中小企业声明函》，并满足专门面向中小企业的条件（按照财库[2020]46号文件格式提供）。</w:t>
            </w:r>
            <w:r>
              <w:rPr>
                <w:rFonts w:hint="eastAsia" w:ascii="宋体" w:hAnsi="宋体" w:eastAsia="宋体" w:cs="宋体"/>
                <w:b/>
                <w:bCs/>
                <w:sz w:val="24"/>
                <w:szCs w:val="24"/>
                <w:lang w:eastAsia="zh-CN"/>
              </w:rPr>
              <w:t>（响应文件</w:t>
            </w:r>
            <w:r>
              <w:rPr>
                <w:rFonts w:hint="eastAsia" w:ascii="宋体" w:hAnsi="宋体" w:eastAsia="宋体" w:cs="宋体"/>
                <w:b/>
                <w:bCs/>
                <w:sz w:val="24"/>
                <w:szCs w:val="24"/>
                <w:lang w:val="zh-CN" w:eastAsia="zh-CN"/>
              </w:rPr>
              <w:t>内提供加盖公章的中小企业声明函。</w:t>
            </w:r>
            <w:r>
              <w:rPr>
                <w:rFonts w:hint="eastAsia" w:ascii="宋体" w:hAnsi="宋体" w:eastAsia="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872" w:type="dxa"/>
            <w:gridSpan w:val="2"/>
            <w:vMerge w:val="restart"/>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符合性</w:t>
            </w:r>
            <w:r>
              <w:rPr>
                <w:rFonts w:hint="eastAsia" w:ascii="宋体" w:hAnsi="宋体" w:eastAsia="宋体" w:cs="宋体"/>
                <w:b w:val="0"/>
                <w:bCs/>
                <w:color w:val="auto"/>
                <w:sz w:val="24"/>
                <w:szCs w:val="24"/>
              </w:rPr>
              <w:t>评审标准</w:t>
            </w:r>
          </w:p>
        </w:tc>
        <w:tc>
          <w:tcPr>
            <w:tcW w:w="1886" w:type="dxa"/>
            <w:gridSpan w:val="2"/>
            <w:noWrap w:val="0"/>
            <w:vAlign w:val="center"/>
          </w:tcPr>
          <w:p>
            <w:pPr>
              <w:widowControl w:val="0"/>
              <w:autoSpaceDE w:val="0"/>
              <w:autoSpaceDN w:val="0"/>
              <w:adjustRightInd w:val="0"/>
              <w:spacing w:line="276" w:lineRule="auto"/>
              <w:jc w:val="center"/>
              <w:rPr>
                <w:rFonts w:hint="eastAsia" w:ascii="宋体" w:hAnsi="宋体" w:eastAsia="宋体" w:cs="宋体"/>
                <w:color w:val="auto"/>
                <w:sz w:val="24"/>
                <w:szCs w:val="24"/>
              </w:rPr>
            </w:pPr>
            <w:r>
              <w:rPr>
                <w:rFonts w:hint="eastAsia" w:ascii="宋体" w:hAnsi="宋体" w:eastAsia="宋体" w:cs="宋体"/>
                <w:bCs/>
                <w:color w:val="auto"/>
                <w:kern w:val="2"/>
                <w:sz w:val="24"/>
                <w:szCs w:val="24"/>
                <w:lang w:val="zh-CN" w:eastAsia="zh-CN" w:bidi="ar-SA"/>
              </w:rPr>
              <w:t>供应商名称</w:t>
            </w:r>
          </w:p>
        </w:tc>
        <w:tc>
          <w:tcPr>
            <w:tcW w:w="6948" w:type="dxa"/>
            <w:noWrap w:val="0"/>
            <w:vAlign w:val="center"/>
          </w:tcPr>
          <w:p>
            <w:pPr>
              <w:keepNext w:val="0"/>
              <w:keepLines w:val="0"/>
              <w:pageBreakBefore w:val="0"/>
              <w:widowControl w:val="0"/>
              <w:kinsoku/>
              <w:wordWrap/>
              <w:overflowPunct/>
              <w:topLinePunct w:val="0"/>
              <w:autoSpaceDE w:val="0"/>
              <w:autoSpaceDN w:val="0"/>
              <w:bidi w:val="0"/>
              <w:adjustRightInd w:val="0"/>
              <w:spacing w:line="276" w:lineRule="auto"/>
              <w:ind w:left="105" w:leftChars="50"/>
              <w:jc w:val="both"/>
              <w:textAlignment w:val="auto"/>
              <w:rPr>
                <w:rFonts w:hint="eastAsia" w:ascii="宋体" w:hAnsi="宋体" w:eastAsia="宋体" w:cs="宋体"/>
                <w:color w:val="auto"/>
                <w:sz w:val="24"/>
                <w:szCs w:val="24"/>
              </w:rPr>
            </w:pPr>
            <w:r>
              <w:rPr>
                <w:rFonts w:hint="eastAsia" w:ascii="宋体" w:hAnsi="宋体" w:eastAsia="宋体" w:cs="宋体"/>
                <w:bCs/>
                <w:color w:val="auto"/>
                <w:kern w:val="2"/>
                <w:sz w:val="24"/>
                <w:szCs w:val="24"/>
                <w:lang w:val="zh-CN" w:eastAsia="zh-CN" w:bidi="ar-SA"/>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872" w:type="dxa"/>
            <w:gridSpan w:val="2"/>
            <w:vMerge w:val="continue"/>
            <w:noWrap w:val="0"/>
            <w:vAlign w:val="center"/>
          </w:tcPr>
          <w:p>
            <w:pPr>
              <w:spacing w:line="300" w:lineRule="auto"/>
              <w:jc w:val="center"/>
              <w:rPr>
                <w:rFonts w:hint="eastAsia" w:ascii="宋体" w:hAnsi="宋体" w:eastAsia="宋体" w:cs="宋体"/>
                <w:b/>
                <w:color w:val="auto"/>
                <w:sz w:val="24"/>
                <w:szCs w:val="24"/>
                <w:lang w:val="en-US" w:eastAsia="zh-CN"/>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函签字盖章</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有法定代表人</w:t>
            </w:r>
            <w:r>
              <w:rPr>
                <w:rFonts w:hint="eastAsia" w:ascii="宋体" w:hAnsi="宋体" w:eastAsia="宋体" w:cs="宋体"/>
                <w:sz w:val="24"/>
                <w:szCs w:val="24"/>
                <w:lang w:eastAsia="zh-CN"/>
              </w:rPr>
              <w:t>（单位负责人）</w:t>
            </w:r>
            <w:r>
              <w:rPr>
                <w:rFonts w:hint="eastAsia" w:ascii="宋体" w:hAnsi="宋体" w:eastAsia="宋体" w:cs="宋体"/>
                <w:color w:val="auto"/>
                <w:sz w:val="24"/>
                <w:szCs w:val="24"/>
              </w:rPr>
              <w:t>或其委托代理人签字和加盖单位章。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872" w:type="dxa"/>
            <w:gridSpan w:val="2"/>
            <w:vMerge w:val="continue"/>
            <w:noWrap w:val="0"/>
            <w:vAlign w:val="center"/>
          </w:tcPr>
          <w:p>
            <w:pPr>
              <w:spacing w:line="300" w:lineRule="auto"/>
              <w:jc w:val="center"/>
              <w:rPr>
                <w:rFonts w:hint="eastAsia" w:ascii="宋体" w:hAnsi="宋体" w:eastAsia="宋体" w:cs="宋体"/>
                <w:b/>
                <w:color w:val="auto"/>
                <w:sz w:val="24"/>
                <w:szCs w:val="24"/>
                <w:lang w:val="en-US" w:eastAsia="zh-CN"/>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872" w:type="dxa"/>
            <w:gridSpan w:val="2"/>
            <w:vMerge w:val="continue"/>
            <w:noWrap w:val="0"/>
            <w:vAlign w:val="center"/>
          </w:tcPr>
          <w:p>
            <w:pPr>
              <w:spacing w:line="300" w:lineRule="auto"/>
              <w:jc w:val="center"/>
              <w:rPr>
                <w:rFonts w:hint="eastAsia" w:ascii="宋体" w:hAnsi="宋体" w:eastAsia="宋体" w:cs="宋体"/>
                <w:b/>
                <w:color w:val="auto"/>
                <w:sz w:val="24"/>
                <w:szCs w:val="24"/>
                <w:lang w:val="en-US" w:eastAsia="zh-CN"/>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报价唯一</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首次报价</w:t>
            </w:r>
            <w:r>
              <w:rPr>
                <w:rFonts w:hint="eastAsia" w:ascii="宋体" w:hAnsi="宋体" w:eastAsia="宋体" w:cs="宋体"/>
                <w:color w:val="auto"/>
                <w:sz w:val="24"/>
                <w:szCs w:val="24"/>
              </w:rPr>
              <w:t>只能有一个有效报价</w:t>
            </w:r>
            <w:r>
              <w:rPr>
                <w:rFonts w:hint="eastAsia" w:ascii="宋体" w:hAnsi="宋体" w:eastAsia="宋体" w:cs="宋体"/>
                <w:color w:val="auto"/>
                <w:sz w:val="24"/>
                <w:szCs w:val="24"/>
                <w:lang w:bidi="ar-SA"/>
              </w:rPr>
              <w:t>，且满足</w:t>
            </w:r>
            <w:r>
              <w:rPr>
                <w:rFonts w:hint="eastAsia" w:ascii="宋体" w:hAnsi="宋体" w:eastAsia="宋体" w:cs="宋体"/>
                <w:color w:val="auto"/>
                <w:sz w:val="24"/>
                <w:szCs w:val="24"/>
                <w:lang w:val="en-US" w:eastAsia="zh-CN" w:bidi="ar-SA"/>
              </w:rPr>
              <w:t>谈判</w:t>
            </w:r>
            <w:r>
              <w:rPr>
                <w:rFonts w:hint="eastAsia" w:ascii="宋体" w:hAnsi="宋体" w:eastAsia="宋体" w:cs="宋体"/>
                <w:color w:val="auto"/>
                <w:sz w:val="24"/>
                <w:szCs w:val="24"/>
                <w:lang w:bidi="ar-SA"/>
              </w:rPr>
              <w:t>文件要求</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72" w:type="dxa"/>
            <w:gridSpan w:val="2"/>
            <w:vMerge w:val="continue"/>
            <w:noWrap w:val="0"/>
            <w:vAlign w:val="center"/>
          </w:tcPr>
          <w:p>
            <w:pPr>
              <w:rPr>
                <w:rFonts w:hint="eastAsia" w:ascii="宋体" w:hAnsi="宋体" w:eastAsia="宋体" w:cs="宋体"/>
                <w:sz w:val="24"/>
                <w:szCs w:val="24"/>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响应内容</w:t>
            </w:r>
          </w:p>
        </w:tc>
        <w:tc>
          <w:tcPr>
            <w:tcW w:w="6948" w:type="dxa"/>
            <w:noWrap w:val="0"/>
            <w:vAlign w:val="center"/>
          </w:tcPr>
          <w:p>
            <w:pPr>
              <w:keepNext w:val="0"/>
              <w:keepLines w:val="0"/>
              <w:pageBreakBefore w:val="0"/>
              <w:kinsoku/>
              <w:wordWrap/>
              <w:overflowPunct/>
              <w:topLinePunct w:val="0"/>
              <w:bidi w:val="0"/>
              <w:ind w:left="105" w:lef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为做好我市防汛应急准备工作，拟采购防洪挡水板1000个（详见第三章货物采购需求）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872" w:type="dxa"/>
            <w:gridSpan w:val="2"/>
            <w:vMerge w:val="continue"/>
            <w:noWrap w:val="0"/>
            <w:vAlign w:val="center"/>
          </w:tcPr>
          <w:p>
            <w:pPr>
              <w:rPr>
                <w:rFonts w:hint="eastAsia" w:ascii="宋体" w:hAnsi="宋体" w:eastAsia="宋体" w:cs="宋体"/>
                <w:sz w:val="24"/>
                <w:szCs w:val="24"/>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合同履行期限</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因本次采购属于汛期紧急采购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合同签订后10天内完成甲方指定地点全部供货。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872" w:type="dxa"/>
            <w:gridSpan w:val="2"/>
            <w:vMerge w:val="continue"/>
            <w:noWrap w:val="0"/>
            <w:vAlign w:val="center"/>
          </w:tcPr>
          <w:p>
            <w:pPr>
              <w:rPr>
                <w:rFonts w:hint="eastAsia" w:ascii="宋体" w:hAnsi="宋体" w:eastAsia="宋体" w:cs="宋体"/>
                <w:sz w:val="24"/>
                <w:szCs w:val="24"/>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标准</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满足国家及相关行业标准。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872" w:type="dxa"/>
            <w:gridSpan w:val="2"/>
            <w:vMerge w:val="continue"/>
            <w:noWrap w:val="0"/>
            <w:vAlign w:val="center"/>
          </w:tcPr>
          <w:p>
            <w:pPr>
              <w:rPr>
                <w:rFonts w:hint="eastAsia" w:ascii="宋体" w:hAnsi="宋体" w:eastAsia="宋体" w:cs="宋体"/>
                <w:sz w:val="24"/>
                <w:szCs w:val="24"/>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872" w:type="dxa"/>
            <w:gridSpan w:val="2"/>
            <w:vMerge w:val="continue"/>
            <w:noWrap w:val="0"/>
            <w:vAlign w:val="center"/>
          </w:tcPr>
          <w:p>
            <w:pPr>
              <w:rPr>
                <w:rFonts w:hint="eastAsia" w:ascii="宋体" w:hAnsi="宋体" w:eastAsia="宋体" w:cs="宋体"/>
                <w:sz w:val="24"/>
                <w:szCs w:val="24"/>
              </w:rPr>
            </w:pPr>
          </w:p>
        </w:tc>
        <w:tc>
          <w:tcPr>
            <w:tcW w:w="1886" w:type="dxa"/>
            <w:gridSpan w:val="2"/>
            <w:noWrap w:val="0"/>
            <w:vAlign w:val="center"/>
          </w:tcPr>
          <w:p>
            <w:pPr>
              <w:spacing w:line="30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6948" w:type="dxa"/>
            <w:noWrap w:val="0"/>
            <w:vAlign w:val="center"/>
          </w:tcPr>
          <w:p>
            <w:pPr>
              <w:keepNext w:val="0"/>
              <w:keepLines w:val="0"/>
              <w:pageBreakBefore w:val="0"/>
              <w:kinsoku/>
              <w:wordWrap/>
              <w:overflowPunct/>
              <w:topLinePunct w:val="0"/>
              <w:bidi w:val="0"/>
              <w:spacing w:line="300" w:lineRule="auto"/>
              <w:ind w:left="105" w:left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法律法规及</w:t>
            </w:r>
            <w:r>
              <w:rPr>
                <w:rFonts w:hint="eastAsia" w:ascii="宋体" w:hAnsi="宋体" w:eastAsia="宋体" w:cs="宋体"/>
                <w:color w:val="auto"/>
                <w:sz w:val="24"/>
                <w:szCs w:val="24"/>
                <w:lang w:val="en-US" w:eastAsia="zh-CN"/>
              </w:rPr>
              <w:t>竞争性谈判</w:t>
            </w:r>
            <w:r>
              <w:rPr>
                <w:rFonts w:hint="eastAsia" w:ascii="宋体" w:hAnsi="宋体" w:eastAsia="宋体" w:cs="宋体"/>
                <w:color w:val="auto"/>
                <w:sz w:val="24"/>
                <w:szCs w:val="24"/>
              </w:rPr>
              <w:t>文件规定的其他要求。</w:t>
            </w:r>
          </w:p>
        </w:tc>
      </w:tr>
    </w:tbl>
    <w:p>
      <w:pPr>
        <w:pStyle w:val="16"/>
        <w:spacing w:line="240" w:lineRule="auto"/>
        <w:rPr>
          <w:rFonts w:hint="eastAsia" w:ascii="宋体" w:hAnsi="宋体" w:eastAsia="宋体" w:cs="宋体"/>
          <w:b/>
          <w:bCs/>
          <w:sz w:val="24"/>
          <w:szCs w:val="24"/>
          <w:highlight w:val="none"/>
        </w:rPr>
      </w:pPr>
      <w:r>
        <w:rPr>
          <w:rFonts w:hint="eastAsia" w:ascii="宋体" w:hAnsi="宋体" w:eastAsia="宋体" w:cs="宋体"/>
          <w:b/>
          <w:color w:val="auto"/>
          <w:szCs w:val="21"/>
        </w:rPr>
        <w:t>注：1、供应商有一项不满足评审条件的，视为未通过</w:t>
      </w:r>
      <w:r>
        <w:rPr>
          <w:rFonts w:hint="eastAsia" w:ascii="宋体" w:hAnsi="宋体" w:eastAsia="宋体" w:cs="宋体"/>
          <w:b/>
          <w:color w:val="auto"/>
          <w:szCs w:val="21"/>
          <w:lang w:val="en-US" w:eastAsia="zh-CN"/>
        </w:rPr>
        <w:t>初步</w:t>
      </w:r>
      <w:r>
        <w:rPr>
          <w:rFonts w:hint="eastAsia" w:ascii="宋体" w:hAnsi="宋体" w:eastAsia="宋体" w:cs="宋体"/>
          <w:b/>
          <w:color w:val="auto"/>
          <w:szCs w:val="21"/>
        </w:rPr>
        <w:t>评审。2、本表由全体评委在共同商议的基础上给出结论，评委意见不一致时，按照少数服从多数的原则确定</w:t>
      </w:r>
      <w:r>
        <w:rPr>
          <w:rFonts w:hint="eastAsia" w:ascii="宋体" w:hAnsi="宋体" w:eastAsia="宋体" w:cs="宋体"/>
          <w:b/>
          <w:color w:val="auto"/>
          <w:szCs w:val="21"/>
          <w:lang w:eastAsia="zh-CN"/>
        </w:rPr>
        <w:t>。</w:t>
      </w:r>
      <w:r>
        <w:rPr>
          <w:rFonts w:hint="eastAsia" w:ascii="宋体" w:hAnsi="宋体" w:eastAsia="宋体" w:cs="宋体"/>
          <w:b/>
          <w:bCs/>
          <w:szCs w:val="21"/>
          <w:highlight w:val="none"/>
        </w:rPr>
        <w:br w:type="page"/>
      </w:r>
      <w:r>
        <w:rPr>
          <w:rFonts w:hint="eastAsia" w:ascii="宋体" w:hAnsi="宋体" w:eastAsia="宋体" w:cs="宋体"/>
          <w:b/>
          <w:bCs/>
          <w:sz w:val="24"/>
          <w:szCs w:val="24"/>
          <w:highlight w:val="none"/>
        </w:rPr>
        <w:t>一、评审依据</w:t>
      </w:r>
    </w:p>
    <w:p>
      <w:pPr>
        <w:pStyle w:val="16"/>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 评审依据：谈判小组以谈判文件和响应文件为评审依据。</w:t>
      </w:r>
    </w:p>
    <w:p>
      <w:pPr>
        <w:pStyle w:val="16"/>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 根据财库〔2012〕69号文规定，采购人和采购代理机构、竞争性谈判小组成员要严格遵守政府采购相关法律制度，依法履行各自职责，公正、客观、审慎地组织和参与评审工作。</w:t>
      </w:r>
    </w:p>
    <w:p>
      <w:pPr>
        <w:pStyle w:val="16"/>
        <w:spacing w:line="38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二、评审办法</w:t>
      </w:r>
    </w:p>
    <w:p>
      <w:pPr>
        <w:pStyle w:val="16"/>
        <w:spacing w:line="380" w:lineRule="exact"/>
        <w:ind w:firstLine="42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谈判小组应当从质量和服务均能满足竞争性谈判文件全部实质性响应要求的供应商中，按照评审第二次有效报价由低到高顺序提出3名以上（含3名）成交候选人。</w:t>
      </w:r>
    </w:p>
    <w:p>
      <w:pPr>
        <w:pStyle w:val="16"/>
        <w:spacing w:line="38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按照《政府采购促进中小企业发展</w:t>
      </w:r>
      <w:r>
        <w:rPr>
          <w:rFonts w:hint="eastAsia" w:ascii="宋体" w:hAnsi="宋体" w:eastAsia="宋体" w:cs="宋体"/>
          <w:kern w:val="0"/>
          <w:sz w:val="24"/>
          <w:szCs w:val="24"/>
          <w:highlight w:val="none"/>
          <w:lang w:val="en-US" w:eastAsia="zh-CN"/>
        </w:rPr>
        <w:t>管理</w:t>
      </w:r>
      <w:r>
        <w:rPr>
          <w:rFonts w:hint="eastAsia" w:ascii="宋体" w:hAnsi="宋体" w:eastAsia="宋体" w:cs="宋体"/>
          <w:kern w:val="0"/>
          <w:sz w:val="24"/>
          <w:szCs w:val="24"/>
          <w:highlight w:val="none"/>
        </w:rPr>
        <w:t>办法》（财库[20</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46</w:t>
      </w:r>
      <w:r>
        <w:rPr>
          <w:rFonts w:hint="eastAsia" w:ascii="宋体" w:hAnsi="宋体" w:eastAsia="宋体" w:cs="宋体"/>
          <w:kern w:val="0"/>
          <w:sz w:val="24"/>
          <w:szCs w:val="24"/>
          <w:highlight w:val="none"/>
        </w:rPr>
        <w:t>号）</w:t>
      </w:r>
      <w:r>
        <w:rPr>
          <w:rFonts w:hint="eastAsia" w:ascii="宋体" w:hAnsi="宋体" w:eastAsia="宋体" w:cs="宋体"/>
          <w:kern w:val="0"/>
          <w:sz w:val="24"/>
          <w:szCs w:val="24"/>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ascii="宋体" w:hAnsi="宋体" w:eastAsia="宋体" w:cs="宋体"/>
          <w:kern w:val="0"/>
          <w:sz w:val="24"/>
          <w:szCs w:val="24"/>
          <w:highlight w:val="none"/>
          <w:lang w:val="en-US" w:eastAsia="zh-CN"/>
        </w:rPr>
        <w:t>文件最新</w:t>
      </w:r>
      <w:r>
        <w:rPr>
          <w:rFonts w:hint="eastAsia" w:ascii="宋体" w:hAnsi="宋体" w:eastAsia="宋体" w:cs="宋体"/>
          <w:kern w:val="0"/>
          <w:sz w:val="24"/>
          <w:szCs w:val="24"/>
          <w:highlight w:val="none"/>
        </w:rPr>
        <w:t>规定：</w:t>
      </w:r>
    </w:p>
    <w:p>
      <w:pPr>
        <w:pStyle w:val="16"/>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）评审报价=最后报价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第二次有效报价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pStyle w:val="16"/>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rPr>
        <w:t>注：①供应商未小型、微型企业的，视同为中型企业。</w:t>
      </w:r>
      <w:r>
        <w:rPr>
          <w:rFonts w:hint="eastAsia" w:ascii="宋体" w:hAnsi="宋体" w:eastAsia="宋体" w:cs="宋体"/>
          <w:bCs/>
          <w:sz w:val="24"/>
          <w:szCs w:val="24"/>
          <w:highlight w:val="none"/>
        </w:rPr>
        <w:t>②</w:t>
      </w:r>
      <w:r>
        <w:rPr>
          <w:rFonts w:hint="eastAsia" w:ascii="宋体" w:hAnsi="宋体" w:eastAsia="宋体" w:cs="宋体"/>
          <w:bCs/>
          <w:kern w:val="0"/>
          <w:sz w:val="24"/>
          <w:szCs w:val="24"/>
          <w:highlight w:val="none"/>
        </w:rPr>
        <w:t>谈判小组应当按扣除后的报价由低到高进行排序，该扣除后报价仅作为评审报价排序，不作为合同签订报价，合同将按实际最后报价签订</w:t>
      </w:r>
      <w:r>
        <w:rPr>
          <w:rFonts w:hint="eastAsia" w:ascii="宋体" w:hAnsi="宋体" w:eastAsia="宋体" w:cs="宋体"/>
          <w:bCs/>
          <w:sz w:val="24"/>
          <w:szCs w:val="24"/>
          <w:highlight w:val="none"/>
        </w:rPr>
        <w:t>。</w:t>
      </w:r>
    </w:p>
    <w:p>
      <w:pPr>
        <w:pStyle w:val="16"/>
        <w:spacing w:line="380" w:lineRule="exact"/>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 根据财政部、司法部关于政府采购支持监狱企业发展有关问题的通知（财库[2014]68号），监狱企业视同小型、微型企业，享受小型、微型企业评审中价格扣除的政府采购政策。</w:t>
      </w:r>
    </w:p>
    <w:p>
      <w:pPr>
        <w:pStyle w:val="16"/>
        <w:spacing w:line="380" w:lineRule="exact"/>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4. 评审时，应当将通过资格性审查和符合性审查各供应商的评审报价，按照</w:t>
      </w:r>
      <w:r>
        <w:rPr>
          <w:rFonts w:hint="eastAsia" w:ascii="宋体" w:hAnsi="宋体" w:eastAsia="宋体" w:cs="宋体"/>
          <w:bCs/>
          <w:kern w:val="0"/>
          <w:sz w:val="24"/>
          <w:szCs w:val="24"/>
          <w:highlight w:val="none"/>
        </w:rPr>
        <w:t>由低到高顺序排序，</w:t>
      </w:r>
      <w:r>
        <w:rPr>
          <w:rFonts w:hint="eastAsia" w:ascii="宋体" w:hAnsi="宋体" w:eastAsia="宋体" w:cs="宋体"/>
          <w:bCs/>
          <w:sz w:val="24"/>
          <w:szCs w:val="24"/>
          <w:highlight w:val="none"/>
        </w:rPr>
        <w:t>当评审报价相同时，以最后第二次报价低的优先排序；当最后报价相同时，采用抽签方式决定排序。</w:t>
      </w:r>
    </w:p>
    <w:p>
      <w:pPr>
        <w:pStyle w:val="16"/>
        <w:spacing w:line="380" w:lineRule="exact"/>
        <w:ind w:firstLine="470" w:firstLineChars="196"/>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w:t>
      </w:r>
      <w:r>
        <w:rPr>
          <w:rFonts w:hint="eastAsia" w:hAnsi="宋体" w:cs="宋体"/>
          <w:bCs/>
          <w:sz w:val="24"/>
          <w:szCs w:val="24"/>
          <w:highlight w:val="none"/>
          <w:lang w:val="en-US" w:eastAsia="zh-CN"/>
        </w:rPr>
        <w:t>竞争性谈判</w:t>
      </w:r>
      <w:r>
        <w:rPr>
          <w:rFonts w:hint="eastAsia" w:ascii="宋体" w:hAnsi="宋体" w:eastAsia="宋体" w:cs="宋体"/>
          <w:bCs/>
          <w:sz w:val="24"/>
          <w:szCs w:val="24"/>
          <w:highlight w:val="none"/>
          <w:lang w:val="en-US" w:eastAsia="zh-CN"/>
        </w:rPr>
        <w:t>文件规定的方式确定一个参加评标的供应商，</w:t>
      </w:r>
      <w:r>
        <w:rPr>
          <w:rFonts w:hint="eastAsia" w:hAnsi="宋体" w:cs="宋体"/>
          <w:bCs/>
          <w:sz w:val="24"/>
          <w:szCs w:val="24"/>
          <w:highlight w:val="none"/>
          <w:lang w:val="en-US" w:eastAsia="zh-CN"/>
        </w:rPr>
        <w:t>竞争性谈判</w:t>
      </w:r>
      <w:r>
        <w:rPr>
          <w:rFonts w:hint="eastAsia" w:ascii="宋体" w:hAnsi="宋体" w:eastAsia="宋体" w:cs="宋体"/>
          <w:bCs/>
          <w:sz w:val="24"/>
          <w:szCs w:val="24"/>
          <w:highlight w:val="none"/>
          <w:lang w:val="en-US" w:eastAsia="zh-CN"/>
        </w:rPr>
        <w:t>文件未规定的采取随机抽取方式确定，其他投标无效。</w:t>
      </w:r>
    </w:p>
    <w:p>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三、成交候选人推荐原则</w:t>
      </w:r>
    </w:p>
    <w:p>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（1）采购单位应当确定谈判小组推荐排名第一的成交候选人为成交供应商。</w:t>
      </w:r>
    </w:p>
    <w:p>
      <w:pPr>
        <w:pStyle w:val="16"/>
        <w:keepNext w:val="0"/>
        <w:keepLines w:val="0"/>
        <w:pageBreakBefore w:val="0"/>
        <w:widowControl w:val="0"/>
        <w:kinsoku/>
        <w:wordWrap/>
        <w:overflowPunct/>
        <w:topLinePunct w:val="0"/>
        <w:autoSpaceDE/>
        <w:autoSpaceDN/>
        <w:bidi w:val="0"/>
        <w:adjustRightInd/>
        <w:snapToGrid/>
        <w:spacing w:line="400" w:lineRule="exact"/>
        <w:ind w:firstLine="511" w:firstLineChars="21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（3）排名第二的成交候选人因前款规定的同样原因不能签订合同的，采购单位可以确定排名第三的成交候选人为成交供应商</w:t>
      </w:r>
      <w:r>
        <w:rPr>
          <w:rFonts w:hint="eastAsia" w:ascii="宋体" w:hAnsi="宋体" w:eastAsia="宋体" w:cs="宋体"/>
          <w:sz w:val="24"/>
          <w:szCs w:val="24"/>
          <w:highlight w:val="none"/>
          <w:lang w:val="en-US" w:eastAsia="zh-CN"/>
        </w:rPr>
        <w:t>或者重新招标</w:t>
      </w:r>
      <w:r>
        <w:rPr>
          <w:rFonts w:hint="eastAsia" w:ascii="宋体" w:hAnsi="宋体" w:eastAsia="宋体" w:cs="宋体"/>
          <w:sz w:val="24"/>
          <w:szCs w:val="24"/>
          <w:highlight w:val="none"/>
        </w:rPr>
        <w:t>。</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（4）采购人也可重新招标。</w:t>
      </w:r>
    </w:p>
    <w:p>
      <w:pPr>
        <w:pStyle w:val="16"/>
        <w:spacing w:line="38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否绝投标</w:t>
      </w:r>
      <w:bookmarkStart w:id="28" w:name="_Toc252705915"/>
      <w:bookmarkStart w:id="29" w:name="_Toc231873587"/>
      <w:r>
        <w:rPr>
          <w:rFonts w:hint="eastAsia" w:ascii="宋体" w:hAnsi="宋体" w:eastAsia="宋体" w:cs="宋体"/>
          <w:b/>
          <w:bCs/>
          <w:sz w:val="24"/>
          <w:szCs w:val="24"/>
          <w:highlight w:val="none"/>
        </w:rPr>
        <w:t>情形</w:t>
      </w:r>
    </w:p>
    <w:bookmarkEnd w:id="28"/>
    <w:bookmarkEnd w:id="29"/>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3.1除</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文件另有规定，供应商存在下列情况之一的，投标无效：</w:t>
      </w:r>
    </w:p>
    <w:p>
      <w:pPr>
        <w:numPr>
          <w:ilvl w:val="0"/>
          <w:numId w:val="5"/>
        </w:num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未按谈判文件编制要求进行编制响应文件和</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盖章的；</w:t>
      </w:r>
    </w:p>
    <w:p>
      <w:pPr>
        <w:shd w:val="clear" w:color="auto" w:fill="auto"/>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（2）响应文件未按</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文件要求编制填写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签字盖章</w:t>
      </w:r>
      <w:r>
        <w:rPr>
          <w:rFonts w:hint="eastAsia" w:ascii="宋体" w:hAnsi="宋体" w:eastAsia="宋体" w:cs="宋体"/>
          <w:sz w:val="24"/>
          <w:szCs w:val="24"/>
          <w:highlight w:val="none"/>
        </w:rPr>
        <w:t>，或内容不全、字迹模糊、难以辨认的</w:t>
      </w:r>
      <w:r>
        <w:rPr>
          <w:rFonts w:hint="eastAsia" w:ascii="宋体" w:hAnsi="宋体" w:eastAsia="宋体" w:cs="宋体"/>
          <w:sz w:val="24"/>
          <w:szCs w:val="24"/>
          <w:highlight w:val="none"/>
          <w:lang w:eastAsia="zh-CN"/>
        </w:rPr>
        <w:t>；</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）供应商不符合资格条件或未按</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文件规定提供资格证明文件的；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）未能实质性响应</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文件商务和技术要求的；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）投标有效期不足的</w:t>
      </w:r>
      <w:r>
        <w:rPr>
          <w:rFonts w:hint="eastAsia" w:ascii="宋体" w:hAnsi="宋体" w:eastAsia="宋体" w:cs="宋体"/>
          <w:sz w:val="24"/>
          <w:szCs w:val="24"/>
          <w:highlight w:val="none"/>
          <w:lang w:val="en-US" w:eastAsia="zh-CN"/>
        </w:rPr>
        <w:t>或未响应的</w:t>
      </w:r>
      <w:r>
        <w:rPr>
          <w:rFonts w:hint="eastAsia" w:ascii="宋体" w:hAnsi="宋体" w:eastAsia="宋体" w:cs="宋体"/>
          <w:sz w:val="24"/>
          <w:szCs w:val="24"/>
          <w:highlight w:val="none"/>
        </w:rPr>
        <w:t>；</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）报价货币不是人民币的;</w:t>
      </w:r>
    </w:p>
    <w:p>
      <w:pPr>
        <w:shd w:val="clear" w:color="auto" w:fill="auto"/>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）报价超过</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文件中规定的预算金额或者最高限价的；</w:t>
      </w:r>
      <w:r>
        <w:rPr>
          <w:rFonts w:hint="eastAsia" w:ascii="宋体" w:hAnsi="宋体" w:eastAsia="宋体" w:cs="宋体"/>
          <w:sz w:val="24"/>
          <w:szCs w:val="24"/>
          <w:highlight w:val="none"/>
          <w:lang w:val="en-US" w:eastAsia="zh-CN"/>
        </w:rPr>
        <w:t>低于供应商成本价格；在规定时间内未作出说明和递交证明材料的；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）串通投标或弄虚作假或有其他违法行为的；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）未按</w:t>
      </w: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小组要求澄清、说明或补正的；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）未按谈判小组的要求在评审现场合理的时间内提供书面说明（必要时提交相关证明材料），或不能证明其报价合理性的；</w:t>
      </w:r>
    </w:p>
    <w:p>
      <w:pPr>
        <w:shd w:val="clear" w:color="auto" w:fill="auto"/>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小组的要求确认修正后的报价的；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）供应商符合第二章《供应商须知》第</w:t>
      </w:r>
      <w:r>
        <w:rPr>
          <w:rFonts w:hint="eastAsia" w:ascii="宋体" w:hAnsi="宋体" w:eastAsia="宋体" w:cs="宋体"/>
          <w:sz w:val="24"/>
          <w:szCs w:val="24"/>
          <w:highlight w:val="none"/>
          <w:lang w:val="en-US" w:eastAsia="zh-CN"/>
        </w:rPr>
        <w:t>8.5.3</w:t>
      </w:r>
      <w:r>
        <w:rPr>
          <w:rFonts w:hint="eastAsia" w:ascii="宋体" w:hAnsi="宋体" w:eastAsia="宋体" w:cs="宋体"/>
          <w:sz w:val="24"/>
          <w:szCs w:val="24"/>
          <w:highlight w:val="none"/>
        </w:rPr>
        <w:t>条任何一种情形的；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）响应文件含有采购人不能接受的附加条件的；</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）违反国家法律、法规和</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文件规定的其他无效情形。</w:t>
      </w:r>
    </w:p>
    <w:p>
      <w:pPr>
        <w:pStyle w:val="98"/>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）谈判文件给出的“响应文件格式”中要求签字或盖章未响应的或随意更改响应文件格式的（包含签字处不允许盖章或盖章处不允许签字的情形）。</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3.2有下列情形之一的，视为供应商串通投标，其投标无效：</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（1）不同供应商的响应文件由同一单位或者个人编制；</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（2）不同供应商委托同一单位或者个人办理投标事宜；</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（3）不同供应商的响应文件载明的项目管理成员或者联系人员为同一人；</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（4）不同供应商的响应文件异常一致</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lang w:val="en-US" w:eastAsia="zh-CN"/>
        </w:rPr>
        <w:t>出现相同打印IP地址或</w:t>
      </w:r>
      <w:r>
        <w:rPr>
          <w:rFonts w:hint="eastAsia" w:ascii="宋体" w:hAnsi="宋体" w:eastAsia="宋体" w:cs="宋体"/>
          <w:sz w:val="24"/>
          <w:szCs w:val="24"/>
          <w:highlight w:val="none"/>
        </w:rPr>
        <w:t>报价呈规律性差异；</w:t>
      </w:r>
    </w:p>
    <w:p>
      <w:pPr>
        <w:shd w:val="clear" w:color="auto" w:fill="auto"/>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（5）不同供应商的响应文件相互混装；</w:t>
      </w:r>
    </w:p>
    <w:p>
      <w:pPr>
        <w:shd w:val="clear" w:color="auto" w:fill="auto"/>
        <w:spacing w:line="360" w:lineRule="auto"/>
        <w:ind w:firstLine="480" w:firstLineChars="200"/>
        <w:jc w:val="both"/>
        <w:rPr>
          <w:rFonts w:hint="default" w:ascii="宋体" w:hAnsi="宋体" w:cs="宋体"/>
          <w:sz w:val="24"/>
          <w:szCs w:val="24"/>
          <w:highlight w:val="none"/>
          <w:lang w:val="en-US" w:eastAsia="zh-CN"/>
        </w:rPr>
      </w:pPr>
      <w:r>
        <w:rPr>
          <w:rFonts w:hint="eastAsia" w:ascii="宋体" w:hAnsi="宋体" w:eastAsia="宋体" w:cs="宋体"/>
          <w:sz w:val="24"/>
          <w:szCs w:val="24"/>
          <w:highlight w:val="none"/>
        </w:rPr>
        <w:t>（6）不同供应商的</w:t>
      </w:r>
      <w:r>
        <w:rPr>
          <w:rFonts w:hint="eastAsia" w:ascii="宋体" w:hAnsi="宋体" w:eastAsia="宋体" w:cs="宋体"/>
          <w:sz w:val="24"/>
          <w:szCs w:val="24"/>
          <w:highlight w:val="none"/>
          <w:lang w:eastAsia="zh-CN"/>
        </w:rPr>
        <w:t>谈判</w:t>
      </w:r>
      <w:r>
        <w:rPr>
          <w:rFonts w:hint="eastAsia" w:ascii="宋体" w:hAnsi="宋体" w:eastAsia="宋体" w:cs="宋体"/>
          <w:sz w:val="24"/>
          <w:szCs w:val="24"/>
          <w:highlight w:val="none"/>
        </w:rPr>
        <w:t>保证金从同一单位或者个人的账户转出。</w:t>
      </w:r>
      <w:bookmarkStart w:id="30" w:name="_Toc432264369"/>
      <w:bookmarkStart w:id="31" w:name="_Toc432277441"/>
      <w:r>
        <w:rPr>
          <w:rFonts w:hint="eastAsia" w:ascii="宋体" w:hAnsi="宋体" w:cs="宋体"/>
          <w:sz w:val="24"/>
          <w:szCs w:val="24"/>
          <w:highlight w:val="none"/>
          <w:lang w:val="en-US" w:eastAsia="zh-CN"/>
        </w:rPr>
        <w:t xml:space="preserve">                        </w:t>
      </w:r>
    </w:p>
    <w:p>
      <w:pPr>
        <w:shd w:val="clear" w:color="auto" w:fill="auto"/>
        <w:spacing w:line="360" w:lineRule="auto"/>
        <w:ind w:firstLine="643" w:firstLineChars="200"/>
        <w:jc w:val="center"/>
        <w:rPr>
          <w:rFonts w:hint="eastAsia" w:ascii="宋体" w:hAnsi="宋体" w:eastAsia="宋体" w:cs="宋体"/>
          <w:sz w:val="28"/>
          <w:szCs w:val="28"/>
          <w:highlight w:val="none"/>
        </w:rPr>
      </w:pPr>
      <w:bookmarkStart w:id="32" w:name="_Toc1498"/>
      <w:bookmarkStart w:id="33" w:name="_Toc455565645"/>
      <w:r>
        <w:rPr>
          <w:rStyle w:val="56"/>
          <w:rFonts w:hint="eastAsia"/>
          <w:lang w:val="en-US" w:eastAsia="zh-CN"/>
        </w:rPr>
        <w:t>第五章  合同主要条款及格式</w:t>
      </w:r>
      <w:bookmarkEnd w:id="30"/>
      <w:bookmarkEnd w:id="31"/>
      <w:bookmarkEnd w:id="32"/>
      <w:bookmarkEnd w:id="33"/>
    </w:p>
    <w:p>
      <w:pPr>
        <w:pStyle w:val="3"/>
        <w:numPr>
          <w:ilvl w:val="0"/>
          <w:numId w:val="0"/>
        </w:numPr>
        <w:spacing w:line="0" w:lineRule="atLeast"/>
        <w:ind w:leftChars="0"/>
        <w:jc w:val="center"/>
        <w:rPr>
          <w:rFonts w:hint="eastAsia" w:ascii="宋体" w:hAnsi="宋体" w:eastAsia="宋体" w:cs="宋体"/>
          <w:sz w:val="28"/>
          <w:szCs w:val="28"/>
          <w:highlight w:val="none"/>
          <w:lang w:eastAsia="zh-CN"/>
        </w:rPr>
      </w:pPr>
      <w:bookmarkStart w:id="34" w:name="_Toc16851"/>
      <w:r>
        <w:rPr>
          <w:rFonts w:hint="eastAsia" w:ascii="宋体" w:hAnsi="宋体" w:eastAsia="宋体" w:cs="宋体"/>
          <w:sz w:val="28"/>
          <w:szCs w:val="28"/>
          <w:highlight w:val="none"/>
          <w:lang w:eastAsia="zh-CN"/>
        </w:rPr>
        <w:t>（仅供参考</w:t>
      </w:r>
      <w:r>
        <w:rPr>
          <w:rFonts w:hint="eastAsia" w:ascii="宋体" w:hAnsi="宋体" w:cs="宋体"/>
          <w:sz w:val="28"/>
          <w:szCs w:val="28"/>
          <w:highlight w:val="none"/>
          <w:lang w:eastAsia="zh-CN"/>
        </w:rPr>
        <w:t>，以实际签订合同为准。</w:t>
      </w:r>
      <w:r>
        <w:rPr>
          <w:rFonts w:hint="eastAsia" w:ascii="宋体" w:hAnsi="宋体" w:eastAsia="宋体" w:cs="宋体"/>
          <w:sz w:val="28"/>
          <w:szCs w:val="28"/>
          <w:highlight w:val="none"/>
          <w:lang w:eastAsia="zh-CN"/>
        </w:rPr>
        <w:t>）</w:t>
      </w:r>
      <w:bookmarkEnd w:id="34"/>
    </w:p>
    <w:p>
      <w:pPr>
        <w:pStyle w:val="2"/>
        <w:spacing w:after="0"/>
        <w:jc w:val="center"/>
        <w:rPr>
          <w:rFonts w:hint="eastAsia" w:ascii="宋体" w:hAnsi="宋体" w:eastAsia="宋体" w:cs="宋体"/>
          <w:b/>
          <w:bCs/>
          <w:spacing w:val="-20"/>
          <w:kern w:val="44"/>
          <w:sz w:val="48"/>
          <w:szCs w:val="48"/>
        </w:rPr>
      </w:pPr>
      <w:bookmarkStart w:id="35" w:name="_Toc3995"/>
    </w:p>
    <w:p>
      <w:pPr>
        <w:pStyle w:val="2"/>
        <w:spacing w:after="0"/>
        <w:jc w:val="center"/>
        <w:rPr>
          <w:rFonts w:hint="eastAsia" w:ascii="宋体" w:hAnsi="宋体" w:eastAsia="宋体" w:cs="宋体"/>
          <w:b/>
          <w:bCs/>
          <w:spacing w:val="-20"/>
          <w:kern w:val="44"/>
          <w:sz w:val="48"/>
          <w:szCs w:val="48"/>
        </w:rPr>
      </w:pPr>
    </w:p>
    <w:p>
      <w:pPr>
        <w:pStyle w:val="2"/>
        <w:spacing w:after="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p>
    <w:p>
      <w:pPr>
        <w:pStyle w:val="2"/>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spacing w:line="360" w:lineRule="auto"/>
        <w:ind w:left="420" w:leftChars="200"/>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pPr>
        <w:rPr>
          <w:rFonts w:hint="eastAsia" w:ascii="宋体" w:hAnsi="宋体" w:eastAsia="宋体" w:cs="宋体"/>
        </w:rPr>
      </w:pPr>
    </w:p>
    <w:p>
      <w:pPr>
        <w:rPr>
          <w:rFonts w:hint="eastAsia" w:ascii="宋体" w:hAnsi="宋体" w:eastAsia="宋体" w:cs="宋体"/>
          <w:sz w:val="44"/>
          <w:szCs w:val="44"/>
        </w:rPr>
      </w:pPr>
      <w:r>
        <w:rPr>
          <w:rFonts w:hint="eastAsia" w:ascii="宋体" w:hAnsi="宋体" w:eastAsia="宋体" w:cs="宋体"/>
          <w:sz w:val="44"/>
          <w:szCs w:val="44"/>
        </w:rPr>
        <w:br w:type="page"/>
      </w:r>
    </w:p>
    <w:p>
      <w:pPr>
        <w:rPr>
          <w:rFonts w:hint="eastAsia" w:ascii="宋体" w:hAnsi="宋体" w:eastAsia="宋体" w:cs="宋体"/>
          <w:sz w:val="44"/>
          <w:szCs w:val="44"/>
        </w:rPr>
      </w:pPr>
    </w:p>
    <w:p>
      <w:pPr>
        <w:rPr>
          <w:rFonts w:hint="eastAsia" w:ascii="宋体" w:hAnsi="宋体" w:eastAsia="宋体" w:cs="宋体"/>
          <w:sz w:val="44"/>
          <w:szCs w:val="44"/>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pPr>
        <w:ind w:firstLine="0" w:firstLineChars="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宋体" w:hAnsi="宋体" w:eastAsia="宋体" w:cs="宋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5"/>
    <w:p>
      <w:pPr>
        <w:pStyle w:val="4"/>
        <w:adjustRightInd w:val="0"/>
        <w:snapToGrid w:val="0"/>
        <w:spacing w:beforeLines="0" w:line="400" w:lineRule="exact"/>
        <w:jc w:val="center"/>
        <w:rPr>
          <w:rFonts w:hint="eastAsia" w:ascii="宋体" w:hAnsi="宋体" w:eastAsia="宋体" w:cs="宋体"/>
          <w:b w:val="0"/>
          <w:bCs w:val="0"/>
          <w:sz w:val="24"/>
          <w:szCs w:val="24"/>
        </w:rPr>
      </w:pPr>
      <w:bookmarkStart w:id="36" w:name="_Toc22209"/>
      <w:bookmarkStart w:id="37" w:name="_Toc8326"/>
      <w:r>
        <w:rPr>
          <w:rFonts w:hint="eastAsia" w:ascii="宋体" w:hAnsi="宋体" w:eastAsia="宋体" w:cs="宋体"/>
          <w:b w:val="0"/>
          <w:bCs w:val="0"/>
          <w:sz w:val="24"/>
          <w:szCs w:val="24"/>
        </w:rPr>
        <w:t>第一节 政府采购合同协议书</w:t>
      </w:r>
      <w:bookmarkEnd w:id="36"/>
      <w:bookmarkEnd w:id="37"/>
    </w:p>
    <w:p>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文件约定的合同甲方）</w:t>
      </w:r>
    </w:p>
    <w:p>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1</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pPr>
        <w:adjustRightInd w:val="0"/>
        <w:snapToGrid w:val="0"/>
        <w:spacing w:before="0" w:beforeLines="0" w:line="400" w:lineRule="exact"/>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pPr>
        <w:spacing w:beforeLines="0" w:line="400" w:lineRule="exact"/>
        <w:rPr>
          <w:rFonts w:hint="eastAsia" w:ascii="宋体" w:hAnsi="宋体" w:eastAsia="宋体" w:cs="宋体"/>
          <w:sz w:val="24"/>
          <w:szCs w:val="24"/>
          <w:lang w:val="en-US" w:eastAsia="zh-CN"/>
        </w:rPr>
      </w:pPr>
    </w:p>
    <w:p>
      <w:pPr>
        <w:pStyle w:val="13"/>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项目信息</w:t>
      </w:r>
    </w:p>
    <w:p>
      <w:pPr>
        <w:pStyle w:val="13"/>
        <w:numPr>
          <w:ilvl w:val="0"/>
          <w:numId w:val="7"/>
        </w:numPr>
        <w:adjustRightInd w:val="0"/>
        <w:snapToGrid w:val="0"/>
        <w:spacing w:before="0" w:beforeLines="0" w:after="0" w:line="400" w:lineRule="exact"/>
        <w:ind w:left="0" w:lef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pPr>
        <w:pStyle w:val="13"/>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pPr>
        <w:pStyle w:val="13"/>
        <w:adjustRightInd w:val="0"/>
        <w:snapToGrid w:val="0"/>
        <w:spacing w:before="0" w:beforeLines="0" w:after="0" w:line="40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p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numPr>
          <w:ilvl w:val="-1"/>
          <w:numId w:val="0"/>
        </w:numPr>
        <w:adjustRightInd w:val="0"/>
        <w:snapToGrid w:val="0"/>
        <w:spacing w:before="0" w:beforeLines="0" w:line="400" w:lineRule="exact"/>
        <w:ind w:firstLine="480" w:firstLineChars="200"/>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pPr>
        <w:adjustRightInd w:val="0"/>
        <w:snapToGrid w:val="0"/>
        <w:spacing w:before="0" w:beforeLines="0" w:line="400" w:lineRule="exact"/>
        <w:ind w:firstLine="1080" w:firstLineChars="45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1080" w:firstLineChars="45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pPr>
        <w:numPr>
          <w:ilvl w:val="-1"/>
          <w:numId w:val="0"/>
        </w:numPr>
        <w:adjustRightInd w:val="0"/>
        <w:snapToGrid w:val="0"/>
        <w:spacing w:before="0" w:beforeLines="0" w:line="400" w:lineRule="exact"/>
        <w:ind w:firstLine="480" w:firstLineChars="200"/>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pPr>
        <w:numPr>
          <w:ilvl w:val="-1"/>
          <w:numId w:val="0"/>
        </w:numPr>
        <w:adjustRightInd w:val="0"/>
        <w:snapToGrid w:val="0"/>
        <w:spacing w:before="0"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pStyle w:val="51"/>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pStyle w:val="51"/>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pPr>
        <w:pStyle w:val="51"/>
        <w:numPr>
          <w:ilvl w:val="-1"/>
          <w:numId w:val="0"/>
        </w:numPr>
        <w:adjustRightInd w:val="0"/>
        <w:snapToGrid w:val="0"/>
        <w:spacing w:before="0" w:beforeLines="0" w:line="400" w:lineRule="exact"/>
        <w:ind w:left="0" w:firstLine="0" w:firstLineChars="0"/>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分散采购</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pPr>
        <w:pStyle w:val="51"/>
        <w:numPr>
          <w:ilvl w:val="-1"/>
          <w:numId w:val="0"/>
        </w:numPr>
        <w:adjustRightInd w:val="0"/>
        <w:snapToGrid w:val="0"/>
        <w:spacing w:before="0" w:beforeLines="0" w:line="400" w:lineRule="exact"/>
        <w:ind w:firstLine="240" w:firstLineChars="100"/>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lang w:eastAsia="zh-CN"/>
        </w:rPr>
        <w:t>购</w:t>
      </w:r>
      <w:r>
        <w:rPr>
          <w:rFonts w:hint="eastAsia" w:ascii="宋体" w:hAnsi="宋体" w:eastAsia="宋体" w:cs="宋体"/>
          <w:w w:val="100"/>
          <w:sz w:val="24"/>
          <w:szCs w:val="24"/>
          <w:shd w:val="clear"/>
        </w:rPr>
        <w:t>合同</w:t>
      </w:r>
      <w:r>
        <w:rPr>
          <w:rFonts w:hint="eastAsia" w:ascii="宋体" w:hAnsi="宋体" w:eastAsia="宋体" w:cs="宋体"/>
          <w:w w:val="100"/>
          <w:sz w:val="24"/>
          <w:szCs w:val="24"/>
          <w:shd w:val="clear"/>
          <w:lang w:eastAsia="zh-CN"/>
        </w:rPr>
        <w:t>（中小企业预留合同）</w:t>
      </w:r>
      <w:r>
        <w:rPr>
          <w:rFonts w:hint="eastAsia" w:ascii="宋体" w:hAnsi="宋体" w:eastAsia="宋体" w:cs="宋体"/>
          <w:sz w:val="24"/>
          <w:szCs w:val="24"/>
          <w:shd w:val="clear"/>
        </w:rPr>
        <w:t>：</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pPr>
        <w:numPr>
          <w:ilvl w:val="0"/>
          <w:numId w:val="0"/>
        </w:numPr>
        <w:snapToGrid w:val="0"/>
        <w:spacing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pPr>
        <w:adjustRightInd w:val="0"/>
        <w:snapToGrid w:val="0"/>
        <w:spacing w:before="0" w:beforeLines="0" w:line="40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before="0" w:beforeLines="0" w:line="40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pPr>
        <w:adjustRightInd w:val="0"/>
        <w:snapToGrid w:val="0"/>
        <w:spacing w:before="0" w:beforeLines="0" w:line="40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pPr>
        <w:adjustRightInd w:val="0"/>
        <w:snapToGrid w:val="0"/>
        <w:spacing w:before="0" w:beforeLines="0"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pPr>
        <w:adjustRightInd w:val="0"/>
        <w:snapToGrid w:val="0"/>
        <w:spacing w:beforeLines="0" w:line="400" w:lineRule="exact"/>
        <w:ind w:firstLine="960" w:firstLineChars="40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pPr>
        <w:adjustRightInd w:val="0"/>
        <w:snapToGrid w:val="0"/>
        <w:spacing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pPr>
        <w:pStyle w:val="51"/>
        <w:tabs>
          <w:tab w:val="left" w:pos="1340"/>
        </w:tabs>
        <w:spacing w:beforeLine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pPr>
        <w:numPr>
          <w:ilvl w:val="-1"/>
          <w:numId w:val="0"/>
        </w:numPr>
        <w:adjustRightInd w:val="0"/>
        <w:snapToGrid w:val="0"/>
        <w:spacing w:before="0" w:beforeLines="0" w:line="400" w:lineRule="exact"/>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pPr>
        <w:numPr>
          <w:ilvl w:val="-1"/>
          <w:numId w:val="0"/>
        </w:numPr>
        <w:adjustRightInd w:val="0"/>
        <w:snapToGrid w:val="0"/>
        <w:spacing w:before="0" w:beforeLines="0" w:line="400" w:lineRule="exact"/>
        <w:ind w:firstLine="960" w:firstLineChars="400"/>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pPr>
        <w:numPr>
          <w:ilvl w:val="-1"/>
          <w:numId w:val="0"/>
        </w:numPr>
        <w:adjustRightInd w:val="0"/>
        <w:snapToGrid w:val="0"/>
        <w:spacing w:before="0" w:beforeLines="0" w:line="400" w:lineRule="exact"/>
        <w:ind w:firstLine="960" w:firstLineChars="400"/>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pPr>
        <w:adjustRightInd w:val="0"/>
        <w:snapToGrid w:val="0"/>
        <w:spacing w:before="0" w:beforeLines="0" w:line="400" w:lineRule="exact"/>
        <w:ind w:firstLine="960" w:firstLineChars="400"/>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pPr>
        <w:pStyle w:val="51"/>
        <w:spacing w:beforeLines="0"/>
        <w:ind w:firstLine="420" w:firstLineChars="0"/>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pPr>
        <w:pStyle w:val="51"/>
        <w:spacing w:beforeLines="0"/>
        <w:ind w:firstLine="420" w:firstLineChars="0"/>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pPr>
        <w:numPr>
          <w:ilvl w:val="-1"/>
          <w:numId w:val="0"/>
        </w:numPr>
        <w:adjustRightInd w:val="0"/>
        <w:snapToGrid w:val="0"/>
        <w:spacing w:before="0" w:beforeLines="0" w:line="400" w:lineRule="exact"/>
        <w:ind w:firstLine="960" w:firstLineChars="400"/>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pPr>
        <w:numPr>
          <w:ilvl w:val="0"/>
          <w:numId w:val="6"/>
        </w:numPr>
        <w:adjustRightInd w:val="0"/>
        <w:snapToGrid w:val="0"/>
        <w:spacing w:before="0" w:beforeLines="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before="0" w:beforeLines="0" w:line="400" w:lineRule="exact"/>
        <w:ind w:left="0"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adjustRightInd w:val="0"/>
        <w:snapToGrid w:val="0"/>
        <w:spacing w:before="0" w:beforeLines="0" w:line="400" w:lineRule="exact"/>
        <w:ind w:firstLine="0" w:firstLineChars="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adjustRightInd w:val="0"/>
        <w:snapToGrid w:val="0"/>
        <w:spacing w:before="0" w:beforeLines="0"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pPr>
        <w:pStyle w:val="80"/>
        <w:spacing w:beforeLines="0"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pPr>
        <w:snapToGrid w:val="0"/>
        <w:spacing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w:t>
      </w:r>
      <w:r>
        <w:rPr>
          <w:rFonts w:hint="eastAsia" w:ascii="宋体" w:hAnsi="宋体" w:eastAsia="宋体" w:cs="宋体"/>
          <w:sz w:val="24"/>
          <w:szCs w:val="24"/>
          <w:u w:val="single"/>
          <w:lang w:eastAsia="zh-CN"/>
        </w:rPr>
        <w:t>，各期支付条件应与分期履约验收情况挂钩</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sz w:val="24"/>
          <w:szCs w:val="24"/>
          <w:u w:val="single"/>
        </w:rPr>
        <w:t xml:space="preserve"> （应明确预付款的支付比例和支付条件） </w:t>
      </w:r>
    </w:p>
    <w:p>
      <w:pPr>
        <w:adjustRightInd w:val="0"/>
        <w:snapToGrid w:val="0"/>
        <w:spacing w:before="0" w:beforeLines="0"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pPr>
        <w:adjustRightInd w:val="0"/>
        <w:snapToGrid w:val="0"/>
        <w:spacing w:before="0" w:beforeLines="0"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pPr>
        <w:numPr>
          <w:ilvl w:val="0"/>
          <w:numId w:val="6"/>
        </w:numPr>
        <w:adjustRightInd w:val="0"/>
        <w:snapToGrid w:val="0"/>
        <w:spacing w:before="0" w:beforeLines="0" w:line="400" w:lineRule="exact"/>
        <w:ind w:firstLine="482" w:firstLineChars="200"/>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before="0" w:beforeLines="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pPr>
        <w:pStyle w:val="51"/>
        <w:spacing w:beforeLines="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pPr>
        <w:pStyle w:val="51"/>
        <w:spacing w:beforeLine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pPr>
        <w:snapToGrid w:val="0"/>
        <w:spacing w:beforeLines="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p>
    <w:p>
      <w:pPr>
        <w:numPr>
          <w:ilvl w:val="0"/>
          <w:numId w:val="6"/>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pPr>
        <w:numPr>
          <w:ilvl w:val="0"/>
          <w:numId w:val="8"/>
        </w:num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pPr>
        <w:numPr>
          <w:ilvl w:val="0"/>
          <w:numId w:val="0"/>
        </w:numPr>
        <w:adjustRightInd w:val="0"/>
        <w:snapToGrid w:val="0"/>
        <w:spacing w:before="0" w:beforeLines="0" w:line="40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960" w:firstLineChars="400"/>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pPr>
        <w:adjustRightInd w:val="0"/>
        <w:snapToGrid w:val="0"/>
        <w:spacing w:before="0" w:beforeLines="0" w:line="400" w:lineRule="exact"/>
        <w:ind w:firstLine="960" w:firstLineChars="400"/>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pPr>
        <w:adjustRightInd w:val="0"/>
        <w:snapToGrid w:val="0"/>
        <w:spacing w:before="0" w:beforeLines="0" w:line="400" w:lineRule="exact"/>
        <w:ind w:firstLine="0" w:firstLineChars="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pPr>
        <w:adjustRightInd w:val="0"/>
        <w:snapToGrid w:val="0"/>
        <w:spacing w:before="0" w:beforeLines="0"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pPr>
        <w:pStyle w:val="51"/>
        <w:spacing w:beforeLines="0"/>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pPr>
        <w:adjustRightInd w:val="0"/>
        <w:snapToGrid w:val="0"/>
        <w:spacing w:before="0" w:beforeLines="0"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pPr>
        <w:numPr>
          <w:ilvl w:val="0"/>
          <w:numId w:val="6"/>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pPr>
        <w:adjustRightInd w:val="0"/>
        <w:snapToGrid w:val="0"/>
        <w:spacing w:before="0" w:beforeLines="0"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pPr>
        <w:adjustRightInd w:val="0"/>
        <w:snapToGrid w:val="0"/>
        <w:spacing w:before="0" w:beforeLines="0"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pPr>
        <w:pStyle w:val="51"/>
        <w:spacing w:beforeLines="0"/>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pPr>
        <w:numPr>
          <w:ilvl w:val="0"/>
          <w:numId w:val="6"/>
        </w:numPr>
        <w:adjustRightInd w:val="0"/>
        <w:snapToGrid w:val="0"/>
        <w:spacing w:before="0" w:beforeLines="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pPr>
        <w:adjustRightInd w:val="0"/>
        <w:snapToGrid w:val="0"/>
        <w:spacing w:before="0" w:beforeLines="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pPr>
        <w:pStyle w:val="80"/>
        <w:spacing w:beforeLines="0" w:line="400" w:lineRule="exact"/>
        <w:rPr>
          <w:rFonts w:hint="eastAsia" w:ascii="宋体" w:hAnsi="宋体" w:eastAsia="宋体" w:cs="宋体"/>
          <w:sz w:val="24"/>
          <w:szCs w:val="24"/>
        </w:rPr>
      </w:pPr>
    </w:p>
    <w:p>
      <w:pPr>
        <w:pStyle w:val="4"/>
        <w:spacing w:beforeLines="0" w:line="400" w:lineRule="exact"/>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lang w:val="en"/>
        </w:rPr>
        <w:t xml:space="preserve">   </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80"/>
        <w:rPr>
          <w:rFonts w:hint="eastAsia" w:ascii="宋体" w:hAnsi="宋体" w:eastAsia="宋体" w:cs="宋体"/>
          <w:sz w:val="24"/>
          <w:szCs w:val="24"/>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4"/>
        <w:gridCol w:w="2594"/>
        <w:gridCol w:w="2128"/>
        <w:gridCol w:w="22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pPr>
              <w:adjustRightInd w:val="0"/>
              <w:snapToGrid w:val="0"/>
              <w:spacing w:line="300" w:lineRule="exact"/>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3"/>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pPr>
        <w:pStyle w:val="4"/>
        <w:adjustRightInd w:val="0"/>
        <w:snapToGrid w:val="0"/>
        <w:spacing w:before="156" w:beforeLines="50" w:line="240" w:lineRule="auto"/>
        <w:jc w:val="center"/>
        <w:rPr>
          <w:rFonts w:hint="eastAsia" w:ascii="宋体" w:hAnsi="宋体" w:eastAsia="宋体" w:cs="宋体"/>
          <w:sz w:val="24"/>
          <w:szCs w:val="24"/>
        </w:rPr>
      </w:pPr>
      <w:r>
        <w:rPr>
          <w:rFonts w:hint="eastAsia" w:ascii="宋体" w:hAnsi="宋体" w:eastAsia="宋体" w:cs="宋体"/>
          <w:sz w:val="24"/>
          <w:szCs w:val="24"/>
          <w:u w:val="single"/>
        </w:rPr>
        <w:br w:type="page"/>
      </w:r>
      <w:bookmarkStart w:id="38" w:name="_Toc12868"/>
      <w:bookmarkStart w:id="39" w:name="_Toc27624"/>
      <w:r>
        <w:rPr>
          <w:rFonts w:hint="eastAsia" w:ascii="宋体" w:hAnsi="宋体" w:eastAsia="宋体" w:cs="宋体"/>
          <w:b w:val="0"/>
          <w:bCs w:val="0"/>
          <w:sz w:val="24"/>
          <w:szCs w:val="24"/>
        </w:rPr>
        <w:t>第二节 政府采购合同通用条款</w:t>
      </w:r>
      <w:bookmarkEnd w:id="38"/>
      <w:bookmarkEnd w:id="39"/>
    </w:p>
    <w:p>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pPr>
        <w:adjustRightInd w:val="0"/>
        <w:snapToGrid w:val="0"/>
        <w:spacing w:before="0" w:line="40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pPr>
        <w:pStyle w:val="2"/>
        <w:spacing w:after="0" w:line="400" w:lineRule="exact"/>
        <w:ind w:firstLine="422" w:firstLineChars="1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pPr>
        <w:pStyle w:val="2"/>
        <w:spacing w:after="0" w:line="400" w:lineRule="exact"/>
        <w:ind w:firstLine="422" w:firstLineChars="1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pPr>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pPr>
        <w:pStyle w:val="51"/>
        <w:rPr>
          <w:rFonts w:hint="eastAsia" w:ascii="宋体" w:hAnsi="宋体" w:eastAsia="宋体" w:cs="宋体"/>
          <w:sz w:val="24"/>
          <w:szCs w:val="24"/>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pPr>
        <w:pStyle w:val="16"/>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pPr>
        <w:pStyle w:val="16"/>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pPr>
        <w:autoSpaceDE w:val="0"/>
        <w:autoSpaceDN w:val="0"/>
        <w:adjustRightInd w:val="0"/>
        <w:snapToGrid w:val="0"/>
        <w:spacing w:before="0" w:line="4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0"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0"/>
      <w:r>
        <w:rPr>
          <w:rFonts w:hint="eastAsia" w:ascii="宋体" w:hAnsi="宋体" w:eastAsia="宋体" w:cs="宋体"/>
          <w:color w:val="auto"/>
          <w:sz w:val="24"/>
          <w:szCs w:val="24"/>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pPr>
        <w:pStyle w:val="4"/>
        <w:spacing w:line="400" w:lineRule="exact"/>
        <w:ind w:firstLine="480" w:firstLineChars="200"/>
        <w:rPr>
          <w:rFonts w:hint="eastAsia" w:ascii="宋体" w:hAnsi="宋体" w:eastAsia="宋体" w:cs="宋体"/>
          <w:color w:val="auto"/>
          <w:sz w:val="24"/>
          <w:szCs w:val="24"/>
          <w:highlight w:val="none"/>
          <w:lang w:eastAsia="zh-CN"/>
        </w:rPr>
      </w:pPr>
      <w:bookmarkStart w:id="41" w:name="_Toc631"/>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bookmarkEnd w:id="41"/>
    </w:p>
    <w:p>
      <w:pPr>
        <w:pStyle w:val="2"/>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pPr>
        <w:pStyle w:val="51"/>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pPr>
        <w:numPr>
          <w:ilvl w:val="0"/>
          <w:numId w:val="11"/>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pPr>
        <w:pStyle w:val="51"/>
        <w:jc w:val="both"/>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pPr>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pPr>
        <w:pStyle w:val="5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pPr>
        <w:pStyle w:val="51"/>
        <w:jc w:val="both"/>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pPr>
        <w:pStyle w:val="51"/>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pPr>
        <w:pStyle w:val="51"/>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pPr>
        <w:pStyle w:val="51"/>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pPr>
        <w:pStyle w:val="2"/>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pPr>
        <w:pStyle w:val="51"/>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pPr>
        <w:pStyle w:val="51"/>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pPr>
        <w:pStyle w:val="51"/>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pPr>
        <w:pStyle w:val="51"/>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pPr>
        <w:adjustRightInd w:val="0"/>
        <w:snapToGrid w:val="0"/>
        <w:spacing w:line="40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2" w:name="_Toc20313"/>
    </w:p>
    <w:p>
      <w:pPr>
        <w:adjustRightInd w:val="0"/>
        <w:snapToGrid w:val="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pStyle w:val="4"/>
        <w:adjustRightInd w:val="0"/>
        <w:snapToGrid w:val="0"/>
        <w:jc w:val="center"/>
        <w:rPr>
          <w:rFonts w:hint="eastAsia" w:ascii="宋体" w:hAnsi="宋体" w:eastAsia="宋体" w:cs="宋体"/>
          <w:b w:val="0"/>
          <w:bCs w:val="0"/>
          <w:sz w:val="24"/>
          <w:szCs w:val="24"/>
        </w:rPr>
      </w:pPr>
      <w:bookmarkStart w:id="43" w:name="_Toc5325"/>
      <w:r>
        <w:rPr>
          <w:rFonts w:hint="eastAsia" w:ascii="宋体" w:hAnsi="宋体" w:eastAsia="宋体" w:cs="宋体"/>
          <w:b w:val="0"/>
          <w:bCs w:val="0"/>
          <w:sz w:val="24"/>
          <w:szCs w:val="24"/>
        </w:rPr>
        <w:t>第三节 政府采购合同专用条款</w:t>
      </w:r>
      <w:bookmarkEnd w:id="42"/>
      <w:bookmarkEnd w:id="43"/>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1742" w:type="dxa"/>
            <w:vAlign w:val="center"/>
          </w:tcPr>
          <w:p>
            <w:pPr>
              <w:adjustRightInd w:val="0"/>
              <w:snapToGrid w:val="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170" w:type="dxa"/>
            <w:vAlign w:val="center"/>
          </w:tcPr>
          <w:p>
            <w:pPr>
              <w:adjustRightInd w:val="0"/>
              <w:snapToGrid w:val="0"/>
              <w:jc w:val="left"/>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170" w:type="dxa"/>
            <w:vAlign w:val="center"/>
          </w:tcPr>
          <w:p>
            <w:pPr>
              <w:adjustRightInd w:val="0"/>
              <w:snapToGrid w:val="0"/>
              <w:jc w:val="left"/>
              <w:rPr>
                <w:rFonts w:hint="eastAsia" w:ascii="宋体" w:hAnsi="宋体" w:eastAsia="宋体" w:cs="宋体"/>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170" w:type="dxa"/>
            <w:vAlign w:val="center"/>
          </w:tcPr>
          <w:p>
            <w:pP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cs="宋体"/>
                <w:sz w:val="24"/>
                <w:szCs w:val="24"/>
              </w:rPr>
            </w:pP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170" w:type="dxa"/>
            <w:vAlign w:val="center"/>
          </w:tcPr>
          <w:p>
            <w:pP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170" w:type="dxa"/>
            <w:vAlign w:val="center"/>
          </w:tcPr>
          <w:p>
            <w:pP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170" w:type="dxa"/>
            <w:vAlign w:val="center"/>
          </w:tcPr>
          <w:p>
            <w:pP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pPr>
              <w:autoSpaceDE w:val="0"/>
              <w:autoSpaceDN w:val="0"/>
              <w:adjustRightInd w:val="0"/>
              <w:snapToGrid w:val="0"/>
              <w:ind w:firstLine="480" w:firstLineChars="20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pPr>
              <w:pStyle w:val="51"/>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1742" w:type="dxa"/>
            <w:vAlign w:val="center"/>
          </w:tcPr>
          <w:p>
            <w:pPr>
              <w:adjustRightInd w:val="0"/>
              <w:snapToGrid w:val="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1742" w:type="dxa"/>
            <w:vAlign w:val="center"/>
          </w:tcPr>
          <w:p>
            <w:pPr>
              <w:adjustRightInd w:val="0"/>
              <w:snapToGrid w:val="0"/>
              <w:jc w:val="left"/>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1742" w:type="dxa"/>
            <w:vAlign w:val="center"/>
          </w:tcPr>
          <w:p>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1742" w:type="dxa"/>
            <w:vAlign w:val="center"/>
          </w:tcPr>
          <w:p>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1742" w:type="dxa"/>
            <w:vAlign w:val="center"/>
          </w:tcPr>
          <w:p>
            <w:pPr>
              <w:adjustRightInd w:val="0"/>
              <w:snapToGrid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pPr>
              <w:adjustRightInd w:val="0"/>
              <w:snapToGrid w:val="0"/>
              <w:jc w:val="left"/>
              <w:rPr>
                <w:rFonts w:hint="eastAsia" w:ascii="宋体" w:hAnsi="宋体" w:eastAsia="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pPr>
              <w:adjustRightInd w:val="0"/>
              <w:snapToGrid w:val="0"/>
              <w:jc w:val="left"/>
              <w:rPr>
                <w:rFonts w:hint="eastAsia" w:ascii="宋体" w:hAnsi="宋体" w:eastAsia="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种方式解决：</w:t>
            </w:r>
          </w:p>
          <w:p>
            <w:pPr>
              <w:autoSpaceDE w:val="0"/>
              <w:autoSpaceDN w:val="0"/>
              <w:adjustRightInd w:val="0"/>
              <w:snapToGrid w:val="0"/>
              <w:spacing w:line="400" w:lineRule="exact"/>
              <w:jc w:val="left"/>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pPr>
              <w:adjustRightInd w:val="0"/>
              <w:snapToGrid w:val="0"/>
              <w:ind w:firstLine="0" w:firstLineChars="0"/>
              <w:jc w:val="left"/>
              <w:rPr>
                <w:rFonts w:hint="eastAsia" w:ascii="宋体" w:hAnsi="宋体" w:eastAsia="宋体" w:cs="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1742" w:type="dxa"/>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170" w:type="dxa"/>
            <w:vAlign w:val="center"/>
          </w:tcPr>
          <w:p>
            <w:pPr>
              <w:adjustRightInd w:val="0"/>
              <w:snapToGrid w:val="0"/>
              <w:jc w:val="left"/>
              <w:rPr>
                <w:rFonts w:hint="eastAsia" w:ascii="宋体" w:hAnsi="宋体" w:eastAsia="宋体" w:cs="宋体"/>
                <w:sz w:val="24"/>
                <w:szCs w:val="24"/>
                <w:lang w:val="en-US" w:eastAsia="zh-CN"/>
              </w:rPr>
            </w:pPr>
          </w:p>
        </w:tc>
      </w:tr>
    </w:tbl>
    <w:p>
      <w:pPr>
        <w:rPr>
          <w:rFonts w:hint="eastAsia" w:ascii="宋体" w:hAnsi="宋体" w:eastAsia="宋体" w:cs="宋体"/>
          <w:sz w:val="24"/>
          <w:szCs w:val="24"/>
        </w:rPr>
      </w:pPr>
    </w:p>
    <w:p>
      <w:pPr>
        <w:spacing w:before="1" w:line="180" w:lineRule="exact"/>
        <w:ind w:left="935"/>
        <w:jc w:val="left"/>
        <w:rPr>
          <w:rFonts w:hint="eastAsia" w:ascii="宋体" w:hAnsi="宋体" w:eastAsia="宋体" w:cs="宋体"/>
          <w:highlight w:val="none"/>
        </w:rPr>
      </w:pPr>
      <w:r>
        <w:rPr>
          <w:rStyle w:val="93"/>
          <w:rFonts w:hint="eastAsia" w:ascii="宋体" w:hAnsi="宋体" w:eastAsia="宋体" w:cs="宋体"/>
          <w:bCs/>
          <w:sz w:val="48"/>
          <w:szCs w:val="48"/>
          <w:highlight w:val="none"/>
        </w:rPr>
        <w:br w:type="page"/>
      </w:r>
      <w:bookmarkStart w:id="44" w:name="_Toc455565646"/>
      <w:bookmarkStart w:id="45" w:name="_Toc432264370"/>
      <w:bookmarkStart w:id="46" w:name="_Toc432277442"/>
    </w:p>
    <w:p>
      <w:pPr>
        <w:pStyle w:val="4"/>
        <w:numPr>
          <w:ilvl w:val="0"/>
          <w:numId w:val="13"/>
        </w:numPr>
        <w:bidi w:val="0"/>
        <w:jc w:val="center"/>
        <w:rPr>
          <w:rFonts w:hint="eastAsia"/>
        </w:rPr>
      </w:pPr>
      <w:bookmarkStart w:id="47" w:name="_Toc23405"/>
      <w:r>
        <w:rPr>
          <w:rFonts w:hint="eastAsia"/>
          <w:lang w:val="en-US" w:eastAsia="zh-CN"/>
        </w:rPr>
        <w:t xml:space="preserve"> </w:t>
      </w:r>
      <w:r>
        <w:rPr>
          <w:rFonts w:hint="eastAsia"/>
        </w:rPr>
        <w:t>响应文件格式</w:t>
      </w:r>
      <w:bookmarkEnd w:id="44"/>
      <w:bookmarkEnd w:id="45"/>
      <w:bookmarkEnd w:id="46"/>
      <w:bookmarkEnd w:id="47"/>
    </w:p>
    <w:p>
      <w:pPr>
        <w:widowControl w:val="0"/>
        <w:numPr>
          <w:ilvl w:val="0"/>
          <w:numId w:val="0"/>
        </w:numPr>
        <w:jc w:val="right"/>
        <w:rPr>
          <w:rFonts w:hint="eastAsia" w:eastAsia="宋体"/>
          <w:lang w:val="en-US" w:eastAsia="zh-CN"/>
        </w:rPr>
      </w:pPr>
      <w:r>
        <w:rPr>
          <w:rFonts w:hint="eastAsia"/>
          <w:lang w:val="en-US" w:eastAsia="zh-CN"/>
        </w:rPr>
        <w:t>正/副本</w:t>
      </w:r>
    </w:p>
    <w:p>
      <w:pPr>
        <w:pStyle w:val="51"/>
        <w:rPr>
          <w:rFonts w:hint="eastAsia"/>
        </w:rPr>
      </w:pPr>
    </w:p>
    <w:p>
      <w:pPr>
        <w:spacing w:line="72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highlight w:val="cyan"/>
          <w:lang w:val="en-US" w:eastAsia="zh-CN"/>
        </w:rPr>
      </w:pPr>
      <w:r>
        <w:rPr>
          <w:rFonts w:hint="eastAsia" w:ascii="宋体" w:hAnsi="宋体" w:eastAsia="宋体" w:cs="宋体"/>
          <w:b/>
          <w:bCs/>
          <w:sz w:val="84"/>
          <w:szCs w:val="84"/>
          <w:highlight w:val="none"/>
          <w:lang w:val="en-US" w:eastAsia="zh-CN"/>
        </w:rPr>
        <w:t>响应</w:t>
      </w:r>
      <w:r>
        <w:rPr>
          <w:rFonts w:hint="eastAsia" w:ascii="宋体" w:hAnsi="宋体" w:eastAsia="宋体" w:cs="宋体"/>
          <w:b/>
          <w:bCs/>
          <w:sz w:val="84"/>
          <w:szCs w:val="84"/>
          <w:highlight w:val="none"/>
        </w:rPr>
        <w:t>文件</w:t>
      </w:r>
      <w:r>
        <w:rPr>
          <w:rFonts w:hint="eastAsia" w:ascii="宋体" w:hAnsi="宋体" w:eastAsia="宋体" w:cs="宋体"/>
          <w:b/>
          <w:bCs/>
          <w:sz w:val="84"/>
          <w:szCs w:val="84"/>
          <w:highlight w:val="none"/>
        </w:rPr>
        <w:cr/>
      </w:r>
      <w:r>
        <w:rPr>
          <w:rFonts w:hint="eastAsia" w:ascii="宋体" w:hAnsi="宋体" w:eastAsia="宋体" w:cs="宋体"/>
          <w:b/>
          <w:bCs/>
          <w:sz w:val="28"/>
          <w:szCs w:val="28"/>
          <w:highlight w:val="none"/>
          <w:lang w:val="en-US" w:eastAsia="zh-CN"/>
        </w:rPr>
        <w:t>项目</w:t>
      </w:r>
      <w:r>
        <w:rPr>
          <w:rFonts w:hint="eastAsia" w:ascii="宋体" w:hAnsi="宋体" w:eastAsia="宋体" w:cs="宋体"/>
          <w:b/>
          <w:bCs/>
          <w:sz w:val="28"/>
          <w:szCs w:val="28"/>
          <w:highlight w:val="none"/>
        </w:rPr>
        <w:t>编号：</w:t>
      </w:r>
      <w:r>
        <w:rPr>
          <w:rFonts w:hint="eastAsia" w:ascii="宋体" w:hAnsi="宋体" w:eastAsia="宋体" w:cs="宋体"/>
          <w:b/>
          <w:bCs/>
          <w:sz w:val="28"/>
          <w:szCs w:val="28"/>
          <w:highlight w:val="none"/>
          <w:lang w:val="en-US" w:eastAsia="zh-CN"/>
        </w:rPr>
        <w:t xml:space="preserve"> </w:t>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pPr>
        <w:spacing w:line="1000" w:lineRule="exact"/>
        <w:jc w:val="center"/>
        <w:rPr>
          <w:rFonts w:hint="eastAsia" w:ascii="宋体" w:hAnsi="宋体" w:eastAsia="宋体" w:cs="宋体"/>
          <w:b/>
          <w:sz w:val="84"/>
          <w:szCs w:val="84"/>
          <w:highlight w:val="none"/>
        </w:rPr>
      </w:pPr>
    </w:p>
    <w:p>
      <w:pPr>
        <w:pStyle w:val="101"/>
        <w:spacing w:line="360" w:lineRule="auto"/>
        <w:jc w:val="center"/>
        <w:outlineLvl w:val="9"/>
        <w:rPr>
          <w:rFonts w:hint="eastAsia" w:ascii="宋体" w:hAnsi="宋体" w:eastAsia="宋体" w:cs="宋体"/>
          <w:b w:val="0"/>
          <w:bCs/>
          <w:sz w:val="24"/>
          <w:szCs w:val="24"/>
        </w:rPr>
      </w:pPr>
    </w:p>
    <w:p>
      <w:pPr>
        <w:autoSpaceDE w:val="0"/>
        <w:autoSpaceDN w:val="0"/>
        <w:adjustRightInd w:val="0"/>
        <w:snapToGrid w:val="0"/>
        <w:spacing w:line="600" w:lineRule="auto"/>
        <w:ind w:firstLine="960" w:firstLineChars="400"/>
        <w:jc w:val="both"/>
        <w:outlineLvl w:val="0"/>
        <w:rPr>
          <w:rFonts w:hint="default" w:ascii="宋体" w:hAnsi="宋体" w:eastAsia="宋体" w:cs="宋体"/>
          <w:b w:val="0"/>
          <w:bCs/>
          <w:sz w:val="24"/>
          <w:szCs w:val="24"/>
          <w:lang w:val="en-US" w:eastAsia="zh-CN"/>
        </w:rPr>
      </w:pPr>
      <w:bookmarkStart w:id="48" w:name="_Toc15186"/>
      <w:r>
        <w:rPr>
          <w:rFonts w:hint="eastAsia" w:ascii="宋体" w:hAnsi="宋体" w:eastAsia="宋体" w:cs="宋体"/>
          <w:b w:val="0"/>
          <w:bCs/>
          <w:sz w:val="24"/>
          <w:szCs w:val="24"/>
          <w:lang w:val="en-US" w:eastAsia="zh-CN"/>
        </w:rPr>
        <w:t>供应商名称</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加盖公章）</w:t>
      </w:r>
      <w:bookmarkEnd w:id="48"/>
      <w:r>
        <w:rPr>
          <w:rFonts w:hint="eastAsia" w:ascii="宋体" w:hAnsi="宋体" w:eastAsia="宋体" w:cs="宋体"/>
          <w:b w:val="0"/>
          <w:bCs/>
          <w:sz w:val="24"/>
          <w:szCs w:val="24"/>
          <w:u w:val="single"/>
          <w:lang w:val="en-US" w:eastAsia="zh-CN"/>
        </w:rPr>
        <w:t xml:space="preserve">                                </w:t>
      </w:r>
    </w:p>
    <w:p>
      <w:pPr>
        <w:autoSpaceDE w:val="0"/>
        <w:autoSpaceDN w:val="0"/>
        <w:adjustRightInd w:val="0"/>
        <w:snapToGrid w:val="0"/>
        <w:spacing w:line="600" w:lineRule="auto"/>
        <w:ind w:firstLine="960" w:firstLineChars="400"/>
        <w:jc w:val="both"/>
        <w:outlineLvl w:val="0"/>
        <w:rPr>
          <w:rFonts w:hint="default" w:ascii="宋体" w:hAnsi="宋体" w:eastAsia="宋体" w:cs="宋体"/>
          <w:b w:val="0"/>
          <w:bCs/>
          <w:sz w:val="24"/>
          <w:szCs w:val="24"/>
          <w:lang w:val="en-US" w:eastAsia="zh-CN"/>
        </w:rPr>
      </w:pPr>
      <w:bookmarkStart w:id="49" w:name="_Toc14915"/>
      <w:r>
        <w:rPr>
          <w:rFonts w:hint="eastAsia" w:ascii="宋体" w:hAnsi="宋体" w:eastAsia="宋体" w:cs="宋体"/>
          <w:b w:val="0"/>
          <w:bCs/>
          <w:sz w:val="24"/>
          <w:szCs w:val="24"/>
          <w:lang w:eastAsia="zh-CN"/>
        </w:rPr>
        <w:t>法定代表人（单位负责人）或委托代理人（签字或盖章）：</w:t>
      </w:r>
      <w:bookmarkEnd w:id="49"/>
      <w:r>
        <w:rPr>
          <w:rFonts w:hint="eastAsia" w:ascii="宋体" w:hAnsi="宋体" w:eastAsia="宋体" w:cs="宋体"/>
          <w:b w:val="0"/>
          <w:bCs/>
          <w:sz w:val="24"/>
          <w:szCs w:val="24"/>
          <w:u w:val="single"/>
          <w:lang w:val="en-US" w:eastAsia="zh-CN"/>
        </w:rPr>
        <w:t xml:space="preserve">      </w:t>
      </w:r>
    </w:p>
    <w:p>
      <w:pPr>
        <w:autoSpaceDE w:val="0"/>
        <w:autoSpaceDN w:val="0"/>
        <w:adjustRightInd w:val="0"/>
        <w:snapToGrid w:val="0"/>
        <w:spacing w:line="600" w:lineRule="auto"/>
        <w:ind w:firstLine="960" w:firstLineChars="400"/>
        <w:jc w:val="both"/>
        <w:outlineLvl w:val="0"/>
        <w:rPr>
          <w:rFonts w:hint="default" w:ascii="宋体" w:hAnsi="宋体" w:eastAsia="宋体" w:cs="宋体"/>
          <w:b w:val="0"/>
          <w:bCs/>
          <w:sz w:val="24"/>
          <w:szCs w:val="24"/>
          <w:lang w:val="en-US" w:eastAsia="zh-CN"/>
        </w:rPr>
      </w:pPr>
      <w:bookmarkStart w:id="50" w:name="_Toc29636"/>
      <w:r>
        <w:rPr>
          <w:rFonts w:hint="eastAsia" w:ascii="宋体" w:hAnsi="宋体" w:eastAsia="宋体" w:cs="宋体"/>
          <w:b w:val="0"/>
          <w:bCs/>
          <w:sz w:val="24"/>
          <w:szCs w:val="24"/>
          <w:lang w:val="en-US" w:eastAsia="zh-CN"/>
        </w:rPr>
        <w:t xml:space="preserve">日期：    </w:t>
      </w:r>
      <w:r>
        <w:rPr>
          <w:rFonts w:hint="eastAsia" w:ascii="宋体" w:hAnsi="宋体" w:eastAsia="宋体" w:cs="宋体"/>
          <w:b w:val="0"/>
          <w:bCs/>
          <w:sz w:val="24"/>
          <w:szCs w:val="24"/>
          <w:lang w:val="zh-CN" w:eastAsia="zh-CN"/>
        </w:rPr>
        <w:t>年</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zh-CN" w:eastAsia="zh-CN"/>
        </w:rPr>
        <w:t>月</w:t>
      </w:r>
      <w:r>
        <w:rPr>
          <w:rFonts w:hint="eastAsia" w:ascii="宋体" w:hAnsi="宋体" w:eastAsia="宋体" w:cs="宋体"/>
          <w:b w:val="0"/>
          <w:bCs/>
          <w:sz w:val="24"/>
          <w:szCs w:val="24"/>
          <w:lang w:val="en-US" w:eastAsia="zh-CN"/>
        </w:rPr>
        <w:t xml:space="preserve">   日</w:t>
      </w:r>
      <w:bookmarkEnd w:id="50"/>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rPr>
          <w:rFonts w:hint="eastAsia"/>
        </w:rPr>
      </w:pPr>
    </w:p>
    <w:p>
      <w:pPr>
        <w:pStyle w:val="51"/>
        <w:jc w:val="center"/>
        <w:rPr>
          <w:rFonts w:hint="eastAsia"/>
          <w:sz w:val="40"/>
          <w:szCs w:val="36"/>
          <w:lang w:val="en-US" w:eastAsia="zh-CN"/>
        </w:rPr>
      </w:pPr>
      <w:r>
        <w:rPr>
          <w:rFonts w:hint="eastAsia"/>
          <w:sz w:val="40"/>
          <w:szCs w:val="36"/>
          <w:lang w:val="en-US" w:eastAsia="zh-CN"/>
        </w:rPr>
        <w:t>目录</w:t>
      </w:r>
    </w:p>
    <w:p>
      <w:pPr>
        <w:pStyle w:val="51"/>
        <w:jc w:val="center"/>
        <w:rPr>
          <w:rFonts w:hint="eastAsia"/>
          <w:sz w:val="40"/>
          <w:szCs w:val="36"/>
          <w:lang w:val="en-US" w:eastAsia="zh-CN"/>
        </w:rPr>
      </w:pPr>
    </w:p>
    <w:p>
      <w:pPr>
        <w:pStyle w:val="51"/>
        <w:jc w:val="center"/>
        <w:rPr>
          <w:rFonts w:hint="eastAsia"/>
          <w:sz w:val="40"/>
          <w:szCs w:val="36"/>
          <w:lang w:val="en-US" w:eastAsia="zh-CN"/>
        </w:rPr>
      </w:pPr>
    </w:p>
    <w:p>
      <w:pPr>
        <w:pStyle w:val="51"/>
        <w:jc w:val="center"/>
        <w:rPr>
          <w:rFonts w:hint="eastAsia"/>
          <w:sz w:val="40"/>
          <w:szCs w:val="36"/>
          <w:lang w:val="en-US" w:eastAsia="zh-CN"/>
        </w:rPr>
      </w:pPr>
    </w:p>
    <w:p>
      <w:pPr>
        <w:autoSpaceDE w:val="0"/>
        <w:autoSpaceDN w:val="0"/>
        <w:adjustRightInd w:val="0"/>
        <w:spacing w:line="480" w:lineRule="auto"/>
        <w:rPr>
          <w:rFonts w:hint="eastAsia" w:ascii="宋体" w:hAnsi="宋体" w:cs="宋体"/>
          <w:sz w:val="24"/>
          <w:highlight w:val="none"/>
          <w:u w:val="single"/>
        </w:rPr>
      </w:pPr>
      <w:r>
        <w:rPr>
          <w:rFonts w:hint="eastAsia" w:ascii="宋体" w:hAnsi="宋体" w:cs="宋体"/>
          <w:sz w:val="24"/>
          <w:highlight w:val="none"/>
          <w:u w:val="single"/>
        </w:rPr>
        <w:t>要求自行编制目录，并编制对应页码。</w:t>
      </w:r>
    </w:p>
    <w:p>
      <w:pPr>
        <w:pStyle w:val="51"/>
        <w:jc w:val="center"/>
        <w:rPr>
          <w:rFonts w:hint="eastAsia"/>
          <w:sz w:val="40"/>
          <w:szCs w:val="36"/>
          <w:lang w:val="en-US" w:eastAsia="zh-CN"/>
        </w:rPr>
      </w:pPr>
    </w:p>
    <w:p>
      <w:pPr>
        <w:rPr>
          <w:rFonts w:hint="eastAsia"/>
          <w:lang w:val="en-US" w:eastAsia="zh-CN"/>
        </w:rPr>
      </w:pPr>
      <w:r>
        <w:rPr>
          <w:rFonts w:hint="eastAsia"/>
          <w:lang w:val="en-US" w:eastAsia="zh-CN"/>
        </w:rPr>
        <w:br w:type="page"/>
      </w:r>
    </w:p>
    <w:p>
      <w:pPr>
        <w:pStyle w:val="16"/>
        <w:pageBreakBefore w:val="0"/>
        <w:widowControl w:val="0"/>
        <w:kinsoku/>
        <w:wordWrap/>
        <w:overflowPunct/>
        <w:topLinePunct w:val="0"/>
        <w:autoSpaceDE/>
        <w:autoSpaceDN/>
        <w:bidi w:val="0"/>
        <w:adjustRightInd/>
        <w:snapToGrid/>
        <w:spacing w:line="360" w:lineRule="auto"/>
        <w:ind w:firstLine="3132" w:firstLineChars="13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一、响 应 函 </w:t>
      </w:r>
    </w:p>
    <w:p>
      <w:pPr>
        <w:pStyle w:val="16"/>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人名称）：</w:t>
      </w:r>
    </w:p>
    <w:p>
      <w:pPr>
        <w:pStyle w:val="16"/>
        <w:snapToGrid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我方已仔研究了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文件的全部内容，愿以人民币（大写）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）的投标总报价，并按合同约定履行义务。</w:t>
      </w:r>
    </w:p>
    <w:p>
      <w:pPr>
        <w:numPr>
          <w:ilvl w:val="0"/>
          <w:numId w:val="14"/>
        </w:numPr>
        <w:spacing w:line="360" w:lineRule="auto"/>
        <w:ind w:firstLine="501" w:firstLineChars="20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我方的投标文件包括下列内容：</w:t>
      </w:r>
    </w:p>
    <w:p>
      <w:pPr>
        <w:spacing w:line="360" w:lineRule="auto"/>
        <w:ind w:firstLine="501" w:firstLineChars="20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函；</w:t>
      </w:r>
    </w:p>
    <w:p>
      <w:pPr>
        <w:spacing w:line="360" w:lineRule="auto"/>
        <w:ind w:firstLine="501" w:firstLineChars="20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（2）法定代表人（单位负责人）身份证明或授权委托书；</w:t>
      </w:r>
    </w:p>
    <w:p>
      <w:pPr>
        <w:spacing w:line="360" w:lineRule="auto"/>
        <w:ind w:firstLine="501" w:firstLineChars="209"/>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文件的上述组成部分如存在内容不一致的，以投标函为准。</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3．我方承诺除商务和技术偏差表列出的偏差外，我方响应</w:t>
      </w:r>
      <w:r>
        <w:rPr>
          <w:rFonts w:hint="eastAsia" w:ascii="宋体" w:hAnsi="宋体" w:eastAsia="宋体" w:cs="宋体"/>
          <w:color w:val="000000"/>
          <w:sz w:val="24"/>
          <w:szCs w:val="24"/>
          <w:highlight w:val="none"/>
          <w:lang w:val="en-US" w:eastAsia="zh-CN"/>
        </w:rPr>
        <w:t>谈判</w:t>
      </w:r>
      <w:r>
        <w:rPr>
          <w:rFonts w:hint="eastAsia" w:ascii="宋体" w:hAnsi="宋体" w:eastAsia="宋体" w:cs="宋体"/>
          <w:color w:val="000000"/>
          <w:sz w:val="24"/>
          <w:szCs w:val="24"/>
          <w:highlight w:val="none"/>
        </w:rPr>
        <w:t>文件的全部要求。</w:t>
      </w:r>
    </w:p>
    <w:p>
      <w:pPr>
        <w:pStyle w:val="16"/>
        <w:numPr>
          <w:ilvl w:val="0"/>
          <w:numId w:val="15"/>
        </w:numPr>
        <w:snapToGrid w:val="0"/>
        <w:spacing w:line="360" w:lineRule="auto"/>
        <w:ind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我方承诺在</w:t>
      </w:r>
      <w:r>
        <w:rPr>
          <w:rFonts w:hint="eastAsia" w:ascii="宋体" w:hAnsi="宋体" w:eastAsia="宋体" w:cs="宋体"/>
          <w:color w:val="000000"/>
          <w:sz w:val="24"/>
          <w:szCs w:val="24"/>
          <w:highlight w:val="none"/>
          <w:lang w:val="en-US" w:eastAsia="zh-CN"/>
        </w:rPr>
        <w:t>谈判</w:t>
      </w:r>
      <w:r>
        <w:rPr>
          <w:rFonts w:hint="eastAsia" w:ascii="宋体" w:hAnsi="宋体" w:eastAsia="宋体" w:cs="宋体"/>
          <w:color w:val="000000"/>
          <w:sz w:val="24"/>
          <w:szCs w:val="24"/>
          <w:highlight w:val="none"/>
        </w:rPr>
        <w:t>文件规定的投标有效期内不撤销</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w:t>
      </w:r>
    </w:p>
    <w:p>
      <w:pPr>
        <w:numPr>
          <w:ilvl w:val="0"/>
          <w:numId w:val="15"/>
        </w:num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如我方中标，我方承诺：</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（1）在收到中标通知书后，在中标通知书规定的期限内与你方签订合同；</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（2）在签订合同时不向你方提出附加条件；</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（3）按照招标文件要求提交履约保证金；</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（4）在合同约定的期限内完成合同规定的全部义务。</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6．我方在此声明，所递交的</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文件及有关资料内容完整、真实和准确，且不存在第二章“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w:t>
      </w:r>
      <w:r>
        <w:rPr>
          <w:rFonts w:hint="eastAsia" w:ascii="宋体" w:hAnsi="宋体" w:eastAsia="宋体" w:cs="宋体"/>
          <w:color w:val="000000"/>
          <w:sz w:val="24"/>
          <w:szCs w:val="24"/>
          <w:highlight w:val="none"/>
          <w:lang w:val="en-US" w:eastAsia="zh-CN"/>
        </w:rPr>
        <w:t>8.5.3</w:t>
      </w:r>
      <w:r>
        <w:rPr>
          <w:rFonts w:hint="eastAsia" w:ascii="宋体" w:hAnsi="宋体" w:eastAsia="宋体" w:cs="宋体"/>
          <w:color w:val="000000"/>
          <w:sz w:val="24"/>
          <w:szCs w:val="24"/>
          <w:highlight w:val="none"/>
        </w:rPr>
        <w:t xml:space="preserve"> 项规定的任何一种情形。</w:t>
      </w:r>
    </w:p>
    <w:p>
      <w:pPr>
        <w:spacing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u w:val="single"/>
        </w:rPr>
        <w:t xml:space="preserve">                            （其他补充说明）</w:t>
      </w:r>
      <w:r>
        <w:rPr>
          <w:rFonts w:hint="eastAsia" w:ascii="宋体" w:hAnsi="宋体" w:eastAsia="宋体" w:cs="宋体"/>
          <w:color w:val="000000"/>
          <w:sz w:val="24"/>
          <w:szCs w:val="24"/>
          <w:highlight w:val="none"/>
          <w:u w:val="none"/>
          <w:lang w:eastAsia="zh-CN"/>
        </w:rPr>
        <w:t>。</w:t>
      </w:r>
    </w:p>
    <w:p>
      <w:pPr>
        <w:pStyle w:val="16"/>
        <w:snapToGrid w:val="0"/>
        <w:spacing w:line="360" w:lineRule="auto"/>
        <w:ind w:firstLine="420"/>
        <w:rPr>
          <w:rFonts w:hint="eastAsia" w:ascii="宋体" w:hAnsi="宋体" w:eastAsia="宋体" w:cs="宋体"/>
          <w:sz w:val="24"/>
          <w:szCs w:val="24"/>
          <w:highlight w:val="none"/>
        </w:rPr>
      </w:pPr>
    </w:p>
    <w:p>
      <w:pPr>
        <w:pStyle w:val="16"/>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pStyle w:val="16"/>
        <w:wordWrap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（单位负责人）</w:t>
      </w:r>
      <w:r>
        <w:rPr>
          <w:rFonts w:hint="eastAsia" w:ascii="宋体" w:hAnsi="宋体" w:eastAsia="宋体" w:cs="宋体"/>
          <w:sz w:val="24"/>
          <w:szCs w:val="24"/>
          <w:highlight w:val="none"/>
        </w:rPr>
        <w:t>或其授权代理人：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pStyle w:val="16"/>
        <w:wordWrap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地  址： </w:t>
      </w:r>
      <w:r>
        <w:rPr>
          <w:rFonts w:hint="eastAsia" w:ascii="宋体" w:hAnsi="宋体" w:eastAsia="宋体" w:cs="宋体"/>
          <w:sz w:val="24"/>
          <w:szCs w:val="24"/>
          <w:highlight w:val="none"/>
          <w:u w:val="single"/>
        </w:rPr>
        <w:t xml:space="preserve">                          </w:t>
      </w:r>
    </w:p>
    <w:p>
      <w:pPr>
        <w:pStyle w:val="16"/>
        <w:wordWrap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网  址： </w:t>
      </w:r>
      <w:r>
        <w:rPr>
          <w:rFonts w:hint="eastAsia" w:ascii="宋体" w:hAnsi="宋体" w:eastAsia="宋体" w:cs="宋体"/>
          <w:sz w:val="24"/>
          <w:szCs w:val="24"/>
          <w:highlight w:val="none"/>
          <w:u w:val="single"/>
        </w:rPr>
        <w:t xml:space="preserve">                          </w:t>
      </w:r>
    </w:p>
    <w:p>
      <w:pPr>
        <w:pStyle w:val="16"/>
        <w:wordWrap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pStyle w:val="16"/>
        <w:wordWrap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p>
    <w:p>
      <w:pPr>
        <w:pStyle w:val="16"/>
        <w:wordWrap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  编：</w:t>
      </w:r>
      <w:r>
        <w:rPr>
          <w:rFonts w:hint="eastAsia" w:ascii="宋体" w:hAnsi="宋体" w:eastAsia="宋体" w:cs="宋体"/>
          <w:sz w:val="24"/>
          <w:szCs w:val="24"/>
          <w:highlight w:val="none"/>
          <w:u w:val="single"/>
        </w:rPr>
        <w:t xml:space="preserve">                           </w:t>
      </w:r>
    </w:p>
    <w:p>
      <w:pPr>
        <w:pStyle w:val="16"/>
        <w:wordWrap w:val="0"/>
        <w:snapToGrid w:val="0"/>
        <w:spacing w:line="360" w:lineRule="auto"/>
        <w:ind w:firstLine="2400" w:firstLineChars="100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4"/>
        <w:jc w:val="center"/>
        <w:rPr>
          <w:rFonts w:hint="eastAsia" w:ascii="宋体" w:hAnsi="宋体" w:eastAsia="宋体" w:cs="宋体"/>
          <w:sz w:val="24"/>
          <w:szCs w:val="24"/>
          <w:highlight w:val="none"/>
          <w:lang w:eastAsia="zh-CN"/>
        </w:rPr>
      </w:pPr>
      <w:bookmarkStart w:id="51" w:name="_Toc28397"/>
      <w:bookmarkStart w:id="52" w:name="_Toc435802466"/>
      <w:bookmarkStart w:id="53" w:name="_Toc26075"/>
      <w:bookmarkStart w:id="54" w:name="_Toc262740154"/>
      <w:bookmarkStart w:id="55" w:name="_Toc144974860"/>
      <w:bookmarkStart w:id="56" w:name="_Toc285981645"/>
      <w:bookmarkStart w:id="57" w:name="_Toc238552301"/>
      <w:bookmarkStart w:id="58" w:name="_Toc238797663"/>
      <w:bookmarkStart w:id="59" w:name="_Toc11702"/>
      <w:bookmarkStart w:id="60" w:name="_Toc152042580"/>
      <w:bookmarkStart w:id="61" w:name="_Toc152045791"/>
      <w:r>
        <w:rPr>
          <w:rFonts w:hint="eastAsia" w:ascii="宋体" w:hAnsi="宋体" w:eastAsia="宋体" w:cs="宋体"/>
          <w:sz w:val="24"/>
          <w:szCs w:val="24"/>
          <w:highlight w:val="none"/>
          <w:lang w:eastAsia="zh-CN"/>
        </w:rPr>
        <w:t>二、法定代表人（单位负责人）身份证明</w:t>
      </w:r>
      <w:bookmarkEnd w:id="51"/>
      <w:bookmarkEnd w:id="52"/>
      <w:bookmarkEnd w:id="53"/>
      <w:bookmarkEnd w:id="54"/>
      <w:bookmarkEnd w:id="55"/>
      <w:bookmarkEnd w:id="56"/>
      <w:bookmarkEnd w:id="57"/>
      <w:bookmarkEnd w:id="58"/>
      <w:bookmarkEnd w:id="59"/>
      <w:bookmarkEnd w:id="60"/>
      <w:bookmarkEnd w:id="61"/>
    </w:p>
    <w:p>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p>
    <w:p>
      <w:pPr>
        <w:spacing w:line="48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名称）的法定代表人（或单位负责人）。</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48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附：法定代表人（单位负责人）身份证</w:t>
      </w:r>
      <w:r>
        <w:rPr>
          <w:rFonts w:hint="eastAsia" w:ascii="宋体" w:hAnsi="宋体" w:eastAsia="宋体" w:cs="宋体"/>
          <w:sz w:val="24"/>
          <w:szCs w:val="24"/>
          <w:highlight w:val="none"/>
          <w:lang w:val="en-US" w:eastAsia="zh-CN"/>
        </w:rPr>
        <w:t>正反面。</w:t>
      </w:r>
    </w:p>
    <w:p>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注：本身份证明需由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加盖单位公章。</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spacing w:line="440" w:lineRule="exact"/>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bookmarkStart w:id="62" w:name="_Toc238552302"/>
      <w:bookmarkStart w:id="63" w:name="_Toc144974861"/>
      <w:bookmarkStart w:id="64" w:name="_Toc152045792"/>
      <w:bookmarkStart w:id="65" w:name="_Toc262740155"/>
      <w:bookmarkStart w:id="66" w:name="_Toc152042581"/>
      <w:bookmarkStart w:id="67" w:name="_Toc238797664"/>
      <w:r>
        <w:rPr>
          <w:rFonts w:hint="eastAsia" w:ascii="宋体" w:hAnsi="宋体" w:eastAsia="宋体" w:cs="宋体"/>
          <w:sz w:val="24"/>
          <w:szCs w:val="24"/>
          <w:highlight w:val="none"/>
        </w:rPr>
        <w:br w:type="page"/>
      </w:r>
      <w:bookmarkStart w:id="68" w:name="_Toc285981646"/>
    </w:p>
    <w:p>
      <w:pPr>
        <w:pStyle w:val="4"/>
        <w:jc w:val="center"/>
        <w:rPr>
          <w:rFonts w:hint="eastAsia" w:ascii="宋体" w:hAnsi="宋体" w:eastAsia="宋体" w:cs="宋体"/>
          <w:sz w:val="24"/>
          <w:szCs w:val="24"/>
          <w:highlight w:val="none"/>
          <w:lang w:eastAsia="zh-CN"/>
        </w:rPr>
      </w:pPr>
      <w:bookmarkStart w:id="69" w:name="_Toc28719"/>
      <w:bookmarkStart w:id="70" w:name="_Toc6778"/>
      <w:bookmarkStart w:id="71" w:name="_Toc435802467"/>
      <w:bookmarkStart w:id="72" w:name="_Toc25608"/>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、授权委托书</w:t>
      </w:r>
      <w:bookmarkEnd w:id="62"/>
      <w:bookmarkEnd w:id="63"/>
      <w:bookmarkEnd w:id="64"/>
      <w:bookmarkEnd w:id="65"/>
      <w:bookmarkEnd w:id="66"/>
      <w:bookmarkEnd w:id="67"/>
      <w:bookmarkEnd w:id="68"/>
      <w:bookmarkEnd w:id="69"/>
      <w:bookmarkEnd w:id="70"/>
      <w:bookmarkEnd w:id="71"/>
      <w:bookmarkEnd w:id="72"/>
    </w:p>
    <w:p>
      <w:pPr>
        <w:pStyle w:val="16"/>
        <w:snapToGrid w:val="0"/>
        <w:spacing w:line="48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名称）的法定代表人（单位负责人），现委托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（项目名称）</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文件、签订合同和处理有关事宜，其法律后果由我方承担。</w:t>
      </w:r>
    </w:p>
    <w:p>
      <w:pPr>
        <w:pStyle w:val="16"/>
        <w:snapToGrid w:val="0"/>
        <w:spacing w:line="48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pStyle w:val="16"/>
        <w:snapToGrid w:val="0"/>
        <w:spacing w:line="48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pStyle w:val="16"/>
        <w:snapToGrid w:val="0"/>
        <w:spacing w:line="48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附：法定代表人身份证复印件及委托代理人身份证复印件</w:t>
      </w:r>
    </w:p>
    <w:p>
      <w:pPr>
        <w:pStyle w:val="16"/>
        <w:snapToGrid w:val="0"/>
        <w:spacing w:line="480" w:lineRule="auto"/>
        <w:ind w:firstLine="4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注：本授权委托书需由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加盖单位公章并由其法定代表人和委托代理人签字</w:t>
      </w:r>
      <w:r>
        <w:rPr>
          <w:rFonts w:hint="eastAsia" w:ascii="宋体" w:hAnsi="宋体" w:eastAsia="宋体" w:cs="宋体"/>
          <w:sz w:val="24"/>
          <w:szCs w:val="24"/>
          <w:highlight w:val="none"/>
          <w:lang w:eastAsia="zh-CN"/>
        </w:rPr>
        <w:t>。</w:t>
      </w:r>
    </w:p>
    <w:p>
      <w:pPr>
        <w:pStyle w:val="16"/>
        <w:snapToGrid w:val="0"/>
        <w:spacing w:line="360" w:lineRule="auto"/>
        <w:ind w:firstLine="400"/>
        <w:rPr>
          <w:rFonts w:hint="eastAsia" w:ascii="宋体" w:hAnsi="宋体" w:eastAsia="宋体" w:cs="宋体"/>
          <w:sz w:val="24"/>
          <w:szCs w:val="24"/>
          <w:highlight w:val="none"/>
        </w:rPr>
      </w:pPr>
    </w:p>
    <w:p>
      <w:pPr>
        <w:pStyle w:val="16"/>
        <w:snapToGrid w:val="0"/>
        <w:spacing w:line="360" w:lineRule="auto"/>
        <w:ind w:firstLine="400"/>
        <w:rPr>
          <w:rFonts w:hint="eastAsia" w:ascii="宋体" w:hAnsi="宋体" w:eastAsia="宋体" w:cs="宋体"/>
          <w:sz w:val="24"/>
          <w:szCs w:val="24"/>
          <w:highlight w:val="none"/>
        </w:rPr>
      </w:pPr>
    </w:p>
    <w:p>
      <w:pPr>
        <w:pStyle w:val="16"/>
        <w:snapToGrid w:val="0"/>
        <w:spacing w:line="360" w:lineRule="auto"/>
        <w:ind w:firstLine="400"/>
        <w:rPr>
          <w:rFonts w:hint="eastAsia" w:ascii="宋体" w:hAnsi="宋体" w:eastAsia="宋体" w:cs="宋体"/>
          <w:sz w:val="24"/>
          <w:szCs w:val="24"/>
          <w:highlight w:val="none"/>
        </w:rPr>
      </w:pPr>
    </w:p>
    <w:p>
      <w:pPr>
        <w:pStyle w:val="16"/>
        <w:snapToGrid w:val="0"/>
        <w:spacing w:line="720" w:lineRule="auto"/>
        <w:ind w:firstLine="3609" w:firstLineChars="1504"/>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  应  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pStyle w:val="16"/>
        <w:snapToGrid w:val="0"/>
        <w:spacing w:line="720" w:lineRule="auto"/>
        <w:ind w:firstLine="3600" w:firstLineChars="15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（单位负责人）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pStyle w:val="16"/>
        <w:snapToGrid w:val="0"/>
        <w:spacing w:line="720" w:lineRule="auto"/>
        <w:ind w:firstLine="3609" w:firstLineChars="1504"/>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pStyle w:val="16"/>
        <w:snapToGrid w:val="0"/>
        <w:spacing w:line="720" w:lineRule="auto"/>
        <w:ind w:firstLine="3609" w:firstLineChars="1504"/>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pPr>
        <w:pStyle w:val="16"/>
        <w:snapToGrid w:val="0"/>
        <w:spacing w:line="720" w:lineRule="auto"/>
        <w:ind w:firstLine="3609" w:firstLineChars="1504"/>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360" w:lineRule="auto"/>
        <w:ind w:firstLine="4569" w:firstLineChars="1904"/>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19" w:lineRule="exact"/>
        <w:rPr>
          <w:rFonts w:hint="eastAsia" w:ascii="宋体" w:hAnsi="宋体" w:eastAsia="宋体" w:cs="宋体"/>
          <w:color w:val="000000"/>
          <w:sz w:val="24"/>
          <w:szCs w:val="24"/>
          <w:highlight w:val="none"/>
        </w:rPr>
      </w:pPr>
    </w:p>
    <w:p>
      <w:pPr>
        <w:pStyle w:val="2"/>
        <w:rPr>
          <w:rFonts w:hint="eastAsia"/>
        </w:rPr>
      </w:pPr>
    </w:p>
    <w:p>
      <w:pPr>
        <w:pStyle w:val="54"/>
        <w:rPr>
          <w:rFonts w:hint="eastAsia" w:ascii="宋体" w:hAnsi="宋体" w:eastAsia="宋体" w:cs="宋体"/>
          <w:sz w:val="24"/>
          <w:szCs w:val="24"/>
          <w:highlight w:val="none"/>
        </w:rPr>
      </w:pPr>
    </w:p>
    <w:p>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sz w:val="24"/>
          <w:szCs w:val="24"/>
          <w:highlight w:val="none"/>
          <w:lang w:val="en-US" w:eastAsia="zh-CN"/>
        </w:rPr>
      </w:pPr>
      <w:bookmarkStart w:id="73" w:name="_Toc3586"/>
      <w:bookmarkStart w:id="74" w:name="_Toc435802476"/>
      <w:bookmarkStart w:id="75" w:name="_Toc24063"/>
      <w:r>
        <w:rPr>
          <w:rFonts w:hint="eastAsia" w:ascii="宋体" w:hAnsi="宋体" w:eastAsia="宋体" w:cs="宋体"/>
          <w:b/>
          <w:bCs/>
          <w:sz w:val="24"/>
          <w:szCs w:val="24"/>
          <w:highlight w:val="none"/>
          <w:lang w:val="en-US" w:eastAsia="zh-CN"/>
        </w:rPr>
        <w:t>四、供应商参加政府采购活动前3年内在经营活动中没有重大违法记录的书面声明</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p>
    <w:p>
      <w:pPr>
        <w:pStyle w:val="53"/>
        <w:jc w:val="center"/>
        <w:rPr>
          <w:rFonts w:hint="eastAsia" w:ascii="宋体" w:hAnsi="宋体" w:eastAsia="宋体" w:cs="宋体"/>
          <w:b w:val="0"/>
          <w:bCs w:val="0"/>
          <w:sz w:val="24"/>
          <w:szCs w:val="24"/>
          <w:highlight w:val="none"/>
          <w:lang w:val="en-US" w:eastAsia="zh-CN"/>
        </w:rPr>
      </w:pPr>
    </w:p>
    <w:p>
      <w:pPr>
        <w:pStyle w:val="53"/>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格式自拟</w:t>
      </w: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bookmarkEnd w:id="73"/>
    <w:bookmarkEnd w:id="74"/>
    <w:bookmarkEnd w:id="75"/>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pStyle w:val="53"/>
        <w:numPr>
          <w:ilvl w:val="0"/>
          <w:numId w:val="0"/>
        </w:numPr>
        <w:ind w:leftChars="200" w:firstLine="482" w:firstLineChars="200"/>
        <w:jc w:val="both"/>
        <w:rPr>
          <w:rFonts w:hint="eastAsia" w:ascii="宋体" w:hAnsi="宋体" w:eastAsia="宋体" w:cs="宋体"/>
          <w:b/>
          <w:bCs/>
          <w:sz w:val="24"/>
          <w:szCs w:val="24"/>
          <w:highlight w:val="none"/>
          <w:lang w:val="en-US" w:eastAsia="zh-CN"/>
        </w:rPr>
      </w:pPr>
    </w:p>
    <w:p>
      <w:pPr>
        <w:pStyle w:val="53"/>
        <w:numPr>
          <w:ilvl w:val="0"/>
          <w:numId w:val="0"/>
        </w:numPr>
        <w:ind w:leftChars="200" w:firstLine="482" w:firstLineChars="20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五、关于政府采购活动中信用信息记录的</w:t>
      </w:r>
      <w:r>
        <w:rPr>
          <w:rFonts w:hint="eastAsia" w:hAnsi="宋体" w:cs="宋体"/>
          <w:b/>
          <w:bCs/>
          <w:sz w:val="24"/>
          <w:szCs w:val="24"/>
          <w:highlight w:val="none"/>
          <w:lang w:val="en-US" w:eastAsia="zh-CN"/>
        </w:rPr>
        <w:t>承诺书</w:t>
      </w: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格式自拟</w:t>
      </w: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4"/>
          <w:szCs w:val="24"/>
          <w:highlight w:val="none"/>
        </w:rPr>
      </w:pPr>
      <w:bookmarkStart w:id="76" w:name="_Toc16599"/>
      <w:bookmarkStart w:id="77" w:name="_Toc10874"/>
      <w:r>
        <w:rPr>
          <w:rStyle w:val="65"/>
          <w:rFonts w:hint="eastAsia" w:ascii="宋体" w:hAnsi="宋体" w:eastAsia="宋体" w:cs="宋体"/>
          <w:sz w:val="24"/>
          <w:szCs w:val="24"/>
          <w:highlight w:val="none"/>
        </w:rPr>
        <w:t>（一）</w:t>
      </w:r>
      <w:r>
        <w:rPr>
          <w:rStyle w:val="65"/>
          <w:rFonts w:hint="eastAsia" w:ascii="宋体" w:hAnsi="宋体" w:eastAsia="宋体" w:cs="宋体"/>
          <w:sz w:val="24"/>
          <w:szCs w:val="24"/>
          <w:highlight w:val="none"/>
          <w:lang w:val="en-US" w:eastAsia="zh-CN"/>
        </w:rPr>
        <w:t>供应商</w:t>
      </w:r>
      <w:r>
        <w:rPr>
          <w:rStyle w:val="65"/>
          <w:rFonts w:hint="eastAsia" w:ascii="宋体" w:hAnsi="宋体" w:eastAsia="宋体" w:cs="宋体"/>
          <w:sz w:val="24"/>
          <w:szCs w:val="24"/>
          <w:highlight w:val="none"/>
        </w:rPr>
        <w:t>基本情况表</w:t>
      </w:r>
      <w:bookmarkEnd w:id="76"/>
    </w:p>
    <w:bookmarkEnd w:id="77"/>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关联企业情况（包括但不限于与</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r>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 w:val="24"/>
                <w:szCs w:val="24"/>
                <w:highlight w:val="none"/>
              </w:rPr>
            </w:pPr>
          </w:p>
        </w:tc>
      </w:tr>
    </w:tbl>
    <w:p>
      <w:pPr>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w:t>
      </w:r>
      <w:r>
        <w:rPr>
          <w:rFonts w:hint="eastAsia" w:ascii="宋体" w:hAnsi="宋体" w:eastAsia="宋体" w:cs="宋体"/>
          <w:color w:val="000000"/>
          <w:sz w:val="24"/>
          <w:szCs w:val="24"/>
          <w:highlight w:val="none"/>
          <w:lang w:eastAsia="zh-CN"/>
        </w:rPr>
        <w:t>附营业执照副本、</w:t>
      </w:r>
      <w:r>
        <w:rPr>
          <w:rFonts w:hint="eastAsia" w:ascii="宋体" w:hAnsi="宋体" w:eastAsia="宋体" w:cs="宋体"/>
          <w:color w:val="000000"/>
          <w:sz w:val="24"/>
          <w:szCs w:val="24"/>
          <w:highlight w:val="none"/>
        </w:rPr>
        <w:t>基本账户开户许可证复印件</w:t>
      </w:r>
      <w:r>
        <w:rPr>
          <w:rFonts w:hint="eastAsia" w:ascii="宋体" w:hAnsi="宋体" w:eastAsia="宋体" w:cs="宋体"/>
          <w:color w:val="000000"/>
          <w:sz w:val="24"/>
          <w:szCs w:val="24"/>
          <w:highlight w:val="none"/>
          <w:lang w:eastAsia="zh-CN"/>
        </w:rPr>
        <w:t>加盖公章。</w:t>
      </w:r>
    </w:p>
    <w:p>
      <w:pPr>
        <w:ind w:firstLine="480" w:firstLineChars="200"/>
        <w:jc w:val="left"/>
        <w:rPr>
          <w:rFonts w:hint="eastAsia" w:ascii="宋体" w:hAnsi="宋体" w:eastAsia="宋体" w:cs="宋体"/>
          <w:color w:val="000000"/>
          <w:sz w:val="24"/>
          <w:szCs w:val="24"/>
          <w:highlight w:val="none"/>
        </w:rPr>
      </w:pPr>
    </w:p>
    <w:p>
      <w:pPr>
        <w:pStyle w:val="53"/>
        <w:jc w:val="center"/>
        <w:rPr>
          <w:rFonts w:hint="eastAsia" w:ascii="宋体" w:hAnsi="宋体" w:eastAsia="宋体" w:cs="宋体"/>
          <w:b/>
          <w:bCs/>
          <w:sz w:val="24"/>
          <w:szCs w:val="24"/>
          <w:highlight w:val="none"/>
          <w:lang w:val="en-US" w:eastAsia="zh-CN"/>
        </w:rPr>
        <w:sectPr>
          <w:footerReference r:id="rId9" w:type="default"/>
          <w:pgSz w:w="11910" w:h="16840"/>
          <w:pgMar w:top="1500" w:right="1380" w:bottom="1780" w:left="1580" w:header="0" w:footer="1595" w:gutter="0"/>
          <w:pgNumType w:fmt="decimal"/>
          <w:cols w:space="720" w:num="1"/>
        </w:sectPr>
      </w:pPr>
    </w:p>
    <w:p>
      <w:pPr>
        <w:numPr>
          <w:ilvl w:val="0"/>
          <w:numId w:val="16"/>
        </w:numPr>
        <w:shd w:val="clear" w:color="auto" w:fill="auto"/>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财务状况表</w:t>
      </w:r>
    </w:p>
    <w:p>
      <w:pPr>
        <w:numPr>
          <w:ilvl w:val="0"/>
          <w:numId w:val="0"/>
        </w:numPr>
        <w:shd w:val="clear" w:color="auto" w:fill="auto"/>
        <w:spacing w:line="360" w:lineRule="auto"/>
        <w:jc w:val="both"/>
        <w:rPr>
          <w:rFonts w:hint="eastAsia" w:ascii="宋体" w:hAnsi="宋体" w:eastAsia="宋体" w:cs="宋体"/>
          <w:b/>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bCs/>
          <w:snapToGrid w:val="0"/>
          <w:sz w:val="24"/>
          <w:szCs w:val="24"/>
          <w:highlight w:val="none"/>
        </w:rPr>
        <w:t>供应商参加采购活动应当提供反映其财务状况、依法缴纳税收和社会保障金的资格条件承诺函</w:t>
      </w:r>
      <w:r>
        <w:rPr>
          <w:rFonts w:hint="eastAsia" w:ascii="宋体" w:hAnsi="宋体" w:eastAsia="宋体" w:cs="宋体"/>
          <w:bCs/>
          <w:sz w:val="24"/>
          <w:szCs w:val="24"/>
          <w:lang w:val="zh-CN"/>
        </w:rPr>
        <w:t>。</w:t>
      </w:r>
    </w:p>
    <w:p>
      <w:pPr>
        <w:spacing w:before="137" w:line="21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pacing w:val="-9"/>
          <w:sz w:val="24"/>
          <w:szCs w:val="24"/>
          <w:lang w:val="en-US" w:eastAsia="zh-CN"/>
        </w:rPr>
        <w:t xml:space="preserve">   </w:t>
      </w:r>
      <w:r>
        <w:rPr>
          <w:rFonts w:hint="eastAsia" w:ascii="宋体" w:hAnsi="宋体" w:eastAsia="宋体" w:cs="宋体"/>
          <w:b/>
          <w:bCs/>
          <w:spacing w:val="-9"/>
          <w:sz w:val="24"/>
          <w:szCs w:val="24"/>
        </w:rPr>
        <w:t>资格条件承诺函</w:t>
      </w:r>
    </w:p>
    <w:p>
      <w:pPr>
        <w:spacing w:line="272" w:lineRule="auto"/>
        <w:rPr>
          <w:rFonts w:hint="eastAsia" w:ascii="宋体" w:hAnsi="宋体" w:eastAsia="宋体" w:cs="宋体"/>
          <w:sz w:val="24"/>
          <w:szCs w:val="24"/>
        </w:rPr>
      </w:pPr>
    </w:p>
    <w:p>
      <w:pPr>
        <w:spacing w:line="273" w:lineRule="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4"/>
          <w:szCs w:val="24"/>
        </w:rPr>
      </w:pPr>
      <w:r>
        <w:rPr>
          <w:rFonts w:hint="eastAsia" w:ascii="宋体" w:hAnsi="宋体" w:eastAsia="宋体" w:cs="宋体"/>
          <w:spacing w:val="29"/>
          <w:sz w:val="24"/>
          <w:szCs w:val="24"/>
        </w:rPr>
        <w:t>致：</w:t>
      </w:r>
      <w:r>
        <w:rPr>
          <w:rFonts w:hint="eastAsia" w:ascii="宋体" w:hAnsi="宋体" w:eastAsia="宋体" w:cs="宋体"/>
          <w:spacing w:val="129"/>
          <w:sz w:val="24"/>
          <w:szCs w:val="24"/>
          <w:u w:val="single" w:color="auto"/>
        </w:rPr>
        <w:t xml:space="preserve"> </w:t>
      </w:r>
      <w:r>
        <w:rPr>
          <w:rFonts w:hint="eastAsia" w:ascii="宋体" w:hAnsi="宋体" w:eastAsia="宋体" w:cs="宋体"/>
          <w:spacing w:val="29"/>
          <w:sz w:val="24"/>
          <w:szCs w:val="24"/>
          <w:u w:val="single" w:color="auto"/>
        </w:rPr>
        <w:t>(采购人、采购代理机构)</w:t>
      </w:r>
      <w:r>
        <w:rPr>
          <w:rFonts w:hint="eastAsia" w:ascii="宋体" w:hAnsi="宋体" w:eastAsia="宋体" w:cs="宋体"/>
          <w:spacing w:val="66"/>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29"/>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6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我单位(</w:t>
      </w:r>
      <w:r>
        <w:rPr>
          <w:rFonts w:hint="eastAsia" w:ascii="宋体" w:hAnsi="宋体" w:eastAsia="宋体" w:cs="宋体"/>
          <w:spacing w:val="-5"/>
          <w:sz w:val="24"/>
          <w:szCs w:val="24"/>
          <w:u w:val="single"/>
        </w:rPr>
        <w:t>公司</w:t>
      </w:r>
      <w:r>
        <w:rPr>
          <w:rFonts w:hint="eastAsia" w:ascii="宋体" w:hAnsi="宋体" w:eastAsia="宋体" w:cs="宋体"/>
          <w:spacing w:val="-5"/>
          <w:sz w:val="24"/>
          <w:szCs w:val="24"/>
        </w:rPr>
        <w:t>)参与</w:t>
      </w:r>
      <w:r>
        <w:rPr>
          <w:rFonts w:hint="eastAsia" w:ascii="宋体" w:hAnsi="宋体" w:eastAsia="宋体" w:cs="宋体"/>
          <w:spacing w:val="-89"/>
          <w:sz w:val="24"/>
          <w:szCs w:val="24"/>
        </w:rPr>
        <w:t xml:space="preserve"> </w:t>
      </w:r>
      <w:r>
        <w:rPr>
          <w:rFonts w:hint="eastAsia" w:ascii="宋体" w:hAnsi="宋体" w:eastAsia="宋体" w:cs="宋体"/>
          <w:spacing w:val="21"/>
          <w:sz w:val="24"/>
          <w:szCs w:val="24"/>
          <w:u w:val="single" w:color="auto"/>
        </w:rPr>
        <w:t xml:space="preserve">   </w:t>
      </w:r>
      <w:r>
        <w:rPr>
          <w:rFonts w:hint="eastAsia" w:ascii="宋体" w:hAnsi="宋体" w:eastAsia="宋体" w:cs="宋体"/>
          <w:spacing w:val="-5"/>
          <w:sz w:val="24"/>
          <w:szCs w:val="24"/>
          <w:u w:val="single" w:color="auto"/>
        </w:rPr>
        <w:t>(</w:t>
      </w:r>
      <w:r>
        <w:rPr>
          <w:rFonts w:hint="eastAsia" w:ascii="宋体" w:hAnsi="宋体" w:eastAsia="宋体" w:cs="宋体"/>
          <w:spacing w:val="-52"/>
          <w:sz w:val="24"/>
          <w:szCs w:val="24"/>
          <w:u w:val="single" w:color="auto"/>
        </w:rPr>
        <w:t xml:space="preserve"> </w:t>
      </w:r>
      <w:r>
        <w:rPr>
          <w:rFonts w:hint="eastAsia" w:ascii="宋体" w:hAnsi="宋体" w:eastAsia="宋体" w:cs="宋体"/>
          <w:spacing w:val="-5"/>
          <w:sz w:val="24"/>
          <w:szCs w:val="24"/>
          <w:highlight w:val="none"/>
          <w:u w:val="single" w:color="auto"/>
        </w:rPr>
        <w:t>采</w:t>
      </w:r>
      <w:r>
        <w:rPr>
          <w:rFonts w:hint="eastAsia" w:ascii="宋体" w:hAnsi="宋体" w:eastAsia="宋体" w:cs="宋体"/>
          <w:spacing w:val="-55"/>
          <w:sz w:val="24"/>
          <w:szCs w:val="24"/>
          <w:highlight w:val="none"/>
          <w:u w:val="single" w:color="auto"/>
        </w:rPr>
        <w:t xml:space="preserve"> </w:t>
      </w:r>
      <w:r>
        <w:rPr>
          <w:rFonts w:hint="eastAsia" w:ascii="宋体" w:hAnsi="宋体" w:eastAsia="宋体" w:cs="宋体"/>
          <w:spacing w:val="-5"/>
          <w:sz w:val="24"/>
          <w:szCs w:val="24"/>
          <w:highlight w:val="none"/>
          <w:u w:val="single" w:color="auto"/>
        </w:rPr>
        <w:t>购</w:t>
      </w:r>
      <w:r>
        <w:rPr>
          <w:rFonts w:hint="eastAsia" w:ascii="宋体" w:hAnsi="宋体" w:eastAsia="宋体" w:cs="宋体"/>
          <w:spacing w:val="-54"/>
          <w:sz w:val="24"/>
          <w:szCs w:val="24"/>
          <w:highlight w:val="none"/>
          <w:u w:val="single" w:color="auto"/>
        </w:rPr>
        <w:t xml:space="preserve"> </w:t>
      </w:r>
      <w:r>
        <w:rPr>
          <w:rFonts w:hint="eastAsia" w:ascii="宋体" w:hAnsi="宋体" w:eastAsia="宋体" w:cs="宋体"/>
          <w:spacing w:val="-5"/>
          <w:sz w:val="24"/>
          <w:szCs w:val="24"/>
          <w:highlight w:val="none"/>
          <w:u w:val="single" w:color="auto"/>
        </w:rPr>
        <w:t>项目</w:t>
      </w:r>
      <w:r>
        <w:rPr>
          <w:rFonts w:hint="eastAsia" w:ascii="宋体" w:hAnsi="宋体" w:eastAsia="宋体" w:cs="宋体"/>
          <w:spacing w:val="-54"/>
          <w:sz w:val="24"/>
          <w:szCs w:val="24"/>
          <w:highlight w:val="none"/>
          <w:u w:val="single" w:color="auto"/>
        </w:rPr>
        <w:t xml:space="preserve"> </w:t>
      </w:r>
      <w:r>
        <w:rPr>
          <w:rFonts w:hint="eastAsia" w:ascii="宋体" w:hAnsi="宋体" w:eastAsia="宋体" w:cs="宋体"/>
          <w:spacing w:val="-5"/>
          <w:sz w:val="24"/>
          <w:szCs w:val="24"/>
          <w:highlight w:val="none"/>
          <w:u w:val="single" w:color="auto"/>
        </w:rPr>
        <w:t>名</w:t>
      </w:r>
      <w:r>
        <w:rPr>
          <w:rFonts w:hint="eastAsia" w:ascii="宋体" w:hAnsi="宋体" w:eastAsia="宋体" w:cs="宋体"/>
          <w:spacing w:val="-55"/>
          <w:sz w:val="24"/>
          <w:szCs w:val="24"/>
          <w:highlight w:val="none"/>
          <w:u w:val="single" w:color="auto"/>
        </w:rPr>
        <w:t xml:space="preserve"> </w:t>
      </w:r>
      <w:r>
        <w:rPr>
          <w:rFonts w:hint="eastAsia" w:ascii="宋体" w:hAnsi="宋体" w:eastAsia="宋体" w:cs="宋体"/>
          <w:spacing w:val="-5"/>
          <w:sz w:val="24"/>
          <w:szCs w:val="24"/>
          <w:highlight w:val="none"/>
          <w:u w:val="single" w:color="auto"/>
        </w:rPr>
        <w:t>称</w:t>
      </w:r>
      <w:r>
        <w:rPr>
          <w:rFonts w:hint="eastAsia" w:ascii="宋体" w:hAnsi="宋体" w:eastAsia="宋体" w:cs="宋体"/>
          <w:spacing w:val="-5"/>
          <w:sz w:val="24"/>
          <w:szCs w:val="24"/>
          <w:highlight w:val="none"/>
          <w:u w:val="single" w:color="auto"/>
          <w:lang w:eastAsia="zh-CN"/>
        </w:rPr>
        <w:t>、</w:t>
      </w:r>
      <w:r>
        <w:rPr>
          <w:rFonts w:hint="eastAsia" w:ascii="宋体" w:hAnsi="宋体" w:eastAsia="宋体" w:cs="宋体"/>
          <w:spacing w:val="-54"/>
          <w:sz w:val="24"/>
          <w:szCs w:val="24"/>
          <w:highlight w:val="none"/>
          <w:u w:val="single" w:color="auto"/>
        </w:rPr>
        <w:t xml:space="preserve"> </w:t>
      </w:r>
      <w:r>
        <w:rPr>
          <w:rFonts w:hint="eastAsia" w:ascii="宋体" w:hAnsi="宋体" w:eastAsia="宋体" w:cs="宋体"/>
          <w:spacing w:val="-5"/>
          <w:sz w:val="24"/>
          <w:szCs w:val="24"/>
          <w:u w:val="single" w:color="auto"/>
        </w:rPr>
        <w:t>项目</w:t>
      </w:r>
      <w:r>
        <w:rPr>
          <w:rFonts w:hint="eastAsia" w:ascii="宋体" w:hAnsi="宋体" w:eastAsia="宋体" w:cs="宋体"/>
          <w:spacing w:val="-53"/>
          <w:sz w:val="24"/>
          <w:szCs w:val="24"/>
          <w:u w:val="single" w:color="auto"/>
        </w:rPr>
        <w:t xml:space="preserve"> </w:t>
      </w:r>
      <w:r>
        <w:rPr>
          <w:rFonts w:hint="eastAsia" w:ascii="宋体" w:hAnsi="宋体" w:eastAsia="宋体" w:cs="宋体"/>
          <w:spacing w:val="-5"/>
          <w:sz w:val="24"/>
          <w:szCs w:val="24"/>
          <w:u w:val="single" w:color="auto"/>
        </w:rPr>
        <w:t>编</w:t>
      </w:r>
      <w:r>
        <w:rPr>
          <w:rFonts w:hint="eastAsia" w:ascii="宋体" w:hAnsi="宋体" w:eastAsia="宋体" w:cs="宋体"/>
          <w:spacing w:val="-48"/>
          <w:sz w:val="24"/>
          <w:szCs w:val="24"/>
          <w:u w:val="single" w:color="auto"/>
        </w:rPr>
        <w:t xml:space="preserve"> </w:t>
      </w:r>
      <w:r>
        <w:rPr>
          <w:rFonts w:hint="eastAsia" w:ascii="宋体" w:hAnsi="宋体" w:eastAsia="宋体" w:cs="宋体"/>
          <w:spacing w:val="-5"/>
          <w:sz w:val="24"/>
          <w:szCs w:val="24"/>
          <w:u w:val="single" w:color="auto"/>
        </w:rPr>
        <w:t>号</w:t>
      </w:r>
      <w:r>
        <w:rPr>
          <w:rFonts w:hint="eastAsia" w:ascii="宋体" w:hAnsi="宋体" w:eastAsia="宋体" w:cs="宋体"/>
          <w:spacing w:val="-63"/>
          <w:sz w:val="24"/>
          <w:szCs w:val="24"/>
          <w:u w:val="single" w:color="auto"/>
        </w:rPr>
        <w:t xml:space="preserve"> </w:t>
      </w:r>
      <w:r>
        <w:rPr>
          <w:rFonts w:hint="eastAsia" w:ascii="宋体" w:hAnsi="宋体" w:eastAsia="宋体" w:cs="宋体"/>
          <w:spacing w:val="-5"/>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4"/>
          <w:szCs w:val="24"/>
        </w:rPr>
      </w:pPr>
      <w:r>
        <w:rPr>
          <w:rFonts w:hint="eastAsia" w:ascii="宋体" w:hAnsi="宋体" w:eastAsia="宋体" w:cs="宋体"/>
          <w:spacing w:val="-5"/>
          <w:sz w:val="24"/>
          <w:szCs w:val="24"/>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57"/>
          <w:sz w:val="24"/>
          <w:szCs w:val="24"/>
        </w:rPr>
        <w:t xml:space="preserve"> </w:t>
      </w:r>
      <w:r>
        <w:rPr>
          <w:rFonts w:hint="eastAsia" w:ascii="宋体" w:hAnsi="宋体" w:eastAsia="宋体" w:cs="宋体"/>
          <w:spacing w:val="-5"/>
          <w:sz w:val="24"/>
          <w:szCs w:val="24"/>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4"/>
          <w:szCs w:val="24"/>
        </w:rPr>
      </w:pPr>
      <w:r>
        <w:rPr>
          <w:rFonts w:hint="eastAsia" w:ascii="宋体" w:hAnsi="宋体" w:eastAsia="宋体" w:cs="宋体"/>
          <w:spacing w:val="-5"/>
          <w:sz w:val="24"/>
          <w:szCs w:val="24"/>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4"/>
          <w:szCs w:val="24"/>
        </w:rPr>
      </w:pPr>
      <w:r>
        <w:rPr>
          <w:rFonts w:hint="eastAsia" w:ascii="宋体" w:hAnsi="宋体" w:eastAsia="宋体" w:cs="宋体"/>
          <w:spacing w:val="11"/>
          <w:sz w:val="24"/>
          <w:szCs w:val="24"/>
        </w:rPr>
        <w:t>我方在采购项目评审(评标)环节结束后，随时接受采</w:t>
      </w:r>
      <w:r>
        <w:rPr>
          <w:rFonts w:hint="eastAsia" w:ascii="宋体" w:hAnsi="宋体" w:eastAsia="宋体" w:cs="宋体"/>
          <w:spacing w:val="-3"/>
          <w:sz w:val="24"/>
          <w:szCs w:val="24"/>
        </w:rPr>
        <w:t>购人、采购代理机构的检查验证，配合提供相关证</w:t>
      </w:r>
      <w:r>
        <w:rPr>
          <w:rFonts w:hint="eastAsia" w:ascii="宋体" w:hAnsi="宋体" w:eastAsia="宋体" w:cs="宋体"/>
          <w:spacing w:val="-4"/>
          <w:sz w:val="24"/>
          <w:szCs w:val="24"/>
        </w:rPr>
        <w:t>明材料，</w:t>
      </w:r>
      <w:r>
        <w:rPr>
          <w:rFonts w:hint="eastAsia" w:ascii="宋体" w:hAnsi="宋体" w:eastAsia="宋体" w:cs="宋体"/>
          <w:sz w:val="24"/>
          <w:szCs w:val="24"/>
        </w:rPr>
        <w:t xml:space="preserve"> </w:t>
      </w:r>
      <w:r>
        <w:rPr>
          <w:rFonts w:hint="eastAsia" w:ascii="宋体" w:hAnsi="宋体" w:eastAsia="宋体" w:cs="宋体"/>
          <w:spacing w:val="-1"/>
          <w:sz w:val="24"/>
          <w:szCs w:val="24"/>
        </w:rPr>
        <w:t>证明符合《中华人民共和国政府采购法》规定的供应商基本</w:t>
      </w:r>
      <w:r>
        <w:rPr>
          <w:rFonts w:hint="eastAsia" w:ascii="宋体" w:hAnsi="宋体" w:eastAsia="宋体" w:cs="宋体"/>
          <w:spacing w:val="-9"/>
          <w:sz w:val="24"/>
          <w:szCs w:val="24"/>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4"/>
          <w:szCs w:val="24"/>
        </w:rPr>
      </w:pPr>
      <w:r>
        <w:rPr>
          <w:rFonts w:hint="eastAsia" w:ascii="宋体" w:hAnsi="宋体" w:eastAsia="宋体" w:cs="宋体"/>
          <w:sz w:val="24"/>
          <w:szCs w:val="24"/>
        </w:rPr>
        <w:t>我单位(公司)对上述承诺的真实性负责。如</w:t>
      </w:r>
      <w:r>
        <w:rPr>
          <w:rFonts w:hint="eastAsia" w:ascii="宋体" w:hAnsi="宋体" w:eastAsia="宋体" w:cs="宋体"/>
          <w:sz w:val="24"/>
          <w:szCs w:val="24"/>
        </w:rPr>
        <w:t>有虚假，将依法承担相应责任。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4"/>
          <w:szCs w:val="24"/>
        </w:rPr>
      </w:pPr>
      <w:r>
        <w:rPr>
          <w:rFonts w:hint="eastAsia" w:ascii="宋体" w:hAnsi="宋体" w:eastAsia="宋体" w:cs="宋体"/>
          <w:spacing w:val="-10"/>
          <w:sz w:val="24"/>
          <w:szCs w:val="24"/>
        </w:rPr>
        <w:t>特此承诺。</w:t>
      </w:r>
    </w:p>
    <w:p>
      <w:pPr>
        <w:spacing w:line="356" w:lineRule="auto"/>
        <w:rPr>
          <w:rFonts w:hint="eastAsia" w:ascii="宋体" w:hAnsi="宋体" w:eastAsia="宋体" w:cs="宋体"/>
          <w:sz w:val="24"/>
          <w:szCs w:val="24"/>
        </w:rPr>
      </w:pPr>
    </w:p>
    <w:p>
      <w:pPr>
        <w:spacing w:line="356" w:lineRule="auto"/>
        <w:rPr>
          <w:rFonts w:hint="eastAsia" w:ascii="宋体" w:hAnsi="宋体" w:eastAsia="宋体" w:cs="宋体"/>
          <w:sz w:val="24"/>
          <w:szCs w:val="24"/>
        </w:rPr>
      </w:pPr>
    </w:p>
    <w:p>
      <w:pPr>
        <w:spacing w:before="98" w:line="594" w:lineRule="exact"/>
        <w:ind w:left="5013"/>
        <w:rPr>
          <w:rFonts w:hint="eastAsia" w:ascii="宋体" w:hAnsi="宋体" w:eastAsia="宋体" w:cs="宋体"/>
          <w:spacing w:val="-21"/>
          <w:position w:val="21"/>
          <w:sz w:val="24"/>
          <w:szCs w:val="24"/>
        </w:rPr>
      </w:pPr>
      <w:r>
        <w:rPr>
          <w:rFonts w:hint="eastAsia" w:ascii="宋体" w:hAnsi="宋体" w:eastAsia="宋体" w:cs="宋体"/>
          <w:spacing w:val="-21"/>
          <w:position w:val="21"/>
          <w:sz w:val="24"/>
          <w:szCs w:val="24"/>
        </w:rPr>
        <w:t>盖章：</w:t>
      </w:r>
    </w:p>
    <w:p>
      <w:pPr>
        <w:spacing w:before="98" w:line="594" w:lineRule="exact"/>
        <w:ind w:left="5013"/>
        <w:rPr>
          <w:rFonts w:hint="eastAsia" w:ascii="宋体" w:hAnsi="宋体" w:eastAsia="宋体" w:cs="宋体"/>
          <w:spacing w:val="-14"/>
          <w:sz w:val="24"/>
          <w:szCs w:val="24"/>
        </w:rPr>
      </w:pPr>
      <w:r>
        <w:rPr>
          <w:rFonts w:hint="eastAsia" w:ascii="宋体" w:hAnsi="宋体" w:eastAsia="宋体" w:cs="宋体"/>
          <w:spacing w:val="-14"/>
          <w:sz w:val="24"/>
          <w:szCs w:val="24"/>
        </w:rPr>
        <w:t>签字：</w:t>
      </w:r>
    </w:p>
    <w:p>
      <w:pPr>
        <w:pStyle w:val="2"/>
        <w:rPr>
          <w:rFonts w:hint="eastAsia"/>
        </w:rPr>
      </w:pPr>
    </w:p>
    <w:p>
      <w:pPr>
        <w:spacing w:before="224" w:line="223" w:lineRule="auto"/>
        <w:ind w:left="5023"/>
        <w:rPr>
          <w:rFonts w:hint="eastAsia" w:ascii="宋体" w:hAnsi="宋体" w:eastAsia="宋体" w:cs="宋体"/>
          <w:sz w:val="24"/>
          <w:szCs w:val="24"/>
        </w:rPr>
      </w:pPr>
      <w:r>
        <w:rPr>
          <w:rFonts w:hint="eastAsia" w:ascii="宋体" w:hAnsi="宋体" w:eastAsia="宋体" w:cs="宋体"/>
          <w:spacing w:val="-23"/>
          <w:sz w:val="24"/>
          <w:szCs w:val="24"/>
        </w:rPr>
        <w:t>日期：</w:t>
      </w: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lang w:val="en-US" w:eastAsia="zh-CN"/>
        </w:rPr>
      </w:pPr>
    </w:p>
    <w:p>
      <w:pPr>
        <w:pStyle w:val="53"/>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、谈判报价一览表</w:t>
      </w:r>
    </w:p>
    <w:p>
      <w:pPr>
        <w:pStyle w:val="16"/>
        <w:spacing w:line="300" w:lineRule="exact"/>
        <w:ind w:left="420"/>
        <w:jc w:val="left"/>
        <w:rPr>
          <w:rFonts w:hint="eastAsia" w:ascii="宋体" w:hAnsi="宋体" w:eastAsia="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谈判</w:t>
            </w:r>
            <w:r>
              <w:rPr>
                <w:rFonts w:hint="eastAsia" w:ascii="宋体" w:hAnsi="宋体" w:eastAsia="宋体" w:cs="宋体"/>
                <w:b/>
                <w:bCs/>
                <w:sz w:val="24"/>
                <w:szCs w:val="24"/>
                <w:highlight w:val="none"/>
                <w:lang w:val="en-US" w:eastAsia="zh-CN"/>
              </w:rPr>
              <w:t>首次报价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备注</w:t>
            </w:r>
          </w:p>
        </w:tc>
      </w:tr>
      <w:tr>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val="en-US" w:eastAsia="zh-CN"/>
              </w:rPr>
            </w:pPr>
          </w:p>
        </w:tc>
      </w:tr>
      <w:tr>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说明：谈判报价指本次采购范围相关费用</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全部费用，</w:t>
            </w:r>
            <w:r>
              <w:rPr>
                <w:rFonts w:hint="eastAsia" w:ascii="宋体" w:hAnsi="宋体" w:eastAsia="宋体" w:cs="宋体"/>
                <w:sz w:val="24"/>
                <w:szCs w:val="24"/>
                <w:highlight w:val="none"/>
                <w:lang w:val="en-US" w:eastAsia="zh-CN"/>
              </w:rPr>
              <w:t>采购人不再另行支付任何费用，</w:t>
            </w:r>
            <w:r>
              <w:rPr>
                <w:rFonts w:hint="eastAsia" w:ascii="宋体" w:hAnsi="宋体" w:eastAsia="宋体" w:cs="宋体"/>
                <w:sz w:val="24"/>
                <w:szCs w:val="24"/>
                <w:highlight w:val="none"/>
              </w:rPr>
              <w:t>供应商应综合考虑在报价中。</w:t>
            </w:r>
          </w:p>
        </w:tc>
      </w:tr>
    </w:tbl>
    <w:p>
      <w:pPr>
        <w:spacing w:line="340" w:lineRule="exact"/>
        <w:rPr>
          <w:rFonts w:hint="eastAsia" w:ascii="宋体" w:hAnsi="宋体" w:eastAsia="宋体" w:cs="宋体"/>
          <w:sz w:val="24"/>
          <w:szCs w:val="24"/>
          <w:highlight w:val="none"/>
        </w:rPr>
      </w:pPr>
    </w:p>
    <w:p>
      <w:pPr>
        <w:pStyle w:val="16"/>
        <w:snapToGrid w:val="0"/>
        <w:spacing w:line="360" w:lineRule="exact"/>
        <w:ind w:firstLine="5049" w:firstLineChars="2104"/>
        <w:rPr>
          <w:rFonts w:hint="eastAsia" w:ascii="宋体" w:hAnsi="宋体" w:eastAsia="宋体" w:cs="宋体"/>
          <w:sz w:val="24"/>
          <w:szCs w:val="24"/>
          <w:highlight w:val="none"/>
        </w:rPr>
      </w:pPr>
    </w:p>
    <w:p>
      <w:pPr>
        <w:pStyle w:val="16"/>
        <w:snapToGrid w:val="0"/>
        <w:spacing w:line="360" w:lineRule="exact"/>
        <w:ind w:firstLine="5049" w:firstLineChars="2104"/>
        <w:rPr>
          <w:rFonts w:hint="eastAsia" w:ascii="宋体" w:hAnsi="宋体" w:eastAsia="宋体" w:cs="宋体"/>
          <w:sz w:val="24"/>
          <w:szCs w:val="24"/>
          <w:highlight w:val="none"/>
        </w:rPr>
      </w:pPr>
    </w:p>
    <w:p>
      <w:pPr>
        <w:pStyle w:val="16"/>
        <w:snapToGrid w:val="0"/>
        <w:spacing w:line="360" w:lineRule="exact"/>
        <w:ind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pStyle w:val="16"/>
        <w:snapToGrid w:val="0"/>
        <w:spacing w:line="360" w:lineRule="exact"/>
        <w:ind w:firstLine="4089" w:firstLineChars="1704"/>
        <w:rPr>
          <w:rFonts w:hint="eastAsia" w:ascii="宋体" w:hAnsi="宋体" w:eastAsia="宋体" w:cs="宋体"/>
          <w:sz w:val="24"/>
          <w:szCs w:val="24"/>
          <w:highlight w:val="none"/>
        </w:rPr>
      </w:pPr>
    </w:p>
    <w:p>
      <w:pPr>
        <w:pStyle w:val="16"/>
        <w:wordWrap w:val="0"/>
        <w:snapToGrid w:val="0"/>
        <w:spacing w:line="360" w:lineRule="exact"/>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hAnsi="宋体" w:cs="宋体"/>
          <w:sz w:val="24"/>
          <w:szCs w:val="24"/>
          <w:highlight w:val="none"/>
          <w:lang w:eastAsia="zh-CN"/>
        </w:rPr>
        <w:t>或</w:t>
      </w:r>
      <w:r>
        <w:rPr>
          <w:rFonts w:hint="eastAsia" w:ascii="宋体" w:hAnsi="宋体" w:eastAsia="宋体" w:cs="宋体"/>
          <w:sz w:val="24"/>
          <w:szCs w:val="24"/>
          <w:highlight w:val="none"/>
          <w:lang w:eastAsia="zh-CN"/>
        </w:rPr>
        <w:t>盖章</w:t>
      </w:r>
      <w:r>
        <w:rPr>
          <w:rFonts w:hint="eastAsia" w:ascii="宋体" w:hAnsi="宋体" w:eastAsia="宋体" w:cs="宋体"/>
          <w:sz w:val="24"/>
          <w:szCs w:val="24"/>
          <w:highlight w:val="none"/>
        </w:rPr>
        <w:t>）</w:t>
      </w:r>
    </w:p>
    <w:p>
      <w:pPr>
        <w:pStyle w:val="16"/>
        <w:wordWrap w:val="0"/>
        <w:snapToGrid w:val="0"/>
        <w:spacing w:line="360" w:lineRule="exact"/>
        <w:ind w:firstLine="4089" w:firstLineChars="1704"/>
        <w:rPr>
          <w:rFonts w:hint="eastAsia" w:ascii="宋体" w:hAnsi="宋体" w:eastAsia="宋体" w:cs="宋体"/>
          <w:sz w:val="24"/>
          <w:szCs w:val="24"/>
          <w:highlight w:val="none"/>
        </w:rPr>
      </w:pPr>
    </w:p>
    <w:p>
      <w:pPr>
        <w:tabs>
          <w:tab w:val="left" w:pos="1305"/>
        </w:tabs>
        <w:spacing w:line="360" w:lineRule="auto"/>
        <w:ind w:firstLine="5748" w:firstLineChars="2395"/>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tabs>
          <w:tab w:val="left" w:pos="1305"/>
        </w:tabs>
        <w:spacing w:line="360" w:lineRule="auto"/>
        <w:ind w:firstLine="235" w:firstLineChars="98"/>
        <w:rPr>
          <w:rFonts w:hint="eastAsia" w:ascii="宋体" w:hAnsi="宋体" w:eastAsia="宋体" w:cs="宋体"/>
          <w:bCs/>
          <w:sz w:val="24"/>
          <w:szCs w:val="24"/>
          <w:highlight w:val="none"/>
        </w:rPr>
      </w:pPr>
    </w:p>
    <w:p>
      <w:pPr>
        <w:tabs>
          <w:tab w:val="left" w:pos="1305"/>
        </w:tabs>
        <w:spacing w:line="360" w:lineRule="auto"/>
        <w:ind w:firstLine="235" w:firstLineChars="98"/>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注：1.各供应商必须就“</w:t>
      </w:r>
      <w:r>
        <w:rPr>
          <w:rFonts w:hint="eastAsia" w:ascii="宋体" w:hAnsi="宋体" w:eastAsia="宋体" w:cs="宋体"/>
          <w:bCs/>
          <w:sz w:val="24"/>
          <w:szCs w:val="24"/>
          <w:highlight w:val="none"/>
          <w:lang w:eastAsia="zh-CN"/>
        </w:rPr>
        <w:t>货物采购</w:t>
      </w:r>
      <w:r>
        <w:rPr>
          <w:rFonts w:hint="eastAsia" w:ascii="宋体" w:hAnsi="宋体" w:eastAsia="宋体" w:cs="宋体"/>
          <w:bCs/>
          <w:sz w:val="24"/>
          <w:szCs w:val="24"/>
          <w:highlight w:val="none"/>
        </w:rPr>
        <w:t>需求</w:t>
      </w:r>
      <w:r>
        <w:rPr>
          <w:rFonts w:hint="eastAsia" w:ascii="宋体" w:hAnsi="宋体" w:eastAsia="宋体" w:cs="宋体"/>
          <w:bCs/>
          <w:sz w:val="24"/>
          <w:szCs w:val="24"/>
          <w:highlight w:val="none"/>
          <w:lang w:eastAsia="zh-CN"/>
        </w:rPr>
        <w:t>表</w:t>
      </w:r>
      <w:r>
        <w:rPr>
          <w:rFonts w:hint="eastAsia" w:ascii="宋体" w:hAnsi="宋体" w:eastAsia="宋体" w:cs="宋体"/>
          <w:bCs/>
          <w:sz w:val="24"/>
          <w:szCs w:val="24"/>
          <w:highlight w:val="none"/>
        </w:rPr>
        <w:t>”中所有内容作完整唯一报价，否则，其响应文件无效。</w:t>
      </w:r>
    </w:p>
    <w:p>
      <w:pPr>
        <w:pStyle w:val="16"/>
        <w:spacing w:line="360" w:lineRule="auto"/>
        <w:ind w:firstLine="720" w:firstLineChars="3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2.供应商应根据所提供的货物如实填写谈判报价表的各项内容。</w:t>
      </w:r>
    </w:p>
    <w:p>
      <w:pPr>
        <w:spacing w:line="360" w:lineRule="auto"/>
        <w:ind w:firstLine="720" w:firstLineChars="300"/>
        <w:rPr>
          <w:rFonts w:hint="eastAsia" w:ascii="宋体" w:hAnsi="宋体" w:eastAsia="宋体" w:cs="宋体"/>
          <w:bCs/>
          <w:sz w:val="24"/>
          <w:szCs w:val="24"/>
          <w:highlight w:val="none"/>
          <w:lang w:val="en-US" w:eastAsia="zh-CN"/>
        </w:rPr>
      </w:pPr>
    </w:p>
    <w:p>
      <w:pPr>
        <w:spacing w:line="360" w:lineRule="auto"/>
        <w:ind w:firstLine="723" w:firstLineChars="30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附件1详细报价表</w:t>
      </w:r>
    </w:p>
    <w:p>
      <w:pPr>
        <w:adjustRightInd w:val="0"/>
        <w:snapToGrid w:val="0"/>
        <w:spacing w:line="300" w:lineRule="auto"/>
        <w:rPr>
          <w:rFonts w:hint="eastAsia" w:ascii="宋体" w:hAnsi="宋体" w:eastAsia="宋体" w:cs="宋体"/>
          <w:sz w:val="24"/>
          <w:szCs w:val="24"/>
          <w:u w:val="single"/>
        </w:rPr>
      </w:pPr>
      <w:r>
        <w:rPr>
          <w:rFonts w:hint="eastAsia" w:ascii="宋体" w:hAnsi="宋体" w:eastAsia="宋体" w:cs="宋体"/>
          <w:sz w:val="24"/>
          <w:szCs w:val="24"/>
        </w:rPr>
        <w:t xml:space="preserve">项目名称： </w:t>
      </w:r>
    </w:p>
    <w:p>
      <w:pPr>
        <w:adjustRightInd w:val="0"/>
        <w:snapToGrid w:val="0"/>
        <w:spacing w:line="300" w:lineRule="auto"/>
        <w:rPr>
          <w:rFonts w:hint="eastAsia" w:ascii="宋体" w:hAnsi="宋体" w:eastAsia="宋体" w:cs="宋体"/>
          <w:i/>
          <w:iCs/>
          <w:sz w:val="24"/>
          <w:szCs w:val="24"/>
        </w:rPr>
      </w:pPr>
      <w:r>
        <w:rPr>
          <w:rFonts w:hint="eastAsia" w:ascii="宋体" w:hAnsi="宋体" w:eastAsia="宋体" w:cs="宋体"/>
          <w:sz w:val="24"/>
          <w:szCs w:val="24"/>
        </w:rPr>
        <w:t>项目编号：</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59"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货</w:t>
            </w:r>
            <w:r>
              <w:rPr>
                <w:rFonts w:hint="eastAsia" w:ascii="宋体" w:hAnsi="宋体" w:eastAsia="宋体" w:cs="宋体"/>
                <w:sz w:val="24"/>
                <w:szCs w:val="24"/>
              </w:rPr>
              <w:t>物名称</w:t>
            </w:r>
          </w:p>
        </w:tc>
        <w:tc>
          <w:tcPr>
            <w:tcW w:w="21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品牌、规格型号或主要参数</w:t>
            </w:r>
            <w:r>
              <w:rPr>
                <w:rFonts w:hint="eastAsia" w:ascii="宋体" w:hAnsi="宋体" w:eastAsia="宋体" w:cs="宋体"/>
                <w:sz w:val="24"/>
                <w:szCs w:val="24"/>
                <w:lang w:eastAsia="zh-CN"/>
              </w:rPr>
              <w:t>或内容</w:t>
            </w:r>
          </w:p>
        </w:tc>
        <w:tc>
          <w:tcPr>
            <w:tcW w:w="923"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8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2333" w:type="dxa"/>
            <w:gridSpan w:val="2"/>
            <w:tcBorders>
              <w:bottom w:val="single" w:color="auto" w:sz="4" w:space="0"/>
            </w:tcBorders>
            <w:tcMar>
              <w:top w:w="15" w:type="dxa"/>
              <w:left w:w="15" w:type="dxa"/>
              <w:bottom w:w="0" w:type="dxa"/>
              <w:right w:w="15" w:type="dxa"/>
            </w:tcMar>
            <w:vAlign w:val="center"/>
          </w:tcPr>
          <w:p>
            <w:pPr>
              <w:pStyle w:val="21"/>
              <w:pBdr>
                <w:bottom w:val="none" w:color="auto" w:sz="0" w:space="0"/>
              </w:pBdr>
              <w:tabs>
                <w:tab w:val="clear" w:pos="4153"/>
                <w:tab w:val="clear" w:pos="8306"/>
              </w:tabs>
              <w:adjustRightInd w:val="0"/>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lang w:eastAsia="zh-CN"/>
              </w:rPr>
              <w:t>货</w:t>
            </w:r>
            <w:r>
              <w:rPr>
                <w:rFonts w:hint="eastAsia" w:ascii="宋体" w:hAnsi="宋体" w:eastAsia="宋体" w:cs="宋体"/>
                <w:snapToGrid w:val="0"/>
                <w:sz w:val="24"/>
                <w:szCs w:val="24"/>
              </w:rPr>
              <w:t>物投标价</w:t>
            </w:r>
          </w:p>
        </w:tc>
        <w:tc>
          <w:tcPr>
            <w:tcW w:w="892" w:type="dxa"/>
            <w:vMerge w:val="restart"/>
            <w:tcMar>
              <w:top w:w="15" w:type="dxa"/>
              <w:left w:w="15" w:type="dxa"/>
              <w:bottom w:w="0" w:type="dxa"/>
              <w:right w:w="15" w:type="dxa"/>
            </w:tcMar>
            <w:vAlign w:val="center"/>
          </w:tcPr>
          <w:p>
            <w:pPr>
              <w:pStyle w:val="21"/>
              <w:pBdr>
                <w:bottom w:val="none" w:color="auto" w:sz="0" w:space="0"/>
              </w:pBdr>
              <w:tabs>
                <w:tab w:val="clear" w:pos="4153"/>
                <w:tab w:val="clear" w:pos="8306"/>
              </w:tabs>
              <w:adjustRightInd w:val="0"/>
              <w:spacing w:line="360" w:lineRule="auto"/>
              <w:rPr>
                <w:rFonts w:hint="eastAsia" w:ascii="宋体" w:hAnsi="宋体" w:eastAsia="宋体" w:cs="宋体"/>
                <w:snapToGrid w:val="0"/>
                <w:sz w:val="24"/>
                <w:szCs w:val="24"/>
              </w:rPr>
            </w:pPr>
            <w:r>
              <w:rPr>
                <w:rFonts w:hint="eastAsia" w:ascii="宋体" w:hAnsi="宋体" w:eastAsia="宋体" w:cs="宋体"/>
                <w:snapToGrid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p>
        </w:tc>
        <w:tc>
          <w:tcPr>
            <w:tcW w:w="1659"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p>
        </w:tc>
        <w:tc>
          <w:tcPr>
            <w:tcW w:w="21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p>
        </w:tc>
        <w:tc>
          <w:tcPr>
            <w:tcW w:w="923"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p>
        </w:tc>
        <w:tc>
          <w:tcPr>
            <w:tcW w:w="8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1261"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892" w:type="dxa"/>
            <w:vMerge w:val="continue"/>
            <w:tcBorders>
              <w:bottom w:val="single" w:color="auto" w:sz="4" w:space="0"/>
            </w:tcBorders>
            <w:vAlign w:val="center"/>
          </w:tcPr>
          <w:p>
            <w:pPr>
              <w:adjustRightInd w:val="0"/>
              <w:snapToGrid w:val="0"/>
              <w:spacing w:line="360" w:lineRule="auto"/>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41"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41" w:firstLineChars="100"/>
              <w:rPr>
                <w:rFonts w:hint="eastAsia" w:ascii="宋体" w:hAnsi="宋体" w:eastAsia="宋体" w:cs="宋体"/>
                <w:sz w:val="24"/>
                <w:szCs w:val="24"/>
              </w:rPr>
            </w:pPr>
            <w:r>
              <w:rPr>
                <w:rFonts w:hint="eastAsia" w:ascii="宋体" w:hAnsi="宋体" w:eastAsia="宋体" w:cs="宋体"/>
                <w:b/>
                <w:bCs/>
                <w:sz w:val="24"/>
                <w:szCs w:val="24"/>
              </w:rPr>
              <w:t>投标总报价</w:t>
            </w:r>
            <w:r>
              <w:rPr>
                <w:rFonts w:hint="eastAsia" w:ascii="宋体" w:hAnsi="宋体" w:eastAsia="宋体" w:cs="宋体"/>
                <w:sz w:val="24"/>
                <w:szCs w:val="24"/>
              </w:rPr>
              <w:t>（大写）：</w:t>
            </w:r>
          </w:p>
        </w:tc>
        <w:tc>
          <w:tcPr>
            <w:tcW w:w="3225" w:type="dxa"/>
            <w:gridSpan w:val="3"/>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（小写）：</w:t>
            </w:r>
          </w:p>
        </w:tc>
      </w:tr>
    </w:tbl>
    <w:p>
      <w:pPr>
        <w:pStyle w:val="54"/>
        <w:rPr>
          <w:rFonts w:hint="eastAsia" w:ascii="宋体" w:hAnsi="宋体" w:eastAsia="宋体" w:cs="宋体"/>
          <w:sz w:val="24"/>
          <w:szCs w:val="24"/>
        </w:rPr>
      </w:pPr>
    </w:p>
    <w:p>
      <w:pPr>
        <w:spacing w:line="360" w:lineRule="auto"/>
        <w:ind w:firstLine="723" w:firstLineChars="300"/>
        <w:rPr>
          <w:rFonts w:hint="eastAsia" w:ascii="宋体" w:hAnsi="宋体" w:eastAsia="宋体" w:cs="宋体"/>
          <w:b/>
          <w:sz w:val="24"/>
          <w:szCs w:val="24"/>
        </w:rPr>
      </w:pPr>
    </w:p>
    <w:p>
      <w:pPr>
        <w:spacing w:line="360" w:lineRule="auto"/>
        <w:ind w:firstLine="723" w:firstLineChars="300"/>
        <w:rPr>
          <w:rFonts w:hint="eastAsia" w:ascii="宋体" w:hAnsi="宋体" w:eastAsia="宋体" w:cs="宋体"/>
          <w:b/>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pStyle w:val="4"/>
        <w:pageBreakBefore/>
        <w:jc w:val="center"/>
        <w:rPr>
          <w:rFonts w:hint="eastAsia" w:ascii="宋体" w:hAnsi="宋体" w:eastAsia="宋体" w:cs="宋体"/>
          <w:sz w:val="24"/>
          <w:szCs w:val="24"/>
          <w:highlight w:val="none"/>
        </w:rPr>
      </w:pPr>
      <w:bookmarkStart w:id="78" w:name="_Toc11459"/>
      <w:r>
        <w:rPr>
          <w:rFonts w:hint="eastAsia" w:ascii="宋体" w:hAnsi="宋体" w:eastAsia="宋体" w:cs="宋体"/>
          <w:color w:val="000000"/>
          <w:sz w:val="24"/>
          <w:szCs w:val="24"/>
          <w:highlight w:val="none"/>
        </w:rPr>
        <w:t>附件2</w:t>
      </w:r>
      <w:r>
        <w:rPr>
          <w:rFonts w:hint="eastAsia" w:ascii="宋体" w:hAnsi="宋体" w:eastAsia="宋体" w:cs="宋体"/>
          <w:sz w:val="24"/>
          <w:szCs w:val="24"/>
          <w:highlight w:val="none"/>
        </w:rPr>
        <w:t xml:space="preserve"> 商务条款偏离表</w:t>
      </w:r>
      <w:bookmarkEnd w:id="78"/>
    </w:p>
    <w:p>
      <w:pPr>
        <w:pStyle w:val="16"/>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项目名称： </w:t>
      </w:r>
    </w:p>
    <w:p>
      <w:pPr>
        <w:pStyle w:val="16"/>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项目编号: </w:t>
      </w:r>
    </w:p>
    <w:p>
      <w:pPr>
        <w:pStyle w:val="16"/>
        <w:rPr>
          <w:rFonts w:hint="eastAsia" w:ascii="宋体" w:hAnsi="宋体" w:eastAsia="宋体" w:cs="宋体"/>
          <w:color w:val="000000"/>
          <w:sz w:val="24"/>
          <w:szCs w:val="24"/>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083"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谈判采购文件条款号</w:t>
            </w:r>
          </w:p>
        </w:tc>
        <w:tc>
          <w:tcPr>
            <w:tcW w:w="2229"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谈判采购文件</w:t>
            </w:r>
          </w:p>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商务条款</w:t>
            </w:r>
          </w:p>
        </w:tc>
        <w:tc>
          <w:tcPr>
            <w:tcW w:w="2389"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响应文件的商务条款</w:t>
            </w:r>
          </w:p>
        </w:tc>
        <w:tc>
          <w:tcPr>
            <w:tcW w:w="956"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1214"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sz w:val="24"/>
                <w:szCs w:val="24"/>
              </w:rPr>
            </w:pPr>
          </w:p>
          <w:p>
            <w:pPr>
              <w:jc w:val="right"/>
              <w:rPr>
                <w:rFonts w:hint="eastAsia" w:ascii="宋体" w:hAnsi="宋体" w:eastAsia="宋体" w:cs="宋体"/>
                <w:sz w:val="24"/>
                <w:szCs w:val="24"/>
              </w:rPr>
            </w:pPr>
          </w:p>
        </w:tc>
        <w:tc>
          <w:tcPr>
            <w:tcW w:w="2229" w:type="dxa"/>
          </w:tcPr>
          <w:p>
            <w:pPr>
              <w:pStyle w:val="16"/>
              <w:jc w:val="center"/>
              <w:rPr>
                <w:rFonts w:hint="eastAsia" w:ascii="宋体" w:hAnsi="宋体" w:eastAsia="宋体" w:cs="宋体"/>
                <w:color w:val="000000"/>
                <w:sz w:val="24"/>
                <w:szCs w:val="24"/>
              </w:rPr>
            </w:pPr>
          </w:p>
        </w:tc>
        <w:tc>
          <w:tcPr>
            <w:tcW w:w="2389" w:type="dxa"/>
          </w:tcPr>
          <w:p>
            <w:pPr>
              <w:pStyle w:val="16"/>
              <w:jc w:val="center"/>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pPr>
              <w:pStyle w:val="16"/>
              <w:rPr>
                <w:rFonts w:hint="eastAsia" w:ascii="宋体" w:hAnsi="宋体" w:eastAsia="宋体" w:cs="宋体"/>
                <w:color w:val="000000"/>
                <w:sz w:val="24"/>
                <w:szCs w:val="24"/>
              </w:rPr>
            </w:pPr>
          </w:p>
        </w:tc>
        <w:tc>
          <w:tcPr>
            <w:tcW w:w="2083" w:type="dxa"/>
          </w:tcPr>
          <w:p>
            <w:pPr>
              <w:pStyle w:val="16"/>
              <w:rPr>
                <w:rFonts w:hint="eastAsia" w:ascii="宋体" w:hAnsi="宋体" w:eastAsia="宋体" w:cs="宋体"/>
                <w:color w:val="000000"/>
                <w:sz w:val="24"/>
                <w:szCs w:val="24"/>
              </w:rPr>
            </w:pPr>
          </w:p>
        </w:tc>
        <w:tc>
          <w:tcPr>
            <w:tcW w:w="2229" w:type="dxa"/>
          </w:tcPr>
          <w:p>
            <w:pPr>
              <w:pStyle w:val="16"/>
              <w:rPr>
                <w:rFonts w:hint="eastAsia" w:ascii="宋体" w:hAnsi="宋体" w:eastAsia="宋体" w:cs="宋体"/>
                <w:color w:val="000000"/>
                <w:sz w:val="24"/>
                <w:szCs w:val="24"/>
              </w:rPr>
            </w:pPr>
          </w:p>
        </w:tc>
        <w:tc>
          <w:tcPr>
            <w:tcW w:w="2389" w:type="dxa"/>
          </w:tcPr>
          <w:p>
            <w:pPr>
              <w:pStyle w:val="16"/>
              <w:rPr>
                <w:rFonts w:hint="eastAsia" w:ascii="宋体" w:hAnsi="宋体" w:eastAsia="宋体" w:cs="宋体"/>
                <w:color w:val="000000"/>
                <w:sz w:val="24"/>
                <w:szCs w:val="24"/>
              </w:rPr>
            </w:pPr>
          </w:p>
        </w:tc>
        <w:tc>
          <w:tcPr>
            <w:tcW w:w="956" w:type="dxa"/>
          </w:tcPr>
          <w:p>
            <w:pPr>
              <w:pStyle w:val="16"/>
              <w:rPr>
                <w:rFonts w:hint="eastAsia" w:ascii="宋体" w:hAnsi="宋体" w:eastAsia="宋体" w:cs="宋体"/>
                <w:color w:val="000000"/>
                <w:sz w:val="24"/>
                <w:szCs w:val="24"/>
              </w:rPr>
            </w:pPr>
          </w:p>
        </w:tc>
        <w:tc>
          <w:tcPr>
            <w:tcW w:w="1214" w:type="dxa"/>
          </w:tcPr>
          <w:p>
            <w:pPr>
              <w:pStyle w:val="16"/>
              <w:rPr>
                <w:rFonts w:hint="eastAsia" w:ascii="宋体" w:hAnsi="宋体" w:eastAsia="宋体" w:cs="宋体"/>
                <w:color w:val="000000"/>
                <w:sz w:val="24"/>
                <w:szCs w:val="24"/>
              </w:rPr>
            </w:pPr>
          </w:p>
        </w:tc>
      </w:tr>
    </w:tbl>
    <w:p>
      <w:pPr>
        <w:spacing w:line="360" w:lineRule="auto"/>
        <w:jc w:val="both"/>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注：1</w:t>
      </w:r>
      <w:r>
        <w:rPr>
          <w:rFonts w:hint="eastAsia" w:ascii="宋体" w:hAnsi="宋体" w:eastAsia="宋体" w:cs="宋体"/>
          <w:color w:val="000000" w:themeColor="text1"/>
          <w:kern w:val="2"/>
          <w:sz w:val="24"/>
          <w:szCs w:val="24"/>
          <w:lang w:eastAsia="zh-CN"/>
          <w14:textFill>
            <w14:solidFill>
              <w14:schemeClr w14:val="tx1"/>
            </w14:solidFill>
          </w14:textFill>
        </w:rPr>
        <w:t>.商务条款主要填列响应文件有效期</w:t>
      </w:r>
      <w:r>
        <w:rPr>
          <w:rFonts w:hint="eastAsia" w:ascii="宋体" w:hAnsi="宋体" w:eastAsia="宋体" w:cs="宋体"/>
          <w:color w:val="000000" w:themeColor="text1"/>
          <w:kern w:val="2"/>
          <w:sz w:val="24"/>
          <w:szCs w:val="24"/>
          <w:lang w:val="en-US" w:eastAsia="zh-CN"/>
          <w14:textFill>
            <w14:solidFill>
              <w14:schemeClr w14:val="tx1"/>
            </w14:solidFill>
          </w14:textFill>
        </w:rPr>
        <w:t>、合同履行期限</w:t>
      </w:r>
      <w:r>
        <w:rPr>
          <w:rFonts w:hint="eastAsia" w:ascii="宋体" w:hAnsi="宋体" w:eastAsia="宋体" w:cs="宋体"/>
          <w:color w:val="000000" w:themeColor="text1"/>
          <w:kern w:val="2"/>
          <w:sz w:val="24"/>
          <w:szCs w:val="24"/>
          <w:lang w:eastAsia="zh-CN"/>
          <w14:textFill>
            <w14:solidFill>
              <w14:schemeClr w14:val="tx1"/>
            </w14:solidFill>
          </w14:textFill>
        </w:rPr>
        <w:t>、供货地点、</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rPr>
        <w:t>标准</w:t>
      </w:r>
      <w:r>
        <w:rPr>
          <w:rFonts w:hint="eastAsia" w:ascii="宋体" w:hAnsi="宋体" w:eastAsia="宋体" w:cs="宋体"/>
          <w:color w:val="auto"/>
          <w:sz w:val="24"/>
          <w:szCs w:val="24"/>
          <w:lang w:eastAsia="zh-CN"/>
        </w:rPr>
        <w:t>、</w:t>
      </w:r>
      <w:r>
        <w:rPr>
          <w:rFonts w:hint="eastAsia" w:ascii="宋体" w:hAnsi="宋体" w:eastAsia="宋体" w:cs="宋体"/>
          <w:color w:val="000000" w:themeColor="text1"/>
          <w:kern w:val="2"/>
          <w:sz w:val="24"/>
          <w:szCs w:val="24"/>
          <w:lang w:val="en-US" w:eastAsia="zh-CN"/>
          <w14:textFill>
            <w14:solidFill>
              <w14:schemeClr w14:val="tx1"/>
            </w14:solidFill>
          </w14:textFill>
        </w:rPr>
        <w:t>质保期</w:t>
      </w:r>
      <w:r>
        <w:rPr>
          <w:rFonts w:hint="eastAsia" w:ascii="宋体" w:hAnsi="宋体" w:eastAsia="宋体" w:cs="宋体"/>
          <w:color w:val="000000" w:themeColor="text1"/>
          <w:kern w:val="2"/>
          <w:sz w:val="24"/>
          <w:szCs w:val="24"/>
          <w:lang w:eastAsia="zh-CN"/>
          <w14:textFill>
            <w14:solidFill>
              <w14:schemeClr w14:val="tx1"/>
            </w14:solidFill>
          </w14:textFill>
        </w:rPr>
        <w:t>等重要条款方面的偏离情况。</w:t>
      </w:r>
    </w:p>
    <w:p>
      <w:pPr>
        <w:numPr>
          <w:ilvl w:val="0"/>
          <w:numId w:val="0"/>
        </w:numPr>
        <w:spacing w:line="360" w:lineRule="auto"/>
        <w:ind w:leftChars="209"/>
        <w:jc w:val="both"/>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lang w:eastAsia="zh-CN"/>
          <w14:textFill>
            <w14:solidFill>
              <w14:schemeClr w14:val="tx1"/>
            </w14:solidFill>
          </w14:textFill>
        </w:rPr>
        <w:t xml:space="preserve">表内如果填列不全，可另外附页说明并按规定签字和加盖公章。             </w:t>
      </w:r>
    </w:p>
    <w:p>
      <w:pPr>
        <w:numPr>
          <w:ilvl w:val="0"/>
          <w:numId w:val="0"/>
        </w:numPr>
        <w:spacing w:line="360" w:lineRule="auto"/>
        <w:ind w:leftChars="209"/>
        <w:jc w:val="both"/>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3</w:t>
      </w:r>
      <w:r>
        <w:rPr>
          <w:rFonts w:hint="eastAsia" w:ascii="宋体" w:hAnsi="宋体" w:eastAsia="宋体" w:cs="宋体"/>
          <w:color w:val="000000" w:themeColor="text1"/>
          <w:kern w:val="2"/>
          <w:sz w:val="24"/>
          <w:szCs w:val="24"/>
          <w:lang w:eastAsia="zh-CN"/>
          <w14:textFill>
            <w14:solidFill>
              <w14:schemeClr w14:val="tx1"/>
            </w14:solidFill>
          </w14:textFill>
        </w:rPr>
        <w:t>.采购人要求供应商认真填写本表。</w:t>
      </w:r>
      <w:r>
        <w:rPr>
          <w:rFonts w:hint="eastAsia" w:ascii="宋体" w:hAnsi="宋体" w:eastAsia="宋体" w:cs="宋体"/>
          <w:color w:val="000000" w:themeColor="text1"/>
          <w:kern w:val="2"/>
          <w:sz w:val="24"/>
          <w:szCs w:val="24"/>
          <w:lang w:val="en-US" w:eastAsia="zh-CN"/>
          <w14:textFill>
            <w14:solidFill>
              <w14:schemeClr w14:val="tx1"/>
            </w14:solidFill>
          </w14:textFill>
        </w:rPr>
        <w:t xml:space="preserve"> </w:t>
      </w:r>
    </w:p>
    <w:p>
      <w:pPr>
        <w:numPr>
          <w:ilvl w:val="0"/>
          <w:numId w:val="0"/>
        </w:numPr>
        <w:spacing w:line="360" w:lineRule="auto"/>
        <w:ind w:leftChars="209"/>
        <w:jc w:val="both"/>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lang w:eastAsia="zh-CN"/>
          <w14:textFill>
            <w14:solidFill>
              <w14:schemeClr w14:val="tx1"/>
            </w14:solidFill>
          </w14:textFill>
        </w:rPr>
        <w:t>.此表可根据需要自行拉长加宽。</w:t>
      </w:r>
    </w:p>
    <w:p>
      <w:pPr>
        <w:pStyle w:val="16"/>
        <w:snapToGrid w:val="0"/>
        <w:spacing w:line="360" w:lineRule="exact"/>
        <w:ind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pStyle w:val="16"/>
        <w:snapToGrid w:val="0"/>
        <w:spacing w:line="360" w:lineRule="exact"/>
        <w:ind w:firstLine="4089" w:firstLineChars="1704"/>
        <w:rPr>
          <w:rFonts w:hint="eastAsia" w:ascii="宋体" w:hAnsi="宋体" w:eastAsia="宋体" w:cs="宋体"/>
          <w:sz w:val="24"/>
          <w:szCs w:val="24"/>
          <w:highlight w:val="none"/>
        </w:rPr>
      </w:pPr>
    </w:p>
    <w:p>
      <w:pPr>
        <w:pStyle w:val="16"/>
        <w:wordWrap w:val="0"/>
        <w:snapToGrid w:val="0"/>
        <w:spacing w:line="360" w:lineRule="exact"/>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hAnsi="宋体" w:cs="宋体"/>
          <w:sz w:val="24"/>
          <w:szCs w:val="24"/>
          <w:highlight w:val="none"/>
          <w:lang w:eastAsia="zh-CN"/>
        </w:rPr>
        <w:t>或</w:t>
      </w:r>
      <w:r>
        <w:rPr>
          <w:rFonts w:hint="eastAsia" w:ascii="宋体" w:hAnsi="宋体" w:eastAsia="宋体" w:cs="宋体"/>
          <w:sz w:val="24"/>
          <w:szCs w:val="24"/>
          <w:highlight w:val="none"/>
          <w:lang w:eastAsia="zh-CN"/>
        </w:rPr>
        <w:t>盖章</w:t>
      </w:r>
      <w:r>
        <w:rPr>
          <w:rFonts w:hint="eastAsia" w:ascii="宋体" w:hAnsi="宋体" w:eastAsia="宋体" w:cs="宋体"/>
          <w:sz w:val="24"/>
          <w:szCs w:val="24"/>
          <w:highlight w:val="none"/>
        </w:rPr>
        <w:t>）</w:t>
      </w:r>
    </w:p>
    <w:p>
      <w:pPr>
        <w:pStyle w:val="16"/>
        <w:rPr>
          <w:rFonts w:hint="eastAsia" w:ascii="宋体" w:hAnsi="宋体" w:eastAsia="宋体" w:cs="宋体"/>
          <w:sz w:val="24"/>
          <w:szCs w:val="24"/>
          <w:u w:val="single"/>
        </w:rPr>
      </w:pPr>
    </w:p>
    <w:p>
      <w:pPr>
        <w:pStyle w:val="16"/>
        <w:rPr>
          <w:rFonts w:hint="eastAsia" w:ascii="宋体" w:hAnsi="宋体" w:eastAsia="宋体" w:cs="宋体"/>
          <w:sz w:val="24"/>
          <w:szCs w:val="24"/>
          <w:u w:val="single"/>
        </w:rPr>
      </w:pPr>
    </w:p>
    <w:p>
      <w:pPr>
        <w:pStyle w:val="4"/>
        <w:pageBreakBefore/>
        <w:jc w:val="center"/>
        <w:rPr>
          <w:rFonts w:hint="eastAsia" w:ascii="宋体" w:hAnsi="宋体" w:eastAsia="宋体" w:cs="宋体"/>
          <w:sz w:val="24"/>
          <w:szCs w:val="24"/>
        </w:rPr>
      </w:pPr>
      <w:bookmarkStart w:id="79" w:name="_Toc13711"/>
      <w:bookmarkStart w:id="80" w:name="_Toc11324"/>
      <w:r>
        <w:rPr>
          <w:rFonts w:hint="eastAsia" w:ascii="宋体" w:hAnsi="宋体" w:eastAsia="宋体" w:cs="宋体"/>
          <w:sz w:val="24"/>
          <w:szCs w:val="24"/>
        </w:rPr>
        <w:t>附件3技术规格偏离表</w:t>
      </w:r>
      <w:bookmarkEnd w:id="79"/>
      <w:bookmarkEnd w:id="80"/>
    </w:p>
    <w:p>
      <w:pPr>
        <w:pStyle w:val="16"/>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p>
      <w:pPr>
        <w:pStyle w:val="16"/>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391"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2583"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谈判文件</w:t>
            </w:r>
          </w:p>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1391"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谈判文件规格</w:t>
            </w:r>
          </w:p>
        </w:tc>
        <w:tc>
          <w:tcPr>
            <w:tcW w:w="1391"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响应规格</w:t>
            </w:r>
          </w:p>
        </w:tc>
        <w:tc>
          <w:tcPr>
            <w:tcW w:w="993"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1314" w:type="dxa"/>
            <w:vAlign w:val="center"/>
          </w:tcPr>
          <w:p>
            <w:pPr>
              <w:pStyle w:val="16"/>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2583"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1391" w:type="dxa"/>
          </w:tcPr>
          <w:p>
            <w:pPr>
              <w:pStyle w:val="16"/>
              <w:rPr>
                <w:rFonts w:hint="eastAsia" w:ascii="宋体" w:hAnsi="宋体" w:eastAsia="宋体" w:cs="宋体"/>
                <w:color w:val="000000"/>
                <w:sz w:val="24"/>
                <w:szCs w:val="24"/>
              </w:rPr>
            </w:pPr>
          </w:p>
        </w:tc>
        <w:tc>
          <w:tcPr>
            <w:tcW w:w="993" w:type="dxa"/>
          </w:tcPr>
          <w:p>
            <w:pPr>
              <w:pStyle w:val="16"/>
              <w:rPr>
                <w:rFonts w:hint="eastAsia" w:ascii="宋体" w:hAnsi="宋体" w:eastAsia="宋体" w:cs="宋体"/>
                <w:color w:val="000000"/>
                <w:sz w:val="24"/>
                <w:szCs w:val="24"/>
              </w:rPr>
            </w:pPr>
          </w:p>
        </w:tc>
        <w:tc>
          <w:tcPr>
            <w:tcW w:w="1314" w:type="dxa"/>
          </w:tcPr>
          <w:p>
            <w:pPr>
              <w:pStyle w:val="16"/>
              <w:rPr>
                <w:rFonts w:hint="eastAsia" w:ascii="宋体" w:hAnsi="宋体" w:eastAsia="宋体" w:cs="宋体"/>
                <w:color w:val="000000"/>
                <w:sz w:val="24"/>
                <w:szCs w:val="24"/>
              </w:rPr>
            </w:pPr>
          </w:p>
        </w:tc>
      </w:tr>
    </w:tbl>
    <w:p>
      <w:pPr>
        <w:pStyle w:val="16"/>
        <w:rPr>
          <w:rFonts w:hint="eastAsia" w:ascii="宋体" w:hAnsi="宋体" w:eastAsia="宋体" w:cs="宋体"/>
          <w:color w:val="000000"/>
          <w:sz w:val="24"/>
          <w:szCs w:val="24"/>
        </w:rPr>
      </w:pPr>
    </w:p>
    <w:p>
      <w:pPr>
        <w:pStyle w:val="16"/>
        <w:rPr>
          <w:rFonts w:hint="eastAsia" w:ascii="宋体" w:hAnsi="宋体" w:eastAsia="宋体" w:cs="宋体"/>
          <w:color w:val="000000"/>
          <w:sz w:val="24"/>
          <w:szCs w:val="24"/>
        </w:rPr>
      </w:pPr>
    </w:p>
    <w:p>
      <w:pPr>
        <w:pStyle w:val="16"/>
        <w:snapToGrid w:val="0"/>
        <w:spacing w:line="360" w:lineRule="exact"/>
        <w:ind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pStyle w:val="16"/>
        <w:snapToGrid w:val="0"/>
        <w:spacing w:line="360" w:lineRule="exact"/>
        <w:ind w:firstLine="4089" w:firstLineChars="1704"/>
        <w:rPr>
          <w:rFonts w:hint="eastAsia" w:ascii="宋体" w:hAnsi="宋体" w:eastAsia="宋体" w:cs="宋体"/>
          <w:sz w:val="24"/>
          <w:szCs w:val="24"/>
          <w:highlight w:val="none"/>
        </w:rPr>
      </w:pPr>
    </w:p>
    <w:p>
      <w:pPr>
        <w:pStyle w:val="16"/>
        <w:wordWrap w:val="0"/>
        <w:snapToGrid w:val="0"/>
        <w:spacing w:line="360" w:lineRule="exact"/>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hAnsi="宋体" w:cs="宋体"/>
          <w:sz w:val="24"/>
          <w:szCs w:val="24"/>
          <w:highlight w:val="none"/>
          <w:lang w:eastAsia="zh-CN"/>
        </w:rPr>
        <w:t>或</w:t>
      </w:r>
      <w:r>
        <w:rPr>
          <w:rFonts w:hint="eastAsia" w:ascii="宋体" w:hAnsi="宋体" w:eastAsia="宋体" w:cs="宋体"/>
          <w:sz w:val="24"/>
          <w:szCs w:val="24"/>
          <w:highlight w:val="none"/>
          <w:lang w:eastAsia="zh-CN"/>
        </w:rPr>
        <w:t>盖章</w:t>
      </w:r>
      <w:r>
        <w:rPr>
          <w:rFonts w:hint="eastAsia" w:ascii="宋体" w:hAnsi="宋体" w:eastAsia="宋体" w:cs="宋体"/>
          <w:sz w:val="24"/>
          <w:szCs w:val="24"/>
          <w:highlight w:val="none"/>
        </w:rPr>
        <w:t>）</w:t>
      </w:r>
    </w:p>
    <w:p>
      <w:pPr>
        <w:pStyle w:val="16"/>
        <w:ind w:firstLine="2048" w:firstLineChars="850"/>
        <w:rPr>
          <w:rFonts w:hint="eastAsia" w:ascii="宋体" w:hAnsi="宋体" w:eastAsia="宋体" w:cs="宋体"/>
          <w:b/>
          <w:bCs/>
          <w:sz w:val="24"/>
          <w:szCs w:val="24"/>
          <w:highlight w:val="none"/>
        </w:rPr>
      </w:pP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pStyle w:val="2"/>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lang w:eastAsia="zh-CN"/>
        </w:rPr>
        <w:t>注：</w:t>
      </w:r>
      <w:r>
        <w:rPr>
          <w:rFonts w:hint="eastAsia" w:ascii="宋体" w:hAnsi="宋体" w:eastAsia="宋体" w:cs="宋体"/>
          <w:sz w:val="24"/>
          <w:szCs w:val="24"/>
          <w:highlight w:val="none"/>
        </w:rPr>
        <w:t>供应商的售后服务承诺书</w:t>
      </w:r>
    </w:p>
    <w:p>
      <w:pPr>
        <w:shd w:val="clear" w:color="auto" w:fill="auto"/>
        <w:spacing w:line="40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八、售后服务承诺</w:t>
      </w:r>
    </w:p>
    <w:p>
      <w:pPr>
        <w:pStyle w:val="2"/>
        <w:rPr>
          <w:rFonts w:hint="eastAsia" w:ascii="宋体" w:hAnsi="宋体" w:eastAsia="宋体" w:cs="宋体"/>
          <w:sz w:val="24"/>
          <w:szCs w:val="24"/>
          <w:highlight w:val="none"/>
          <w:lang w:val="en-US" w:eastAsia="zh-CN"/>
        </w:rPr>
      </w:pPr>
    </w:p>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格式自拟</w:t>
      </w:r>
    </w:p>
    <w:p>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4"/>
                <w:szCs w:val="24"/>
                <w:highlight w:val="none"/>
              </w:rPr>
            </w:pPr>
            <w:bookmarkStart w:id="81" w:name="_Toc20117"/>
            <w:bookmarkStart w:id="82" w:name="_Toc8931"/>
            <w:r>
              <w:rPr>
                <w:rFonts w:hint="eastAsia" w:ascii="宋体" w:hAnsi="宋体" w:eastAsia="宋体" w:cs="宋体"/>
                <w:sz w:val="24"/>
                <w:szCs w:val="24"/>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adjustRightInd w:val="0"/>
              <w:snapToGrid w:val="0"/>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adjustRightInd w:val="0"/>
              <w:snapToGrid w:val="0"/>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adjustRightInd w:val="0"/>
              <w:snapToGrid w:val="0"/>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adjustRightInd w:val="0"/>
              <w:snapToGrid w:val="0"/>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adjustRightInd w:val="0"/>
              <w:snapToGrid w:val="0"/>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 w:val="24"/>
                <w:szCs w:val="24"/>
                <w:highlight w:val="none"/>
              </w:rPr>
            </w:pPr>
          </w:p>
        </w:tc>
        <w:tc>
          <w:tcPr>
            <w:tcW w:w="1631" w:type="dxa"/>
            <w:vAlign w:val="center"/>
          </w:tcPr>
          <w:p>
            <w:pPr>
              <w:spacing w:line="360" w:lineRule="auto"/>
              <w:jc w:val="center"/>
              <w:rPr>
                <w:rFonts w:hint="eastAsia" w:ascii="宋体" w:hAnsi="宋体" w:eastAsia="宋体" w:cs="宋体"/>
                <w:sz w:val="24"/>
                <w:szCs w:val="24"/>
                <w:highlight w:val="none"/>
              </w:rPr>
            </w:pPr>
          </w:p>
        </w:tc>
        <w:tc>
          <w:tcPr>
            <w:tcW w:w="1955" w:type="dxa"/>
            <w:vAlign w:val="center"/>
          </w:tcPr>
          <w:p>
            <w:pPr>
              <w:spacing w:line="360" w:lineRule="auto"/>
              <w:jc w:val="center"/>
              <w:rPr>
                <w:rFonts w:hint="eastAsia" w:ascii="宋体" w:hAnsi="宋体" w:eastAsia="宋体" w:cs="宋体"/>
                <w:sz w:val="24"/>
                <w:szCs w:val="24"/>
                <w:highlight w:val="none"/>
              </w:rPr>
            </w:pPr>
          </w:p>
        </w:tc>
        <w:tc>
          <w:tcPr>
            <w:tcW w:w="1149" w:type="dxa"/>
            <w:vAlign w:val="center"/>
          </w:tcPr>
          <w:p>
            <w:pPr>
              <w:spacing w:line="360" w:lineRule="auto"/>
              <w:jc w:val="center"/>
              <w:rPr>
                <w:rFonts w:hint="eastAsia" w:ascii="宋体" w:hAnsi="宋体" w:eastAsia="宋体" w:cs="宋体"/>
                <w:sz w:val="24"/>
                <w:szCs w:val="24"/>
                <w:highlight w:val="none"/>
              </w:rPr>
            </w:pPr>
          </w:p>
        </w:tc>
        <w:tc>
          <w:tcPr>
            <w:tcW w:w="1653" w:type="dxa"/>
            <w:vAlign w:val="center"/>
          </w:tcPr>
          <w:p>
            <w:pPr>
              <w:spacing w:line="360" w:lineRule="auto"/>
              <w:jc w:val="center"/>
              <w:rPr>
                <w:rFonts w:hint="eastAsia" w:ascii="宋体" w:hAnsi="宋体" w:eastAsia="宋体" w:cs="宋体"/>
                <w:sz w:val="24"/>
                <w:szCs w:val="24"/>
                <w:highlight w:val="none"/>
              </w:rPr>
            </w:pPr>
          </w:p>
        </w:tc>
        <w:tc>
          <w:tcPr>
            <w:tcW w:w="2606" w:type="dxa"/>
            <w:vAlign w:val="center"/>
          </w:tcPr>
          <w:p>
            <w:pPr>
              <w:spacing w:line="360" w:lineRule="auto"/>
              <w:jc w:val="center"/>
              <w:rPr>
                <w:rFonts w:hint="eastAsia" w:ascii="宋体" w:hAnsi="宋体" w:eastAsia="宋体" w:cs="宋体"/>
                <w:sz w:val="24"/>
                <w:szCs w:val="24"/>
                <w:highlight w:val="none"/>
              </w:rPr>
            </w:pPr>
          </w:p>
        </w:tc>
      </w:tr>
    </w:tbl>
    <w:p>
      <w:pPr>
        <w:spacing w:line="360" w:lineRule="auto"/>
        <w:jc w:val="center"/>
        <w:outlineLvl w:val="2"/>
        <w:rPr>
          <w:rStyle w:val="65"/>
          <w:rFonts w:hint="eastAsia" w:ascii="宋体" w:hAnsi="宋体" w:eastAsia="宋体" w:cs="宋体"/>
          <w:sz w:val="24"/>
          <w:szCs w:val="24"/>
          <w:highlight w:val="none"/>
        </w:rPr>
      </w:pPr>
    </w:p>
    <w:p>
      <w:pPr>
        <w:spacing w:line="360" w:lineRule="auto"/>
        <w:jc w:val="center"/>
        <w:outlineLvl w:val="2"/>
        <w:rPr>
          <w:rStyle w:val="65"/>
          <w:rFonts w:hint="eastAsia" w:ascii="宋体" w:hAnsi="宋体" w:eastAsia="宋体" w:cs="宋体"/>
          <w:sz w:val="24"/>
          <w:szCs w:val="24"/>
          <w:highlight w:val="none"/>
        </w:rPr>
      </w:pPr>
    </w:p>
    <w:p>
      <w:pPr>
        <w:spacing w:line="360" w:lineRule="auto"/>
        <w:jc w:val="center"/>
        <w:outlineLvl w:val="2"/>
        <w:rPr>
          <w:rStyle w:val="65"/>
          <w:rFonts w:hint="eastAsia" w:ascii="宋体" w:hAnsi="宋体" w:eastAsia="宋体" w:cs="宋体"/>
          <w:sz w:val="24"/>
          <w:szCs w:val="24"/>
          <w:highlight w:val="none"/>
        </w:rPr>
      </w:pPr>
    </w:p>
    <w:p>
      <w:pPr>
        <w:spacing w:line="360" w:lineRule="auto"/>
        <w:jc w:val="center"/>
        <w:outlineLvl w:val="2"/>
        <w:rPr>
          <w:rStyle w:val="65"/>
          <w:rFonts w:hint="eastAsia" w:ascii="宋体" w:hAnsi="宋体" w:eastAsia="宋体" w:cs="宋体"/>
          <w:sz w:val="24"/>
          <w:szCs w:val="24"/>
          <w:highlight w:val="none"/>
        </w:rPr>
      </w:pPr>
    </w:p>
    <w:p>
      <w:pPr>
        <w:spacing w:line="360" w:lineRule="auto"/>
        <w:jc w:val="center"/>
        <w:outlineLvl w:val="2"/>
        <w:rPr>
          <w:rStyle w:val="65"/>
          <w:rFonts w:hint="eastAsia" w:ascii="宋体" w:hAnsi="宋体" w:eastAsia="宋体" w:cs="宋体"/>
          <w:sz w:val="24"/>
          <w:szCs w:val="24"/>
          <w:highlight w:val="none"/>
        </w:rPr>
      </w:pPr>
    </w:p>
    <w:p>
      <w:pPr>
        <w:spacing w:line="360" w:lineRule="auto"/>
        <w:jc w:val="center"/>
        <w:outlineLvl w:val="2"/>
        <w:rPr>
          <w:rStyle w:val="65"/>
          <w:rFonts w:hint="eastAsia" w:ascii="宋体" w:hAnsi="宋体" w:eastAsia="宋体" w:cs="宋体"/>
          <w:sz w:val="24"/>
          <w:szCs w:val="24"/>
          <w:highlight w:val="none"/>
        </w:rPr>
      </w:pPr>
    </w:p>
    <w:p>
      <w:pPr>
        <w:rPr>
          <w:rStyle w:val="65"/>
          <w:rFonts w:hint="eastAsia" w:ascii="宋体" w:hAnsi="宋体" w:eastAsia="宋体" w:cs="宋体"/>
          <w:sz w:val="24"/>
          <w:szCs w:val="24"/>
          <w:highlight w:val="none"/>
          <w:lang w:val="en-US" w:eastAsia="zh-CN"/>
        </w:rPr>
      </w:pPr>
      <w:r>
        <w:rPr>
          <w:rStyle w:val="65"/>
          <w:rFonts w:hint="eastAsia" w:ascii="宋体" w:hAnsi="宋体" w:eastAsia="宋体" w:cs="宋体"/>
          <w:sz w:val="24"/>
          <w:szCs w:val="24"/>
          <w:highlight w:val="none"/>
          <w:lang w:val="en-US" w:eastAsia="zh-CN"/>
        </w:rPr>
        <w:br w:type="page"/>
      </w:r>
    </w:p>
    <w:p>
      <w:pPr>
        <w:spacing w:line="360" w:lineRule="auto"/>
        <w:jc w:val="center"/>
        <w:outlineLvl w:val="2"/>
        <w:rPr>
          <w:rStyle w:val="65"/>
          <w:rFonts w:hint="eastAsia" w:ascii="宋体" w:hAnsi="宋体" w:eastAsia="宋体" w:cs="宋体"/>
          <w:sz w:val="24"/>
          <w:szCs w:val="24"/>
          <w:highlight w:val="none"/>
        </w:rPr>
      </w:pPr>
      <w:r>
        <w:rPr>
          <w:rStyle w:val="65"/>
          <w:rFonts w:hint="eastAsia" w:ascii="宋体" w:hAnsi="宋体" w:eastAsia="宋体" w:cs="宋体"/>
          <w:sz w:val="24"/>
          <w:szCs w:val="24"/>
          <w:highlight w:val="none"/>
          <w:lang w:val="en-US" w:eastAsia="zh-CN"/>
        </w:rPr>
        <w:t>十、供应商</w:t>
      </w:r>
      <w:r>
        <w:rPr>
          <w:rStyle w:val="65"/>
          <w:rFonts w:hint="eastAsia" w:ascii="宋体" w:hAnsi="宋体" w:eastAsia="宋体" w:cs="宋体"/>
          <w:sz w:val="24"/>
          <w:szCs w:val="24"/>
          <w:highlight w:val="none"/>
        </w:rPr>
        <w:t>近年完成的类似项目情况表</w:t>
      </w:r>
      <w:bookmarkEnd w:id="81"/>
    </w:p>
    <w:bookmarkEnd w:id="82"/>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713"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w:t>
            </w:r>
          </w:p>
        </w:tc>
        <w:tc>
          <w:tcPr>
            <w:tcW w:w="2170"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1590"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合同金额 </w:t>
            </w:r>
          </w:p>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(人民币)</w:t>
            </w:r>
          </w:p>
        </w:tc>
        <w:tc>
          <w:tcPr>
            <w:tcW w:w="144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签订时间</w:t>
            </w:r>
          </w:p>
        </w:tc>
        <w:tc>
          <w:tcPr>
            <w:tcW w:w="1649"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eastAsia="宋体" w:cs="宋体"/>
                <w:b/>
                <w:bCs/>
                <w:sz w:val="24"/>
                <w:szCs w:val="24"/>
                <w:highlight w:val="none"/>
              </w:rPr>
            </w:pPr>
          </w:p>
        </w:tc>
        <w:tc>
          <w:tcPr>
            <w:tcW w:w="1713" w:type="dxa"/>
            <w:vAlign w:val="center"/>
          </w:tcPr>
          <w:p>
            <w:pPr>
              <w:spacing w:line="360" w:lineRule="auto"/>
              <w:rPr>
                <w:rFonts w:hint="eastAsia" w:ascii="宋体" w:hAnsi="宋体" w:eastAsia="宋体" w:cs="宋体"/>
                <w:b/>
                <w:bCs/>
                <w:sz w:val="24"/>
                <w:szCs w:val="24"/>
                <w:highlight w:val="none"/>
              </w:rPr>
            </w:pPr>
          </w:p>
        </w:tc>
        <w:tc>
          <w:tcPr>
            <w:tcW w:w="2170" w:type="dxa"/>
            <w:vAlign w:val="center"/>
          </w:tcPr>
          <w:p>
            <w:pPr>
              <w:spacing w:line="360" w:lineRule="auto"/>
              <w:rPr>
                <w:rFonts w:hint="eastAsia" w:ascii="宋体" w:hAnsi="宋体" w:eastAsia="宋体" w:cs="宋体"/>
                <w:b/>
                <w:bCs/>
                <w:sz w:val="24"/>
                <w:szCs w:val="24"/>
                <w:highlight w:val="none"/>
              </w:rPr>
            </w:pPr>
          </w:p>
        </w:tc>
        <w:tc>
          <w:tcPr>
            <w:tcW w:w="1590" w:type="dxa"/>
            <w:vAlign w:val="center"/>
          </w:tcPr>
          <w:p>
            <w:pPr>
              <w:spacing w:line="360" w:lineRule="auto"/>
              <w:rPr>
                <w:rFonts w:hint="eastAsia" w:ascii="宋体" w:hAnsi="宋体" w:eastAsia="宋体" w:cs="宋体"/>
                <w:b/>
                <w:bCs/>
                <w:sz w:val="24"/>
                <w:szCs w:val="24"/>
                <w:highlight w:val="none"/>
              </w:rPr>
            </w:pPr>
          </w:p>
        </w:tc>
        <w:tc>
          <w:tcPr>
            <w:tcW w:w="1445" w:type="dxa"/>
          </w:tcPr>
          <w:p>
            <w:pPr>
              <w:pStyle w:val="75"/>
              <w:spacing w:before="145"/>
              <w:rPr>
                <w:rFonts w:hint="eastAsia" w:ascii="宋体" w:hAnsi="宋体" w:eastAsia="宋体" w:cs="宋体"/>
                <w:sz w:val="24"/>
                <w:szCs w:val="24"/>
                <w:highlight w:val="none"/>
              </w:rPr>
            </w:pPr>
          </w:p>
        </w:tc>
        <w:tc>
          <w:tcPr>
            <w:tcW w:w="1649" w:type="dxa"/>
            <w:vAlign w:val="center"/>
          </w:tcPr>
          <w:p>
            <w:pPr>
              <w:spacing w:line="360" w:lineRule="auto"/>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eastAsia="宋体" w:cs="宋体"/>
                <w:b/>
                <w:bCs/>
                <w:sz w:val="24"/>
                <w:szCs w:val="24"/>
                <w:highlight w:val="none"/>
              </w:rPr>
            </w:pPr>
          </w:p>
        </w:tc>
        <w:tc>
          <w:tcPr>
            <w:tcW w:w="1713" w:type="dxa"/>
            <w:vAlign w:val="center"/>
          </w:tcPr>
          <w:p>
            <w:pPr>
              <w:spacing w:line="360" w:lineRule="auto"/>
              <w:rPr>
                <w:rFonts w:hint="eastAsia" w:ascii="宋体" w:hAnsi="宋体" w:eastAsia="宋体" w:cs="宋体"/>
                <w:b/>
                <w:bCs/>
                <w:sz w:val="24"/>
                <w:szCs w:val="24"/>
                <w:highlight w:val="none"/>
              </w:rPr>
            </w:pPr>
          </w:p>
        </w:tc>
        <w:tc>
          <w:tcPr>
            <w:tcW w:w="2170" w:type="dxa"/>
            <w:vAlign w:val="center"/>
          </w:tcPr>
          <w:p>
            <w:pPr>
              <w:spacing w:line="360" w:lineRule="auto"/>
              <w:rPr>
                <w:rFonts w:hint="eastAsia" w:ascii="宋体" w:hAnsi="宋体" w:eastAsia="宋体" w:cs="宋体"/>
                <w:b/>
                <w:bCs/>
                <w:sz w:val="24"/>
                <w:szCs w:val="24"/>
                <w:highlight w:val="none"/>
              </w:rPr>
            </w:pPr>
          </w:p>
        </w:tc>
        <w:tc>
          <w:tcPr>
            <w:tcW w:w="1590" w:type="dxa"/>
            <w:vAlign w:val="center"/>
          </w:tcPr>
          <w:p>
            <w:pPr>
              <w:spacing w:line="360" w:lineRule="auto"/>
              <w:rPr>
                <w:rFonts w:hint="eastAsia" w:ascii="宋体" w:hAnsi="宋体" w:eastAsia="宋体" w:cs="宋体"/>
                <w:b/>
                <w:bCs/>
                <w:sz w:val="24"/>
                <w:szCs w:val="24"/>
                <w:highlight w:val="none"/>
              </w:rPr>
            </w:pPr>
          </w:p>
        </w:tc>
        <w:tc>
          <w:tcPr>
            <w:tcW w:w="1445" w:type="dxa"/>
          </w:tcPr>
          <w:p>
            <w:pPr>
              <w:spacing w:line="360" w:lineRule="auto"/>
              <w:jc w:val="left"/>
              <w:rPr>
                <w:rFonts w:hint="eastAsia" w:ascii="宋体" w:hAnsi="宋体" w:eastAsia="宋体" w:cs="宋体"/>
                <w:b/>
                <w:bCs/>
                <w:sz w:val="24"/>
                <w:szCs w:val="24"/>
                <w:highlight w:val="none"/>
              </w:rPr>
            </w:pPr>
          </w:p>
        </w:tc>
        <w:tc>
          <w:tcPr>
            <w:tcW w:w="1649" w:type="dxa"/>
            <w:vAlign w:val="center"/>
          </w:tcPr>
          <w:p>
            <w:pPr>
              <w:spacing w:line="360" w:lineRule="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spacing w:line="360" w:lineRule="auto"/>
              <w:jc w:val="left"/>
              <w:rPr>
                <w:rFonts w:hint="eastAsia" w:ascii="宋体" w:hAnsi="宋体" w:eastAsia="宋体" w:cs="宋体"/>
                <w:b/>
                <w:bCs/>
                <w:sz w:val="24"/>
                <w:szCs w:val="24"/>
                <w:highlight w:val="none"/>
              </w:rPr>
            </w:pPr>
          </w:p>
        </w:tc>
        <w:tc>
          <w:tcPr>
            <w:tcW w:w="1445" w:type="dxa"/>
          </w:tcPr>
          <w:p>
            <w:pPr>
              <w:spacing w:line="360" w:lineRule="auto"/>
              <w:jc w:val="left"/>
              <w:rPr>
                <w:rFonts w:hint="eastAsia" w:ascii="宋体" w:hAnsi="宋体" w:eastAsia="宋体" w:cs="宋体"/>
                <w:b/>
                <w:bCs/>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spacing w:line="360" w:lineRule="auto"/>
              <w:jc w:val="left"/>
              <w:rPr>
                <w:rFonts w:hint="eastAsia" w:ascii="宋体" w:hAnsi="宋体" w:eastAsia="宋体" w:cs="宋体"/>
                <w:b/>
                <w:bCs/>
                <w:sz w:val="24"/>
                <w:szCs w:val="24"/>
                <w:highlight w:val="none"/>
              </w:rPr>
            </w:pPr>
          </w:p>
        </w:tc>
        <w:tc>
          <w:tcPr>
            <w:tcW w:w="1445" w:type="dxa"/>
          </w:tcPr>
          <w:p>
            <w:pPr>
              <w:pStyle w:val="75"/>
              <w:rPr>
                <w:rFonts w:hint="eastAsia" w:ascii="宋体" w:hAnsi="宋体" w:eastAsia="宋体" w:cs="宋体"/>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pStyle w:val="75"/>
              <w:spacing w:before="2"/>
              <w:rPr>
                <w:rFonts w:hint="eastAsia" w:ascii="宋体" w:hAnsi="宋体" w:eastAsia="宋体" w:cs="宋体"/>
                <w:b/>
                <w:bCs/>
                <w:sz w:val="24"/>
                <w:szCs w:val="24"/>
                <w:highlight w:val="none"/>
              </w:rPr>
            </w:pPr>
          </w:p>
        </w:tc>
        <w:tc>
          <w:tcPr>
            <w:tcW w:w="1445" w:type="dxa"/>
          </w:tcPr>
          <w:p>
            <w:pPr>
              <w:spacing w:line="360" w:lineRule="auto"/>
              <w:jc w:val="left"/>
              <w:rPr>
                <w:rFonts w:hint="eastAsia" w:ascii="宋体" w:hAnsi="宋体" w:eastAsia="宋体" w:cs="宋体"/>
                <w:b/>
                <w:bCs/>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spacing w:line="360" w:lineRule="auto"/>
              <w:jc w:val="left"/>
              <w:rPr>
                <w:rFonts w:hint="eastAsia" w:ascii="宋体" w:hAnsi="宋体" w:eastAsia="宋体" w:cs="宋体"/>
                <w:b/>
                <w:bCs/>
                <w:sz w:val="24"/>
                <w:szCs w:val="24"/>
                <w:highlight w:val="none"/>
              </w:rPr>
            </w:pPr>
          </w:p>
        </w:tc>
        <w:tc>
          <w:tcPr>
            <w:tcW w:w="1445" w:type="dxa"/>
            <w:vAlign w:val="center"/>
          </w:tcPr>
          <w:p>
            <w:pPr>
              <w:pStyle w:val="75"/>
              <w:rPr>
                <w:rFonts w:hint="eastAsia" w:ascii="宋体" w:hAnsi="宋体" w:eastAsia="宋体" w:cs="宋体"/>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spacing w:line="360" w:lineRule="auto"/>
              <w:jc w:val="left"/>
              <w:rPr>
                <w:rFonts w:hint="eastAsia" w:ascii="宋体" w:hAnsi="宋体" w:eastAsia="宋体" w:cs="宋体"/>
                <w:b/>
                <w:bCs/>
                <w:sz w:val="24"/>
                <w:szCs w:val="24"/>
                <w:highlight w:val="none"/>
              </w:rPr>
            </w:pPr>
          </w:p>
        </w:tc>
        <w:tc>
          <w:tcPr>
            <w:tcW w:w="1445" w:type="dxa"/>
          </w:tcPr>
          <w:p>
            <w:pPr>
              <w:pStyle w:val="75"/>
              <w:spacing w:before="146"/>
              <w:rPr>
                <w:rFonts w:hint="eastAsia" w:ascii="宋体" w:hAnsi="宋体" w:eastAsia="宋体" w:cs="宋体"/>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spacing w:line="360" w:lineRule="auto"/>
              <w:jc w:val="left"/>
              <w:rPr>
                <w:rFonts w:hint="eastAsia" w:ascii="宋体" w:hAnsi="宋体" w:eastAsia="宋体" w:cs="宋体"/>
                <w:b/>
                <w:bCs/>
                <w:sz w:val="24"/>
                <w:szCs w:val="24"/>
                <w:highlight w:val="none"/>
              </w:rPr>
            </w:pPr>
          </w:p>
        </w:tc>
        <w:tc>
          <w:tcPr>
            <w:tcW w:w="1445" w:type="dxa"/>
          </w:tcPr>
          <w:p>
            <w:pPr>
              <w:spacing w:line="360" w:lineRule="auto"/>
              <w:jc w:val="left"/>
              <w:rPr>
                <w:rFonts w:hint="eastAsia" w:ascii="宋体" w:hAnsi="宋体" w:eastAsia="宋体" w:cs="宋体"/>
                <w:b/>
                <w:bCs/>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eastAsia="宋体" w:cs="宋体"/>
                <w:b/>
                <w:bCs/>
                <w:sz w:val="24"/>
                <w:szCs w:val="24"/>
                <w:highlight w:val="none"/>
              </w:rPr>
            </w:pPr>
          </w:p>
        </w:tc>
        <w:tc>
          <w:tcPr>
            <w:tcW w:w="1713" w:type="dxa"/>
          </w:tcPr>
          <w:p>
            <w:pPr>
              <w:spacing w:line="360" w:lineRule="auto"/>
              <w:jc w:val="left"/>
              <w:rPr>
                <w:rFonts w:hint="eastAsia" w:ascii="宋体" w:hAnsi="宋体" w:eastAsia="宋体" w:cs="宋体"/>
                <w:b/>
                <w:bCs/>
                <w:sz w:val="24"/>
                <w:szCs w:val="24"/>
                <w:highlight w:val="none"/>
              </w:rPr>
            </w:pPr>
          </w:p>
        </w:tc>
        <w:tc>
          <w:tcPr>
            <w:tcW w:w="2170" w:type="dxa"/>
          </w:tcPr>
          <w:p>
            <w:pPr>
              <w:spacing w:line="360" w:lineRule="auto"/>
              <w:jc w:val="left"/>
              <w:rPr>
                <w:rFonts w:hint="eastAsia" w:ascii="宋体" w:hAnsi="宋体" w:eastAsia="宋体" w:cs="宋体"/>
                <w:b/>
                <w:bCs/>
                <w:sz w:val="24"/>
                <w:szCs w:val="24"/>
                <w:highlight w:val="none"/>
              </w:rPr>
            </w:pPr>
          </w:p>
        </w:tc>
        <w:tc>
          <w:tcPr>
            <w:tcW w:w="1590" w:type="dxa"/>
          </w:tcPr>
          <w:p>
            <w:pPr>
              <w:spacing w:line="360" w:lineRule="auto"/>
              <w:jc w:val="left"/>
              <w:rPr>
                <w:rFonts w:hint="eastAsia" w:ascii="宋体" w:hAnsi="宋体" w:eastAsia="宋体" w:cs="宋体"/>
                <w:b/>
                <w:bCs/>
                <w:sz w:val="24"/>
                <w:szCs w:val="24"/>
                <w:highlight w:val="none"/>
              </w:rPr>
            </w:pPr>
          </w:p>
        </w:tc>
        <w:tc>
          <w:tcPr>
            <w:tcW w:w="1445" w:type="dxa"/>
          </w:tcPr>
          <w:p>
            <w:pPr>
              <w:spacing w:line="360" w:lineRule="auto"/>
              <w:jc w:val="left"/>
              <w:rPr>
                <w:rFonts w:hint="eastAsia" w:ascii="宋体" w:hAnsi="宋体" w:eastAsia="宋体" w:cs="宋体"/>
                <w:b/>
                <w:bCs/>
                <w:sz w:val="24"/>
                <w:szCs w:val="24"/>
                <w:highlight w:val="none"/>
              </w:rPr>
            </w:pPr>
          </w:p>
        </w:tc>
        <w:tc>
          <w:tcPr>
            <w:tcW w:w="1649" w:type="dxa"/>
          </w:tcPr>
          <w:p>
            <w:pPr>
              <w:spacing w:line="360" w:lineRule="auto"/>
              <w:jc w:val="left"/>
              <w:rPr>
                <w:rFonts w:hint="eastAsia" w:ascii="宋体" w:hAnsi="宋体" w:eastAsia="宋体" w:cs="宋体"/>
                <w:b/>
                <w:bCs/>
                <w:sz w:val="24"/>
                <w:szCs w:val="24"/>
                <w:highlight w:val="none"/>
              </w:rPr>
            </w:pPr>
          </w:p>
        </w:tc>
      </w:tr>
    </w:tbl>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附：合同或中标（成交）通知书复印件</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注：1.</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应根据</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须知要求在本表后附相关证明材料。</w:t>
      </w:r>
    </w:p>
    <w:p>
      <w:pPr>
        <w:pStyle w:val="53"/>
        <w:rPr>
          <w:rFonts w:hint="eastAsia" w:ascii="宋体" w:hAnsi="宋体" w:eastAsia="宋体" w:cs="宋体"/>
          <w:b/>
          <w:bCs/>
          <w:color w:val="auto"/>
          <w:sz w:val="24"/>
          <w:szCs w:val="24"/>
          <w:highlight w:val="none"/>
        </w:rPr>
      </w:pPr>
    </w:p>
    <w:p>
      <w:pPr>
        <w:pStyle w:val="53"/>
        <w:rPr>
          <w:rFonts w:hint="eastAsia" w:ascii="宋体" w:hAnsi="宋体" w:eastAsia="宋体" w:cs="宋体"/>
          <w:b/>
          <w:bCs/>
          <w:color w:val="auto"/>
          <w:sz w:val="24"/>
          <w:szCs w:val="24"/>
          <w:highlight w:val="none"/>
        </w:rPr>
      </w:pPr>
    </w:p>
    <w:p>
      <w:pPr>
        <w:pStyle w:val="53"/>
        <w:rPr>
          <w:rFonts w:hint="eastAsia" w:ascii="宋体" w:hAnsi="宋体" w:eastAsia="宋体" w:cs="宋体"/>
          <w:b/>
          <w:bCs/>
          <w:color w:val="auto"/>
          <w:sz w:val="24"/>
          <w:szCs w:val="24"/>
          <w:highlight w:val="none"/>
        </w:rPr>
      </w:pPr>
    </w:p>
    <w:p>
      <w:pPr>
        <w:pStyle w:val="53"/>
        <w:rPr>
          <w:rFonts w:hint="eastAsia" w:ascii="宋体" w:hAnsi="宋体" w:eastAsia="宋体" w:cs="宋体"/>
          <w:b/>
          <w:bCs/>
          <w:color w:val="auto"/>
          <w:sz w:val="24"/>
          <w:szCs w:val="24"/>
          <w:highlight w:val="none"/>
        </w:rPr>
      </w:pPr>
    </w:p>
    <w:p>
      <w:pPr>
        <w:spacing w:line="360" w:lineRule="auto"/>
        <w:jc w:val="center"/>
        <w:outlineLvl w:val="2"/>
        <w:rPr>
          <w:rStyle w:val="65"/>
          <w:rFonts w:hint="eastAsia" w:ascii="宋体" w:hAnsi="宋体" w:eastAsia="宋体" w:cs="宋体"/>
          <w:sz w:val="24"/>
          <w:szCs w:val="24"/>
          <w:highlight w:val="none"/>
          <w:lang w:val="en-US" w:eastAsia="zh-CN"/>
        </w:rPr>
      </w:pPr>
    </w:p>
    <w:p>
      <w:pPr>
        <w:spacing w:line="360" w:lineRule="auto"/>
        <w:jc w:val="center"/>
        <w:outlineLvl w:val="2"/>
        <w:rPr>
          <w:rStyle w:val="65"/>
          <w:rFonts w:hint="eastAsia" w:ascii="宋体" w:hAnsi="宋体" w:eastAsia="宋体" w:cs="宋体"/>
          <w:sz w:val="24"/>
          <w:szCs w:val="24"/>
          <w:highlight w:val="none"/>
          <w:lang w:val="en-US" w:eastAsia="zh-CN"/>
        </w:rPr>
      </w:pPr>
    </w:p>
    <w:p>
      <w:pPr>
        <w:spacing w:line="360" w:lineRule="auto"/>
        <w:jc w:val="center"/>
        <w:outlineLvl w:val="2"/>
        <w:rPr>
          <w:rStyle w:val="65"/>
          <w:rFonts w:hint="eastAsia" w:ascii="宋体" w:hAnsi="宋体" w:eastAsia="宋体" w:cs="宋体"/>
          <w:sz w:val="24"/>
          <w:szCs w:val="24"/>
          <w:highlight w:val="none"/>
          <w:lang w:val="en-US" w:eastAsia="zh-CN"/>
        </w:rPr>
      </w:pPr>
    </w:p>
    <w:p>
      <w:pPr>
        <w:spacing w:line="360" w:lineRule="auto"/>
        <w:jc w:val="center"/>
        <w:outlineLvl w:val="2"/>
        <w:rPr>
          <w:rStyle w:val="65"/>
          <w:rFonts w:hint="eastAsia" w:ascii="宋体" w:hAnsi="宋体" w:eastAsia="宋体" w:cs="宋体"/>
          <w:sz w:val="24"/>
          <w:szCs w:val="24"/>
          <w:highlight w:val="none"/>
          <w:lang w:val="en-US" w:eastAsia="zh-CN"/>
        </w:rPr>
      </w:pPr>
    </w:p>
    <w:p>
      <w:pPr>
        <w:pStyle w:val="2"/>
        <w:rPr>
          <w:rStyle w:val="65"/>
          <w:rFonts w:hint="eastAsia" w:ascii="宋体" w:hAnsi="宋体" w:eastAsia="宋体" w:cs="宋体"/>
          <w:sz w:val="24"/>
          <w:szCs w:val="24"/>
          <w:highlight w:val="none"/>
          <w:lang w:val="en-US" w:eastAsia="zh-CN"/>
        </w:rPr>
      </w:pPr>
    </w:p>
    <w:p>
      <w:pPr>
        <w:rPr>
          <w:rFonts w:hint="eastAsia" w:ascii="宋体" w:hAnsi="宋体" w:eastAsia="宋体" w:cs="宋体"/>
          <w:sz w:val="24"/>
          <w:szCs w:val="24"/>
          <w:highlight w:val="none"/>
        </w:rPr>
      </w:pPr>
    </w:p>
    <w:p>
      <w:pPr>
        <w:jc w:val="center"/>
        <w:rPr>
          <w:rStyle w:val="65"/>
          <w:rFonts w:hint="eastAsia" w:ascii="宋体" w:hAnsi="宋体" w:eastAsia="宋体" w:cs="宋体"/>
          <w:sz w:val="24"/>
          <w:szCs w:val="24"/>
          <w:highlight w:val="none"/>
          <w:lang w:val="en-US" w:eastAsia="zh-CN"/>
        </w:rPr>
      </w:pPr>
    </w:p>
    <w:p>
      <w:pPr>
        <w:jc w:val="center"/>
        <w:rPr>
          <w:rFonts w:hint="eastAsia" w:ascii="宋体" w:hAnsi="宋体" w:eastAsia="宋体" w:cs="宋体"/>
          <w:sz w:val="24"/>
          <w:szCs w:val="24"/>
          <w:highlight w:val="none"/>
          <w:lang w:eastAsia="zh-CN"/>
        </w:rPr>
      </w:pPr>
      <w:r>
        <w:rPr>
          <w:rStyle w:val="65"/>
          <w:rFonts w:hint="eastAsia" w:ascii="宋体" w:hAnsi="宋体" w:eastAsia="宋体" w:cs="宋体"/>
          <w:sz w:val="24"/>
          <w:szCs w:val="24"/>
          <w:highlight w:val="none"/>
          <w:lang w:val="en-US" w:eastAsia="zh-CN"/>
        </w:rPr>
        <w:t>十一、供应商可结合本项目自身情况自行提交其它相关证明材料</w:t>
      </w:r>
    </w:p>
    <w:p>
      <w:pPr>
        <w:shd w:val="clear" w:color="auto" w:fill="FFFFFF"/>
        <w:spacing w:after="240" w:line="360" w:lineRule="atLeast"/>
        <w:ind w:firstLine="48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格式自拟</w:t>
      </w:r>
    </w:p>
    <w:p>
      <w:pPr>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pStyle w:val="51"/>
        <w:rPr>
          <w:rFonts w:hint="eastAsia" w:ascii="宋体" w:hAnsi="宋体" w:eastAsia="宋体" w:cs="宋体"/>
          <w:sz w:val="24"/>
          <w:szCs w:val="24"/>
          <w:highlight w:val="none"/>
        </w:rPr>
      </w:pPr>
    </w:p>
    <w:p>
      <w:pPr>
        <w:jc w:val="center"/>
        <w:rPr>
          <w:rFonts w:hint="eastAsia" w:ascii="宋体" w:hAnsi="宋体" w:eastAsia="宋体" w:cs="宋体"/>
          <w:bCs/>
          <w:snapToGrid w:val="0"/>
          <w:sz w:val="24"/>
          <w:szCs w:val="24"/>
          <w:highlight w:val="none"/>
        </w:rPr>
      </w:pPr>
      <w:r>
        <w:rPr>
          <w:rFonts w:hint="eastAsia" w:ascii="宋体" w:hAnsi="宋体" w:cs="宋体"/>
          <w:bCs/>
          <w:snapToGrid w:val="0"/>
          <w:sz w:val="24"/>
          <w:szCs w:val="24"/>
          <w:highlight w:val="none"/>
          <w:lang w:eastAsia="zh-CN"/>
        </w:rPr>
        <w:t>注：</w:t>
      </w:r>
      <w:r>
        <w:rPr>
          <w:rFonts w:hint="eastAsia" w:ascii="宋体" w:hAnsi="宋体" w:eastAsia="宋体" w:cs="宋体"/>
          <w:bCs/>
          <w:snapToGrid w:val="0"/>
          <w:sz w:val="24"/>
          <w:szCs w:val="24"/>
          <w:highlight w:val="none"/>
        </w:rPr>
        <w:t>本项目为专门面向中小企业的采购项目（</w:t>
      </w:r>
      <w:r>
        <w:rPr>
          <w:rFonts w:hint="eastAsia" w:ascii="宋体" w:hAnsi="宋体" w:eastAsia="宋体" w:cs="宋体"/>
          <w:bCs/>
          <w:snapToGrid w:val="0"/>
          <w:sz w:val="24"/>
          <w:szCs w:val="24"/>
          <w:highlight w:val="none"/>
          <w:lang w:eastAsia="zh-CN"/>
        </w:rPr>
        <w:t>供应商</w:t>
      </w:r>
      <w:r>
        <w:rPr>
          <w:rFonts w:hint="eastAsia" w:ascii="宋体" w:hAnsi="宋体" w:eastAsia="宋体" w:cs="宋体"/>
          <w:bCs/>
          <w:snapToGrid w:val="0"/>
          <w:sz w:val="24"/>
          <w:szCs w:val="24"/>
          <w:highlight w:val="none"/>
        </w:rPr>
        <w:t>应为中小微企业、监狱企业、残疾人福利性单位。</w:t>
      </w:r>
    </w:p>
    <w:p>
      <w:pPr>
        <w:jc w:val="center"/>
        <w:rPr>
          <w:rFonts w:hint="eastAsia" w:ascii="宋体" w:hAnsi="宋体" w:eastAsia="宋体" w:cs="宋体"/>
          <w:b/>
          <w:sz w:val="24"/>
          <w:szCs w:val="24"/>
        </w:rPr>
      </w:pPr>
      <w:r>
        <w:rPr>
          <w:rFonts w:hint="eastAsia" w:ascii="宋体" w:hAnsi="宋体" w:eastAsia="宋体" w:cs="宋体"/>
          <w:b/>
          <w:sz w:val="24"/>
          <w:szCs w:val="24"/>
        </w:rPr>
        <w:t>中小企业声明函（货物）</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spacing w:line="500" w:lineRule="exact"/>
        <w:ind w:firstLine="480" w:firstLineChars="200"/>
        <w:rPr>
          <w:rFonts w:hint="eastAsia" w:ascii="宋体" w:hAnsi="宋体" w:eastAsia="宋体" w:cs="宋体"/>
          <w:sz w:val="24"/>
          <w:szCs w:val="24"/>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1._</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，从业人员__人，营业收入为___万元，资产总额为</w:t>
      </w:r>
      <w:r>
        <w:rPr>
          <w:rFonts w:hint="eastAsia" w:ascii="宋体" w:hAnsi="宋体" w:eastAsia="宋体" w:cs="宋体"/>
          <w:sz w:val="24"/>
          <w:szCs w:val="24"/>
          <w:u w:val="single"/>
        </w:rPr>
        <w:t xml:space="preserve"> __</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，从业人员__人，营业收入为</w:t>
      </w:r>
      <w:r>
        <w:rPr>
          <w:rFonts w:hint="eastAsia" w:ascii="宋体" w:hAnsi="宋体" w:eastAsia="宋体" w:cs="宋体"/>
          <w:sz w:val="24"/>
          <w:szCs w:val="24"/>
          <w:u w:val="single"/>
        </w:rPr>
        <w:t>_ _</w:t>
      </w:r>
      <w:r>
        <w:rPr>
          <w:rFonts w:hint="eastAsia" w:ascii="宋体" w:hAnsi="宋体" w:eastAsia="宋体" w:cs="宋体"/>
          <w:sz w:val="24"/>
          <w:szCs w:val="24"/>
        </w:rPr>
        <w:t>万元，资产总额为___万元，属于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rPr>
          <w:rFonts w:hint="eastAsia" w:ascii="宋体" w:hAnsi="宋体" w:eastAsia="宋体" w:cs="宋体"/>
          <w:b/>
          <w:sz w:val="24"/>
          <w:szCs w:val="24"/>
        </w:rPr>
      </w:pPr>
    </w:p>
    <w:p>
      <w:pPr>
        <w:spacing w:line="500" w:lineRule="exact"/>
        <w:ind w:right="420" w:firstLine="3360" w:firstLineChars="1400"/>
        <w:jc w:val="left"/>
        <w:rPr>
          <w:rFonts w:hint="eastAsia" w:ascii="宋体" w:hAnsi="宋体" w:eastAsia="宋体" w:cs="宋体"/>
          <w:sz w:val="24"/>
          <w:szCs w:val="24"/>
        </w:rPr>
      </w:pPr>
      <w:r>
        <w:rPr>
          <w:rFonts w:hint="eastAsia" w:ascii="宋体" w:hAnsi="宋体" w:eastAsia="宋体" w:cs="宋体"/>
          <w:sz w:val="24"/>
          <w:szCs w:val="24"/>
        </w:rPr>
        <w:t>企业名称(盖章)：</w:t>
      </w:r>
    </w:p>
    <w:p>
      <w:pPr>
        <w:spacing w:line="500" w:lineRule="exact"/>
        <w:ind w:right="420" w:firstLine="3360" w:firstLineChars="1400"/>
        <w:jc w:val="left"/>
        <w:rPr>
          <w:rFonts w:hint="eastAsia" w:ascii="宋体" w:hAnsi="宋体" w:eastAsia="宋体" w:cs="宋体"/>
          <w:sz w:val="24"/>
          <w:szCs w:val="24"/>
        </w:rPr>
      </w:pPr>
      <w:r>
        <w:rPr>
          <w:rFonts w:hint="eastAsia" w:ascii="宋体" w:hAnsi="宋体" w:eastAsia="宋体" w:cs="宋体"/>
          <w:sz w:val="24"/>
          <w:szCs w:val="24"/>
        </w:rPr>
        <w:t>日期:</w:t>
      </w:r>
    </w:p>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eastAsia="zh-CN"/>
        </w:rPr>
        <w:t>附件：</w:t>
      </w:r>
      <w:r>
        <w:rPr>
          <w:rFonts w:hint="eastAsia" w:ascii="宋体" w:hAnsi="宋体" w:eastAsia="宋体" w:cs="宋体"/>
          <w:b/>
          <w:sz w:val="24"/>
          <w:szCs w:val="24"/>
        </w:rPr>
        <w:t>中小企业划型标准规定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　　一、根据《中华人民共和国中小企业促进法》和《国务院关于进一步促进中小企业发展的若干意见》(国发〔2009〕36号)，制定本规定。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　　二、中小企业划分为中型、小型、微型三种类型，具体标准根据企业从业人员、营业收入、资产总额等指标，结合行业特点制定。</w:t>
      </w:r>
    </w:p>
    <w:p>
      <w:pPr>
        <w:spacing w:line="360" w:lineRule="auto"/>
        <w:rPr>
          <w:rFonts w:hint="eastAsia" w:ascii="宋体" w:hAnsi="宋体" w:eastAsia="宋体" w:cs="宋体"/>
          <w:sz w:val="24"/>
          <w:szCs w:val="24"/>
        </w:rPr>
      </w:pPr>
      <w:r>
        <w:rPr>
          <w:rFonts w:hint="eastAsia" w:ascii="宋体" w:hAnsi="宋体" w:eastAsia="宋体" w:cs="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rPr>
          <w:rFonts w:hint="eastAsia" w:ascii="宋体" w:hAnsi="宋体" w:eastAsia="宋体" w:cs="宋体"/>
          <w:sz w:val="24"/>
          <w:szCs w:val="24"/>
        </w:rPr>
      </w:pPr>
      <w:r>
        <w:rPr>
          <w:rFonts w:hint="eastAsia" w:ascii="宋体" w:hAnsi="宋体" w:eastAsia="宋体" w:cs="宋体"/>
          <w:sz w:val="24"/>
          <w:szCs w:val="24"/>
        </w:rPr>
        <w:t>　　四、各行业划型标准为：</w:t>
      </w:r>
    </w:p>
    <w:p>
      <w:pPr>
        <w:spacing w:line="360" w:lineRule="auto"/>
        <w:rPr>
          <w:rFonts w:hint="eastAsia" w:ascii="宋体" w:hAnsi="宋体" w:eastAsia="宋体" w:cs="宋体"/>
          <w:sz w:val="24"/>
          <w:szCs w:val="24"/>
        </w:rPr>
      </w:pPr>
      <w:r>
        <w:rPr>
          <w:rFonts w:hint="eastAsia" w:ascii="宋体" w:hAnsi="宋体" w:eastAsia="宋体" w:cs="宋体"/>
          <w:sz w:val="24"/>
          <w:szCs w:val="24"/>
        </w:rPr>
        <w:t>　　（一）农、林、牧、渔业。营业收入20000万元以下的为中小微型企业。其中，营业收入500万元及以上的为中型企业，营业收入50万元及以上的为小型企业，营业收入50万元以下的为微型企业。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（十六）其他未列明行业。从业人员300人以下的为中小微型企业。其中，从业人员100人及以上的为中型企业；从业人员10人及以上的为小型企业；从业人员10人以下的为微型企业。</w:t>
      </w:r>
    </w:p>
    <w:p>
      <w:pPr>
        <w:spacing w:line="360" w:lineRule="auto"/>
        <w:rPr>
          <w:rFonts w:hint="eastAsia" w:ascii="宋体" w:hAnsi="宋体" w:eastAsia="宋体" w:cs="宋体"/>
          <w:sz w:val="24"/>
          <w:szCs w:val="24"/>
        </w:rPr>
      </w:pPr>
      <w:r>
        <w:rPr>
          <w:rFonts w:hint="eastAsia" w:ascii="宋体" w:hAnsi="宋体" w:eastAsia="宋体" w:cs="宋体"/>
          <w:sz w:val="24"/>
          <w:szCs w:val="24"/>
        </w:rPr>
        <w:t>　　五、企业类型的划分以统计部门的统计数据为依据。</w:t>
      </w:r>
    </w:p>
    <w:p>
      <w:pPr>
        <w:spacing w:line="360" w:lineRule="auto"/>
        <w:rPr>
          <w:rFonts w:hint="eastAsia" w:ascii="宋体" w:hAnsi="宋体" w:eastAsia="宋体" w:cs="宋体"/>
          <w:sz w:val="24"/>
          <w:szCs w:val="24"/>
        </w:rPr>
      </w:pPr>
      <w:r>
        <w:rPr>
          <w:rFonts w:hint="eastAsia" w:ascii="宋体" w:hAnsi="宋体" w:eastAsia="宋体" w:cs="宋体"/>
          <w:sz w:val="24"/>
          <w:szCs w:val="24"/>
        </w:rPr>
        <w:t>　　六、本规定适用于在中华人民共和国境内依法设立的各类所有制和各种组织形式的企业。个体工商户和本规定以外的行业，参照本规定进行划型。</w:t>
      </w:r>
    </w:p>
    <w:p>
      <w:pPr>
        <w:pStyle w:val="102"/>
        <w:spacing w:line="443" w:lineRule="exact"/>
        <w:ind w:left="0" w:right="1"/>
        <w:outlineLvl w:val="9"/>
        <w:rPr>
          <w:rFonts w:hint="eastAsia" w:ascii="宋体" w:hAnsi="宋体" w:eastAsia="宋体" w:cs="宋体"/>
          <w:sz w:val="24"/>
          <w:szCs w:val="24"/>
          <w:lang w:eastAsia="zh-CN"/>
        </w:rPr>
      </w:pPr>
    </w:p>
    <w:p>
      <w:pPr>
        <w:pStyle w:val="16"/>
        <w:spacing w:line="500" w:lineRule="exact"/>
        <w:rPr>
          <w:rFonts w:hint="eastAsia" w:ascii="宋体" w:hAnsi="宋体" w:eastAsia="宋体" w:cs="宋体"/>
          <w:b/>
          <w:sz w:val="24"/>
          <w:szCs w:val="24"/>
          <w:highlight w:val="none"/>
        </w:rPr>
      </w:pPr>
    </w:p>
    <w:p>
      <w:pPr>
        <w:pStyle w:val="16"/>
        <w:spacing w:line="500" w:lineRule="exact"/>
        <w:rPr>
          <w:rFonts w:hint="eastAsia" w:ascii="宋体" w:hAnsi="宋体" w:eastAsia="宋体" w:cs="宋体"/>
          <w:b/>
          <w:sz w:val="24"/>
          <w:szCs w:val="24"/>
          <w:highlight w:val="none"/>
        </w:rPr>
      </w:pPr>
    </w:p>
    <w:p>
      <w:pPr>
        <w:pStyle w:val="16"/>
        <w:spacing w:line="500" w:lineRule="exact"/>
        <w:rPr>
          <w:rFonts w:hint="eastAsia" w:ascii="宋体" w:hAnsi="宋体" w:eastAsia="宋体" w:cs="宋体"/>
          <w:b/>
          <w:sz w:val="24"/>
          <w:szCs w:val="24"/>
          <w:highlight w:val="none"/>
        </w:rPr>
      </w:pPr>
    </w:p>
    <w:p>
      <w:pPr>
        <w:pStyle w:val="52"/>
        <w:rPr>
          <w:rFonts w:hint="eastAsia" w:ascii="宋体" w:hAnsi="宋体" w:eastAsia="宋体" w:cs="宋体"/>
          <w:b/>
          <w:sz w:val="24"/>
          <w:szCs w:val="24"/>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98A467B0"/>
    <w:multiLevelType w:val="singleLevel"/>
    <w:tmpl w:val="98A467B0"/>
    <w:lvl w:ilvl="0" w:tentative="0">
      <w:start w:val="5"/>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4C8DFB92"/>
    <w:multiLevelType w:val="singleLevel"/>
    <w:tmpl w:val="4C8DFB92"/>
    <w:lvl w:ilvl="0" w:tentative="0">
      <w:start w:val="6"/>
      <w:numFmt w:val="chineseCounting"/>
      <w:suff w:val="space"/>
      <w:lvlText w:val="第%1章"/>
      <w:lvlJc w:val="left"/>
      <w:rPr>
        <w:rFonts w:hint="eastAsia"/>
      </w:rPr>
    </w:lvl>
  </w:abstractNum>
  <w:abstractNum w:abstractNumId="12">
    <w:nsid w:val="5AD450A8"/>
    <w:multiLevelType w:val="singleLevel"/>
    <w:tmpl w:val="5AD450A8"/>
    <w:lvl w:ilvl="0" w:tentative="0">
      <w:start w:val="2"/>
      <w:numFmt w:val="decimal"/>
      <w:suff w:val="space"/>
      <w:lvlText w:val="%1."/>
      <w:lvlJc w:val="left"/>
    </w:lvl>
  </w:abstractNum>
  <w:abstractNum w:abstractNumId="13">
    <w:nsid w:val="5AD45148"/>
    <w:multiLevelType w:val="singleLevel"/>
    <w:tmpl w:val="5AD45148"/>
    <w:lvl w:ilvl="0" w:tentative="0">
      <w:start w:val="4"/>
      <w:numFmt w:val="decimal"/>
      <w:suff w:val="nothing"/>
      <w:lvlText w:val="%1．"/>
      <w:lvlJc w:val="left"/>
    </w:lvl>
  </w:abstractNum>
  <w:abstractNum w:abstractNumId="14">
    <w:nsid w:val="5DFB4682"/>
    <w:multiLevelType w:val="singleLevel"/>
    <w:tmpl w:val="5DFB4682"/>
    <w:lvl w:ilvl="0" w:tentative="0">
      <w:start w:val="15"/>
      <w:numFmt w:val="decimal"/>
      <w:suff w:val="space"/>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14"/>
  </w:num>
  <w:num w:numId="4">
    <w:abstractNumId w:val="3"/>
  </w:num>
  <w:num w:numId="5">
    <w:abstractNumId w:val="9"/>
  </w:num>
  <w:num w:numId="6">
    <w:abstractNumId w:val="15"/>
  </w:num>
  <w:num w:numId="7">
    <w:abstractNumId w:val="4"/>
  </w:num>
  <w:num w:numId="8">
    <w:abstractNumId w:val="8"/>
  </w:num>
  <w:num w:numId="9">
    <w:abstractNumId w:val="6"/>
  </w:num>
  <w:num w:numId="10">
    <w:abstractNumId w:val="5"/>
  </w:num>
  <w:num w:numId="11">
    <w:abstractNumId w:val="2"/>
  </w:num>
  <w:num w:numId="12">
    <w:abstractNumId w:val="7"/>
  </w:num>
  <w:num w:numId="13">
    <w:abstractNumId w:val="11"/>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95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776423"/>
    <w:rsid w:val="028D5673"/>
    <w:rsid w:val="02C92423"/>
    <w:rsid w:val="02F50D1E"/>
    <w:rsid w:val="03065425"/>
    <w:rsid w:val="03211823"/>
    <w:rsid w:val="03347E88"/>
    <w:rsid w:val="035C6DF3"/>
    <w:rsid w:val="038A5ABF"/>
    <w:rsid w:val="039B16B6"/>
    <w:rsid w:val="039E05DA"/>
    <w:rsid w:val="03D5738D"/>
    <w:rsid w:val="03ED571C"/>
    <w:rsid w:val="03FC3375"/>
    <w:rsid w:val="0431318B"/>
    <w:rsid w:val="04322D1A"/>
    <w:rsid w:val="044F24C5"/>
    <w:rsid w:val="04677ABA"/>
    <w:rsid w:val="04762137"/>
    <w:rsid w:val="04891E6A"/>
    <w:rsid w:val="04E82D3F"/>
    <w:rsid w:val="04FE4606"/>
    <w:rsid w:val="050D4849"/>
    <w:rsid w:val="055256A1"/>
    <w:rsid w:val="05A9269D"/>
    <w:rsid w:val="05F80AA9"/>
    <w:rsid w:val="06533D3B"/>
    <w:rsid w:val="066761DB"/>
    <w:rsid w:val="06724784"/>
    <w:rsid w:val="068C3E93"/>
    <w:rsid w:val="06A905A2"/>
    <w:rsid w:val="06D46658"/>
    <w:rsid w:val="06FC0676"/>
    <w:rsid w:val="07207B9C"/>
    <w:rsid w:val="07216614"/>
    <w:rsid w:val="07230354"/>
    <w:rsid w:val="07B33255"/>
    <w:rsid w:val="08006731"/>
    <w:rsid w:val="082F789B"/>
    <w:rsid w:val="08396ED3"/>
    <w:rsid w:val="08A05850"/>
    <w:rsid w:val="08A420E1"/>
    <w:rsid w:val="08C120E0"/>
    <w:rsid w:val="08E51639"/>
    <w:rsid w:val="090128EB"/>
    <w:rsid w:val="0939545A"/>
    <w:rsid w:val="09A53221"/>
    <w:rsid w:val="09B65004"/>
    <w:rsid w:val="0A363A1D"/>
    <w:rsid w:val="0A5E0FEF"/>
    <w:rsid w:val="0A654A44"/>
    <w:rsid w:val="0A786C09"/>
    <w:rsid w:val="0AAA6709"/>
    <w:rsid w:val="0AC41E4E"/>
    <w:rsid w:val="0AC73F32"/>
    <w:rsid w:val="0B4A5116"/>
    <w:rsid w:val="0B7B75D7"/>
    <w:rsid w:val="0BB76C03"/>
    <w:rsid w:val="0BCB720C"/>
    <w:rsid w:val="0BE514A3"/>
    <w:rsid w:val="0C6E2553"/>
    <w:rsid w:val="0C887271"/>
    <w:rsid w:val="0C8B41A2"/>
    <w:rsid w:val="0CEA1C85"/>
    <w:rsid w:val="0D3D36A4"/>
    <w:rsid w:val="0D514AA1"/>
    <w:rsid w:val="0D6F1145"/>
    <w:rsid w:val="0D791A19"/>
    <w:rsid w:val="0D9D2076"/>
    <w:rsid w:val="0DAB060F"/>
    <w:rsid w:val="0E15651D"/>
    <w:rsid w:val="0E42412C"/>
    <w:rsid w:val="0E5A6D3F"/>
    <w:rsid w:val="0E5E3E03"/>
    <w:rsid w:val="0E794CFD"/>
    <w:rsid w:val="0EBE4E06"/>
    <w:rsid w:val="0EC71FEA"/>
    <w:rsid w:val="0ECC1A8E"/>
    <w:rsid w:val="0EE41A9E"/>
    <w:rsid w:val="0EFA1914"/>
    <w:rsid w:val="0F0832FF"/>
    <w:rsid w:val="0F4E618A"/>
    <w:rsid w:val="0F4F5A5E"/>
    <w:rsid w:val="0F505B34"/>
    <w:rsid w:val="0FC91CB4"/>
    <w:rsid w:val="0FD71303"/>
    <w:rsid w:val="0FF54858"/>
    <w:rsid w:val="0FF9647C"/>
    <w:rsid w:val="1012617E"/>
    <w:rsid w:val="102155FB"/>
    <w:rsid w:val="10675755"/>
    <w:rsid w:val="10C5403D"/>
    <w:rsid w:val="10EC5BD9"/>
    <w:rsid w:val="116003F7"/>
    <w:rsid w:val="117F2E0D"/>
    <w:rsid w:val="1182036D"/>
    <w:rsid w:val="11BC012B"/>
    <w:rsid w:val="11D6041E"/>
    <w:rsid w:val="11E44B84"/>
    <w:rsid w:val="11F358DC"/>
    <w:rsid w:val="11FD7411"/>
    <w:rsid w:val="1220749E"/>
    <w:rsid w:val="12235F3C"/>
    <w:rsid w:val="1237314D"/>
    <w:rsid w:val="123F625E"/>
    <w:rsid w:val="123F6455"/>
    <w:rsid w:val="12B65EBF"/>
    <w:rsid w:val="12C44D3D"/>
    <w:rsid w:val="12CC1C47"/>
    <w:rsid w:val="13160D6D"/>
    <w:rsid w:val="14512AE0"/>
    <w:rsid w:val="146E4BD8"/>
    <w:rsid w:val="14F60EC4"/>
    <w:rsid w:val="14FA4179"/>
    <w:rsid w:val="151B7263"/>
    <w:rsid w:val="152A5522"/>
    <w:rsid w:val="153E5E53"/>
    <w:rsid w:val="157A70F8"/>
    <w:rsid w:val="157B78DE"/>
    <w:rsid w:val="157D0B2C"/>
    <w:rsid w:val="15AA1458"/>
    <w:rsid w:val="15C047FF"/>
    <w:rsid w:val="162E681F"/>
    <w:rsid w:val="16486296"/>
    <w:rsid w:val="16C31734"/>
    <w:rsid w:val="17A7775F"/>
    <w:rsid w:val="17CA3567"/>
    <w:rsid w:val="17CC0594"/>
    <w:rsid w:val="182403C0"/>
    <w:rsid w:val="18285F02"/>
    <w:rsid w:val="182F6ADF"/>
    <w:rsid w:val="18335F1D"/>
    <w:rsid w:val="188E3A9B"/>
    <w:rsid w:val="18B21D51"/>
    <w:rsid w:val="1936109D"/>
    <w:rsid w:val="194C5989"/>
    <w:rsid w:val="197B7584"/>
    <w:rsid w:val="19932087"/>
    <w:rsid w:val="1A85424D"/>
    <w:rsid w:val="1AA165D5"/>
    <w:rsid w:val="1AB966B2"/>
    <w:rsid w:val="1AE15806"/>
    <w:rsid w:val="1B496BEE"/>
    <w:rsid w:val="1B813CC4"/>
    <w:rsid w:val="1B9B2CA9"/>
    <w:rsid w:val="1BA749C4"/>
    <w:rsid w:val="1BB27C53"/>
    <w:rsid w:val="1BB66110"/>
    <w:rsid w:val="1BDD4A1B"/>
    <w:rsid w:val="1BEA0EFF"/>
    <w:rsid w:val="1BF93C25"/>
    <w:rsid w:val="1CBF0500"/>
    <w:rsid w:val="1CFE11EF"/>
    <w:rsid w:val="1DA63635"/>
    <w:rsid w:val="1DA8475E"/>
    <w:rsid w:val="1DFE2624"/>
    <w:rsid w:val="1E0064D3"/>
    <w:rsid w:val="1E05605A"/>
    <w:rsid w:val="1E0E0A9A"/>
    <w:rsid w:val="1E171374"/>
    <w:rsid w:val="1E222CBC"/>
    <w:rsid w:val="1E3B2150"/>
    <w:rsid w:val="1E4F2CD5"/>
    <w:rsid w:val="1E74103D"/>
    <w:rsid w:val="1E805BA0"/>
    <w:rsid w:val="1EDD2072"/>
    <w:rsid w:val="1EE4155E"/>
    <w:rsid w:val="1F327E6B"/>
    <w:rsid w:val="1F506A4C"/>
    <w:rsid w:val="1F6D76F6"/>
    <w:rsid w:val="1F777037"/>
    <w:rsid w:val="1F895573"/>
    <w:rsid w:val="1FCB4A6E"/>
    <w:rsid w:val="1FCF6663"/>
    <w:rsid w:val="1FE13A05"/>
    <w:rsid w:val="20816028"/>
    <w:rsid w:val="208E48EF"/>
    <w:rsid w:val="20B43BF1"/>
    <w:rsid w:val="20B80B22"/>
    <w:rsid w:val="2105322D"/>
    <w:rsid w:val="21374DD4"/>
    <w:rsid w:val="214C5BC5"/>
    <w:rsid w:val="21577120"/>
    <w:rsid w:val="21676C37"/>
    <w:rsid w:val="21E93AF0"/>
    <w:rsid w:val="220612E3"/>
    <w:rsid w:val="22237002"/>
    <w:rsid w:val="224F3B62"/>
    <w:rsid w:val="226118D9"/>
    <w:rsid w:val="229438B4"/>
    <w:rsid w:val="22B742CD"/>
    <w:rsid w:val="22D52DDA"/>
    <w:rsid w:val="23A14683"/>
    <w:rsid w:val="23A74BBD"/>
    <w:rsid w:val="23DC1A2F"/>
    <w:rsid w:val="246D6944"/>
    <w:rsid w:val="24922AB1"/>
    <w:rsid w:val="2527378E"/>
    <w:rsid w:val="2530284B"/>
    <w:rsid w:val="25556D82"/>
    <w:rsid w:val="2560751D"/>
    <w:rsid w:val="25757B75"/>
    <w:rsid w:val="259D70B9"/>
    <w:rsid w:val="25C7239A"/>
    <w:rsid w:val="25EC066E"/>
    <w:rsid w:val="261F644A"/>
    <w:rsid w:val="262D66A1"/>
    <w:rsid w:val="26AF355A"/>
    <w:rsid w:val="26BB3CAD"/>
    <w:rsid w:val="26C115E8"/>
    <w:rsid w:val="26F64CE5"/>
    <w:rsid w:val="271D3475"/>
    <w:rsid w:val="272C509E"/>
    <w:rsid w:val="27313F6F"/>
    <w:rsid w:val="27C13545"/>
    <w:rsid w:val="285C14C0"/>
    <w:rsid w:val="29415789"/>
    <w:rsid w:val="29422464"/>
    <w:rsid w:val="296E4DB7"/>
    <w:rsid w:val="297A3312"/>
    <w:rsid w:val="29AB614E"/>
    <w:rsid w:val="29BF7984"/>
    <w:rsid w:val="2A3049B2"/>
    <w:rsid w:val="2A497822"/>
    <w:rsid w:val="2A9F183F"/>
    <w:rsid w:val="2AC511FF"/>
    <w:rsid w:val="2B137A26"/>
    <w:rsid w:val="2B3702A8"/>
    <w:rsid w:val="2B6E5792"/>
    <w:rsid w:val="2BE96C22"/>
    <w:rsid w:val="2BF5404C"/>
    <w:rsid w:val="2C034D0D"/>
    <w:rsid w:val="2C1252C2"/>
    <w:rsid w:val="2C9A0975"/>
    <w:rsid w:val="2CC0413F"/>
    <w:rsid w:val="2D055E1D"/>
    <w:rsid w:val="2D8748E9"/>
    <w:rsid w:val="2D910EBE"/>
    <w:rsid w:val="2D964B2C"/>
    <w:rsid w:val="2DA400CE"/>
    <w:rsid w:val="2DAC2698"/>
    <w:rsid w:val="2DB2578B"/>
    <w:rsid w:val="2DB71FA7"/>
    <w:rsid w:val="2E5C32EB"/>
    <w:rsid w:val="2E8A42F7"/>
    <w:rsid w:val="2EF00020"/>
    <w:rsid w:val="2F180AB4"/>
    <w:rsid w:val="2F334462"/>
    <w:rsid w:val="2F866390"/>
    <w:rsid w:val="2F94153F"/>
    <w:rsid w:val="2FD12CC9"/>
    <w:rsid w:val="2FD41F86"/>
    <w:rsid w:val="3027709A"/>
    <w:rsid w:val="30294ADC"/>
    <w:rsid w:val="304C6A88"/>
    <w:rsid w:val="30542A7D"/>
    <w:rsid w:val="305D7F50"/>
    <w:rsid w:val="31602E24"/>
    <w:rsid w:val="317408E4"/>
    <w:rsid w:val="3182385E"/>
    <w:rsid w:val="31E7004C"/>
    <w:rsid w:val="31FA1774"/>
    <w:rsid w:val="32642CEC"/>
    <w:rsid w:val="32B33C46"/>
    <w:rsid w:val="32F742BF"/>
    <w:rsid w:val="33020093"/>
    <w:rsid w:val="330714FD"/>
    <w:rsid w:val="333C0154"/>
    <w:rsid w:val="33FC7E8C"/>
    <w:rsid w:val="342D2F02"/>
    <w:rsid w:val="34841945"/>
    <w:rsid w:val="34F10498"/>
    <w:rsid w:val="35831E3A"/>
    <w:rsid w:val="35B651B7"/>
    <w:rsid w:val="35EE0253"/>
    <w:rsid w:val="360C22F5"/>
    <w:rsid w:val="369571B1"/>
    <w:rsid w:val="371B7E5C"/>
    <w:rsid w:val="37980295"/>
    <w:rsid w:val="37A418D8"/>
    <w:rsid w:val="38491261"/>
    <w:rsid w:val="386020D3"/>
    <w:rsid w:val="3865492E"/>
    <w:rsid w:val="386A0217"/>
    <w:rsid w:val="387C0DC3"/>
    <w:rsid w:val="394A1F2F"/>
    <w:rsid w:val="3996652D"/>
    <w:rsid w:val="3A922B1F"/>
    <w:rsid w:val="3BA42EB1"/>
    <w:rsid w:val="3BC136BC"/>
    <w:rsid w:val="3BC938F0"/>
    <w:rsid w:val="3BF375EE"/>
    <w:rsid w:val="3C0703B8"/>
    <w:rsid w:val="3C183D6E"/>
    <w:rsid w:val="3CBC31FE"/>
    <w:rsid w:val="3D0B68B2"/>
    <w:rsid w:val="3D347787"/>
    <w:rsid w:val="3E063608"/>
    <w:rsid w:val="3F5F18CC"/>
    <w:rsid w:val="3F850EA5"/>
    <w:rsid w:val="3FA179AA"/>
    <w:rsid w:val="3FD733D9"/>
    <w:rsid w:val="401738F5"/>
    <w:rsid w:val="404855C5"/>
    <w:rsid w:val="40592E84"/>
    <w:rsid w:val="40844CB8"/>
    <w:rsid w:val="40A86BF9"/>
    <w:rsid w:val="40D951D2"/>
    <w:rsid w:val="41087697"/>
    <w:rsid w:val="41923C46"/>
    <w:rsid w:val="41AA0ACA"/>
    <w:rsid w:val="41B62D5F"/>
    <w:rsid w:val="41E04AE3"/>
    <w:rsid w:val="42027919"/>
    <w:rsid w:val="424C082D"/>
    <w:rsid w:val="426B74AE"/>
    <w:rsid w:val="42BD6EF0"/>
    <w:rsid w:val="42F56341"/>
    <w:rsid w:val="43041412"/>
    <w:rsid w:val="431F392D"/>
    <w:rsid w:val="43417B2B"/>
    <w:rsid w:val="43467BC5"/>
    <w:rsid w:val="437B23A2"/>
    <w:rsid w:val="43923B90"/>
    <w:rsid w:val="43BF2D12"/>
    <w:rsid w:val="43EC5115"/>
    <w:rsid w:val="44114AB5"/>
    <w:rsid w:val="444878C1"/>
    <w:rsid w:val="445B1741"/>
    <w:rsid w:val="445D5F4C"/>
    <w:rsid w:val="44763F08"/>
    <w:rsid w:val="44817E8C"/>
    <w:rsid w:val="44A105CA"/>
    <w:rsid w:val="44B26298"/>
    <w:rsid w:val="44F2662B"/>
    <w:rsid w:val="44FB3862"/>
    <w:rsid w:val="45877724"/>
    <w:rsid w:val="458A0EA3"/>
    <w:rsid w:val="465869CB"/>
    <w:rsid w:val="468F4EFD"/>
    <w:rsid w:val="469E361A"/>
    <w:rsid w:val="46D7388F"/>
    <w:rsid w:val="47121221"/>
    <w:rsid w:val="47653A95"/>
    <w:rsid w:val="4772342A"/>
    <w:rsid w:val="47B10A89"/>
    <w:rsid w:val="480C5CBF"/>
    <w:rsid w:val="484E277B"/>
    <w:rsid w:val="48A0098D"/>
    <w:rsid w:val="48B439FC"/>
    <w:rsid w:val="494C5DE0"/>
    <w:rsid w:val="496530BC"/>
    <w:rsid w:val="49725FF6"/>
    <w:rsid w:val="4977360C"/>
    <w:rsid w:val="499C3B40"/>
    <w:rsid w:val="49BF6D61"/>
    <w:rsid w:val="4A531BC5"/>
    <w:rsid w:val="4A813F5B"/>
    <w:rsid w:val="4AAB4206"/>
    <w:rsid w:val="4AE403BE"/>
    <w:rsid w:val="4B2B03A0"/>
    <w:rsid w:val="4BB7477B"/>
    <w:rsid w:val="4C5D5DD6"/>
    <w:rsid w:val="4CC13AA8"/>
    <w:rsid w:val="4CCE37BE"/>
    <w:rsid w:val="4CFE6137"/>
    <w:rsid w:val="4D0834AA"/>
    <w:rsid w:val="4D160340"/>
    <w:rsid w:val="4D3A3383"/>
    <w:rsid w:val="4D4215BD"/>
    <w:rsid w:val="4D6871A7"/>
    <w:rsid w:val="4D7B7443"/>
    <w:rsid w:val="4D9A561E"/>
    <w:rsid w:val="4DB017E2"/>
    <w:rsid w:val="4DBD6A94"/>
    <w:rsid w:val="4DDC01B9"/>
    <w:rsid w:val="4DE44FE8"/>
    <w:rsid w:val="4E277F6E"/>
    <w:rsid w:val="4E83005C"/>
    <w:rsid w:val="4F136B0E"/>
    <w:rsid w:val="4F345A3A"/>
    <w:rsid w:val="4F4977F9"/>
    <w:rsid w:val="4F7F0B09"/>
    <w:rsid w:val="4F83137D"/>
    <w:rsid w:val="4F906609"/>
    <w:rsid w:val="4F9155F1"/>
    <w:rsid w:val="4F98252E"/>
    <w:rsid w:val="4FA9310C"/>
    <w:rsid w:val="4FBA6948"/>
    <w:rsid w:val="4FEE214E"/>
    <w:rsid w:val="505477A0"/>
    <w:rsid w:val="50603B72"/>
    <w:rsid w:val="50987DB7"/>
    <w:rsid w:val="50C23D07"/>
    <w:rsid w:val="50C8299F"/>
    <w:rsid w:val="50FA52A6"/>
    <w:rsid w:val="50FD52B5"/>
    <w:rsid w:val="50FF3F4A"/>
    <w:rsid w:val="510C51B5"/>
    <w:rsid w:val="51243167"/>
    <w:rsid w:val="51263104"/>
    <w:rsid w:val="51297BD8"/>
    <w:rsid w:val="51342574"/>
    <w:rsid w:val="51380E48"/>
    <w:rsid w:val="51B573C7"/>
    <w:rsid w:val="51B965FC"/>
    <w:rsid w:val="5311494E"/>
    <w:rsid w:val="5325368A"/>
    <w:rsid w:val="53715570"/>
    <w:rsid w:val="538B2AB6"/>
    <w:rsid w:val="538F3C50"/>
    <w:rsid w:val="539C7FFE"/>
    <w:rsid w:val="53CE651E"/>
    <w:rsid w:val="53CF796F"/>
    <w:rsid w:val="540F2D98"/>
    <w:rsid w:val="549A713E"/>
    <w:rsid w:val="549D2738"/>
    <w:rsid w:val="54CD2C7A"/>
    <w:rsid w:val="54DA6115"/>
    <w:rsid w:val="551E2E5D"/>
    <w:rsid w:val="55B32794"/>
    <w:rsid w:val="55FE3977"/>
    <w:rsid w:val="569E48CE"/>
    <w:rsid w:val="56C579D5"/>
    <w:rsid w:val="56E10C5F"/>
    <w:rsid w:val="57017A7F"/>
    <w:rsid w:val="571854E6"/>
    <w:rsid w:val="571B5B72"/>
    <w:rsid w:val="57432F68"/>
    <w:rsid w:val="576631B4"/>
    <w:rsid w:val="578C03FE"/>
    <w:rsid w:val="58145D63"/>
    <w:rsid w:val="58194DB1"/>
    <w:rsid w:val="58276B45"/>
    <w:rsid w:val="5851695F"/>
    <w:rsid w:val="58CE0D6F"/>
    <w:rsid w:val="58D740C7"/>
    <w:rsid w:val="58DC7930"/>
    <w:rsid w:val="58F55856"/>
    <w:rsid w:val="5953256C"/>
    <w:rsid w:val="5955718D"/>
    <w:rsid w:val="598A6BBE"/>
    <w:rsid w:val="599975CF"/>
    <w:rsid w:val="59AA358A"/>
    <w:rsid w:val="59B140E5"/>
    <w:rsid w:val="59BD32BD"/>
    <w:rsid w:val="59E86B9F"/>
    <w:rsid w:val="5A644C07"/>
    <w:rsid w:val="5A7D5703"/>
    <w:rsid w:val="5A9D6C4B"/>
    <w:rsid w:val="5B6648C7"/>
    <w:rsid w:val="5B7D1A85"/>
    <w:rsid w:val="5BE622C6"/>
    <w:rsid w:val="5C1C4FA9"/>
    <w:rsid w:val="5C4B5C6D"/>
    <w:rsid w:val="5C6A70FC"/>
    <w:rsid w:val="5C8D60EF"/>
    <w:rsid w:val="5CA964D7"/>
    <w:rsid w:val="5CBB38CE"/>
    <w:rsid w:val="5CDE7A74"/>
    <w:rsid w:val="5D042FB1"/>
    <w:rsid w:val="5D457A78"/>
    <w:rsid w:val="5D814602"/>
    <w:rsid w:val="5DC757F8"/>
    <w:rsid w:val="5DFC6D3C"/>
    <w:rsid w:val="5E3209E8"/>
    <w:rsid w:val="5E473A9D"/>
    <w:rsid w:val="5E7524E6"/>
    <w:rsid w:val="5F183E0C"/>
    <w:rsid w:val="5F2413D1"/>
    <w:rsid w:val="5F385194"/>
    <w:rsid w:val="5FF85DB8"/>
    <w:rsid w:val="60114363"/>
    <w:rsid w:val="60151849"/>
    <w:rsid w:val="607939D6"/>
    <w:rsid w:val="608E59B3"/>
    <w:rsid w:val="60BD0047"/>
    <w:rsid w:val="611A7247"/>
    <w:rsid w:val="61295DD7"/>
    <w:rsid w:val="616E707C"/>
    <w:rsid w:val="61F007AB"/>
    <w:rsid w:val="6203073F"/>
    <w:rsid w:val="620A2C3A"/>
    <w:rsid w:val="62154CEE"/>
    <w:rsid w:val="621813D1"/>
    <w:rsid w:val="62397BA1"/>
    <w:rsid w:val="624B0278"/>
    <w:rsid w:val="626E0AFD"/>
    <w:rsid w:val="626E2A3F"/>
    <w:rsid w:val="627B3D15"/>
    <w:rsid w:val="63544D8A"/>
    <w:rsid w:val="637A1F7C"/>
    <w:rsid w:val="639130C5"/>
    <w:rsid w:val="63A63849"/>
    <w:rsid w:val="63FA510E"/>
    <w:rsid w:val="64535AA4"/>
    <w:rsid w:val="64646DE3"/>
    <w:rsid w:val="64857BC7"/>
    <w:rsid w:val="64AA2690"/>
    <w:rsid w:val="64CA35B2"/>
    <w:rsid w:val="6502427A"/>
    <w:rsid w:val="652F2B95"/>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1940CB"/>
    <w:rsid w:val="6B6704AB"/>
    <w:rsid w:val="6B906529"/>
    <w:rsid w:val="6BAE03D4"/>
    <w:rsid w:val="6BC87B69"/>
    <w:rsid w:val="6BD75683"/>
    <w:rsid w:val="6C3867D3"/>
    <w:rsid w:val="6C64587D"/>
    <w:rsid w:val="6C931E67"/>
    <w:rsid w:val="6CD84F63"/>
    <w:rsid w:val="6CFA6E24"/>
    <w:rsid w:val="6D091DD7"/>
    <w:rsid w:val="6D3C6797"/>
    <w:rsid w:val="6D3F4260"/>
    <w:rsid w:val="6DA952AB"/>
    <w:rsid w:val="6DDD3ACB"/>
    <w:rsid w:val="6DDE7F68"/>
    <w:rsid w:val="6E170B30"/>
    <w:rsid w:val="6E433451"/>
    <w:rsid w:val="6E66437B"/>
    <w:rsid w:val="6E7D5654"/>
    <w:rsid w:val="6EA823C5"/>
    <w:rsid w:val="6EAB02FA"/>
    <w:rsid w:val="6ECE1195"/>
    <w:rsid w:val="6EEE3E5F"/>
    <w:rsid w:val="6F26325B"/>
    <w:rsid w:val="6F6B3CB4"/>
    <w:rsid w:val="6F987BE5"/>
    <w:rsid w:val="6FBA5DBC"/>
    <w:rsid w:val="6FC06798"/>
    <w:rsid w:val="6FFE5B18"/>
    <w:rsid w:val="70114A8F"/>
    <w:rsid w:val="70545BA6"/>
    <w:rsid w:val="705F07D2"/>
    <w:rsid w:val="706601C1"/>
    <w:rsid w:val="70DA1157"/>
    <w:rsid w:val="7135284F"/>
    <w:rsid w:val="71440DA3"/>
    <w:rsid w:val="71A36DE5"/>
    <w:rsid w:val="71CB7E3C"/>
    <w:rsid w:val="71EC078C"/>
    <w:rsid w:val="720B45E8"/>
    <w:rsid w:val="7223471E"/>
    <w:rsid w:val="7224286D"/>
    <w:rsid w:val="72312642"/>
    <w:rsid w:val="72434598"/>
    <w:rsid w:val="72540756"/>
    <w:rsid w:val="72685348"/>
    <w:rsid w:val="72772DE8"/>
    <w:rsid w:val="72DE1046"/>
    <w:rsid w:val="736F6D6F"/>
    <w:rsid w:val="73886174"/>
    <w:rsid w:val="73965B3A"/>
    <w:rsid w:val="73F1711D"/>
    <w:rsid w:val="73F64F94"/>
    <w:rsid w:val="74257F85"/>
    <w:rsid w:val="74393C29"/>
    <w:rsid w:val="745C6968"/>
    <w:rsid w:val="74623ADD"/>
    <w:rsid w:val="74D347D7"/>
    <w:rsid w:val="74E24B72"/>
    <w:rsid w:val="750E26E5"/>
    <w:rsid w:val="752C64EA"/>
    <w:rsid w:val="75532F0F"/>
    <w:rsid w:val="75A23164"/>
    <w:rsid w:val="75B01AD0"/>
    <w:rsid w:val="75D204AB"/>
    <w:rsid w:val="760517E8"/>
    <w:rsid w:val="76171B4F"/>
    <w:rsid w:val="76241587"/>
    <w:rsid w:val="7634625D"/>
    <w:rsid w:val="763C1ED6"/>
    <w:rsid w:val="76446D4F"/>
    <w:rsid w:val="765D4CA4"/>
    <w:rsid w:val="767A68A9"/>
    <w:rsid w:val="7682191D"/>
    <w:rsid w:val="769D3D7B"/>
    <w:rsid w:val="76E41281"/>
    <w:rsid w:val="76E446A4"/>
    <w:rsid w:val="76FE3F87"/>
    <w:rsid w:val="77043E82"/>
    <w:rsid w:val="77424A9B"/>
    <w:rsid w:val="776E579F"/>
    <w:rsid w:val="777752DD"/>
    <w:rsid w:val="77F90B4B"/>
    <w:rsid w:val="7881708F"/>
    <w:rsid w:val="78821DBA"/>
    <w:rsid w:val="78866B18"/>
    <w:rsid w:val="78AC56A2"/>
    <w:rsid w:val="78B249E8"/>
    <w:rsid w:val="78FB6342"/>
    <w:rsid w:val="797B22D6"/>
    <w:rsid w:val="79FC3A25"/>
    <w:rsid w:val="7A1D5D70"/>
    <w:rsid w:val="7A29614B"/>
    <w:rsid w:val="7A942C8A"/>
    <w:rsid w:val="7AAD14D7"/>
    <w:rsid w:val="7AE52177"/>
    <w:rsid w:val="7AE71AF0"/>
    <w:rsid w:val="7AEC7249"/>
    <w:rsid w:val="7B0B0A66"/>
    <w:rsid w:val="7B42766E"/>
    <w:rsid w:val="7B65510B"/>
    <w:rsid w:val="7B6624BF"/>
    <w:rsid w:val="7B8C75F4"/>
    <w:rsid w:val="7B9A3006"/>
    <w:rsid w:val="7BA33ADE"/>
    <w:rsid w:val="7BC17BB6"/>
    <w:rsid w:val="7C040259"/>
    <w:rsid w:val="7C8716CA"/>
    <w:rsid w:val="7C945CA8"/>
    <w:rsid w:val="7CD418BF"/>
    <w:rsid w:val="7D035F7B"/>
    <w:rsid w:val="7DB7720D"/>
    <w:rsid w:val="7DBB6EEC"/>
    <w:rsid w:val="7DDE7156"/>
    <w:rsid w:val="7E2A58C2"/>
    <w:rsid w:val="7E8A5A20"/>
    <w:rsid w:val="7EC86C91"/>
    <w:rsid w:val="7F08297D"/>
    <w:rsid w:val="7F4C2569"/>
    <w:rsid w:val="7F8731B0"/>
    <w:rsid w:val="7FA9381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7"/>
    <w:autoRedefine/>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qFormat/>
    <w:uiPriority w:val="0"/>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Normal Indent"/>
    <w:basedOn w:val="1"/>
    <w:link w:val="59"/>
    <w:autoRedefine/>
    <w:qFormat/>
    <w:uiPriority w:val="0"/>
    <w:pPr>
      <w:ind w:firstLine="420"/>
    </w:pPr>
    <w:rPr>
      <w:szCs w:val="20"/>
    </w:rPr>
  </w:style>
  <w:style w:type="paragraph" w:styleId="9">
    <w:name w:val="toc 7"/>
    <w:basedOn w:val="1"/>
    <w:next w:val="1"/>
    <w:autoRedefine/>
    <w:qFormat/>
    <w:uiPriority w:val="0"/>
    <w:pPr>
      <w:ind w:left="1260"/>
      <w:jc w:val="left"/>
    </w:pPr>
    <w:rPr>
      <w:rFonts w:ascii="Calibri" w:hAnsi="Calibri" w:cs="Calibri"/>
      <w:sz w:val="18"/>
      <w:szCs w:val="18"/>
    </w:rPr>
  </w:style>
  <w:style w:type="paragraph" w:styleId="10">
    <w:name w:val="index 8"/>
    <w:basedOn w:val="1"/>
    <w:next w:val="1"/>
    <w:autoRedefine/>
    <w:unhideWhenUsed/>
    <w:qFormat/>
    <w:uiPriority w:val="99"/>
    <w:pPr>
      <w:ind w:left="1400" w:leftChars="1400"/>
    </w:pPr>
  </w:style>
  <w:style w:type="paragraph" w:styleId="11">
    <w:name w:val="annotation text"/>
    <w:basedOn w:val="1"/>
    <w:link w:val="61"/>
    <w:autoRedefine/>
    <w:qFormat/>
    <w:uiPriority w:val="0"/>
    <w:pPr>
      <w:jc w:val="left"/>
    </w:pPr>
  </w:style>
  <w:style w:type="paragraph" w:styleId="12">
    <w:name w:val="Body Text 3"/>
    <w:basedOn w:val="1"/>
    <w:autoRedefine/>
    <w:qFormat/>
    <w:uiPriority w:val="0"/>
    <w:pPr>
      <w:spacing w:line="240" w:lineRule="exact"/>
    </w:pPr>
    <w:rPr>
      <w:rFonts w:ascii="宋体" w:hAnsi="宋体"/>
      <w:color w:val="000000"/>
      <w:szCs w:val="21"/>
    </w:rPr>
  </w:style>
  <w:style w:type="paragraph" w:styleId="13">
    <w:name w:val="Body Text Indent"/>
    <w:basedOn w:val="1"/>
    <w:link w:val="60"/>
    <w:autoRedefine/>
    <w:qFormat/>
    <w:uiPriority w:val="0"/>
    <w:pPr>
      <w:spacing w:after="120"/>
      <w:ind w:left="420" w:leftChars="200"/>
    </w:pPr>
  </w:style>
  <w:style w:type="paragraph" w:styleId="14">
    <w:name w:val="toc 5"/>
    <w:basedOn w:val="1"/>
    <w:next w:val="1"/>
    <w:autoRedefine/>
    <w:qFormat/>
    <w:uiPriority w:val="0"/>
    <w:pPr>
      <w:ind w:left="840"/>
      <w:jc w:val="left"/>
    </w:pPr>
    <w:rPr>
      <w:rFonts w:ascii="Calibri" w:hAnsi="Calibri" w:cs="Calibri"/>
      <w:sz w:val="18"/>
      <w:szCs w:val="18"/>
    </w:rPr>
  </w:style>
  <w:style w:type="paragraph" w:styleId="15">
    <w:name w:val="toc 3"/>
    <w:basedOn w:val="1"/>
    <w:next w:val="1"/>
    <w:autoRedefine/>
    <w:qFormat/>
    <w:uiPriority w:val="39"/>
    <w:pPr>
      <w:ind w:left="420"/>
      <w:jc w:val="left"/>
    </w:pPr>
    <w:rPr>
      <w:rFonts w:ascii="Calibri" w:hAnsi="Calibri" w:cs="Calibri"/>
      <w:i/>
      <w:iCs/>
      <w:sz w:val="20"/>
      <w:szCs w:val="20"/>
    </w:rPr>
  </w:style>
  <w:style w:type="paragraph" w:styleId="16">
    <w:name w:val="Plain Text"/>
    <w:basedOn w:val="1"/>
    <w:link w:val="58"/>
    <w:autoRedefine/>
    <w:qFormat/>
    <w:uiPriority w:val="0"/>
    <w:rPr>
      <w:rFonts w:ascii="宋体" w:hAnsi="Courier New"/>
      <w:szCs w:val="20"/>
    </w:rPr>
  </w:style>
  <w:style w:type="paragraph" w:styleId="17">
    <w:name w:val="toc 8"/>
    <w:basedOn w:val="1"/>
    <w:next w:val="1"/>
    <w:autoRedefine/>
    <w:qFormat/>
    <w:uiPriority w:val="0"/>
    <w:pPr>
      <w:ind w:left="1470"/>
      <w:jc w:val="left"/>
    </w:pPr>
    <w:rPr>
      <w:rFonts w:ascii="Calibri" w:hAnsi="Calibri" w:cs="Calibri"/>
      <w:sz w:val="18"/>
      <w:szCs w:val="18"/>
    </w:rPr>
  </w:style>
  <w:style w:type="paragraph" w:styleId="18">
    <w:name w:val="Date"/>
    <w:basedOn w:val="1"/>
    <w:next w:val="1"/>
    <w:link w:val="62"/>
    <w:autoRedefine/>
    <w:qFormat/>
    <w:uiPriority w:val="0"/>
    <w:pPr>
      <w:ind w:left="100" w:leftChars="2500"/>
    </w:pPr>
  </w:style>
  <w:style w:type="paragraph" w:styleId="19">
    <w:name w:val="Balloon Text"/>
    <w:basedOn w:val="1"/>
    <w:autoRedefine/>
    <w:semiHidden/>
    <w:qFormat/>
    <w:uiPriority w:val="0"/>
    <w:rPr>
      <w:sz w:val="18"/>
      <w:szCs w:val="18"/>
    </w:rPr>
  </w:style>
  <w:style w:type="paragraph" w:styleId="20">
    <w:name w:val="footer"/>
    <w:basedOn w:val="1"/>
    <w:link w:val="63"/>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Calibri" w:hAnsi="Calibri" w:cs="Calibri"/>
      <w:b/>
      <w:bCs/>
      <w:caps/>
      <w:sz w:val="20"/>
      <w:szCs w:val="20"/>
    </w:rPr>
  </w:style>
  <w:style w:type="paragraph" w:styleId="23">
    <w:name w:val="toc 4"/>
    <w:basedOn w:val="1"/>
    <w:next w:val="1"/>
    <w:autoRedefine/>
    <w:qFormat/>
    <w:uiPriority w:val="0"/>
    <w:pPr>
      <w:ind w:left="630"/>
      <w:jc w:val="left"/>
    </w:pPr>
    <w:rPr>
      <w:rFonts w:ascii="Calibri" w:hAnsi="Calibri" w:cs="Calibri"/>
      <w:sz w:val="18"/>
      <w:szCs w:val="18"/>
    </w:rPr>
  </w:style>
  <w:style w:type="paragraph" w:styleId="24">
    <w:name w:val="List"/>
    <w:basedOn w:val="1"/>
    <w:autoRedefine/>
    <w:qFormat/>
    <w:uiPriority w:val="0"/>
    <w:pPr>
      <w:ind w:left="200" w:hanging="200" w:hangingChars="200"/>
    </w:pPr>
    <w:rPr>
      <w:sz w:val="28"/>
    </w:rPr>
  </w:style>
  <w:style w:type="paragraph" w:styleId="25">
    <w:name w:val="toc 6"/>
    <w:basedOn w:val="1"/>
    <w:next w:val="1"/>
    <w:autoRedefine/>
    <w:qFormat/>
    <w:uiPriority w:val="0"/>
    <w:pPr>
      <w:ind w:left="1050"/>
      <w:jc w:val="left"/>
    </w:pPr>
    <w:rPr>
      <w:rFonts w:ascii="Calibri" w:hAnsi="Calibri" w:cs="Calibri"/>
      <w:sz w:val="18"/>
      <w:szCs w:val="18"/>
    </w:rPr>
  </w:style>
  <w:style w:type="paragraph" w:styleId="26">
    <w:name w:val="Body Text Indent 3"/>
    <w:basedOn w:val="1"/>
    <w:autoRedefine/>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autoRedefine/>
    <w:qFormat/>
    <w:uiPriority w:val="39"/>
    <w:pPr>
      <w:ind w:left="210"/>
      <w:jc w:val="left"/>
    </w:pPr>
    <w:rPr>
      <w:rFonts w:ascii="Calibri" w:hAnsi="Calibri" w:cs="Calibri"/>
      <w:smallCaps/>
      <w:sz w:val="20"/>
      <w:szCs w:val="20"/>
    </w:rPr>
  </w:style>
  <w:style w:type="paragraph" w:styleId="28">
    <w:name w:val="toc 9"/>
    <w:basedOn w:val="1"/>
    <w:next w:val="1"/>
    <w:autoRedefine/>
    <w:qFormat/>
    <w:uiPriority w:val="0"/>
    <w:pPr>
      <w:ind w:left="1680"/>
      <w:jc w:val="left"/>
    </w:pPr>
    <w:rPr>
      <w:rFonts w:ascii="Calibri" w:hAnsi="Calibri" w:cs="Calibri"/>
      <w:sz w:val="18"/>
      <w:szCs w:val="18"/>
    </w:rPr>
  </w:style>
  <w:style w:type="paragraph" w:styleId="29">
    <w:name w:val="HTML Preformatted"/>
    <w:basedOn w:val="1"/>
    <w:link w:val="6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1"/>
    <w:next w:val="11"/>
    <w:autoRedefine/>
    <w:semiHidden/>
    <w:qFormat/>
    <w:uiPriority w:val="0"/>
    <w:rPr>
      <w:b/>
      <w:bCs/>
    </w:rPr>
  </w:style>
  <w:style w:type="paragraph" w:styleId="32">
    <w:name w:val="Body Text First Indent"/>
    <w:basedOn w:val="2"/>
    <w:autoRedefine/>
    <w:qFormat/>
    <w:uiPriority w:val="0"/>
    <w:pPr>
      <w:ind w:firstLine="420"/>
    </w:pPr>
    <w:rPr>
      <w:rFonts w:ascii="仿宋_GB2312" w:hAnsi="宋体"/>
      <w:snapToGrid w:val="0"/>
      <w:sz w:val="30"/>
    </w:rPr>
  </w:style>
  <w:style w:type="paragraph" w:styleId="33">
    <w:name w:val="Body Text First Indent 2"/>
    <w:basedOn w:val="13"/>
    <w:autoRedefine/>
    <w:qFormat/>
    <w:uiPriority w:val="0"/>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800080"/>
      <w:u w:val="single"/>
    </w:rPr>
  </w:style>
  <w:style w:type="character" w:styleId="40">
    <w:name w:val="Emphasis"/>
    <w:autoRedefine/>
    <w:qFormat/>
    <w:uiPriority w:val="20"/>
    <w:rPr>
      <w:color w:val="CC0000"/>
      <w:sz w:val="24"/>
      <w:szCs w:val="24"/>
    </w:rPr>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0000FF"/>
      <w:u w:val="single"/>
    </w:rPr>
  </w:style>
  <w:style w:type="character" w:styleId="46">
    <w:name w:val="HTML Code"/>
    <w:basedOn w:val="36"/>
    <w:autoRedefine/>
    <w:qFormat/>
    <w:uiPriority w:val="0"/>
    <w:rPr>
      <w:rFonts w:hint="default" w:ascii="monospace" w:hAnsi="monospace" w:eastAsia="monospace" w:cs="monospace"/>
      <w:sz w:val="20"/>
    </w:rPr>
  </w:style>
  <w:style w:type="character" w:styleId="47">
    <w:name w:val="annotation reference"/>
    <w:autoRedefine/>
    <w:qFormat/>
    <w:uiPriority w:val="0"/>
    <w:rPr>
      <w:sz w:val="21"/>
      <w:szCs w:val="21"/>
    </w:rPr>
  </w:style>
  <w:style w:type="character" w:styleId="48">
    <w:name w:val="HTML Cite"/>
    <w:basedOn w:val="36"/>
    <w:autoRedefine/>
    <w:qFormat/>
    <w:uiPriority w:val="0"/>
  </w:style>
  <w:style w:type="character" w:styleId="49">
    <w:name w:val="HTML Keyboard"/>
    <w:basedOn w:val="36"/>
    <w:autoRedefine/>
    <w:qFormat/>
    <w:uiPriority w:val="0"/>
    <w:rPr>
      <w:rFonts w:hint="default" w:ascii="monospace" w:hAnsi="monospace" w:eastAsia="monospace" w:cs="monospace"/>
      <w:sz w:val="20"/>
    </w:rPr>
  </w:style>
  <w:style w:type="character" w:styleId="50">
    <w:name w:val="HTML Sample"/>
    <w:basedOn w:val="36"/>
    <w:autoRedefine/>
    <w:qFormat/>
    <w:uiPriority w:val="0"/>
    <w:rPr>
      <w:rFonts w:ascii="monospace" w:hAnsi="monospace" w:eastAsia="monospace" w:cs="monospace"/>
    </w:rPr>
  </w:style>
  <w:style w:type="paragraph" w:customStyle="1" w:styleId="5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autoRedefine/>
    <w:qFormat/>
    <w:uiPriority w:val="0"/>
    <w:pPr>
      <w:keepNext/>
      <w:keepLines/>
      <w:spacing w:line="360" w:lineRule="auto"/>
      <w:ind w:firstLine="200" w:firstLineChars="200"/>
    </w:pPr>
    <w:rPr>
      <w:rFonts w:ascii="宋体" w:hAnsi="宋体"/>
    </w:rPr>
  </w:style>
  <w:style w:type="paragraph" w:customStyle="1" w:styleId="5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2"/>
    <w:autoRedefine/>
    <w:qFormat/>
    <w:uiPriority w:val="0"/>
    <w:pPr>
      <w:adjustRightInd w:val="0"/>
      <w:spacing w:line="420" w:lineRule="atLeast"/>
      <w:jc w:val="left"/>
      <w:textAlignment w:val="baseline"/>
    </w:pPr>
    <w:rPr>
      <w:kern w:val="0"/>
      <w:szCs w:val="20"/>
    </w:rPr>
  </w:style>
  <w:style w:type="character" w:customStyle="1" w:styleId="55">
    <w:name w:val="标题 1 Char"/>
    <w:link w:val="3"/>
    <w:autoRedefine/>
    <w:qFormat/>
    <w:uiPriority w:val="0"/>
    <w:rPr>
      <w:b/>
      <w:bCs/>
      <w:kern w:val="44"/>
      <w:sz w:val="44"/>
      <w:szCs w:val="44"/>
    </w:rPr>
  </w:style>
  <w:style w:type="character" w:customStyle="1" w:styleId="56">
    <w:name w:val="标题 2 Char"/>
    <w:link w:val="4"/>
    <w:autoRedefine/>
    <w:semiHidden/>
    <w:qFormat/>
    <w:uiPriority w:val="0"/>
    <w:rPr>
      <w:rFonts w:ascii="Cambria" w:hAnsi="Cambria" w:eastAsia="宋体" w:cs="Times New Roman"/>
      <w:b/>
      <w:bCs/>
      <w:kern w:val="2"/>
      <w:sz w:val="32"/>
      <w:szCs w:val="32"/>
    </w:rPr>
  </w:style>
  <w:style w:type="paragraph" w:customStyle="1" w:styleId="57">
    <w:name w:val="样式1"/>
    <w:basedOn w:val="1"/>
    <w:next w:val="8"/>
    <w:autoRedefine/>
    <w:qFormat/>
    <w:uiPriority w:val="0"/>
    <w:rPr>
      <w:rFonts w:ascii="宋体" w:hAnsi="宋体"/>
      <w:szCs w:val="21"/>
    </w:rPr>
  </w:style>
  <w:style w:type="character" w:customStyle="1" w:styleId="58">
    <w:name w:val="纯文本 Char"/>
    <w:link w:val="16"/>
    <w:autoRedefine/>
    <w:qFormat/>
    <w:uiPriority w:val="0"/>
    <w:rPr>
      <w:rFonts w:ascii="宋体" w:hAnsi="Courier New" w:eastAsia="宋体"/>
      <w:kern w:val="2"/>
      <w:sz w:val="21"/>
      <w:lang w:val="en-US" w:eastAsia="zh-CN" w:bidi="ar-SA"/>
    </w:rPr>
  </w:style>
  <w:style w:type="character" w:customStyle="1" w:styleId="59">
    <w:name w:val="正文缩进 Char"/>
    <w:link w:val="7"/>
    <w:autoRedefine/>
    <w:qFormat/>
    <w:uiPriority w:val="0"/>
    <w:rPr>
      <w:kern w:val="2"/>
      <w:sz w:val="21"/>
    </w:rPr>
  </w:style>
  <w:style w:type="character" w:customStyle="1" w:styleId="60">
    <w:name w:val="正文文本缩进 Char"/>
    <w:link w:val="13"/>
    <w:autoRedefine/>
    <w:qFormat/>
    <w:uiPriority w:val="0"/>
    <w:rPr>
      <w:kern w:val="2"/>
      <w:sz w:val="21"/>
      <w:szCs w:val="24"/>
    </w:rPr>
  </w:style>
  <w:style w:type="character" w:customStyle="1" w:styleId="61">
    <w:name w:val="批注文字 Char"/>
    <w:link w:val="11"/>
    <w:autoRedefine/>
    <w:qFormat/>
    <w:uiPriority w:val="0"/>
    <w:rPr>
      <w:kern w:val="2"/>
      <w:sz w:val="21"/>
      <w:szCs w:val="24"/>
    </w:rPr>
  </w:style>
  <w:style w:type="character" w:customStyle="1" w:styleId="62">
    <w:name w:val="日期 Char"/>
    <w:link w:val="18"/>
    <w:autoRedefine/>
    <w:qFormat/>
    <w:uiPriority w:val="0"/>
    <w:rPr>
      <w:kern w:val="2"/>
      <w:sz w:val="21"/>
      <w:szCs w:val="24"/>
    </w:rPr>
  </w:style>
  <w:style w:type="character" w:customStyle="1" w:styleId="63">
    <w:name w:val="页脚 Char"/>
    <w:link w:val="20"/>
    <w:autoRedefine/>
    <w:qFormat/>
    <w:uiPriority w:val="99"/>
    <w:rPr>
      <w:kern w:val="2"/>
      <w:sz w:val="18"/>
      <w:szCs w:val="18"/>
    </w:rPr>
  </w:style>
  <w:style w:type="character" w:customStyle="1" w:styleId="64">
    <w:name w:val="HTML 预设格式 Char"/>
    <w:link w:val="29"/>
    <w:autoRedefine/>
    <w:qFormat/>
    <w:uiPriority w:val="99"/>
    <w:rPr>
      <w:rFonts w:ascii="宋体" w:hAnsi="宋体" w:cs="宋体"/>
      <w:sz w:val="24"/>
      <w:szCs w:val="24"/>
    </w:rPr>
  </w:style>
  <w:style w:type="character" w:customStyle="1" w:styleId="65">
    <w:name w:val="标题 2 Char1"/>
    <w:autoRedefine/>
    <w:qFormat/>
    <w:uiPriority w:val="0"/>
    <w:rPr>
      <w:rFonts w:ascii="Arial" w:hAnsi="Arial" w:eastAsia="黑体" w:cs="Times New Roman"/>
      <w:b/>
      <w:bCs/>
      <w:sz w:val="32"/>
      <w:szCs w:val="32"/>
    </w:rPr>
  </w:style>
  <w:style w:type="character" w:customStyle="1" w:styleId="66">
    <w:name w:val="无间距字符"/>
    <w:link w:val="67"/>
    <w:autoRedefine/>
    <w:qFormat/>
    <w:uiPriority w:val="0"/>
    <w:rPr>
      <w:kern w:val="2"/>
      <w:sz w:val="21"/>
      <w:szCs w:val="32"/>
    </w:rPr>
  </w:style>
  <w:style w:type="paragraph" w:customStyle="1" w:styleId="67">
    <w:name w:val="无间距"/>
    <w:basedOn w:val="1"/>
    <w:link w:val="66"/>
    <w:autoRedefine/>
    <w:qFormat/>
    <w:uiPriority w:val="0"/>
    <w:rPr>
      <w:szCs w:val="32"/>
    </w:rPr>
  </w:style>
  <w:style w:type="character" w:customStyle="1" w:styleId="68">
    <w:name w:val="纯文本 Char1"/>
    <w:autoRedefine/>
    <w:qFormat/>
    <w:uiPriority w:val="0"/>
    <w:rPr>
      <w:rFonts w:ascii="宋体" w:hAnsi="Courier New" w:eastAsia="宋体"/>
      <w:kern w:val="2"/>
      <w:sz w:val="21"/>
      <w:lang w:val="en-US" w:eastAsia="zh-CN" w:bidi="ar-SA"/>
    </w:rPr>
  </w:style>
  <w:style w:type="character" w:customStyle="1" w:styleId="69">
    <w:name w:val="at_4"/>
    <w:basedOn w:val="36"/>
    <w:autoRedefine/>
    <w:qFormat/>
    <w:uiPriority w:val="0"/>
  </w:style>
  <w:style w:type="character" w:customStyle="1" w:styleId="70">
    <w:name w:val="正文缩进 Char1"/>
    <w:autoRedefine/>
    <w:qFormat/>
    <w:uiPriority w:val="0"/>
    <w:rPr>
      <w:rFonts w:eastAsia="宋体"/>
      <w:kern w:val="2"/>
      <w:sz w:val="21"/>
      <w:lang w:val="en-US" w:eastAsia="zh-CN" w:bidi="ar-SA"/>
    </w:rPr>
  </w:style>
  <w:style w:type="character" w:customStyle="1" w:styleId="71">
    <w:name w:val="HTML 预设格式 Char1"/>
    <w:autoRedefine/>
    <w:qFormat/>
    <w:uiPriority w:val="0"/>
    <w:rPr>
      <w:rFonts w:ascii="Courier New" w:hAnsi="Courier New" w:cs="Courier New"/>
      <w:kern w:val="2"/>
    </w:rPr>
  </w:style>
  <w:style w:type="character" w:customStyle="1" w:styleId="72">
    <w:name w:val=" Char Char10"/>
    <w:autoRedefine/>
    <w:qFormat/>
    <w:uiPriority w:val="0"/>
    <w:rPr>
      <w:rFonts w:eastAsia="宋体"/>
      <w:kern w:val="2"/>
      <w:sz w:val="21"/>
      <w:szCs w:val="24"/>
      <w:lang w:val="en-US" w:eastAsia="zh-CN" w:bidi="ar-SA"/>
    </w:rPr>
  </w:style>
  <w:style w:type="character" w:customStyle="1" w:styleId="73">
    <w:name w:val="font21"/>
    <w:autoRedefine/>
    <w:qFormat/>
    <w:uiPriority w:val="0"/>
    <w:rPr>
      <w:rFonts w:hint="eastAsia" w:ascii="宋体" w:hAnsi="宋体" w:eastAsia="宋体" w:cs="宋体"/>
      <w:color w:val="000000"/>
      <w:sz w:val="20"/>
      <w:szCs w:val="20"/>
      <w:u w:val="none"/>
    </w:rPr>
  </w:style>
  <w:style w:type="character" w:customStyle="1" w:styleId="74">
    <w:name w:val=" Char Char1"/>
    <w:autoRedefine/>
    <w:qFormat/>
    <w:uiPriority w:val="0"/>
    <w:rPr>
      <w:rFonts w:ascii="宋体" w:hAnsi="Courier New" w:eastAsia="宋体"/>
      <w:kern w:val="2"/>
      <w:sz w:val="21"/>
      <w:lang w:val="en-US" w:eastAsia="zh-CN" w:bidi="ar-SA"/>
    </w:rPr>
  </w:style>
  <w:style w:type="paragraph" w:customStyle="1" w:styleId="75">
    <w:name w:val="Table Paragraph"/>
    <w:basedOn w:val="1"/>
    <w:autoRedefine/>
    <w:qFormat/>
    <w:uiPriority w:val="1"/>
    <w:rPr>
      <w:rFonts w:ascii="Calibri" w:hAnsi="Calibri"/>
    </w:rPr>
  </w:style>
  <w:style w:type="paragraph" w:customStyle="1" w:styleId="76">
    <w:name w:val="Plain Text"/>
    <w:basedOn w:val="1"/>
    <w:autoRedefine/>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autoRedefine/>
    <w:qFormat/>
    <w:uiPriority w:val="34"/>
    <w:pPr>
      <w:ind w:firstLine="420" w:firstLineChars="200"/>
    </w:pPr>
  </w:style>
  <w:style w:type="paragraph" w:customStyle="1" w:styleId="78">
    <w:name w:val="Char1 Char Char Char Char Char Char"/>
    <w:basedOn w:val="1"/>
    <w:autoRedefine/>
    <w:qFormat/>
    <w:uiPriority w:val="0"/>
    <w:rPr>
      <w:rFonts w:ascii="Tahoma" w:hAnsi="Tahoma"/>
      <w:sz w:val="24"/>
      <w:szCs w:val="20"/>
    </w:rPr>
  </w:style>
  <w:style w:type="paragraph" w:customStyle="1" w:styleId="79">
    <w:name w:val="_Style 5"/>
    <w:autoRedefine/>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BodyText"/>
    <w:basedOn w:val="1"/>
    <w:autoRedefine/>
    <w:qFormat/>
    <w:uiPriority w:val="0"/>
    <w:pPr>
      <w:spacing w:after="120"/>
      <w:textAlignment w:val="baseline"/>
    </w:pPr>
  </w:style>
  <w:style w:type="paragraph" w:customStyle="1" w:styleId="82">
    <w:name w:val="List Paragraph"/>
    <w:basedOn w:val="1"/>
    <w:autoRedefine/>
    <w:qFormat/>
    <w:uiPriority w:val="34"/>
    <w:pPr>
      <w:ind w:firstLine="420" w:firstLineChars="200"/>
    </w:pPr>
  </w:style>
  <w:style w:type="paragraph" w:customStyle="1" w:styleId="83">
    <w:name w:val="TOC Heading"/>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autoRedefine/>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autoRedefine/>
    <w:qFormat/>
    <w:uiPriority w:val="0"/>
    <w:pPr>
      <w:numPr>
        <w:ilvl w:val="5"/>
      </w:numPr>
      <w:tabs>
        <w:tab w:val="left" w:pos="2933"/>
      </w:tabs>
      <w:outlineLvl w:val="3"/>
    </w:pPr>
  </w:style>
  <w:style w:type="paragraph" w:customStyle="1" w:styleId="87">
    <w:name w:val="1"/>
    <w:basedOn w:val="1"/>
    <w:next w:val="16"/>
    <w:autoRedefine/>
    <w:qFormat/>
    <w:uiPriority w:val="0"/>
    <w:rPr>
      <w:rFonts w:ascii="宋体" w:hAnsi="Courier New"/>
      <w:szCs w:val="20"/>
    </w:rPr>
  </w:style>
  <w:style w:type="paragraph" w:customStyle="1" w:styleId="88">
    <w:name w:val="_Style 29"/>
    <w:basedOn w:val="1"/>
    <w:autoRedefine/>
    <w:qFormat/>
    <w:uiPriority w:val="0"/>
    <w:rPr>
      <w:rFonts w:ascii="Tahoma" w:hAnsi="Tahoma"/>
      <w:sz w:val="24"/>
      <w:szCs w:val="20"/>
    </w:rPr>
  </w:style>
  <w:style w:type="paragraph" w:customStyle="1" w:styleId="89">
    <w:name w:val="中等深浅网格 21"/>
    <w:basedOn w:val="1"/>
    <w:autoRedefine/>
    <w:qFormat/>
    <w:uiPriority w:val="0"/>
    <w:rPr>
      <w:szCs w:val="32"/>
    </w:rPr>
  </w:style>
  <w:style w:type="paragraph" w:customStyle="1" w:styleId="9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autoRedefine/>
    <w:qFormat/>
    <w:uiPriority w:val="0"/>
    <w:pPr>
      <w:ind w:firstLine="420"/>
    </w:pPr>
    <w:rPr>
      <w:rFonts w:ascii="Calibri" w:hAnsi="Calibri"/>
      <w:kern w:val="1"/>
      <w:szCs w:val="22"/>
    </w:rPr>
  </w:style>
  <w:style w:type="paragraph" w:customStyle="1" w:styleId="92">
    <w:name w:val="三级条标题"/>
    <w:basedOn w:val="86"/>
    <w:next w:val="85"/>
    <w:autoRedefine/>
    <w:qFormat/>
    <w:uiPriority w:val="0"/>
    <w:pPr>
      <w:numPr>
        <w:ilvl w:val="6"/>
      </w:numPr>
      <w:tabs>
        <w:tab w:val="left" w:pos="3353"/>
      </w:tabs>
      <w:outlineLvl w:val="4"/>
    </w:pPr>
  </w:style>
  <w:style w:type="character" w:customStyle="1" w:styleId="93">
    <w:name w:val="NormalCharacter"/>
    <w:autoRedefine/>
    <w:semiHidden/>
    <w:qFormat/>
    <w:uiPriority w:val="0"/>
  </w:style>
  <w:style w:type="paragraph" w:customStyle="1" w:styleId="94">
    <w:name w:val="Heading2"/>
    <w:basedOn w:val="1"/>
    <w:next w:val="1"/>
    <w:autoRedefine/>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autoRedefine/>
    <w:qFormat/>
    <w:uiPriority w:val="0"/>
    <w:pPr>
      <w:tabs>
        <w:tab w:val="center" w:pos="4153"/>
        <w:tab w:val="right" w:pos="8306"/>
      </w:tabs>
      <w:snapToGrid w:val="0"/>
      <w:jc w:val="left"/>
    </w:pPr>
    <w:rPr>
      <w:sz w:val="18"/>
      <w:szCs w:val="18"/>
    </w:rPr>
  </w:style>
  <w:style w:type="character" w:customStyle="1" w:styleId="96">
    <w:name w:val="批注引用1"/>
    <w:autoRedefine/>
    <w:qFormat/>
    <w:uiPriority w:val="0"/>
    <w:rPr>
      <w:rFonts w:ascii="Times New Roman" w:hAnsi="Times New Roman" w:eastAsia="宋体" w:cs="Times New Roman"/>
      <w:kern w:val="2"/>
      <w:sz w:val="21"/>
      <w:szCs w:val="24"/>
      <w:lang w:val="en-US" w:eastAsia="zh-CN" w:bidi="ar-SA"/>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List Paragraph1"/>
    <w:basedOn w:val="1"/>
    <w:autoRedefine/>
    <w:qFormat/>
    <w:uiPriority w:val="0"/>
    <w:pPr>
      <w:ind w:firstLine="420"/>
    </w:pPr>
    <w:rPr>
      <w:rFonts w:ascii="Times New Roman" w:hAnsi="Times New Roman" w:eastAsia="宋体" w:cs="Times New Roman"/>
    </w:rPr>
  </w:style>
  <w:style w:type="paragraph" w:customStyle="1" w:styleId="99">
    <w:name w:val="Body text|1"/>
    <w:basedOn w:val="1"/>
    <w:autoRedefine/>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0">
    <w:name w:val="正文文本1"/>
    <w:basedOn w:val="1"/>
    <w:autoRedefine/>
    <w:qFormat/>
    <w:uiPriority w:val="0"/>
    <w:pPr>
      <w:spacing w:after="120" w:afterAutospacing="0"/>
    </w:pPr>
  </w:style>
  <w:style w:type="paragraph" w:customStyle="1" w:styleId="10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标题 21"/>
    <w:basedOn w:val="1"/>
    <w:autoRedefine/>
    <w:qFormat/>
    <w:uiPriority w:val="1"/>
    <w:pPr>
      <w:ind w:left="100" w:right="102"/>
      <w:outlineLvl w:val="2"/>
    </w:pPr>
    <w:rPr>
      <w:rFonts w:ascii="Microsoft JhengHei" w:hAnsi="Microsoft JhengHei" w:eastAsia="Microsoft JhengHei" w:cs="Microsoft JhengHe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31943</Words>
  <Characters>33903</Characters>
  <Lines>219</Lines>
  <Paragraphs>61</Paragraphs>
  <TotalTime>13</TotalTime>
  <ScaleCrop>false</ScaleCrop>
  <LinksUpToDate>false</LinksUpToDate>
  <CharactersWithSpaces>37438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2024-07-23T05:17:21Z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E0E36D6831F84021907807E5489EF3D8_13</vt:lpwstr>
  </property>
</Properties>
</file>