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CB882">
      <w:pPr>
        <w:pStyle w:val="2"/>
        <w:rPr>
          <w:rFonts w:hint="eastAsia" w:ascii="宋体" w:hAnsi="宋体" w:cs="宋体"/>
          <w:b/>
          <w:bCs/>
          <w:kern w:val="0"/>
          <w:sz w:val="52"/>
          <w:szCs w:val="52"/>
          <w:highlight w:val="none"/>
          <w:lang w:eastAsia="zh-CN"/>
        </w:rPr>
      </w:pPr>
      <w:bookmarkStart w:id="0" w:name="_Hlk64874400"/>
      <w:bookmarkEnd w:id="0"/>
      <w:bookmarkStart w:id="1" w:name="_Toc296602400"/>
      <w:bookmarkStart w:id="2" w:name="_Toc247085669"/>
      <w:bookmarkStart w:id="3" w:name="_Toc246996898"/>
    </w:p>
    <w:p w14:paraId="067FED41">
      <w:pPr>
        <w:rPr>
          <w:rFonts w:hint="eastAsia"/>
          <w:highlight w:val="none"/>
          <w:lang w:eastAsia="zh-CN"/>
        </w:rPr>
      </w:pPr>
    </w:p>
    <w:p w14:paraId="7B9E1224">
      <w:pPr>
        <w:spacing w:line="360" w:lineRule="auto"/>
        <w:jc w:val="center"/>
        <w:rPr>
          <w:rFonts w:hint="eastAsia" w:ascii="宋体" w:hAnsi="宋体" w:eastAsia="宋体" w:cs="宋体"/>
          <w:b/>
          <w:bCs/>
          <w:kern w:val="0"/>
          <w:sz w:val="52"/>
          <w:szCs w:val="52"/>
          <w:highlight w:val="none"/>
          <w:lang w:eastAsia="zh-CN"/>
        </w:rPr>
      </w:pPr>
      <w:r>
        <w:rPr>
          <w:rFonts w:hint="eastAsia" w:ascii="宋体" w:hAnsi="宋体" w:cs="宋体"/>
          <w:b/>
          <w:bCs w:val="0"/>
          <w:sz w:val="52"/>
          <w:szCs w:val="52"/>
          <w:highlight w:val="none"/>
          <w:lang w:val="en-US" w:eastAsia="zh-CN"/>
        </w:rPr>
        <w:t>2024-2025年新雪季-龙源山光影秀提升项目</w:t>
      </w:r>
    </w:p>
    <w:p w14:paraId="0564FD21">
      <w:pPr>
        <w:pStyle w:val="20"/>
        <w:autoSpaceDN w:val="0"/>
        <w:spacing w:line="360" w:lineRule="auto"/>
        <w:jc w:val="center"/>
        <w:rPr>
          <w:rFonts w:hint="eastAsia" w:ascii="楷体" w:hAnsi="楷体" w:eastAsia="楷体" w:cs="楷体"/>
          <w:highlight w:val="none"/>
        </w:rPr>
      </w:pPr>
    </w:p>
    <w:p w14:paraId="56E48423">
      <w:pPr>
        <w:pStyle w:val="20"/>
        <w:autoSpaceDN w:val="0"/>
        <w:spacing w:line="360" w:lineRule="auto"/>
        <w:jc w:val="center"/>
        <w:rPr>
          <w:rFonts w:hint="eastAsia" w:ascii="楷体" w:hAnsi="楷体" w:eastAsia="楷体" w:cs="楷体"/>
          <w:highlight w:val="none"/>
        </w:rPr>
      </w:pPr>
    </w:p>
    <w:p w14:paraId="3F8722B7">
      <w:pPr>
        <w:jc w:val="center"/>
        <w:rPr>
          <w:rFonts w:hint="eastAsia" w:ascii="宋体" w:hAnsi="宋体" w:eastAsia="宋体" w:cs="宋体"/>
          <w:b/>
          <w:bCs/>
          <w:kern w:val="0"/>
          <w:sz w:val="96"/>
          <w:szCs w:val="96"/>
          <w:highlight w:val="none"/>
          <w:lang w:val="en-US" w:eastAsia="zh-CN"/>
        </w:rPr>
      </w:pPr>
      <w:r>
        <w:rPr>
          <w:rFonts w:hint="eastAsia" w:ascii="宋体" w:hAnsi="宋体" w:eastAsia="宋体" w:cs="宋体"/>
          <w:b/>
          <w:bCs/>
          <w:kern w:val="0"/>
          <w:sz w:val="96"/>
          <w:szCs w:val="96"/>
          <w:highlight w:val="none"/>
          <w:lang w:val="en-US" w:eastAsia="zh-CN"/>
        </w:rPr>
        <w:t>招 标 文 件</w:t>
      </w:r>
    </w:p>
    <w:p w14:paraId="46376C4E">
      <w:pPr>
        <w:jc w:val="center"/>
        <w:rPr>
          <w:rFonts w:hint="eastAsia" w:ascii="宋体" w:hAnsi="宋体" w:eastAsia="宋体" w:cs="宋体"/>
          <w:b/>
          <w:bCs/>
          <w:kern w:val="0"/>
          <w:sz w:val="32"/>
          <w:szCs w:val="32"/>
          <w:highlight w:val="none"/>
        </w:rPr>
      </w:pPr>
    </w:p>
    <w:p w14:paraId="46DD8C38">
      <w:pPr>
        <w:pStyle w:val="2"/>
        <w:jc w:val="center"/>
        <w:rPr>
          <w:rFonts w:hint="eastAsia" w:eastAsia="宋体"/>
          <w:highlight w:val="none"/>
          <w:lang w:eastAsia="zh-CN"/>
        </w:rPr>
      </w:pPr>
      <w:r>
        <w:rPr>
          <w:rFonts w:hint="eastAsia" w:ascii="宋体" w:hAnsi="宋体" w:eastAsia="宋体" w:cs="宋体"/>
          <w:b/>
          <w:sz w:val="28"/>
          <w:szCs w:val="28"/>
          <w:highlight w:val="none"/>
          <w:lang w:val="en-US" w:eastAsia="zh-CN"/>
        </w:rPr>
        <w:t>采购编号：</w:t>
      </w:r>
      <w:r>
        <w:rPr>
          <w:rFonts w:hint="eastAsia" w:ascii="宋体" w:hAnsi="宋体" w:eastAsia="宋体" w:cs="宋体"/>
          <w:b/>
          <w:sz w:val="28"/>
          <w:szCs w:val="28"/>
          <w:highlight w:val="none"/>
          <w:lang w:eastAsia="zh-CN"/>
        </w:rPr>
        <w:t>采购计划-[2024]-00274号</w:t>
      </w:r>
    </w:p>
    <w:p w14:paraId="5D9EEAFC">
      <w:pPr>
        <w:jc w:val="center"/>
        <w:rPr>
          <w:rFonts w:hint="default" w:ascii="宋体" w:hAnsi="宋体" w:eastAsia="宋体" w:cs="宋体"/>
          <w:b/>
          <w:bCs/>
          <w:kern w:val="0"/>
          <w:sz w:val="32"/>
          <w:szCs w:val="32"/>
          <w:highlight w:val="none"/>
          <w:lang w:val="en-US"/>
        </w:rPr>
      </w:pPr>
      <w:r>
        <w:rPr>
          <w:rFonts w:hint="eastAsia" w:ascii="宋体" w:hAnsi="宋体" w:eastAsia="宋体" w:cs="宋体"/>
          <w:b/>
          <w:bCs/>
          <w:kern w:val="0"/>
          <w:sz w:val="32"/>
          <w:szCs w:val="32"/>
          <w:highlight w:val="none"/>
        </w:rPr>
        <w:t>项目编号：</w:t>
      </w:r>
      <w:bookmarkStart w:id="4" w:name="_Hlk64874388"/>
      <w:bookmarkEnd w:id="4"/>
      <w:r>
        <w:rPr>
          <w:rFonts w:hint="eastAsia" w:ascii="宋体" w:hAnsi="宋体" w:cs="宋体"/>
          <w:b/>
          <w:bCs/>
          <w:kern w:val="0"/>
          <w:sz w:val="32"/>
          <w:szCs w:val="32"/>
          <w:highlight w:val="none"/>
          <w:lang w:eastAsia="zh-CN"/>
        </w:rPr>
        <w:t>JILINYONGYI-2024-118-HW</w:t>
      </w:r>
    </w:p>
    <w:p w14:paraId="117CE974">
      <w:pPr>
        <w:autoSpaceDN w:val="0"/>
        <w:spacing w:line="360" w:lineRule="auto"/>
        <w:jc w:val="center"/>
        <w:rPr>
          <w:rFonts w:hint="eastAsia" w:ascii="楷体" w:hAnsi="楷体" w:eastAsia="楷体" w:cs="楷体"/>
          <w:sz w:val="18"/>
          <w:szCs w:val="18"/>
          <w:highlight w:val="none"/>
        </w:rPr>
      </w:pPr>
    </w:p>
    <w:p w14:paraId="5E8BA114">
      <w:pPr>
        <w:autoSpaceDN w:val="0"/>
        <w:spacing w:line="360" w:lineRule="auto"/>
        <w:jc w:val="center"/>
        <w:rPr>
          <w:rFonts w:hint="eastAsia" w:ascii="楷体" w:hAnsi="楷体" w:eastAsia="楷体" w:cs="楷体"/>
          <w:sz w:val="18"/>
          <w:szCs w:val="18"/>
          <w:highlight w:val="none"/>
        </w:rPr>
      </w:pPr>
    </w:p>
    <w:p w14:paraId="5D8A0720">
      <w:pPr>
        <w:autoSpaceDN w:val="0"/>
        <w:spacing w:line="360" w:lineRule="auto"/>
        <w:jc w:val="center"/>
        <w:rPr>
          <w:rFonts w:hint="eastAsia" w:ascii="楷体" w:hAnsi="楷体" w:eastAsia="楷体" w:cs="楷体"/>
          <w:sz w:val="18"/>
          <w:szCs w:val="18"/>
          <w:highlight w:val="none"/>
        </w:rPr>
      </w:pPr>
    </w:p>
    <w:p w14:paraId="3968C308">
      <w:pPr>
        <w:pStyle w:val="20"/>
        <w:spacing w:line="360" w:lineRule="auto"/>
        <w:jc w:val="center"/>
        <w:rPr>
          <w:rFonts w:hint="eastAsia" w:ascii="楷体" w:hAnsi="楷体" w:eastAsia="楷体" w:cs="楷体"/>
          <w:highlight w:val="none"/>
        </w:rPr>
      </w:pPr>
    </w:p>
    <w:p w14:paraId="76778565">
      <w:pPr>
        <w:pStyle w:val="20"/>
        <w:spacing w:line="360" w:lineRule="auto"/>
        <w:jc w:val="center"/>
        <w:rPr>
          <w:rFonts w:hint="eastAsia" w:ascii="楷体" w:hAnsi="楷体" w:eastAsia="楷体" w:cs="楷体"/>
          <w:highlight w:val="none"/>
        </w:rPr>
      </w:pPr>
    </w:p>
    <w:p w14:paraId="2074FD4F">
      <w:pPr>
        <w:pStyle w:val="20"/>
        <w:spacing w:line="360" w:lineRule="auto"/>
        <w:jc w:val="center"/>
        <w:rPr>
          <w:rFonts w:hint="eastAsia" w:ascii="楷体" w:hAnsi="楷体" w:eastAsia="楷体" w:cs="楷体"/>
          <w:highlight w:val="none"/>
        </w:rPr>
      </w:pPr>
    </w:p>
    <w:p w14:paraId="776F0739">
      <w:pPr>
        <w:pStyle w:val="20"/>
        <w:spacing w:line="360" w:lineRule="auto"/>
        <w:jc w:val="center"/>
        <w:rPr>
          <w:rFonts w:hint="eastAsia" w:ascii="楷体" w:hAnsi="楷体" w:eastAsia="楷体" w:cs="楷体"/>
          <w:highlight w:val="none"/>
        </w:rPr>
      </w:pPr>
    </w:p>
    <w:p w14:paraId="6BF2DA61">
      <w:pPr>
        <w:spacing w:line="600" w:lineRule="auto"/>
        <w:jc w:val="center"/>
        <w:rPr>
          <w:rFonts w:hint="eastAsia" w:ascii="宋体" w:hAnsi="宋体" w:eastAsia="宋体" w:cs="宋体"/>
          <w:b/>
          <w:bCs/>
          <w:kern w:val="0"/>
          <w:sz w:val="32"/>
          <w:szCs w:val="32"/>
          <w:highlight w:val="none"/>
          <w:lang w:val="en-US" w:eastAsia="zh-CN"/>
        </w:rPr>
      </w:pPr>
      <w:r>
        <w:rPr>
          <w:rFonts w:hint="eastAsia" w:ascii="宋体" w:hAnsi="宋体" w:eastAsia="宋体" w:cs="宋体"/>
          <w:b/>
          <w:bCs/>
          <w:kern w:val="0"/>
          <w:sz w:val="32"/>
          <w:szCs w:val="32"/>
          <w:highlight w:val="none"/>
          <w:lang w:val="en-US" w:eastAsia="zh-CN"/>
        </w:rPr>
        <w:t>采购人：</w:t>
      </w:r>
      <w:r>
        <w:rPr>
          <w:rFonts w:hint="eastAsia" w:ascii="宋体" w:hAnsi="宋体" w:cs="宋体"/>
          <w:b/>
          <w:bCs/>
          <w:kern w:val="0"/>
          <w:sz w:val="32"/>
          <w:szCs w:val="32"/>
          <w:highlight w:val="none"/>
          <w:lang w:val="en-US" w:eastAsia="zh-CN"/>
        </w:rPr>
        <w:t>长岭县园林管理所</w:t>
      </w:r>
    </w:p>
    <w:p w14:paraId="4F2E5FA0">
      <w:pPr>
        <w:spacing w:line="600" w:lineRule="auto"/>
        <w:jc w:val="center"/>
        <w:rPr>
          <w:rFonts w:hint="eastAsia" w:ascii="宋体" w:hAnsi="宋体" w:eastAsia="宋体" w:cs="宋体"/>
          <w:b/>
          <w:bCs/>
          <w:kern w:val="0"/>
          <w:sz w:val="32"/>
          <w:szCs w:val="32"/>
          <w:highlight w:val="none"/>
          <w:lang w:val="en-US" w:eastAsia="zh-CN"/>
        </w:rPr>
      </w:pPr>
      <w:r>
        <w:rPr>
          <w:rFonts w:hint="eastAsia" w:ascii="宋体" w:hAnsi="宋体" w:eastAsia="宋体" w:cs="宋体"/>
          <w:b/>
          <w:bCs/>
          <w:kern w:val="0"/>
          <w:sz w:val="32"/>
          <w:szCs w:val="32"/>
          <w:highlight w:val="none"/>
          <w:lang w:val="en-US" w:eastAsia="zh-CN"/>
        </w:rPr>
        <w:t>采购代理机构：</w:t>
      </w:r>
      <w:r>
        <w:rPr>
          <w:rFonts w:hint="eastAsia" w:hAnsi="宋体" w:cs="宋体"/>
          <w:b/>
          <w:bCs/>
          <w:sz w:val="32"/>
          <w:szCs w:val="32"/>
          <w:highlight w:val="none"/>
          <w:u w:val="none"/>
          <w:lang w:eastAsia="zh-CN"/>
        </w:rPr>
        <w:t>吉林省永屹招标代理有限公司</w:t>
      </w:r>
    </w:p>
    <w:p w14:paraId="0F37E510">
      <w:pPr>
        <w:spacing w:line="600" w:lineRule="auto"/>
        <w:jc w:val="center"/>
        <w:rPr>
          <w:rFonts w:hint="eastAsia" w:ascii="宋体" w:hAnsi="宋体" w:eastAsia="宋体" w:cs="宋体"/>
          <w:b/>
          <w:bCs/>
          <w:kern w:val="0"/>
          <w:sz w:val="32"/>
          <w:szCs w:val="32"/>
          <w:highlight w:val="none"/>
          <w:lang w:val="en-US" w:eastAsia="zh-CN"/>
        </w:rPr>
      </w:pPr>
      <w:r>
        <w:rPr>
          <w:rFonts w:hint="eastAsia" w:ascii="宋体" w:hAnsi="宋体" w:eastAsia="宋体" w:cs="宋体"/>
          <w:b/>
          <w:bCs/>
          <w:kern w:val="0"/>
          <w:sz w:val="32"/>
          <w:szCs w:val="32"/>
          <w:highlight w:val="none"/>
          <w:lang w:val="en-US" w:eastAsia="zh-CN"/>
        </w:rPr>
        <w:t xml:space="preserve">日     期： </w:t>
      </w:r>
      <w:bookmarkStart w:id="5" w:name="receiveDate"/>
      <w:r>
        <w:rPr>
          <w:rFonts w:hint="eastAsia" w:ascii="宋体" w:hAnsi="宋体" w:eastAsia="宋体" w:cs="宋体"/>
          <w:b/>
          <w:bCs/>
          <w:kern w:val="0"/>
          <w:sz w:val="32"/>
          <w:szCs w:val="32"/>
          <w:highlight w:val="none"/>
          <w:lang w:val="en-US" w:eastAsia="zh-CN"/>
        </w:rPr>
        <w:t>202</w:t>
      </w:r>
      <w:r>
        <w:rPr>
          <w:rFonts w:hint="eastAsia" w:ascii="宋体" w:hAnsi="宋体" w:cs="宋体"/>
          <w:b/>
          <w:bCs/>
          <w:kern w:val="0"/>
          <w:sz w:val="32"/>
          <w:szCs w:val="32"/>
          <w:highlight w:val="none"/>
          <w:lang w:val="en-US" w:eastAsia="zh-CN"/>
        </w:rPr>
        <w:t>4</w:t>
      </w:r>
      <w:r>
        <w:rPr>
          <w:rFonts w:hint="eastAsia" w:ascii="宋体" w:hAnsi="宋体" w:eastAsia="宋体" w:cs="宋体"/>
          <w:b/>
          <w:bCs/>
          <w:kern w:val="0"/>
          <w:sz w:val="32"/>
          <w:szCs w:val="32"/>
          <w:highlight w:val="none"/>
          <w:lang w:val="en-US" w:eastAsia="zh-CN"/>
        </w:rPr>
        <w:t>年1</w:t>
      </w:r>
      <w:r>
        <w:rPr>
          <w:rFonts w:hint="eastAsia" w:ascii="宋体" w:hAnsi="宋体" w:cs="宋体"/>
          <w:b/>
          <w:bCs/>
          <w:kern w:val="0"/>
          <w:sz w:val="32"/>
          <w:szCs w:val="32"/>
          <w:highlight w:val="none"/>
          <w:lang w:val="en-US" w:eastAsia="zh-CN"/>
        </w:rPr>
        <w:t>2</w:t>
      </w:r>
      <w:r>
        <w:rPr>
          <w:rFonts w:hint="eastAsia" w:ascii="宋体" w:hAnsi="宋体" w:eastAsia="宋体" w:cs="宋体"/>
          <w:b/>
          <w:bCs/>
          <w:kern w:val="0"/>
          <w:sz w:val="32"/>
          <w:szCs w:val="32"/>
          <w:highlight w:val="none"/>
          <w:lang w:val="en-US" w:eastAsia="zh-CN"/>
        </w:rPr>
        <w:t>月</w:t>
      </w:r>
      <w:bookmarkEnd w:id="5"/>
    </w:p>
    <w:p w14:paraId="63AB38D4">
      <w:pPr>
        <w:tabs>
          <w:tab w:val="left" w:pos="9379"/>
        </w:tabs>
        <w:autoSpaceDN w:val="0"/>
        <w:spacing w:line="360" w:lineRule="auto"/>
        <w:jc w:val="center"/>
        <w:rPr>
          <w:rFonts w:asciiTheme="majorEastAsia" w:hAnsiTheme="majorEastAsia" w:eastAsiaTheme="majorEastAsia"/>
          <w:b/>
          <w:bCs/>
          <w:sz w:val="36"/>
          <w:szCs w:val="36"/>
          <w:highlight w:val="none"/>
        </w:rPr>
      </w:pPr>
      <w:bookmarkStart w:id="6" w:name="_Toc98580389"/>
      <w:r>
        <w:rPr>
          <w:rFonts w:hint="eastAsia" w:asciiTheme="majorEastAsia" w:hAnsiTheme="majorEastAsia" w:eastAsiaTheme="majorEastAsia"/>
          <w:b/>
          <w:bCs/>
          <w:sz w:val="36"/>
          <w:szCs w:val="36"/>
          <w:highlight w:val="none"/>
        </w:rPr>
        <w:t>目　　录</w:t>
      </w:r>
    </w:p>
    <w:p w14:paraId="5FD0B270">
      <w:pPr>
        <w:pStyle w:val="16"/>
        <w:tabs>
          <w:tab w:val="right" w:leader="dot" w:pos="8787"/>
        </w:tabs>
        <w:rPr>
          <w:highlight w:val="none"/>
        </w:rPr>
      </w:pPr>
      <w:r>
        <w:rPr>
          <w:rFonts w:hint="eastAsia" w:asciiTheme="majorEastAsia" w:hAnsiTheme="majorEastAsia" w:eastAsiaTheme="majorEastAsia"/>
          <w:b w:val="0"/>
          <w:bCs w:val="0"/>
          <w:sz w:val="24"/>
          <w:szCs w:val="24"/>
          <w:highlight w:val="none"/>
        </w:rPr>
        <w:fldChar w:fldCharType="begin"/>
      </w:r>
      <w:r>
        <w:rPr>
          <w:rFonts w:hint="eastAsia" w:asciiTheme="majorEastAsia" w:hAnsiTheme="majorEastAsia" w:eastAsiaTheme="majorEastAsia"/>
          <w:b w:val="0"/>
          <w:bCs w:val="0"/>
          <w:sz w:val="24"/>
          <w:szCs w:val="24"/>
          <w:highlight w:val="none"/>
        </w:rPr>
        <w:instrText xml:space="preserve">TOC \o "1-1" \h \z \u </w:instrText>
      </w:r>
      <w:r>
        <w:rPr>
          <w:rFonts w:hint="eastAsia" w:asciiTheme="majorEastAsia" w:hAnsiTheme="majorEastAsia" w:eastAsiaTheme="majorEastAsia"/>
          <w:b w:val="0"/>
          <w:bCs w:val="0"/>
          <w:sz w:val="24"/>
          <w:szCs w:val="24"/>
          <w:highlight w:val="none"/>
        </w:rPr>
        <w:fldChar w:fldCharType="separate"/>
      </w:r>
      <w:r>
        <w:rPr>
          <w:highlight w:val="none"/>
        </w:rPr>
        <w:fldChar w:fldCharType="begin"/>
      </w:r>
      <w:r>
        <w:rPr>
          <w:highlight w:val="none"/>
        </w:rPr>
        <w:instrText xml:space="preserve"> HYPERLINK \l "_Toc15421" </w:instrText>
      </w:r>
      <w:r>
        <w:rPr>
          <w:highlight w:val="none"/>
        </w:rPr>
        <w:fldChar w:fldCharType="separate"/>
      </w:r>
      <w:r>
        <w:rPr>
          <w:rFonts w:hint="eastAsia" w:asciiTheme="majorEastAsia" w:hAnsiTheme="majorEastAsia" w:eastAsiaTheme="majorEastAsia"/>
          <w:highlight w:val="none"/>
        </w:rPr>
        <w:t>第一部分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招标公告</w:t>
      </w:r>
      <w:r>
        <w:rPr>
          <w:highlight w:val="none"/>
        </w:rPr>
        <w:tab/>
      </w:r>
      <w:r>
        <w:rPr>
          <w:highlight w:val="none"/>
        </w:rPr>
        <w:fldChar w:fldCharType="begin"/>
      </w:r>
      <w:r>
        <w:rPr>
          <w:highlight w:val="none"/>
        </w:rPr>
        <w:instrText xml:space="preserve"> PAGEREF _Toc15421 \h </w:instrText>
      </w:r>
      <w:r>
        <w:rPr>
          <w:highlight w:val="none"/>
        </w:rPr>
        <w:fldChar w:fldCharType="separate"/>
      </w:r>
      <w:r>
        <w:rPr>
          <w:highlight w:val="none"/>
        </w:rPr>
        <w:t>1</w:t>
      </w:r>
      <w:r>
        <w:rPr>
          <w:highlight w:val="none"/>
        </w:rPr>
        <w:fldChar w:fldCharType="end"/>
      </w:r>
      <w:r>
        <w:rPr>
          <w:highlight w:val="none"/>
        </w:rPr>
        <w:fldChar w:fldCharType="end"/>
      </w:r>
    </w:p>
    <w:p w14:paraId="1AE00B66">
      <w:pPr>
        <w:pStyle w:val="16"/>
        <w:tabs>
          <w:tab w:val="right" w:leader="dot" w:pos="8787"/>
        </w:tabs>
        <w:rPr>
          <w:highlight w:val="none"/>
        </w:rPr>
      </w:pPr>
      <w:r>
        <w:rPr>
          <w:highlight w:val="none"/>
        </w:rPr>
        <w:fldChar w:fldCharType="begin"/>
      </w:r>
      <w:r>
        <w:rPr>
          <w:highlight w:val="none"/>
        </w:rPr>
        <w:instrText xml:space="preserve"> HYPERLINK \l "_Toc12303" </w:instrText>
      </w:r>
      <w:r>
        <w:rPr>
          <w:highlight w:val="none"/>
        </w:rPr>
        <w:fldChar w:fldCharType="separate"/>
      </w:r>
      <w:r>
        <w:rPr>
          <w:rFonts w:hint="eastAsia" w:asciiTheme="majorEastAsia" w:hAnsiTheme="majorEastAsia" w:eastAsiaTheme="majorEastAsia"/>
          <w:highlight w:val="none"/>
        </w:rPr>
        <w:t>第二部分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投标人</w:t>
      </w:r>
      <w:r>
        <w:rPr>
          <w:rFonts w:hint="eastAsia" w:asciiTheme="majorEastAsia" w:hAnsiTheme="majorEastAsia" w:eastAsiaTheme="majorEastAsia"/>
          <w:highlight w:val="none"/>
        </w:rPr>
        <w:t>须知</w:t>
      </w:r>
      <w:r>
        <w:rPr>
          <w:highlight w:val="none"/>
        </w:rPr>
        <w:tab/>
      </w:r>
      <w:r>
        <w:rPr>
          <w:highlight w:val="none"/>
        </w:rPr>
        <w:fldChar w:fldCharType="begin"/>
      </w:r>
      <w:r>
        <w:rPr>
          <w:highlight w:val="none"/>
        </w:rPr>
        <w:instrText xml:space="preserve"> PAGEREF _Toc12303 \h </w:instrText>
      </w:r>
      <w:r>
        <w:rPr>
          <w:highlight w:val="none"/>
        </w:rPr>
        <w:fldChar w:fldCharType="separate"/>
      </w:r>
      <w:r>
        <w:rPr>
          <w:highlight w:val="none"/>
        </w:rPr>
        <w:t>4</w:t>
      </w:r>
      <w:r>
        <w:rPr>
          <w:highlight w:val="none"/>
        </w:rPr>
        <w:fldChar w:fldCharType="end"/>
      </w:r>
      <w:r>
        <w:rPr>
          <w:highlight w:val="none"/>
        </w:rPr>
        <w:fldChar w:fldCharType="end"/>
      </w:r>
    </w:p>
    <w:p w14:paraId="144BE737">
      <w:pPr>
        <w:pStyle w:val="16"/>
        <w:tabs>
          <w:tab w:val="right" w:leader="dot" w:pos="8787"/>
        </w:tabs>
        <w:rPr>
          <w:highlight w:val="none"/>
        </w:rPr>
      </w:pPr>
      <w:r>
        <w:rPr>
          <w:highlight w:val="none"/>
        </w:rPr>
        <w:fldChar w:fldCharType="begin"/>
      </w:r>
      <w:r>
        <w:rPr>
          <w:highlight w:val="none"/>
        </w:rPr>
        <w:instrText xml:space="preserve"> HYPERLINK \l "_Toc22071" </w:instrText>
      </w:r>
      <w:r>
        <w:rPr>
          <w:highlight w:val="none"/>
        </w:rPr>
        <w:fldChar w:fldCharType="separate"/>
      </w:r>
      <w:r>
        <w:rPr>
          <w:rFonts w:hint="eastAsia" w:asciiTheme="majorEastAsia" w:hAnsiTheme="majorEastAsia" w:eastAsiaTheme="majorEastAsia"/>
          <w:highlight w:val="none"/>
        </w:rPr>
        <w:t>第三部分</w:t>
      </w:r>
      <w:r>
        <w:rPr>
          <w:rFonts w:asciiTheme="majorEastAsia" w:hAnsiTheme="majorEastAsia" w:eastAsiaTheme="majorEastAsia"/>
          <w:highlight w:val="none"/>
        </w:rPr>
        <w:t xml:space="preserve">  </w:t>
      </w:r>
      <w:bookmarkStart w:id="175" w:name="_GoBack"/>
      <w:bookmarkEnd w:id="175"/>
      <w:r>
        <w:rPr>
          <w:rFonts w:hint="eastAsia" w:asciiTheme="majorEastAsia" w:hAnsiTheme="majorEastAsia" w:eastAsiaTheme="majorEastAsia"/>
          <w:highlight w:val="none"/>
        </w:rPr>
        <w:t>评标办法</w:t>
      </w:r>
      <w:r>
        <w:rPr>
          <w:highlight w:val="none"/>
        </w:rPr>
        <w:tab/>
      </w:r>
      <w:r>
        <w:rPr>
          <w:rFonts w:hint="eastAsia"/>
          <w:highlight w:val="none"/>
          <w:lang w:val="en-US" w:eastAsia="zh-CN"/>
        </w:rPr>
        <w:t>19</w:t>
      </w:r>
      <w:r>
        <w:rPr>
          <w:highlight w:val="none"/>
        </w:rPr>
        <w:fldChar w:fldCharType="end"/>
      </w:r>
    </w:p>
    <w:p w14:paraId="69D127CD">
      <w:pPr>
        <w:pStyle w:val="16"/>
        <w:tabs>
          <w:tab w:val="right" w:leader="dot" w:pos="8787"/>
        </w:tabs>
        <w:rPr>
          <w:rFonts w:hint="default" w:eastAsia="宋体"/>
          <w:highlight w:val="none"/>
          <w:lang w:val="en-US" w:eastAsia="zh-CN"/>
        </w:rPr>
      </w:pPr>
      <w:r>
        <w:rPr>
          <w:highlight w:val="none"/>
        </w:rPr>
        <w:fldChar w:fldCharType="begin"/>
      </w:r>
      <w:r>
        <w:rPr>
          <w:highlight w:val="none"/>
        </w:rPr>
        <w:instrText xml:space="preserve"> HYPERLINK \l "_Toc30695" </w:instrText>
      </w:r>
      <w:r>
        <w:rPr>
          <w:highlight w:val="none"/>
        </w:rPr>
        <w:fldChar w:fldCharType="separate"/>
      </w:r>
      <w:r>
        <w:rPr>
          <w:rFonts w:hint="eastAsia" w:asciiTheme="majorEastAsia" w:hAnsiTheme="majorEastAsia" w:eastAsiaTheme="majorEastAsia"/>
          <w:highlight w:val="none"/>
        </w:rPr>
        <w:t>第四部分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采购需求</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5</w:t>
      </w:r>
    </w:p>
    <w:p w14:paraId="3063A69A">
      <w:pPr>
        <w:pStyle w:val="16"/>
        <w:tabs>
          <w:tab w:val="right" w:leader="dot" w:pos="8787"/>
        </w:tabs>
        <w:rPr>
          <w:rFonts w:hint="eastAsia" w:eastAsia="宋体"/>
          <w:highlight w:val="none"/>
          <w:lang w:val="en-US" w:eastAsia="zh-CN"/>
        </w:rPr>
      </w:pPr>
      <w:r>
        <w:rPr>
          <w:highlight w:val="none"/>
        </w:rPr>
        <w:fldChar w:fldCharType="begin"/>
      </w:r>
      <w:r>
        <w:rPr>
          <w:highlight w:val="none"/>
        </w:rPr>
        <w:instrText xml:space="preserve"> HYPERLINK \l "_Toc2135" </w:instrText>
      </w:r>
      <w:r>
        <w:rPr>
          <w:highlight w:val="none"/>
        </w:rPr>
        <w:fldChar w:fldCharType="separate"/>
      </w:r>
      <w:r>
        <w:rPr>
          <w:rFonts w:hint="eastAsia" w:cs="宋体" w:asciiTheme="majorEastAsia" w:hAnsiTheme="majorEastAsia" w:eastAsiaTheme="majorEastAsia"/>
          <w:highlight w:val="none"/>
        </w:rPr>
        <w:t xml:space="preserve">第五部分 </w:t>
      </w:r>
      <w:r>
        <w:rPr>
          <w:rFonts w:hint="eastAsia" w:cs="宋体" w:asciiTheme="majorEastAsia" w:hAnsiTheme="majorEastAsia" w:eastAsiaTheme="majorEastAsia"/>
          <w:highlight w:val="none"/>
          <w:lang w:val="en-US" w:eastAsia="zh-CN"/>
        </w:rPr>
        <w:t xml:space="preserve"> </w:t>
      </w:r>
      <w:r>
        <w:rPr>
          <w:rFonts w:hint="eastAsia" w:cs="宋体" w:asciiTheme="majorEastAsia" w:hAnsiTheme="majorEastAsia" w:eastAsiaTheme="majorEastAsia"/>
          <w:highlight w:val="none"/>
        </w:rPr>
        <w:t>合同条款及格式</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4</w:t>
      </w:r>
    </w:p>
    <w:p w14:paraId="7AC40B4C">
      <w:pPr>
        <w:pStyle w:val="16"/>
        <w:tabs>
          <w:tab w:val="right" w:leader="dot" w:pos="8787"/>
        </w:tabs>
        <w:rPr>
          <w:highlight w:val="none"/>
        </w:rPr>
      </w:pPr>
      <w:r>
        <w:rPr>
          <w:highlight w:val="none"/>
        </w:rPr>
        <w:fldChar w:fldCharType="begin"/>
      </w:r>
      <w:r>
        <w:rPr>
          <w:highlight w:val="none"/>
        </w:rPr>
        <w:instrText xml:space="preserve"> HYPERLINK \l "_Toc9933" </w:instrText>
      </w:r>
      <w:r>
        <w:rPr>
          <w:highlight w:val="none"/>
        </w:rPr>
        <w:fldChar w:fldCharType="separate"/>
      </w:r>
      <w:r>
        <w:rPr>
          <w:rFonts w:hint="eastAsia" w:cs="宋体" w:asciiTheme="majorEastAsia" w:hAnsiTheme="majorEastAsia" w:eastAsiaTheme="majorEastAsia"/>
          <w:kern w:val="44"/>
          <w:szCs w:val="44"/>
          <w:highlight w:val="none"/>
        </w:rPr>
        <w:t>第六部分  投标文件格式</w:t>
      </w:r>
      <w:r>
        <w:rPr>
          <w:highlight w:val="none"/>
        </w:rPr>
        <w:tab/>
      </w:r>
      <w:r>
        <w:rPr>
          <w:highlight w:val="none"/>
        </w:rPr>
        <w:fldChar w:fldCharType="begin"/>
      </w:r>
      <w:r>
        <w:rPr>
          <w:highlight w:val="none"/>
        </w:rPr>
        <w:instrText xml:space="preserve"> PAGEREF _Toc9933 \h </w:instrText>
      </w:r>
      <w:r>
        <w:rPr>
          <w:highlight w:val="none"/>
        </w:rPr>
        <w:fldChar w:fldCharType="separate"/>
      </w:r>
      <w:r>
        <w:rPr>
          <w:highlight w:val="none"/>
        </w:rPr>
        <w:t>48</w:t>
      </w:r>
      <w:r>
        <w:rPr>
          <w:highlight w:val="none"/>
        </w:rPr>
        <w:fldChar w:fldCharType="end"/>
      </w:r>
      <w:r>
        <w:rPr>
          <w:highlight w:val="none"/>
        </w:rPr>
        <w:fldChar w:fldCharType="end"/>
      </w:r>
    </w:p>
    <w:p w14:paraId="4A43C9CA">
      <w:pPr>
        <w:pStyle w:val="16"/>
        <w:tabs>
          <w:tab w:val="right" w:leader="dot" w:pos="8504"/>
        </w:tabs>
        <w:autoSpaceDN w:val="0"/>
        <w:spacing w:line="360" w:lineRule="auto"/>
        <w:rPr>
          <w:rFonts w:asciiTheme="majorEastAsia" w:hAnsiTheme="majorEastAsia" w:eastAsiaTheme="majorEastAsia"/>
          <w:sz w:val="24"/>
          <w:szCs w:val="24"/>
          <w:highlight w:val="none"/>
        </w:rPr>
      </w:pPr>
      <w:r>
        <w:rPr>
          <w:rFonts w:hint="eastAsia" w:asciiTheme="majorEastAsia" w:hAnsiTheme="majorEastAsia" w:eastAsiaTheme="majorEastAsia"/>
          <w:szCs w:val="24"/>
          <w:highlight w:val="none"/>
        </w:rPr>
        <w:fldChar w:fldCharType="end"/>
      </w:r>
    </w:p>
    <w:p w14:paraId="001221F0">
      <w:pPr>
        <w:autoSpaceDN w:val="0"/>
        <w:spacing w:line="360" w:lineRule="auto"/>
        <w:ind w:left="420" w:leftChars="200" w:right="420" w:rightChars="200"/>
        <w:rPr>
          <w:rFonts w:asciiTheme="majorEastAsia" w:hAnsiTheme="majorEastAsia" w:eastAsiaTheme="majorEastAsia"/>
          <w:sz w:val="28"/>
          <w:szCs w:val="28"/>
          <w:highlight w:val="none"/>
        </w:rPr>
      </w:pPr>
    </w:p>
    <w:bookmarkEnd w:id="6"/>
    <w:p w14:paraId="290A343A">
      <w:pPr>
        <w:pStyle w:val="3"/>
        <w:autoSpaceDN w:val="0"/>
        <w:spacing w:before="0" w:after="0" w:line="360" w:lineRule="auto"/>
        <w:jc w:val="center"/>
        <w:rPr>
          <w:rFonts w:asciiTheme="majorEastAsia" w:hAnsiTheme="majorEastAsia" w:eastAsiaTheme="majorEastAsia"/>
          <w:highlight w:val="none"/>
        </w:rPr>
        <w:sectPr>
          <w:pgSz w:w="11906" w:h="16838"/>
          <w:pgMar w:top="1418" w:right="1418" w:bottom="1418" w:left="1587" w:header="851" w:footer="851" w:gutter="0"/>
          <w:pgNumType w:start="1"/>
          <w:cols w:space="720" w:num="1"/>
          <w:docGrid w:linePitch="312" w:charSpace="0"/>
        </w:sectPr>
      </w:pPr>
    </w:p>
    <w:p w14:paraId="5EF48966">
      <w:pPr>
        <w:pStyle w:val="3"/>
        <w:numPr>
          <w:ilvl w:val="0"/>
          <w:numId w:val="2"/>
        </w:numPr>
        <w:autoSpaceDN w:val="0"/>
        <w:spacing w:before="0" w:after="0" w:line="360" w:lineRule="auto"/>
        <w:jc w:val="center"/>
        <w:rPr>
          <w:rFonts w:hint="eastAsia" w:asciiTheme="majorEastAsia" w:hAnsiTheme="majorEastAsia" w:eastAsiaTheme="majorEastAsia"/>
          <w:b/>
          <w:bCs/>
          <w:szCs w:val="21"/>
          <w:highlight w:val="none"/>
        </w:rPr>
      </w:pPr>
      <w:bookmarkStart w:id="7" w:name="_Toc15421"/>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招标公告</w:t>
      </w:r>
      <w:bookmarkEnd w:id="7"/>
      <w:r>
        <w:rPr>
          <w:rFonts w:hint="eastAsia" w:asciiTheme="majorEastAsia" w:hAnsiTheme="majorEastAsia" w:eastAsiaTheme="majorEastAsia"/>
          <w:b/>
          <w:bCs/>
          <w:szCs w:val="21"/>
          <w:highlight w:val="none"/>
        </w:rPr>
        <w:t>（</w:t>
      </w:r>
      <w:bookmarkStart w:id="8" w:name="blank24_copy_1619581275000"/>
      <w:r>
        <w:rPr>
          <w:rFonts w:hint="eastAsia" w:asciiTheme="majorEastAsia" w:hAnsiTheme="majorEastAsia" w:eastAsiaTheme="majorEastAsia"/>
          <w:b/>
          <w:bCs/>
          <w:kern w:val="0"/>
          <w:szCs w:val="21"/>
          <w:highlight w:val="none"/>
        </w:rPr>
        <w:t>资格后审</w:t>
      </w:r>
      <w:bookmarkEnd w:id="8"/>
      <w:r>
        <w:rPr>
          <w:rFonts w:hint="eastAsia" w:asciiTheme="majorEastAsia" w:hAnsiTheme="majorEastAsia" w:eastAsiaTheme="majorEastAsia"/>
          <w:b/>
          <w:bCs/>
          <w:szCs w:val="21"/>
          <w:highlight w:val="none"/>
        </w:rPr>
        <w:t>）</w:t>
      </w:r>
    </w:p>
    <w:p w14:paraId="05A44B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right="0"/>
        <w:jc w:val="center"/>
        <w:textAlignment w:val="auto"/>
        <w:rPr>
          <w:rFonts w:hint="eastAsia" w:asciiTheme="minorEastAsia" w:hAnsiTheme="minorEastAsia" w:eastAsiaTheme="minorEastAsia" w:cstheme="minorEastAsia"/>
          <w:color w:val="3D4B64"/>
          <w:kern w:val="0"/>
          <w:sz w:val="32"/>
          <w:szCs w:val="32"/>
          <w:highlight w:val="none"/>
          <w:shd w:val="clear" w:color="auto" w:fill="FFFFFF"/>
          <w:lang w:val="en-US" w:eastAsia="zh-CN" w:bidi="ar"/>
        </w:rPr>
      </w:pPr>
      <w:r>
        <w:rPr>
          <w:rFonts w:hint="eastAsia" w:asciiTheme="minorEastAsia" w:hAnsiTheme="minorEastAsia" w:eastAsiaTheme="minorEastAsia" w:cstheme="minorEastAsia"/>
          <w:color w:val="3D4B64"/>
          <w:kern w:val="0"/>
          <w:sz w:val="32"/>
          <w:szCs w:val="32"/>
          <w:highlight w:val="none"/>
          <w:shd w:val="clear" w:color="auto" w:fill="FFFFFF"/>
          <w:lang w:val="en-US" w:eastAsia="zh-CN" w:bidi="ar"/>
        </w:rPr>
        <w:t>2024-2025年新雪季-龙源山光影秀提升项目</w:t>
      </w:r>
    </w:p>
    <w:p w14:paraId="7599D4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right="0"/>
        <w:jc w:val="center"/>
        <w:textAlignment w:val="auto"/>
        <w:rPr>
          <w:rFonts w:hint="eastAsia" w:asciiTheme="minorEastAsia" w:hAnsiTheme="minorEastAsia" w:eastAsiaTheme="minorEastAsia" w:cstheme="minorEastAsia"/>
          <w:color w:val="3D4B64"/>
          <w:kern w:val="0"/>
          <w:sz w:val="32"/>
          <w:szCs w:val="32"/>
          <w:highlight w:val="none"/>
          <w:shd w:val="clear" w:color="auto" w:fill="FFFFFF"/>
          <w:lang w:val="en-US" w:eastAsia="zh-CN" w:bidi="ar"/>
        </w:rPr>
      </w:pPr>
      <w:r>
        <w:rPr>
          <w:rFonts w:hint="eastAsia" w:asciiTheme="minorEastAsia" w:hAnsiTheme="minorEastAsia" w:eastAsiaTheme="minorEastAsia" w:cstheme="minorEastAsia"/>
          <w:color w:val="3D4B64"/>
          <w:kern w:val="0"/>
          <w:sz w:val="32"/>
          <w:szCs w:val="32"/>
          <w:highlight w:val="none"/>
          <w:shd w:val="clear" w:color="auto" w:fill="FFFFFF"/>
          <w:lang w:val="en-US" w:eastAsia="zh-CN" w:bidi="ar"/>
        </w:rPr>
        <w:t>招标公告</w:t>
      </w:r>
    </w:p>
    <w:p w14:paraId="35B96A7E">
      <w:pPr>
        <w:keepNext w:val="0"/>
        <w:keepLines w:val="0"/>
        <w:pageBreakBefore w:val="0"/>
        <w:widowControl/>
        <w:suppressLineNumbers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80" w:lineRule="atLeast"/>
        <w:ind w:right="0"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项目概况</w:t>
      </w:r>
    </w:p>
    <w:p w14:paraId="797E332D">
      <w:pPr>
        <w:keepNext w:val="0"/>
        <w:keepLines w:val="0"/>
        <w:pageBreakBefore w:val="0"/>
        <w:widowControl/>
        <w:suppressLineNumbers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80" w:lineRule="atLeast"/>
        <w:ind w:right="0"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3D4B64"/>
          <w:kern w:val="0"/>
          <w:sz w:val="24"/>
          <w:szCs w:val="24"/>
          <w:highlight w:val="none"/>
          <w:u w:val="single"/>
          <w:shd w:val="clear" w:color="auto" w:fill="FFFFFF"/>
          <w:lang w:val="en-US" w:eastAsia="zh-CN" w:bidi="ar"/>
        </w:rPr>
        <w:t>2024-2025年新雪季-龙源山光影秀提升项目 </w:t>
      </w: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招标项目的潜在投标人应在</w:t>
      </w:r>
      <w:r>
        <w:rPr>
          <w:rFonts w:hint="eastAsia" w:asciiTheme="minorEastAsia" w:hAnsiTheme="minorEastAsia" w:eastAsiaTheme="minorEastAsia" w:cstheme="minorEastAsia"/>
          <w:color w:val="3D4B64"/>
          <w:kern w:val="0"/>
          <w:sz w:val="24"/>
          <w:szCs w:val="24"/>
          <w:highlight w:val="none"/>
          <w:u w:val="single"/>
          <w:shd w:val="clear" w:color="auto" w:fill="FFFFFF"/>
          <w:lang w:val="en-US" w:eastAsia="zh-CN" w:bidi="ar"/>
        </w:rPr>
        <w:t>政府采购云平台（网址：http://www.zcygov.cn）</w:t>
      </w: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获取招标文件，并于</w:t>
      </w:r>
      <w:r>
        <w:rPr>
          <w:rFonts w:hint="eastAsia" w:asciiTheme="minorEastAsia" w:hAnsiTheme="minorEastAsia" w:eastAsiaTheme="minorEastAsia" w:cstheme="minorEastAsia"/>
          <w:color w:val="3D4B64"/>
          <w:kern w:val="0"/>
          <w:sz w:val="24"/>
          <w:szCs w:val="24"/>
          <w:highlight w:val="none"/>
          <w:u w:val="single"/>
          <w:shd w:val="clear" w:color="auto" w:fill="FFFFFF"/>
          <w:lang w:val="en-US" w:eastAsia="zh-CN" w:bidi="ar"/>
        </w:rPr>
        <w:t>2025年01月 23日 10点00分（</w:t>
      </w: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北京时间）前递交投标文件。</w:t>
      </w:r>
    </w:p>
    <w:p w14:paraId="282701DA">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Lines="0" w:afterAutospacing="0" w:line="380" w:lineRule="atLeast"/>
        <w:ind w:left="0" w:right="0"/>
        <w:textAlignment w:val="auto"/>
        <w:rPr>
          <w:rFonts w:hint="eastAsia" w:asciiTheme="minorEastAsia" w:hAnsiTheme="minorEastAsia" w:eastAsiaTheme="minorEastAsia" w:cstheme="minorEastAsia"/>
          <w:sz w:val="24"/>
          <w:szCs w:val="24"/>
          <w:highlight w:val="none"/>
        </w:rPr>
      </w:pPr>
      <w:bookmarkStart w:id="9" w:name="_Toc28359002"/>
      <w:bookmarkEnd w:id="9"/>
      <w:bookmarkStart w:id="10" w:name="_Toc35393790"/>
      <w:bookmarkEnd w:id="10"/>
      <w:bookmarkStart w:id="11" w:name="_Toc28359079"/>
      <w:bookmarkEnd w:id="11"/>
      <w:bookmarkStart w:id="12" w:name="_Toc35393621"/>
      <w:bookmarkEnd w:id="12"/>
      <w:bookmarkStart w:id="13" w:name="_Hlk24379207"/>
      <w:r>
        <w:rPr>
          <w:rFonts w:hint="eastAsia" w:asciiTheme="minorEastAsia" w:hAnsiTheme="minorEastAsia" w:eastAsiaTheme="minorEastAsia" w:cstheme="minorEastAsia"/>
          <w:b w:val="0"/>
          <w:color w:val="3D4B64"/>
          <w:sz w:val="24"/>
          <w:szCs w:val="24"/>
          <w:highlight w:val="none"/>
          <w:u w:val="none"/>
          <w:shd w:val="clear" w:color="auto" w:fill="FFFFFF"/>
        </w:rPr>
        <w:t>一、项目基本情况</w:t>
      </w:r>
      <w:bookmarkEnd w:id="13"/>
    </w:p>
    <w:p w14:paraId="1F4F17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bookmarkStart w:id="14" w:name="_Toc28359003"/>
      <w:bookmarkEnd w:id="14"/>
      <w:bookmarkStart w:id="15" w:name="_Toc28359080"/>
      <w:bookmarkEnd w:id="15"/>
      <w:bookmarkStart w:id="16" w:name="_Toc35393622"/>
      <w:bookmarkEnd w:id="16"/>
      <w:bookmarkStart w:id="17" w:name="_Toc35393791"/>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1.采购编号：采购计划-[2024]-00274号</w:t>
      </w:r>
    </w:p>
    <w:p w14:paraId="715E4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2.项目编号：</w:t>
      </w: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JILINYONGYI-2024-118-HW</w:t>
      </w: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 </w:t>
      </w:r>
    </w:p>
    <w:p w14:paraId="206FCE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3.项目名称：2024-2025年新雪季-龙源山光影秀提升项目</w:t>
      </w:r>
    </w:p>
    <w:p w14:paraId="6262B4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4.预算金额：628245.50元</w:t>
      </w:r>
    </w:p>
    <w:p w14:paraId="54B7FA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5.采购需求：户外防水应激灯、激光控制器等，详见招标文件</w:t>
      </w:r>
    </w:p>
    <w:p w14:paraId="4B4DC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6.合同履行期限：中标之日起7日内供货完毕</w:t>
      </w:r>
    </w:p>
    <w:p w14:paraId="45975D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default"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7.供货地点：长岭县</w:t>
      </w:r>
    </w:p>
    <w:p w14:paraId="438E06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8.本项目不接受联合体投标</w:t>
      </w:r>
    </w:p>
    <w:p w14:paraId="21FDEE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right="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color w:val="3D4B64"/>
          <w:sz w:val="24"/>
          <w:szCs w:val="24"/>
          <w:highlight w:val="none"/>
          <w:u w:val="none"/>
          <w:shd w:val="clear" w:color="auto" w:fill="FFFFFF"/>
        </w:rPr>
        <w:t>二、申请人的资格要求：</w:t>
      </w:r>
      <w:bookmarkEnd w:id="17"/>
    </w:p>
    <w:p w14:paraId="5C6875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539"/>
        <w:jc w:val="left"/>
        <w:textAlignment w:val="auto"/>
        <w:rPr>
          <w:rFonts w:hint="eastAsia" w:ascii="宋体" w:hAnsi="宋体" w:eastAsia="宋体" w:cs="宋体"/>
          <w:color w:val="3D4B64"/>
          <w:kern w:val="0"/>
          <w:sz w:val="24"/>
          <w:szCs w:val="24"/>
          <w:highlight w:val="none"/>
          <w:shd w:val="clear" w:color="auto" w:fill="FFFFFF"/>
          <w:lang w:val="en-US" w:eastAsia="zh-CN" w:bidi="ar"/>
        </w:rPr>
      </w:pPr>
      <w:bookmarkStart w:id="18" w:name="_Toc35393792"/>
      <w:r>
        <w:rPr>
          <w:rFonts w:hint="eastAsia" w:ascii="宋体" w:hAnsi="宋体" w:eastAsia="宋体" w:cs="宋体"/>
          <w:color w:val="3D4B64"/>
          <w:kern w:val="0"/>
          <w:sz w:val="24"/>
          <w:szCs w:val="24"/>
          <w:highlight w:val="none"/>
          <w:shd w:val="clear" w:color="auto" w:fill="FFFFFF"/>
          <w:lang w:val="en-US" w:eastAsia="zh-CN" w:bidi="ar"/>
        </w:rPr>
        <w:t>1.满足《中华人民共和国政府采购法》第二十二条规定；</w:t>
      </w:r>
    </w:p>
    <w:p w14:paraId="2A028F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539"/>
        <w:jc w:val="left"/>
        <w:textAlignment w:val="auto"/>
        <w:rPr>
          <w:rFonts w:hint="eastAsia" w:ascii="宋体" w:hAnsi="宋体" w:eastAsia="宋体" w:cs="宋体"/>
          <w:color w:val="3D4B64"/>
          <w:kern w:val="0"/>
          <w:sz w:val="24"/>
          <w:szCs w:val="24"/>
          <w:highlight w:val="none"/>
          <w:shd w:val="clear" w:color="auto" w:fill="FFFFFF"/>
          <w:lang w:val="en-US" w:eastAsia="zh-CN" w:bidi="ar"/>
        </w:rPr>
      </w:pPr>
      <w:bookmarkStart w:id="19" w:name="_Toc28359004"/>
      <w:bookmarkEnd w:id="19"/>
      <w:bookmarkStart w:id="20" w:name="_Toc28359081"/>
      <w:r>
        <w:rPr>
          <w:rFonts w:hint="eastAsia" w:ascii="宋体" w:hAnsi="宋体" w:eastAsia="宋体" w:cs="宋体"/>
          <w:color w:val="3D4B64"/>
          <w:kern w:val="0"/>
          <w:sz w:val="24"/>
          <w:szCs w:val="24"/>
          <w:highlight w:val="none"/>
          <w:shd w:val="clear" w:color="auto" w:fill="FFFFFF"/>
          <w:lang w:val="en-US" w:eastAsia="zh-CN" w:bidi="ar"/>
        </w:rPr>
        <w:t>2</w:t>
      </w:r>
      <w:bookmarkEnd w:id="20"/>
      <w:r>
        <w:rPr>
          <w:rFonts w:hint="eastAsia" w:ascii="宋体" w:hAnsi="宋体" w:eastAsia="宋体" w:cs="宋体"/>
          <w:color w:val="3D4B64"/>
          <w:kern w:val="0"/>
          <w:sz w:val="24"/>
          <w:szCs w:val="24"/>
          <w:highlight w:val="none"/>
          <w:shd w:val="clear" w:color="auto" w:fill="FFFFFF"/>
          <w:lang w:val="en-US" w:eastAsia="zh-CN" w:bidi="ar"/>
        </w:rPr>
        <w:t>.落实政府采购政策需满足的资格要求：本项目为专门面向中小企业的采购项目</w:t>
      </w:r>
    </w:p>
    <w:p w14:paraId="3EB423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539"/>
        <w:jc w:val="left"/>
        <w:textAlignment w:val="auto"/>
        <w:rPr>
          <w:rFonts w:hint="eastAsia" w:ascii="宋体" w:hAnsi="宋体" w:eastAsia="宋体" w:cs="宋体"/>
          <w:color w:val="3D4B64"/>
          <w:kern w:val="0"/>
          <w:sz w:val="24"/>
          <w:szCs w:val="24"/>
          <w:highlight w:val="none"/>
          <w:shd w:val="clear" w:color="auto" w:fill="FFFFFF"/>
          <w:lang w:val="en-US" w:eastAsia="zh-CN" w:bidi="ar"/>
        </w:rPr>
      </w:pPr>
      <w:r>
        <w:rPr>
          <w:rFonts w:hint="eastAsia" w:ascii="宋体" w:hAnsi="宋体" w:eastAsia="宋体" w:cs="宋体"/>
          <w:color w:val="3D4B64"/>
          <w:kern w:val="0"/>
          <w:sz w:val="24"/>
          <w:szCs w:val="24"/>
          <w:highlight w:val="none"/>
          <w:shd w:val="clear" w:color="auto" w:fill="FFFFFF"/>
          <w:lang w:val="en-US" w:eastAsia="zh-CN" w:bidi="ar"/>
        </w:rPr>
        <w:t>2.1执行《政府采购促进中小企业发展管理办法》（财库〔2020〕46号）；</w:t>
      </w:r>
    </w:p>
    <w:p w14:paraId="166851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539"/>
        <w:jc w:val="left"/>
        <w:textAlignment w:val="auto"/>
        <w:rPr>
          <w:rFonts w:hint="eastAsia" w:ascii="宋体" w:hAnsi="宋体" w:eastAsia="宋体" w:cs="宋体"/>
          <w:color w:val="3D4B64"/>
          <w:kern w:val="0"/>
          <w:sz w:val="24"/>
          <w:szCs w:val="24"/>
          <w:highlight w:val="none"/>
          <w:shd w:val="clear" w:color="auto" w:fill="FFFFFF"/>
          <w:lang w:val="en-US" w:eastAsia="zh-CN" w:bidi="ar"/>
        </w:rPr>
      </w:pPr>
      <w:r>
        <w:rPr>
          <w:rFonts w:hint="eastAsia" w:ascii="宋体" w:hAnsi="宋体" w:eastAsia="宋体" w:cs="宋体"/>
          <w:color w:val="3D4B64"/>
          <w:kern w:val="0"/>
          <w:sz w:val="24"/>
          <w:szCs w:val="24"/>
          <w:highlight w:val="none"/>
          <w:shd w:val="clear" w:color="auto" w:fill="FFFFFF"/>
          <w:lang w:val="en-US" w:eastAsia="zh-CN" w:bidi="ar"/>
        </w:rPr>
        <w:t>2.2执行《财政部司法部关于政府采购支持监狱企业发展有关问题的通知》（财库〔2014〕68号）；</w:t>
      </w:r>
    </w:p>
    <w:p w14:paraId="06522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539"/>
        <w:jc w:val="left"/>
        <w:textAlignment w:val="auto"/>
        <w:rPr>
          <w:rFonts w:hint="eastAsia" w:ascii="宋体" w:hAnsi="宋体" w:eastAsia="宋体" w:cs="宋体"/>
          <w:color w:val="3D4B64"/>
          <w:kern w:val="0"/>
          <w:sz w:val="24"/>
          <w:szCs w:val="24"/>
          <w:highlight w:val="none"/>
          <w:shd w:val="clear" w:color="auto" w:fill="FFFFFF"/>
          <w:lang w:val="en-US" w:eastAsia="zh-CN" w:bidi="ar"/>
        </w:rPr>
      </w:pPr>
      <w:r>
        <w:rPr>
          <w:rFonts w:hint="eastAsia" w:ascii="宋体" w:hAnsi="宋体" w:eastAsia="宋体" w:cs="宋体"/>
          <w:color w:val="3D4B64"/>
          <w:kern w:val="0"/>
          <w:sz w:val="24"/>
          <w:szCs w:val="24"/>
          <w:highlight w:val="none"/>
          <w:shd w:val="clear" w:color="auto" w:fill="FFFFFF"/>
          <w:lang w:val="en-US" w:eastAsia="zh-CN" w:bidi="ar"/>
        </w:rPr>
        <w:t>2.3执行《国务院办公厅关于建立政府强制采购节能产品制度的通知》（国办发〔2007〕51号）；</w:t>
      </w:r>
    </w:p>
    <w:p w14:paraId="246DA3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539"/>
        <w:jc w:val="left"/>
        <w:textAlignment w:val="auto"/>
        <w:rPr>
          <w:rFonts w:hint="eastAsia" w:ascii="宋体" w:hAnsi="宋体" w:eastAsia="宋体" w:cs="宋体"/>
          <w:color w:val="3D4B64"/>
          <w:kern w:val="0"/>
          <w:sz w:val="24"/>
          <w:szCs w:val="24"/>
          <w:highlight w:val="none"/>
          <w:shd w:val="clear" w:color="auto" w:fill="FFFFFF"/>
          <w:lang w:val="en-US" w:eastAsia="zh-CN" w:bidi="ar"/>
        </w:rPr>
      </w:pPr>
      <w:r>
        <w:rPr>
          <w:rFonts w:hint="eastAsia" w:ascii="宋体" w:hAnsi="宋体" w:eastAsia="宋体" w:cs="宋体"/>
          <w:color w:val="3D4B64"/>
          <w:kern w:val="0"/>
          <w:sz w:val="24"/>
          <w:szCs w:val="24"/>
          <w:highlight w:val="none"/>
          <w:shd w:val="clear" w:color="auto" w:fill="FFFFFF"/>
          <w:lang w:val="en-US" w:eastAsia="zh-CN" w:bidi="ar"/>
        </w:rPr>
        <w:t>2.4执行《关于促进残疾人就业政府采购政策的通知》（财库〔2017〕141号。</w:t>
      </w:r>
    </w:p>
    <w:p w14:paraId="3EAC67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539"/>
        <w:jc w:val="left"/>
        <w:textAlignment w:val="auto"/>
        <w:rPr>
          <w:rFonts w:hint="default" w:ascii="宋体" w:hAnsi="宋体" w:eastAsia="宋体" w:cs="宋体"/>
          <w:color w:val="3D4B64"/>
          <w:kern w:val="0"/>
          <w:sz w:val="24"/>
          <w:szCs w:val="24"/>
          <w:highlight w:val="none"/>
          <w:shd w:val="clear" w:color="auto" w:fill="FFFFFF"/>
          <w:lang w:val="en-US" w:eastAsia="zh-CN" w:bidi="ar"/>
        </w:rPr>
      </w:pPr>
      <w:r>
        <w:rPr>
          <w:rFonts w:hint="eastAsia" w:ascii="宋体" w:hAnsi="宋体" w:eastAsia="宋体" w:cs="宋体"/>
          <w:color w:val="3D4B64"/>
          <w:kern w:val="0"/>
          <w:sz w:val="24"/>
          <w:szCs w:val="24"/>
          <w:highlight w:val="none"/>
          <w:shd w:val="clear" w:color="auto" w:fill="FFFFFF"/>
          <w:lang w:val="en-US" w:eastAsia="zh-CN" w:bidi="ar"/>
        </w:rPr>
        <w:t>3本项目的资格要求</w:t>
      </w:r>
    </w:p>
    <w:p w14:paraId="4AB68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3.1投标人应在中华人民共和国境内注册，须是依法登记注册的独立法人或其他组织，并在人员、设备、资金等方面具有相应的服务能力。</w:t>
      </w:r>
    </w:p>
    <w:p w14:paraId="4E4E50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3.2信誉要求：拒绝列入政府取消投标资格记录期间的企业或个人投标；不接受被列入失信被执行人、重大税收违法案件当事人名单、政府采购严重违法失信行为记录名单的投标人参与投标（详见财库【2016】125号，通过“信用中国”网站（www.creditchina.gov.cn）或中国政府采购网（www.ccgp.gov.cn）渠道查询相关信用记录的网站截图证明）。投标人需出具本公司（公司、法人）的无行贿犯罪记录证明（在中国裁判文书网查询并加盖公章）；</w:t>
      </w:r>
    </w:p>
    <w:p w14:paraId="1FC508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3.3近一年（2023年）的财务审计报告或财务报表或投标前三个月内投标人开户银行出具的资信证明（除开具银行明确表示复印无效的，银行资信证明可以是复印件加盖本单位公章；资信证明要能证明投标人的资信状况良好，往来帐款正常，无透支行为，存款证明无效）。并提供2024年1月至今任意一个月纳税及社保缴费证明；</w:t>
      </w:r>
    </w:p>
    <w:p w14:paraId="6ADBC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3.4投标人须具备参加政府采购活动前三年内（2021-2023年）在经营活动中没有重大违法记录的书面声明；</w:t>
      </w:r>
    </w:p>
    <w:p w14:paraId="3DAEE7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3.5其他要求：与招标人存在利害关系可能影响招标公正性的法人、其他组织或者个人，不得参加投标。单位负责人为同一人或者存在控股、管理关系的不同单位，不得参加同一标段投标或者未划分标段的同一招标项目投标。</w:t>
      </w:r>
    </w:p>
    <w:p w14:paraId="267866A8">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Lines="0" w:afterAutospacing="0" w:line="380" w:lineRule="atLeast"/>
        <w:ind w:left="0" w:righ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color w:val="3D4B64"/>
          <w:sz w:val="24"/>
          <w:szCs w:val="24"/>
          <w:highlight w:val="none"/>
          <w:u w:val="none"/>
          <w:shd w:val="clear" w:color="auto" w:fill="FFFFFF"/>
        </w:rPr>
        <w:t>三、获取招标文件</w:t>
      </w:r>
      <w:bookmarkEnd w:id="18"/>
    </w:p>
    <w:p w14:paraId="49CCE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1.时间：即日起至2025年01月10日</w:t>
      </w: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（上午0:00～12:00，下午12:00～23:59，北京时间，法定节假日除外）。</w:t>
      </w:r>
    </w:p>
    <w:p w14:paraId="4DE12D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2.地点：政府采购云平台（网址：http://www.zcygov.cn）。</w:t>
      </w:r>
    </w:p>
    <w:p w14:paraId="6968A7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3.方式：网上免费获取（潜在投标人自行登录政府采购云平台（网址：http:// www.zcygov.cn）注册（网址：https://middle.zcygov.cn/v-settle-front/registry）并下载竞争性投标文件，其他途径获取的竞争性投标文件开标时一律按无效响应处理）。</w:t>
      </w:r>
    </w:p>
    <w:p w14:paraId="521C3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4.售价：0元</w:t>
      </w:r>
    </w:p>
    <w:p w14:paraId="3E21C357">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Lines="0" w:afterAutospacing="0" w:line="380" w:lineRule="atLeast"/>
        <w:ind w:left="0" w:right="0"/>
        <w:textAlignment w:val="auto"/>
        <w:rPr>
          <w:rFonts w:hint="eastAsia" w:asciiTheme="minorEastAsia" w:hAnsiTheme="minorEastAsia" w:eastAsiaTheme="minorEastAsia" w:cstheme="minorEastAsia"/>
          <w:sz w:val="24"/>
          <w:szCs w:val="24"/>
          <w:highlight w:val="none"/>
        </w:rPr>
      </w:pPr>
      <w:bookmarkStart w:id="21" w:name="_Toc28359005"/>
      <w:bookmarkEnd w:id="21"/>
      <w:bookmarkStart w:id="22" w:name="_Toc28359082"/>
      <w:bookmarkEnd w:id="22"/>
      <w:bookmarkStart w:id="23" w:name="_Toc35393624"/>
      <w:bookmarkEnd w:id="23"/>
      <w:bookmarkStart w:id="24" w:name="_Toc35393793"/>
      <w:r>
        <w:rPr>
          <w:rFonts w:hint="eastAsia" w:asciiTheme="minorEastAsia" w:hAnsiTheme="minorEastAsia" w:eastAsiaTheme="minorEastAsia" w:cstheme="minorEastAsia"/>
          <w:b w:val="0"/>
          <w:color w:val="3D4B64"/>
          <w:sz w:val="24"/>
          <w:szCs w:val="24"/>
          <w:highlight w:val="none"/>
          <w:u w:val="none"/>
          <w:shd w:val="clear" w:color="auto" w:fill="FFFFFF"/>
        </w:rPr>
        <w:t>四、提交投标文件</w:t>
      </w:r>
      <w:bookmarkEnd w:id="24"/>
      <w:r>
        <w:rPr>
          <w:rFonts w:hint="eastAsia" w:asciiTheme="minorEastAsia" w:hAnsiTheme="minorEastAsia" w:eastAsiaTheme="minorEastAsia" w:cstheme="minorEastAsia"/>
          <w:b w:val="0"/>
          <w:color w:val="3D4B64"/>
          <w:sz w:val="24"/>
          <w:szCs w:val="24"/>
          <w:highlight w:val="none"/>
          <w:shd w:val="clear" w:color="auto" w:fill="FFFFFF"/>
        </w:rPr>
        <w:t>截止时间和地点</w:t>
      </w:r>
    </w:p>
    <w:p w14:paraId="7C801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1.截止时间：</w:t>
      </w:r>
      <w:r>
        <w:rPr>
          <w:rFonts w:hint="eastAsia" w:asciiTheme="minorEastAsia" w:hAnsiTheme="minorEastAsia" w:eastAsiaTheme="minorEastAsia" w:cstheme="minorEastAsia"/>
          <w:color w:val="3D4B64"/>
          <w:kern w:val="0"/>
          <w:sz w:val="24"/>
          <w:szCs w:val="24"/>
          <w:highlight w:val="none"/>
          <w:u w:val="single"/>
          <w:shd w:val="clear" w:color="auto" w:fill="FFFFFF"/>
          <w:lang w:val="en-US" w:eastAsia="zh-CN" w:bidi="ar"/>
        </w:rPr>
        <w:t xml:space="preserve">2025年01月23日10点 00分 </w:t>
      </w: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（北京时间）</w:t>
      </w:r>
    </w:p>
    <w:p w14:paraId="38CBF4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2</w:t>
      </w:r>
      <w:bookmarkStart w:id="25" w:name="_Toc28359084"/>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.地点：请登录政采云投标客户端投标</w:t>
      </w:r>
    </w:p>
    <w:p w14:paraId="221BD5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本项目执行电子化招投标，须通过政府采购云平台（网址：http://www.zcygov.cn）递交电子版响应文件。</w:t>
      </w:r>
    </w:p>
    <w:p w14:paraId="2952F5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投标操作流程：投标人在政府采购云平台网注册入库成为正式投标人后，在平台上按《政府采购项目电子交易管理操作指南-投标人》进行投标操作。</w:t>
      </w:r>
    </w:p>
    <w:p w14:paraId="705FFB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数字证书办理及投标技术咨询：可登录“政采云”平台，点击右侧咨询小采，获取采小蜜智能服务管家帮助，或拨打政采云服务热线 95763获取帮助。</w:t>
      </w:r>
    </w:p>
    <w:p w14:paraId="0C9E5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right="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五、响应文件开启时间和地点</w:t>
      </w:r>
    </w:p>
    <w:p w14:paraId="1F9293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1.时间：2025年01月23日10点00分（北京时间）；</w:t>
      </w:r>
    </w:p>
    <w:p w14:paraId="76B336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2.地点：长春市高新区鸿达街248号吉林日报副楼4楼吉利招开标</w:t>
      </w: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三</w:t>
      </w: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室。</w:t>
      </w:r>
    </w:p>
    <w:p w14:paraId="39927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right="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五、公告期限</w:t>
      </w:r>
      <w:bookmarkEnd w:id="25"/>
    </w:p>
    <w:p w14:paraId="62C21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自本公告发布之日起5个工作日。</w:t>
      </w:r>
    </w:p>
    <w:p w14:paraId="1DDFD302">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Lines="0" w:afterAutospacing="0" w:line="380" w:lineRule="atLeast"/>
        <w:ind w:left="0" w:right="0"/>
        <w:textAlignment w:val="auto"/>
        <w:rPr>
          <w:rFonts w:hint="eastAsia" w:asciiTheme="minorEastAsia" w:hAnsiTheme="minorEastAsia" w:eastAsiaTheme="minorEastAsia" w:cstheme="minorEastAsia"/>
          <w:sz w:val="24"/>
          <w:szCs w:val="24"/>
          <w:highlight w:val="none"/>
        </w:rPr>
      </w:pPr>
      <w:bookmarkStart w:id="26" w:name="_Toc35393626"/>
      <w:bookmarkEnd w:id="26"/>
      <w:bookmarkStart w:id="27" w:name="_Toc35393795"/>
      <w:r>
        <w:rPr>
          <w:rFonts w:hint="eastAsia" w:asciiTheme="minorEastAsia" w:hAnsiTheme="minorEastAsia" w:eastAsiaTheme="minorEastAsia" w:cstheme="minorEastAsia"/>
          <w:b w:val="0"/>
          <w:color w:val="3D4B64"/>
          <w:sz w:val="24"/>
          <w:szCs w:val="24"/>
          <w:highlight w:val="none"/>
          <w:u w:val="none"/>
          <w:shd w:val="clear" w:color="auto" w:fill="FFFFFF"/>
        </w:rPr>
        <w:t>六、其他补充事宜</w:t>
      </w:r>
      <w:bookmarkEnd w:id="27"/>
    </w:p>
    <w:p w14:paraId="237B3641">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atLeast"/>
        <w:ind w:left="0" w:right="0" w:firstLine="480" w:firstLineChars="200"/>
        <w:textAlignment w:val="auto"/>
        <w:rPr>
          <w:rFonts w:hint="eastAsia" w:asciiTheme="minorEastAsia" w:hAnsiTheme="minorEastAsia" w:eastAsiaTheme="minorEastAsia" w:cstheme="minorEastAsia"/>
          <w:b w:val="0"/>
          <w:color w:val="3D4B64"/>
          <w:sz w:val="24"/>
          <w:szCs w:val="24"/>
          <w:highlight w:val="none"/>
          <w:u w:val="none"/>
          <w:shd w:val="clear" w:color="auto" w:fill="FFFFFF"/>
        </w:rPr>
      </w:pPr>
      <w:bookmarkStart w:id="28" w:name="_Toc28359008"/>
      <w:bookmarkEnd w:id="28"/>
      <w:bookmarkStart w:id="29" w:name="_Toc35393796"/>
      <w:bookmarkEnd w:id="29"/>
      <w:bookmarkStart w:id="30" w:name="_Toc35393627"/>
      <w:bookmarkEnd w:id="30"/>
      <w:bookmarkStart w:id="31" w:name="_Toc28359085"/>
      <w:r>
        <w:rPr>
          <w:rFonts w:hint="eastAsia" w:asciiTheme="minorEastAsia" w:hAnsiTheme="minorEastAsia" w:eastAsiaTheme="minorEastAsia" w:cstheme="minorEastAsia"/>
          <w:b w:val="0"/>
          <w:color w:val="3D4B64"/>
          <w:kern w:val="0"/>
          <w:sz w:val="24"/>
          <w:szCs w:val="24"/>
          <w:highlight w:val="none"/>
          <w:shd w:val="clear" w:color="auto" w:fill="FFFFFF"/>
          <w:lang w:val="en-US" w:eastAsia="zh-CN" w:bidi="ar"/>
        </w:rPr>
        <w:t>本次招标公告同时在“政采云”平台（http:// www.zcygov.cn）(同步推送到吉林省政府采购网（http://www.ccgp-jilin.gov.cn/）、中国政府采购网发布。</w:t>
      </w:r>
    </w:p>
    <w:p w14:paraId="78BEF6FE">
      <w:pPr>
        <w:rPr>
          <w:rFonts w:hint="eastAsia" w:asciiTheme="minorEastAsia" w:hAnsiTheme="minorEastAsia" w:eastAsiaTheme="minorEastAsia" w:cstheme="minorEastAsia"/>
          <w:b w:val="0"/>
          <w:color w:val="3D4B64"/>
          <w:sz w:val="24"/>
          <w:szCs w:val="24"/>
          <w:highlight w:val="none"/>
          <w:u w:val="none"/>
          <w:shd w:val="clear" w:color="auto" w:fill="FFFFFF"/>
        </w:rPr>
      </w:pPr>
      <w:r>
        <w:rPr>
          <w:rFonts w:hint="eastAsia" w:asciiTheme="minorEastAsia" w:hAnsiTheme="minorEastAsia" w:eastAsiaTheme="minorEastAsia" w:cstheme="minorEastAsia"/>
          <w:b w:val="0"/>
          <w:color w:val="3D4B64"/>
          <w:sz w:val="24"/>
          <w:szCs w:val="24"/>
          <w:highlight w:val="none"/>
          <w:u w:val="none"/>
          <w:shd w:val="clear" w:color="auto" w:fill="FFFFFF"/>
        </w:rPr>
        <w:br w:type="page"/>
      </w:r>
    </w:p>
    <w:p w14:paraId="682C4CB1">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20" w:afterAutospacing="0" w:line="380" w:lineRule="atLeast"/>
        <w:ind w:left="0" w:right="0"/>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b w:val="0"/>
          <w:color w:val="3D4B64"/>
          <w:sz w:val="24"/>
          <w:szCs w:val="24"/>
          <w:highlight w:val="none"/>
          <w:u w:val="none"/>
          <w:shd w:val="clear" w:color="auto" w:fill="FFFFFF"/>
        </w:rPr>
        <w:t>七、对本次招标提出询问，请按</w:t>
      </w:r>
      <w:bookmarkEnd w:id="31"/>
      <w:r>
        <w:rPr>
          <w:rFonts w:hint="eastAsia" w:asciiTheme="minorEastAsia" w:hAnsiTheme="minorEastAsia" w:eastAsiaTheme="minorEastAsia" w:cstheme="minorEastAsia"/>
          <w:b w:val="0"/>
          <w:color w:val="3D4B64"/>
          <w:sz w:val="24"/>
          <w:szCs w:val="24"/>
          <w:highlight w:val="none"/>
          <w:shd w:val="clear" w:color="auto" w:fill="FFFFFF"/>
        </w:rPr>
        <w:t>以下方式联系。</w:t>
      </w:r>
    </w:p>
    <w:p w14:paraId="08376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　  1.采购人信息</w:t>
      </w:r>
    </w:p>
    <w:p w14:paraId="55449C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right="0" w:firstLine="720" w:firstLineChars="300"/>
        <w:jc w:val="left"/>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名  称：</w:t>
      </w:r>
      <w:r>
        <w:rPr>
          <w:rFonts w:hint="eastAsia" w:asciiTheme="minorEastAsia" w:hAnsiTheme="minorEastAsia" w:eastAsiaTheme="minorEastAsia" w:cstheme="minorEastAsia"/>
          <w:color w:val="3D4B64"/>
          <w:kern w:val="0"/>
          <w:sz w:val="24"/>
          <w:szCs w:val="24"/>
          <w:highlight w:val="none"/>
          <w:u w:val="single"/>
          <w:shd w:val="clear" w:color="auto" w:fill="FFFFFF"/>
          <w:lang w:val="en-US" w:eastAsia="zh-CN" w:bidi="ar"/>
        </w:rPr>
        <w:t>长岭县园林管理所</w:t>
      </w:r>
    </w:p>
    <w:p w14:paraId="171908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right="0" w:firstLine="720" w:firstLineChars="300"/>
        <w:jc w:val="left"/>
        <w:textAlignment w:val="auto"/>
        <w:rPr>
          <w:rFonts w:hint="eastAsia" w:asciiTheme="minorEastAsia" w:hAnsiTheme="minorEastAsia" w:eastAsiaTheme="minorEastAsia" w:cstheme="minorEastAsia"/>
          <w:color w:val="3D4B64"/>
          <w:kern w:val="0"/>
          <w:sz w:val="24"/>
          <w:szCs w:val="24"/>
          <w:highlight w:val="none"/>
          <w:u w:val="singl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地  址：</w:t>
      </w:r>
      <w:r>
        <w:rPr>
          <w:rFonts w:hint="eastAsia" w:asciiTheme="minorEastAsia" w:hAnsiTheme="minorEastAsia" w:eastAsiaTheme="minorEastAsia" w:cstheme="minorEastAsia"/>
          <w:color w:val="3D4B64"/>
          <w:kern w:val="0"/>
          <w:sz w:val="24"/>
          <w:szCs w:val="24"/>
          <w:highlight w:val="none"/>
          <w:u w:val="single"/>
          <w:shd w:val="clear" w:color="auto" w:fill="FFFFFF"/>
          <w:lang w:val="en-US" w:eastAsia="zh-CN" w:bidi="ar"/>
        </w:rPr>
        <w:t>松原市长岭县长岭镇</w:t>
      </w:r>
    </w:p>
    <w:p w14:paraId="665014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right="0" w:firstLine="720" w:firstLineChars="300"/>
        <w:jc w:val="left"/>
        <w:textAlignment w:val="auto"/>
        <w:rPr>
          <w:rFonts w:hint="default" w:asciiTheme="minorEastAsia" w:hAnsiTheme="minorEastAsia" w:eastAsiaTheme="minorEastAsia" w:cstheme="minorEastAsia"/>
          <w:color w:val="3D4B64"/>
          <w:kern w:val="0"/>
          <w:sz w:val="24"/>
          <w:szCs w:val="24"/>
          <w:highlight w:val="none"/>
          <w:u w:val="singl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u w:val="none"/>
          <w:shd w:val="clear" w:color="auto" w:fill="FFFFFF"/>
          <w:lang w:val="en-US" w:eastAsia="zh-CN" w:bidi="ar"/>
        </w:rPr>
        <w:t>联系人：</w:t>
      </w:r>
      <w:r>
        <w:rPr>
          <w:rFonts w:hint="eastAsia" w:asciiTheme="minorEastAsia" w:hAnsiTheme="minorEastAsia" w:eastAsiaTheme="minorEastAsia" w:cstheme="minorEastAsia"/>
          <w:color w:val="3D4B64"/>
          <w:kern w:val="0"/>
          <w:sz w:val="24"/>
          <w:szCs w:val="24"/>
          <w:highlight w:val="none"/>
          <w:u w:val="single"/>
          <w:shd w:val="clear" w:color="auto" w:fill="FFFFFF"/>
          <w:lang w:val="en-US" w:eastAsia="zh-CN" w:bidi="ar"/>
        </w:rPr>
        <w:t>于刚</w:t>
      </w:r>
    </w:p>
    <w:p w14:paraId="6829F2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right="0" w:firstLine="720" w:firstLineChars="300"/>
        <w:jc w:val="left"/>
        <w:textAlignment w:val="auto"/>
        <w:rPr>
          <w:rFonts w:hint="eastAsia" w:asciiTheme="minorEastAsia" w:hAnsiTheme="minorEastAsia" w:eastAsiaTheme="minorEastAsia" w:cstheme="minorEastAsia"/>
          <w:color w:val="3D4B64"/>
          <w:kern w:val="0"/>
          <w:sz w:val="24"/>
          <w:szCs w:val="24"/>
          <w:highlight w:val="none"/>
          <w:u w:val="single"/>
          <w:shd w:val="clear" w:color="auto" w:fill="FFFFFF"/>
          <w:lang w:val="en-US" w:eastAsia="zh-CN" w:bidi="ar"/>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联系方式：</w:t>
      </w:r>
      <w:r>
        <w:rPr>
          <w:rFonts w:hint="eastAsia" w:asciiTheme="minorEastAsia" w:hAnsiTheme="minorEastAsia" w:eastAsiaTheme="minorEastAsia" w:cstheme="minorEastAsia"/>
          <w:color w:val="3D4B64"/>
          <w:kern w:val="0"/>
          <w:sz w:val="24"/>
          <w:szCs w:val="24"/>
          <w:highlight w:val="none"/>
          <w:u w:val="single"/>
          <w:shd w:val="clear" w:color="auto" w:fill="FFFFFF"/>
          <w:lang w:val="en-US" w:eastAsia="zh-CN" w:bidi="ar"/>
        </w:rPr>
        <w:t>13596972992</w:t>
      </w:r>
    </w:p>
    <w:p w14:paraId="25A636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right="0"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2.采购代理机构信息</w:t>
      </w:r>
    </w:p>
    <w:p w14:paraId="63CB99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720" w:firstLineChars="300"/>
        <w:jc w:val="left"/>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名  称：</w:t>
      </w:r>
      <w:r>
        <w:rPr>
          <w:rFonts w:hint="eastAsia" w:asciiTheme="minorEastAsia" w:hAnsiTheme="minorEastAsia" w:eastAsiaTheme="minorEastAsia" w:cstheme="minorEastAsia"/>
          <w:color w:val="3D4B64"/>
          <w:kern w:val="0"/>
          <w:sz w:val="24"/>
          <w:szCs w:val="24"/>
          <w:highlight w:val="none"/>
          <w:u w:val="single"/>
          <w:shd w:val="clear" w:color="auto" w:fill="FFFFFF"/>
          <w:lang w:val="en-US" w:eastAsia="zh-CN" w:bidi="ar"/>
        </w:rPr>
        <w:t>吉林省永屹招标代理有限公司</w:t>
      </w:r>
    </w:p>
    <w:p w14:paraId="5E9D8B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720" w:firstLineChars="300"/>
        <w:jc w:val="left"/>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地  址：</w:t>
      </w:r>
      <w:r>
        <w:rPr>
          <w:rFonts w:hint="eastAsia" w:asciiTheme="minorEastAsia" w:hAnsiTheme="minorEastAsia" w:eastAsiaTheme="minorEastAsia" w:cstheme="minorEastAsia"/>
          <w:color w:val="3D4B64"/>
          <w:kern w:val="0"/>
          <w:sz w:val="24"/>
          <w:szCs w:val="24"/>
          <w:highlight w:val="none"/>
          <w:u w:val="single"/>
          <w:shd w:val="clear" w:color="auto" w:fill="FFFFFF"/>
          <w:lang w:val="en-US" w:eastAsia="zh-CN" w:bidi="ar"/>
        </w:rPr>
        <w:t>长春市高新开发区宝来雅居7a幢615号房</w:t>
      </w:r>
    </w:p>
    <w:p w14:paraId="6AB0AA3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right="0" w:firstLine="720" w:firstLineChars="300"/>
        <w:textAlignment w:val="auto"/>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3D4B64"/>
          <w:sz w:val="24"/>
          <w:szCs w:val="24"/>
          <w:highlight w:val="none"/>
          <w:shd w:val="clear" w:color="auto" w:fill="FFFFFF"/>
        </w:rPr>
        <w:t>联系人：</w:t>
      </w:r>
      <w:r>
        <w:rPr>
          <w:rFonts w:hint="eastAsia" w:asciiTheme="minorEastAsia" w:hAnsiTheme="minorEastAsia" w:eastAsiaTheme="minorEastAsia" w:cstheme="minorEastAsia"/>
          <w:color w:val="3D4B64"/>
          <w:sz w:val="24"/>
          <w:szCs w:val="24"/>
          <w:highlight w:val="none"/>
          <w:u w:val="single"/>
          <w:shd w:val="clear" w:color="auto" w:fill="FFFFFF"/>
          <w:lang w:val="en-US" w:eastAsia="zh-CN"/>
        </w:rPr>
        <w:t>孙立新</w:t>
      </w:r>
    </w:p>
    <w:p w14:paraId="43ACF5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left="0" w:right="0" w:firstLine="720" w:firstLineChars="300"/>
        <w:jc w:val="left"/>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联系方式：</w:t>
      </w:r>
      <w:bookmarkStart w:id="32" w:name="_Toc28359010"/>
      <w:bookmarkEnd w:id="32"/>
      <w:r>
        <w:rPr>
          <w:rFonts w:hint="eastAsia" w:asciiTheme="minorEastAsia" w:hAnsiTheme="minorEastAsia" w:eastAsiaTheme="minorEastAsia" w:cstheme="minorEastAsia"/>
          <w:color w:val="3D4B64"/>
          <w:kern w:val="0"/>
          <w:sz w:val="24"/>
          <w:szCs w:val="24"/>
          <w:highlight w:val="none"/>
          <w:u w:val="single"/>
          <w:shd w:val="clear" w:color="auto" w:fill="FFFFFF"/>
          <w:lang w:val="en-US" w:eastAsia="zh-CN" w:bidi="ar"/>
        </w:rPr>
        <w:t>18343095566</w:t>
      </w:r>
    </w:p>
    <w:p w14:paraId="0E3DCC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atLeast"/>
        <w:ind w:right="0"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3D4B64"/>
          <w:kern w:val="0"/>
          <w:sz w:val="24"/>
          <w:szCs w:val="24"/>
          <w:highlight w:val="none"/>
          <w:shd w:val="clear" w:color="auto" w:fill="FFFFFF"/>
          <w:lang w:val="en-US" w:eastAsia="zh-CN" w:bidi="ar"/>
        </w:rPr>
        <w:t>3.项目联系方式</w:t>
      </w:r>
    </w:p>
    <w:p w14:paraId="3553FE1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right="0" w:firstLine="720" w:firstLineChars="3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3D4B64"/>
          <w:sz w:val="24"/>
          <w:szCs w:val="24"/>
          <w:highlight w:val="none"/>
          <w:shd w:val="clear" w:color="auto" w:fill="FFFFFF"/>
        </w:rPr>
        <w:t>项目联系人：</w:t>
      </w:r>
      <w:r>
        <w:rPr>
          <w:rFonts w:hint="eastAsia" w:asciiTheme="minorEastAsia" w:hAnsiTheme="minorEastAsia" w:eastAsiaTheme="minorEastAsia" w:cstheme="minorEastAsia"/>
          <w:color w:val="3D4B64"/>
          <w:sz w:val="24"/>
          <w:szCs w:val="24"/>
          <w:highlight w:val="none"/>
          <w:u w:val="single"/>
          <w:shd w:val="clear" w:color="auto" w:fill="FFFFFF"/>
          <w:lang w:val="en-US" w:eastAsia="zh-CN"/>
        </w:rPr>
        <w:t>孙立新</w:t>
      </w:r>
    </w:p>
    <w:p w14:paraId="252CEB6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right="0" w:firstLine="720" w:firstLineChars="3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3D4B64"/>
          <w:sz w:val="24"/>
          <w:szCs w:val="24"/>
          <w:highlight w:val="none"/>
          <w:shd w:val="clear" w:color="auto" w:fill="FFFFFF"/>
        </w:rPr>
        <w:t>电</w:t>
      </w:r>
      <w:r>
        <w:rPr>
          <w:rFonts w:hint="eastAsia" w:asciiTheme="minorEastAsia" w:hAnsiTheme="minorEastAsia" w:eastAsiaTheme="minorEastAsia" w:cstheme="minorEastAsia"/>
          <w:color w:val="3D4B64"/>
          <w:sz w:val="24"/>
          <w:szCs w:val="24"/>
          <w:highlight w:val="none"/>
          <w:shd w:val="clear" w:color="auto" w:fill="FFFFFF"/>
          <w:lang w:val="en-US" w:eastAsia="zh-CN"/>
        </w:rPr>
        <w:t xml:space="preserve">  </w:t>
      </w:r>
      <w:r>
        <w:rPr>
          <w:rFonts w:hint="eastAsia" w:asciiTheme="minorEastAsia" w:hAnsiTheme="minorEastAsia" w:eastAsiaTheme="minorEastAsia" w:cstheme="minorEastAsia"/>
          <w:color w:val="3D4B64"/>
          <w:sz w:val="24"/>
          <w:szCs w:val="24"/>
          <w:highlight w:val="none"/>
          <w:shd w:val="clear" w:color="auto" w:fill="FFFFFF"/>
        </w:rPr>
        <w:t>话：</w:t>
      </w:r>
      <w:r>
        <w:rPr>
          <w:rFonts w:hint="eastAsia" w:asciiTheme="minorEastAsia" w:hAnsiTheme="minorEastAsia" w:eastAsiaTheme="minorEastAsia" w:cstheme="minorEastAsia"/>
          <w:color w:val="3D4B64"/>
          <w:sz w:val="24"/>
          <w:szCs w:val="24"/>
          <w:highlight w:val="none"/>
          <w:u w:val="single"/>
          <w:shd w:val="clear" w:color="auto" w:fill="FFFFFF"/>
          <w:lang w:eastAsia="zh-CN"/>
        </w:rPr>
        <w:t>18343095566</w:t>
      </w:r>
    </w:p>
    <w:p w14:paraId="5727FBB8">
      <w:pPr>
        <w:numPr>
          <w:ilvl w:val="0"/>
          <w:numId w:val="0"/>
        </w:numPr>
        <w:autoSpaceDN w:val="0"/>
        <w:spacing w:line="360" w:lineRule="auto"/>
        <w:rPr>
          <w:rFonts w:hint="eastAsia" w:asciiTheme="majorEastAsia" w:hAnsiTheme="majorEastAsia" w:eastAsiaTheme="majorEastAsia"/>
          <w:sz w:val="20"/>
          <w:szCs w:val="20"/>
          <w:highlight w:val="none"/>
          <w:lang w:val="zh-CN" w:eastAsia="zh-CN"/>
        </w:rPr>
      </w:pPr>
    </w:p>
    <w:p w14:paraId="2AD615E6">
      <w:pPr>
        <w:pStyle w:val="20"/>
        <w:numPr>
          <w:ilvl w:val="0"/>
          <w:numId w:val="0"/>
        </w:numPr>
        <w:rPr>
          <w:highlight w:val="none"/>
        </w:rPr>
      </w:pPr>
    </w:p>
    <w:p w14:paraId="5D4C7285">
      <w:pPr>
        <w:rPr>
          <w:rFonts w:hint="eastAsia"/>
          <w:highlight w:val="none"/>
        </w:rPr>
      </w:pPr>
      <w:bookmarkStart w:id="33" w:name="_Toc12303"/>
    </w:p>
    <w:p w14:paraId="5D1B513E">
      <w:pPr>
        <w:rPr>
          <w:rFonts w:hint="eastAsia" w:asciiTheme="majorEastAsia" w:hAnsiTheme="majorEastAsia" w:eastAsiaTheme="majorEastAsia"/>
          <w:highlight w:val="none"/>
        </w:rPr>
      </w:pPr>
      <w:r>
        <w:rPr>
          <w:rFonts w:hint="eastAsia" w:asciiTheme="majorEastAsia" w:hAnsiTheme="majorEastAsia" w:eastAsiaTheme="majorEastAsia"/>
          <w:highlight w:val="none"/>
        </w:rPr>
        <w:br w:type="page"/>
      </w:r>
    </w:p>
    <w:p w14:paraId="4DEF3034">
      <w:pPr>
        <w:pStyle w:val="3"/>
        <w:autoSpaceDN w:val="0"/>
        <w:spacing w:before="0" w:after="0" w:line="36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第二部分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投标人</w:t>
      </w:r>
      <w:r>
        <w:rPr>
          <w:rFonts w:hint="eastAsia" w:asciiTheme="majorEastAsia" w:hAnsiTheme="majorEastAsia" w:eastAsiaTheme="majorEastAsia"/>
          <w:highlight w:val="none"/>
        </w:rPr>
        <w:t>须知</w:t>
      </w:r>
      <w:bookmarkEnd w:id="33"/>
    </w:p>
    <w:p w14:paraId="389BC4CF">
      <w:pPr>
        <w:pStyle w:val="2"/>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asciiTheme="majorEastAsia" w:hAnsiTheme="majorEastAsia" w:eastAsiaTheme="majorEastAsia"/>
          <w:highlight w:val="none"/>
        </w:rPr>
      </w:pPr>
      <w:r>
        <w:rPr>
          <w:rFonts w:hint="eastAsia" w:asciiTheme="majorEastAsia" w:hAnsiTheme="majorEastAsia" w:eastAsiaTheme="majorEastAsia"/>
          <w:highlight w:val="none"/>
        </w:rPr>
        <w:t>一、</w:t>
      </w:r>
      <w:r>
        <w:rPr>
          <w:rFonts w:hint="eastAsia" w:asciiTheme="majorEastAsia" w:hAnsiTheme="majorEastAsia" w:eastAsiaTheme="majorEastAsia"/>
          <w:highlight w:val="none"/>
          <w:lang w:eastAsia="zh-CN"/>
        </w:rPr>
        <w:t>投标人</w:t>
      </w:r>
      <w:r>
        <w:rPr>
          <w:rFonts w:hint="eastAsia" w:asciiTheme="majorEastAsia" w:hAnsiTheme="majorEastAsia" w:eastAsiaTheme="majorEastAsia"/>
          <w:highlight w:val="none"/>
        </w:rPr>
        <w:t>须知前附表</w:t>
      </w:r>
    </w:p>
    <w:tbl>
      <w:tblPr>
        <w:tblStyle w:val="22"/>
        <w:tblW w:w="96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2070"/>
        <w:gridCol w:w="6761"/>
      </w:tblGrid>
      <w:tr w14:paraId="44079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210546C">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asciiTheme="majorEastAsia" w:hAnsiTheme="majorEastAsia" w:eastAsiaTheme="majorEastAsia"/>
                <w:szCs w:val="21"/>
                <w:highlight w:val="none"/>
              </w:rPr>
            </w:pPr>
            <w:r>
              <w:rPr>
                <w:rFonts w:hint="eastAsia" w:ascii="宋体" w:hAnsi="宋体" w:eastAsia="宋体" w:cs="宋体"/>
                <w:sz w:val="21"/>
                <w:szCs w:val="11"/>
                <w:highlight w:val="none"/>
                <w:lang w:val="zh-CN"/>
              </w:rPr>
              <w:t>条款号</w:t>
            </w:r>
          </w:p>
        </w:tc>
        <w:tc>
          <w:tcPr>
            <w:tcW w:w="2070" w:type="dxa"/>
            <w:tcBorders>
              <w:top w:val="single" w:color="auto" w:sz="4" w:space="0"/>
              <w:left w:val="single" w:color="auto" w:sz="4" w:space="0"/>
              <w:bottom w:val="single" w:color="auto" w:sz="4" w:space="0"/>
              <w:right w:val="single" w:color="auto" w:sz="4" w:space="0"/>
            </w:tcBorders>
            <w:noWrap/>
            <w:vAlign w:val="center"/>
          </w:tcPr>
          <w:p w14:paraId="2DC38006">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内    容</w:t>
            </w:r>
          </w:p>
        </w:tc>
        <w:tc>
          <w:tcPr>
            <w:tcW w:w="6761" w:type="dxa"/>
            <w:tcBorders>
              <w:top w:val="single" w:color="auto" w:sz="4" w:space="0"/>
              <w:left w:val="single" w:color="auto" w:sz="4" w:space="0"/>
              <w:bottom w:val="single" w:color="auto" w:sz="4" w:space="0"/>
              <w:right w:val="single" w:color="auto" w:sz="4" w:space="0"/>
            </w:tcBorders>
            <w:noWrap/>
            <w:vAlign w:val="center"/>
          </w:tcPr>
          <w:p w14:paraId="098514F6">
            <w:pPr>
              <w:keepNext w:val="0"/>
              <w:keepLines w:val="0"/>
              <w:pageBreakBefore w:val="0"/>
              <w:tabs>
                <w:tab w:val="left" w:pos="1180"/>
              </w:tabs>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说明与要求</w:t>
            </w:r>
          </w:p>
        </w:tc>
      </w:tr>
      <w:tr w14:paraId="75134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0AEF155">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eastAsia="宋体" w:cs="宋体"/>
                <w:sz w:val="21"/>
                <w:szCs w:val="11"/>
                <w:highlight w:val="none"/>
                <w:lang w:val="zh-CN"/>
              </w:rPr>
              <w:t>1</w:t>
            </w:r>
          </w:p>
        </w:tc>
        <w:tc>
          <w:tcPr>
            <w:tcW w:w="2070" w:type="dxa"/>
            <w:tcBorders>
              <w:top w:val="single" w:color="auto" w:sz="4" w:space="0"/>
              <w:left w:val="single" w:color="auto" w:sz="4" w:space="0"/>
              <w:bottom w:val="single" w:color="auto" w:sz="4" w:space="0"/>
              <w:right w:val="single" w:color="auto" w:sz="4" w:space="0"/>
            </w:tcBorders>
            <w:noWrap/>
            <w:vAlign w:val="center"/>
          </w:tcPr>
          <w:p w14:paraId="17B788AB">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采购人</w:t>
            </w:r>
          </w:p>
        </w:tc>
        <w:tc>
          <w:tcPr>
            <w:tcW w:w="6761" w:type="dxa"/>
            <w:tcBorders>
              <w:top w:val="single" w:color="auto" w:sz="4" w:space="0"/>
              <w:left w:val="single" w:color="auto" w:sz="4" w:space="0"/>
              <w:bottom w:val="single" w:color="auto" w:sz="4" w:space="0"/>
              <w:right w:val="single" w:color="auto" w:sz="4" w:space="0"/>
            </w:tcBorders>
            <w:noWrap/>
            <w:vAlign w:val="center"/>
          </w:tcPr>
          <w:p w14:paraId="500D4F98">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bCs/>
                <w:kern w:val="15"/>
                <w:szCs w:val="21"/>
                <w:highlight w:val="none"/>
                <w:lang w:eastAsia="zh-CN"/>
              </w:rPr>
            </w:pPr>
            <w:r>
              <w:rPr>
                <w:rFonts w:hint="eastAsia" w:asciiTheme="majorEastAsia" w:hAnsiTheme="majorEastAsia" w:eastAsiaTheme="majorEastAsia"/>
                <w:bCs/>
                <w:kern w:val="15"/>
                <w:szCs w:val="21"/>
                <w:highlight w:val="none"/>
              </w:rPr>
              <w:t>采购单位：</w:t>
            </w:r>
            <w:r>
              <w:rPr>
                <w:rFonts w:hint="eastAsia" w:asciiTheme="majorEastAsia" w:hAnsiTheme="majorEastAsia" w:eastAsiaTheme="majorEastAsia"/>
                <w:bCs/>
                <w:kern w:val="15"/>
                <w:szCs w:val="21"/>
                <w:highlight w:val="none"/>
                <w:lang w:eastAsia="zh-CN"/>
              </w:rPr>
              <w:t>长岭县园林管理所</w:t>
            </w:r>
          </w:p>
          <w:p w14:paraId="1106F850">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联 系 人：于刚</w:t>
            </w:r>
            <w:r>
              <w:rPr>
                <w:rFonts w:asciiTheme="majorEastAsia" w:hAnsiTheme="majorEastAsia" w:eastAsiaTheme="majorEastAsia"/>
                <w:bCs/>
                <w:kern w:val="15"/>
                <w:szCs w:val="21"/>
                <w:highlight w:val="none"/>
              </w:rPr>
              <w:t xml:space="preserve"> </w:t>
            </w:r>
          </w:p>
          <w:p w14:paraId="0398BA9E">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联系电话：</w:t>
            </w:r>
            <w:r>
              <w:rPr>
                <w:rFonts w:hint="eastAsia" w:asciiTheme="majorEastAsia" w:hAnsiTheme="majorEastAsia" w:eastAsiaTheme="majorEastAsia"/>
                <w:bCs/>
                <w:kern w:val="15"/>
                <w:szCs w:val="21"/>
                <w:highlight w:val="none"/>
                <w:lang w:val="en-US" w:eastAsia="zh-CN"/>
              </w:rPr>
              <w:t>13596972992</w:t>
            </w:r>
          </w:p>
        </w:tc>
      </w:tr>
      <w:tr w14:paraId="0EC01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1AE0C1F">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hAnsi="宋体" w:cs="宋体"/>
                <w:sz w:val="21"/>
                <w:szCs w:val="11"/>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noWrap/>
            <w:vAlign w:val="center"/>
          </w:tcPr>
          <w:p w14:paraId="218E812C">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采购代理机构</w:t>
            </w:r>
          </w:p>
        </w:tc>
        <w:tc>
          <w:tcPr>
            <w:tcW w:w="6761" w:type="dxa"/>
            <w:tcBorders>
              <w:top w:val="single" w:color="auto" w:sz="4" w:space="0"/>
              <w:left w:val="single" w:color="auto" w:sz="4" w:space="0"/>
              <w:bottom w:val="single" w:color="auto" w:sz="4" w:space="0"/>
              <w:right w:val="single" w:color="auto" w:sz="4" w:space="0"/>
            </w:tcBorders>
            <w:noWrap/>
            <w:vAlign w:val="center"/>
          </w:tcPr>
          <w:p w14:paraId="441AA5F9">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val="zh-CN" w:eastAsia="zh-CN"/>
              </w:rPr>
            </w:pPr>
            <w:r>
              <w:rPr>
                <w:rFonts w:hint="eastAsia" w:asciiTheme="majorEastAsia" w:hAnsiTheme="majorEastAsia" w:eastAsiaTheme="majorEastAsia"/>
                <w:szCs w:val="21"/>
                <w:highlight w:val="none"/>
                <w:lang w:val="zh-CN" w:eastAsia="zh-CN"/>
              </w:rPr>
              <w:t>名称：吉林省永屹招标代理有限公司</w:t>
            </w:r>
          </w:p>
          <w:p w14:paraId="19BC7CC3">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val="zh-CN" w:eastAsia="zh-CN"/>
              </w:rPr>
            </w:pPr>
            <w:r>
              <w:rPr>
                <w:rFonts w:hint="eastAsia" w:asciiTheme="majorEastAsia" w:hAnsiTheme="majorEastAsia" w:eastAsiaTheme="majorEastAsia"/>
                <w:szCs w:val="21"/>
                <w:highlight w:val="none"/>
                <w:lang w:val="zh-CN" w:eastAsia="zh-CN"/>
              </w:rPr>
              <w:t>地址：长春市高新开发区宝来雅居7a幢615号房</w:t>
            </w:r>
          </w:p>
          <w:p w14:paraId="50056485">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zh-CN" w:eastAsia="zh-CN"/>
              </w:rPr>
              <w:t>联系方式：孙立新</w:t>
            </w:r>
            <w:r>
              <w:rPr>
                <w:rFonts w:hint="eastAsia" w:asciiTheme="majorEastAsia" w:hAnsiTheme="majorEastAsia" w:eastAsiaTheme="majorEastAsia"/>
                <w:szCs w:val="21"/>
                <w:highlight w:val="none"/>
                <w:lang w:val="en-US" w:eastAsia="zh-CN"/>
              </w:rPr>
              <w:t xml:space="preserve"> 18343095566</w:t>
            </w:r>
          </w:p>
        </w:tc>
      </w:tr>
      <w:tr w14:paraId="1DBF5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5EB997D">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asciiTheme="majorEastAsia" w:hAnsiTheme="majorEastAsia" w:eastAsiaTheme="majorEastAsia"/>
                <w:szCs w:val="21"/>
                <w:highlight w:val="none"/>
              </w:rPr>
            </w:pPr>
            <w:r>
              <w:rPr>
                <w:rFonts w:hint="eastAsia" w:hAnsi="宋体" w:cs="宋体"/>
                <w:sz w:val="21"/>
                <w:szCs w:val="11"/>
                <w:highlight w:val="none"/>
                <w:lang w:val="en-US" w:eastAsia="zh-CN"/>
              </w:rPr>
              <w:t>3</w:t>
            </w:r>
          </w:p>
        </w:tc>
        <w:tc>
          <w:tcPr>
            <w:tcW w:w="2070" w:type="dxa"/>
            <w:tcBorders>
              <w:top w:val="single" w:color="auto" w:sz="4" w:space="0"/>
              <w:left w:val="single" w:color="auto" w:sz="4" w:space="0"/>
              <w:bottom w:val="single" w:color="auto" w:sz="4" w:space="0"/>
              <w:right w:val="single" w:color="auto" w:sz="4" w:space="0"/>
            </w:tcBorders>
            <w:noWrap/>
            <w:vAlign w:val="center"/>
          </w:tcPr>
          <w:p w14:paraId="0681E6A2">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项目名称</w:t>
            </w:r>
          </w:p>
        </w:tc>
        <w:tc>
          <w:tcPr>
            <w:tcW w:w="6761" w:type="dxa"/>
            <w:tcBorders>
              <w:top w:val="single" w:color="auto" w:sz="4" w:space="0"/>
              <w:left w:val="single" w:color="auto" w:sz="4" w:space="0"/>
              <w:bottom w:val="single" w:color="auto" w:sz="4" w:space="0"/>
              <w:right w:val="single" w:color="auto" w:sz="4" w:space="0"/>
            </w:tcBorders>
            <w:noWrap/>
            <w:vAlign w:val="center"/>
          </w:tcPr>
          <w:p w14:paraId="7B626FA5">
            <w:pPr>
              <w:keepNext w:val="0"/>
              <w:keepLines w:val="0"/>
              <w:pageBreakBefore w:val="0"/>
              <w:kinsoku/>
              <w:wordWrap/>
              <w:overflowPunct/>
              <w:topLinePunct w:val="0"/>
              <w:autoSpaceDN w:val="0"/>
              <w:bidi w:val="0"/>
              <w:adjustRightInd w:val="0"/>
              <w:snapToGrid w:val="0"/>
              <w:spacing w:line="500" w:lineRule="exact"/>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2024-2025年新雪季-龙源山光影秀提升项目</w:t>
            </w:r>
          </w:p>
        </w:tc>
      </w:tr>
      <w:tr w14:paraId="07DF4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F9EFEE1">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asciiTheme="majorEastAsia" w:hAnsiTheme="majorEastAsia" w:eastAsiaTheme="majorEastAsia"/>
                <w:szCs w:val="21"/>
                <w:highlight w:val="none"/>
              </w:rPr>
            </w:pPr>
            <w:r>
              <w:rPr>
                <w:rFonts w:hint="eastAsia" w:hAnsi="宋体" w:cs="宋体"/>
                <w:sz w:val="21"/>
                <w:szCs w:val="11"/>
                <w:highlight w:val="none"/>
                <w:lang w:val="en-US" w:eastAsia="zh-CN"/>
              </w:rPr>
              <w:t>4</w:t>
            </w:r>
          </w:p>
        </w:tc>
        <w:tc>
          <w:tcPr>
            <w:tcW w:w="2070" w:type="dxa"/>
            <w:tcBorders>
              <w:top w:val="single" w:color="auto" w:sz="4" w:space="0"/>
              <w:left w:val="single" w:color="auto" w:sz="4" w:space="0"/>
              <w:bottom w:val="single" w:color="auto" w:sz="4" w:space="0"/>
              <w:right w:val="single" w:color="auto" w:sz="4" w:space="0"/>
            </w:tcBorders>
            <w:noWrap/>
            <w:vAlign w:val="center"/>
          </w:tcPr>
          <w:p w14:paraId="13FEAA90">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项目编号</w:t>
            </w:r>
          </w:p>
        </w:tc>
        <w:tc>
          <w:tcPr>
            <w:tcW w:w="6761" w:type="dxa"/>
            <w:tcBorders>
              <w:top w:val="single" w:color="auto" w:sz="4" w:space="0"/>
              <w:left w:val="single" w:color="auto" w:sz="4" w:space="0"/>
              <w:bottom w:val="single" w:color="auto" w:sz="4" w:space="0"/>
              <w:right w:val="single" w:color="auto" w:sz="4" w:space="0"/>
            </w:tcBorders>
            <w:noWrap/>
            <w:vAlign w:val="center"/>
          </w:tcPr>
          <w:p w14:paraId="3430264A">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JILINYONGYI-2024-118-HW</w:t>
            </w:r>
          </w:p>
        </w:tc>
      </w:tr>
      <w:tr w14:paraId="78679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37662C1">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5</w:t>
            </w:r>
          </w:p>
        </w:tc>
        <w:tc>
          <w:tcPr>
            <w:tcW w:w="2070" w:type="dxa"/>
            <w:tcBorders>
              <w:top w:val="single" w:color="auto" w:sz="4" w:space="0"/>
              <w:left w:val="single" w:color="auto" w:sz="4" w:space="0"/>
              <w:bottom w:val="single" w:color="auto" w:sz="4" w:space="0"/>
              <w:right w:val="single" w:color="auto" w:sz="4" w:space="0"/>
            </w:tcBorders>
            <w:noWrap/>
            <w:vAlign w:val="center"/>
          </w:tcPr>
          <w:p w14:paraId="617D365D">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cs="宋体" w:asciiTheme="majorEastAsia" w:hAnsiTheme="majorEastAsia" w:eastAsiaTheme="majorEastAsia"/>
                <w:bCs/>
                <w:szCs w:val="21"/>
                <w:highlight w:val="none"/>
                <w:lang w:val="zh-CN"/>
              </w:rPr>
              <w:t>采购预算</w:t>
            </w:r>
          </w:p>
        </w:tc>
        <w:tc>
          <w:tcPr>
            <w:tcW w:w="6761" w:type="dxa"/>
            <w:tcBorders>
              <w:top w:val="single" w:color="auto" w:sz="4" w:space="0"/>
              <w:left w:val="single" w:color="auto" w:sz="4" w:space="0"/>
              <w:bottom w:val="single" w:color="auto" w:sz="4" w:space="0"/>
              <w:right w:val="single" w:color="auto" w:sz="4" w:space="0"/>
            </w:tcBorders>
            <w:noWrap/>
            <w:vAlign w:val="center"/>
          </w:tcPr>
          <w:p w14:paraId="33F80AC1">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采购预算：</w:t>
            </w:r>
            <w:r>
              <w:rPr>
                <w:rFonts w:hint="eastAsia" w:asciiTheme="majorEastAsia" w:hAnsiTheme="majorEastAsia" w:eastAsiaTheme="majorEastAsia"/>
                <w:bCs/>
                <w:kern w:val="15"/>
                <w:szCs w:val="21"/>
                <w:highlight w:val="none"/>
                <w:lang w:eastAsia="zh-CN"/>
              </w:rPr>
              <w:t>628245.50</w:t>
            </w:r>
            <w:r>
              <w:rPr>
                <w:rFonts w:hint="eastAsia" w:asciiTheme="majorEastAsia" w:hAnsiTheme="majorEastAsia" w:eastAsiaTheme="majorEastAsia"/>
                <w:kern w:val="0"/>
                <w:szCs w:val="21"/>
                <w:highlight w:val="none"/>
              </w:rPr>
              <w:t>元</w:t>
            </w:r>
          </w:p>
        </w:tc>
      </w:tr>
      <w:tr w14:paraId="39EB5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E19382E">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6</w:t>
            </w:r>
          </w:p>
        </w:tc>
        <w:tc>
          <w:tcPr>
            <w:tcW w:w="2070" w:type="dxa"/>
            <w:tcBorders>
              <w:top w:val="single" w:color="auto" w:sz="4" w:space="0"/>
              <w:left w:val="single" w:color="auto" w:sz="4" w:space="0"/>
              <w:bottom w:val="single" w:color="auto" w:sz="4" w:space="0"/>
              <w:right w:val="single" w:color="auto" w:sz="4" w:space="0"/>
            </w:tcBorders>
            <w:noWrap/>
            <w:vAlign w:val="center"/>
          </w:tcPr>
          <w:p w14:paraId="3E6B2F4C">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供货地点</w:t>
            </w:r>
          </w:p>
        </w:tc>
        <w:tc>
          <w:tcPr>
            <w:tcW w:w="6761" w:type="dxa"/>
            <w:tcBorders>
              <w:top w:val="single" w:color="auto" w:sz="4" w:space="0"/>
              <w:left w:val="single" w:color="auto" w:sz="4" w:space="0"/>
              <w:bottom w:val="single" w:color="auto" w:sz="4" w:space="0"/>
              <w:right w:val="single" w:color="auto" w:sz="4" w:space="0"/>
            </w:tcBorders>
            <w:noWrap/>
            <w:vAlign w:val="center"/>
          </w:tcPr>
          <w:p w14:paraId="08F318C2">
            <w:pPr>
              <w:keepNext w:val="0"/>
              <w:keepLines w:val="0"/>
              <w:pageBreakBefore w:val="0"/>
              <w:kinsoku/>
              <w:wordWrap/>
              <w:overflowPunct/>
              <w:topLinePunct w:val="0"/>
              <w:autoSpaceDN w:val="0"/>
              <w:bidi w:val="0"/>
              <w:adjustRightInd w:val="0"/>
              <w:snapToGrid w:val="0"/>
              <w:spacing w:line="500" w:lineRule="exact"/>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kern w:val="0"/>
                <w:szCs w:val="21"/>
                <w:highlight w:val="none"/>
                <w:shd w:val="clear" w:color="auto" w:fill="FFFFFF"/>
                <w:lang w:eastAsia="zh-CN"/>
              </w:rPr>
              <w:t>长岭县</w:t>
            </w:r>
          </w:p>
        </w:tc>
      </w:tr>
      <w:tr w14:paraId="0DC55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5847B63">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7</w:t>
            </w:r>
          </w:p>
        </w:tc>
        <w:tc>
          <w:tcPr>
            <w:tcW w:w="2070" w:type="dxa"/>
            <w:tcBorders>
              <w:top w:val="single" w:color="auto" w:sz="4" w:space="0"/>
              <w:left w:val="single" w:color="auto" w:sz="4" w:space="0"/>
              <w:bottom w:val="single" w:color="auto" w:sz="4" w:space="0"/>
              <w:right w:val="single" w:color="auto" w:sz="4" w:space="0"/>
            </w:tcBorders>
            <w:noWrap/>
            <w:vAlign w:val="center"/>
          </w:tcPr>
          <w:p w14:paraId="357F2176">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采购内容</w:t>
            </w:r>
          </w:p>
        </w:tc>
        <w:tc>
          <w:tcPr>
            <w:tcW w:w="6761" w:type="dxa"/>
            <w:tcBorders>
              <w:top w:val="single" w:color="auto" w:sz="4" w:space="0"/>
              <w:left w:val="single" w:color="auto" w:sz="4" w:space="0"/>
              <w:bottom w:val="single" w:color="auto" w:sz="4" w:space="0"/>
              <w:right w:val="single" w:color="auto" w:sz="4" w:space="0"/>
            </w:tcBorders>
            <w:noWrap/>
            <w:vAlign w:val="center"/>
          </w:tcPr>
          <w:p w14:paraId="7700188F">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户外防水应激灯、激光控制器等，详见招标文件</w:t>
            </w:r>
          </w:p>
        </w:tc>
      </w:tr>
      <w:tr w14:paraId="4C7BB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2131BCC">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8</w:t>
            </w:r>
          </w:p>
        </w:tc>
        <w:tc>
          <w:tcPr>
            <w:tcW w:w="2070" w:type="dxa"/>
            <w:tcBorders>
              <w:top w:val="single" w:color="auto" w:sz="4" w:space="0"/>
              <w:left w:val="single" w:color="auto" w:sz="4" w:space="0"/>
              <w:bottom w:val="single" w:color="auto" w:sz="4" w:space="0"/>
              <w:right w:val="single" w:color="auto" w:sz="4" w:space="0"/>
            </w:tcBorders>
            <w:noWrap/>
            <w:vAlign w:val="center"/>
          </w:tcPr>
          <w:p w14:paraId="38DF1F55">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质量要求</w:t>
            </w:r>
          </w:p>
        </w:tc>
        <w:tc>
          <w:tcPr>
            <w:tcW w:w="6761" w:type="dxa"/>
            <w:tcBorders>
              <w:top w:val="single" w:color="auto" w:sz="4" w:space="0"/>
              <w:left w:val="single" w:color="auto" w:sz="4" w:space="0"/>
              <w:bottom w:val="single" w:color="auto" w:sz="4" w:space="0"/>
              <w:right w:val="single" w:color="auto" w:sz="4" w:space="0"/>
            </w:tcBorders>
            <w:noWrap/>
            <w:vAlign w:val="center"/>
          </w:tcPr>
          <w:p w14:paraId="62993BAD">
            <w:pPr>
              <w:keepNext w:val="0"/>
              <w:keepLines w:val="0"/>
              <w:pageBreakBefore w:val="0"/>
              <w:kinsoku/>
              <w:wordWrap/>
              <w:overflowPunct/>
              <w:topLinePunct w:val="0"/>
              <w:autoSpaceDN w:val="0"/>
              <w:bidi w:val="0"/>
              <w:adjustRightInd w:val="0"/>
              <w:snapToGrid w:val="0"/>
              <w:spacing w:line="500" w:lineRule="exact"/>
              <w:textAlignment w:val="auto"/>
              <w:rPr>
                <w:rFonts w:hint="eastAsia" w:asciiTheme="majorEastAsia" w:hAnsiTheme="majorEastAsia" w:eastAsiaTheme="majorEastAsia"/>
                <w:kern w:val="0"/>
                <w:szCs w:val="21"/>
                <w:highlight w:val="none"/>
                <w:lang w:eastAsia="zh-CN"/>
              </w:rPr>
            </w:pPr>
            <w:r>
              <w:rPr>
                <w:rFonts w:hint="eastAsia" w:asciiTheme="majorEastAsia" w:hAnsiTheme="majorEastAsia" w:eastAsiaTheme="majorEastAsia"/>
                <w:bCs/>
                <w:kern w:val="15"/>
                <w:szCs w:val="21"/>
                <w:highlight w:val="none"/>
                <w:lang w:eastAsia="zh-CN"/>
              </w:rPr>
              <w:t>符合国家现行质量验收统一标准及相关行业标准，满足甲方对项目的各项要求</w:t>
            </w:r>
          </w:p>
        </w:tc>
      </w:tr>
      <w:tr w14:paraId="66195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89FCE73">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9</w:t>
            </w:r>
          </w:p>
        </w:tc>
        <w:tc>
          <w:tcPr>
            <w:tcW w:w="2070" w:type="dxa"/>
            <w:tcBorders>
              <w:top w:val="single" w:color="auto" w:sz="4" w:space="0"/>
              <w:left w:val="single" w:color="auto" w:sz="4" w:space="0"/>
              <w:bottom w:val="single" w:color="auto" w:sz="4" w:space="0"/>
              <w:right w:val="single" w:color="auto" w:sz="4" w:space="0"/>
            </w:tcBorders>
            <w:noWrap/>
            <w:vAlign w:val="center"/>
          </w:tcPr>
          <w:p w14:paraId="44259071">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合同履行期限</w:t>
            </w:r>
          </w:p>
        </w:tc>
        <w:tc>
          <w:tcPr>
            <w:tcW w:w="6761" w:type="dxa"/>
            <w:tcBorders>
              <w:top w:val="single" w:color="auto" w:sz="4" w:space="0"/>
              <w:left w:val="single" w:color="auto" w:sz="4" w:space="0"/>
              <w:bottom w:val="single" w:color="auto" w:sz="4" w:space="0"/>
              <w:right w:val="single" w:color="auto" w:sz="4" w:space="0"/>
            </w:tcBorders>
            <w:noWrap/>
            <w:vAlign w:val="center"/>
          </w:tcPr>
          <w:p w14:paraId="7A472FD0">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kern w:val="0"/>
                <w:szCs w:val="21"/>
                <w:highlight w:val="none"/>
                <w:lang w:eastAsia="zh-CN"/>
              </w:rPr>
              <w:t>中标之日起7日内供货完毕</w:t>
            </w:r>
          </w:p>
        </w:tc>
      </w:tr>
      <w:tr w14:paraId="16064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25EBB92">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10</w:t>
            </w:r>
          </w:p>
        </w:tc>
        <w:tc>
          <w:tcPr>
            <w:tcW w:w="2070" w:type="dxa"/>
            <w:tcBorders>
              <w:top w:val="single" w:color="auto" w:sz="4" w:space="0"/>
              <w:left w:val="single" w:color="auto" w:sz="4" w:space="0"/>
              <w:bottom w:val="single" w:color="auto" w:sz="4" w:space="0"/>
              <w:right w:val="single" w:color="auto" w:sz="4" w:space="0"/>
            </w:tcBorders>
            <w:noWrap/>
            <w:vAlign w:val="center"/>
          </w:tcPr>
          <w:p w14:paraId="4D68B6AF">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资金来源</w:t>
            </w:r>
          </w:p>
        </w:tc>
        <w:tc>
          <w:tcPr>
            <w:tcW w:w="6761" w:type="dxa"/>
            <w:tcBorders>
              <w:top w:val="single" w:color="auto" w:sz="4" w:space="0"/>
              <w:left w:val="single" w:color="auto" w:sz="4" w:space="0"/>
              <w:bottom w:val="single" w:color="auto" w:sz="4" w:space="0"/>
              <w:right w:val="single" w:color="auto" w:sz="4" w:space="0"/>
            </w:tcBorders>
            <w:noWrap/>
            <w:vAlign w:val="center"/>
          </w:tcPr>
          <w:p w14:paraId="42CFFCC6">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财政</w:t>
            </w:r>
            <w:r>
              <w:rPr>
                <w:rFonts w:hint="eastAsia" w:cs="宋体" w:asciiTheme="majorEastAsia" w:hAnsiTheme="majorEastAsia" w:eastAsiaTheme="majorEastAsia"/>
                <w:bCs/>
                <w:szCs w:val="21"/>
                <w:highlight w:val="none"/>
                <w:lang w:val="zh-CN"/>
              </w:rPr>
              <w:t>资金</w:t>
            </w:r>
            <w:r>
              <w:rPr>
                <w:rFonts w:hint="eastAsia" w:asciiTheme="majorEastAsia" w:hAnsiTheme="majorEastAsia" w:eastAsiaTheme="majorEastAsia"/>
                <w:szCs w:val="21"/>
                <w:highlight w:val="none"/>
              </w:rPr>
              <w:t>（已落实）</w:t>
            </w:r>
          </w:p>
        </w:tc>
      </w:tr>
      <w:tr w14:paraId="31D59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1A5C540B">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11</w:t>
            </w:r>
          </w:p>
        </w:tc>
        <w:tc>
          <w:tcPr>
            <w:tcW w:w="2070" w:type="dxa"/>
            <w:tcBorders>
              <w:top w:val="single" w:color="auto" w:sz="4" w:space="0"/>
              <w:left w:val="single" w:color="auto" w:sz="4" w:space="0"/>
              <w:bottom w:val="nil"/>
              <w:right w:val="single" w:color="auto" w:sz="4" w:space="0"/>
            </w:tcBorders>
            <w:noWrap/>
            <w:vAlign w:val="center"/>
          </w:tcPr>
          <w:p w14:paraId="56E7CF52">
            <w:pPr>
              <w:keepNext w:val="0"/>
              <w:keepLines w:val="0"/>
              <w:pageBreakBefore w:val="0"/>
              <w:kinsoku/>
              <w:wordWrap/>
              <w:overflowPunct/>
              <w:topLinePunct w:val="0"/>
              <w:autoSpaceDN w:val="0"/>
              <w:bidi w:val="0"/>
              <w:adjustRightInd w:val="0"/>
              <w:snapToGrid w:val="0"/>
              <w:spacing w:line="500" w:lineRule="exact"/>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投标人</w:t>
            </w:r>
          </w:p>
          <w:p w14:paraId="585518BB">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资格要求</w:t>
            </w:r>
          </w:p>
        </w:tc>
        <w:tc>
          <w:tcPr>
            <w:tcW w:w="6761" w:type="dxa"/>
            <w:tcBorders>
              <w:top w:val="single" w:color="auto" w:sz="4" w:space="0"/>
              <w:left w:val="single" w:color="auto" w:sz="4" w:space="0"/>
              <w:bottom w:val="nil"/>
              <w:right w:val="single" w:color="auto" w:sz="4" w:space="0"/>
            </w:tcBorders>
            <w:noWrap/>
            <w:vAlign w:val="center"/>
          </w:tcPr>
          <w:p w14:paraId="1BD8B866">
            <w:pPr>
              <w:keepNext w:val="0"/>
              <w:keepLines w:val="0"/>
              <w:pageBreakBefore w:val="0"/>
              <w:kinsoku/>
              <w:wordWrap/>
              <w:overflowPunct/>
              <w:topLinePunct w:val="0"/>
              <w:autoSpaceDN w:val="0"/>
              <w:bidi w:val="0"/>
              <w:adjustRightInd w:val="0"/>
              <w:snapToGrid w:val="0"/>
              <w:spacing w:line="500" w:lineRule="exact"/>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1.满足《中华人民共和国政府采购法》第二十二条规定；</w:t>
            </w:r>
          </w:p>
          <w:p w14:paraId="77611579">
            <w:pPr>
              <w:keepNext w:val="0"/>
              <w:keepLines w:val="0"/>
              <w:pageBreakBefore w:val="0"/>
              <w:kinsoku/>
              <w:wordWrap/>
              <w:overflowPunct/>
              <w:topLinePunct w:val="0"/>
              <w:autoSpaceDN w:val="0"/>
              <w:bidi w:val="0"/>
              <w:adjustRightInd w:val="0"/>
              <w:snapToGrid w:val="0"/>
              <w:spacing w:line="500" w:lineRule="exact"/>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2.落实政府采购政策需满足的资格要求：本项目为专门面向中小企业的采购项目</w:t>
            </w:r>
          </w:p>
          <w:p w14:paraId="7D0A38F1">
            <w:pPr>
              <w:keepNext w:val="0"/>
              <w:keepLines w:val="0"/>
              <w:pageBreakBefore w:val="0"/>
              <w:kinsoku/>
              <w:wordWrap/>
              <w:overflowPunct/>
              <w:topLinePunct w:val="0"/>
              <w:autoSpaceDN w:val="0"/>
              <w:bidi w:val="0"/>
              <w:adjustRightInd w:val="0"/>
              <w:snapToGrid w:val="0"/>
              <w:spacing w:line="500" w:lineRule="exact"/>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2.1执行《政府采购促进中小企业发展管理办法》（财库〔2020〕46号）；</w:t>
            </w:r>
          </w:p>
          <w:p w14:paraId="3E6E4151">
            <w:pPr>
              <w:keepNext w:val="0"/>
              <w:keepLines w:val="0"/>
              <w:pageBreakBefore w:val="0"/>
              <w:kinsoku/>
              <w:wordWrap/>
              <w:overflowPunct/>
              <w:topLinePunct w:val="0"/>
              <w:autoSpaceDN w:val="0"/>
              <w:bidi w:val="0"/>
              <w:adjustRightInd w:val="0"/>
              <w:snapToGrid w:val="0"/>
              <w:spacing w:line="500" w:lineRule="exact"/>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2.2执行《财政部司法部关于政府采购支持监狱企业发展有关问题的通知》（财库〔2014〕68号）；</w:t>
            </w:r>
          </w:p>
          <w:p w14:paraId="61CBA878">
            <w:pPr>
              <w:keepNext w:val="0"/>
              <w:keepLines w:val="0"/>
              <w:pageBreakBefore w:val="0"/>
              <w:kinsoku/>
              <w:wordWrap/>
              <w:overflowPunct/>
              <w:topLinePunct w:val="0"/>
              <w:autoSpaceDN w:val="0"/>
              <w:bidi w:val="0"/>
              <w:adjustRightInd w:val="0"/>
              <w:snapToGrid w:val="0"/>
              <w:spacing w:line="500" w:lineRule="exact"/>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2.3执行《国务院办公厅关于建立政府强制采购节能产品制度的通知》（国办发〔2007〕51号）；</w:t>
            </w:r>
          </w:p>
          <w:p w14:paraId="1043E0D2">
            <w:pPr>
              <w:keepNext w:val="0"/>
              <w:keepLines w:val="0"/>
              <w:pageBreakBefore w:val="0"/>
              <w:kinsoku/>
              <w:wordWrap/>
              <w:overflowPunct/>
              <w:topLinePunct w:val="0"/>
              <w:autoSpaceDN w:val="0"/>
              <w:bidi w:val="0"/>
              <w:adjustRightInd w:val="0"/>
              <w:snapToGrid w:val="0"/>
              <w:spacing w:line="500" w:lineRule="exact"/>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2.4执行《关于促进残疾人就业政府采购政策的通知》（财库〔2017〕141号。</w:t>
            </w:r>
          </w:p>
          <w:p w14:paraId="4F3C4810">
            <w:pPr>
              <w:keepNext w:val="0"/>
              <w:keepLines w:val="0"/>
              <w:pageBreakBefore w:val="0"/>
              <w:kinsoku/>
              <w:wordWrap/>
              <w:overflowPunct/>
              <w:topLinePunct w:val="0"/>
              <w:autoSpaceDN w:val="0"/>
              <w:bidi w:val="0"/>
              <w:adjustRightInd w:val="0"/>
              <w:snapToGrid w:val="0"/>
              <w:spacing w:line="500" w:lineRule="exact"/>
              <w:textAlignment w:val="auto"/>
              <w:rPr>
                <w:rFonts w:hint="default"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3本项目的资格要求</w:t>
            </w:r>
          </w:p>
          <w:p w14:paraId="7B96DDDA">
            <w:pPr>
              <w:keepNext w:val="0"/>
              <w:keepLines w:val="0"/>
              <w:pageBreakBefore w:val="0"/>
              <w:kinsoku/>
              <w:wordWrap/>
              <w:overflowPunct/>
              <w:topLinePunct w:val="0"/>
              <w:autoSpaceDN w:val="0"/>
              <w:bidi w:val="0"/>
              <w:adjustRightInd w:val="0"/>
              <w:snapToGrid w:val="0"/>
              <w:spacing w:line="500" w:lineRule="exact"/>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3.1投标人应在中华人民共和国境内注册，须是依法登记注册的独立法人或其他组织，并在人员、设备、资金等方面具有相应的服务能力。</w:t>
            </w:r>
          </w:p>
          <w:p w14:paraId="00583D81">
            <w:pPr>
              <w:keepNext w:val="0"/>
              <w:keepLines w:val="0"/>
              <w:pageBreakBefore w:val="0"/>
              <w:kinsoku/>
              <w:wordWrap/>
              <w:overflowPunct/>
              <w:topLinePunct w:val="0"/>
              <w:autoSpaceDN w:val="0"/>
              <w:bidi w:val="0"/>
              <w:adjustRightInd w:val="0"/>
              <w:snapToGrid w:val="0"/>
              <w:spacing w:line="500" w:lineRule="exact"/>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3.2信誉要求：拒绝列入政府取消投标资格记录期间的企业或个人投标；不接受被列入失信被执行人、重大税收违法案件当事人名单、政府采购严重违法失信行为记录名单的投标人参与投标（详见财库【2016】125号，通过“信用中国”网站（www.creditchina.gov.cn）或中国政府采购网（www.ccgp.gov.cn）渠道查询相关信用记录的网站截图证明）。投标人需出具本公司（公司、法人）的无行贿犯罪记录证明（在中国裁判文书网查询并加盖公章）；</w:t>
            </w:r>
          </w:p>
          <w:p w14:paraId="71B2A0DD">
            <w:pPr>
              <w:keepNext w:val="0"/>
              <w:keepLines w:val="0"/>
              <w:pageBreakBefore w:val="0"/>
              <w:kinsoku/>
              <w:wordWrap/>
              <w:overflowPunct/>
              <w:topLinePunct w:val="0"/>
              <w:autoSpaceDN w:val="0"/>
              <w:bidi w:val="0"/>
              <w:adjustRightInd w:val="0"/>
              <w:snapToGrid w:val="0"/>
              <w:spacing w:line="500" w:lineRule="exact"/>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3.3近一年（2023年）的财务审计报告或财务报表或投标前三个月内投标人开户银行出具的资信证明（除开具银行明确表示复印无效的，银行资信证明可以是复印件加盖本单位公章；资信证明要能证明投标人的资信状况良好，往来帐款正常，无透支行为，存款证明无效）。并提供2024年1月至今任意一个月纳税及社保缴费证明；</w:t>
            </w:r>
          </w:p>
          <w:p w14:paraId="6F1FBFAA">
            <w:pPr>
              <w:keepNext w:val="0"/>
              <w:keepLines w:val="0"/>
              <w:pageBreakBefore w:val="0"/>
              <w:kinsoku/>
              <w:wordWrap/>
              <w:overflowPunct/>
              <w:topLinePunct w:val="0"/>
              <w:autoSpaceDN w:val="0"/>
              <w:bidi w:val="0"/>
              <w:adjustRightInd w:val="0"/>
              <w:snapToGrid w:val="0"/>
              <w:spacing w:line="500" w:lineRule="exact"/>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3.4投标人须具备参加政府采购活动前三年内（2021-2023年）在经营活动中没有重大违法记录的书面声明；</w:t>
            </w:r>
          </w:p>
          <w:p w14:paraId="755D7194">
            <w:pPr>
              <w:keepNext w:val="0"/>
              <w:keepLines w:val="0"/>
              <w:pageBreakBefore w:val="0"/>
              <w:kinsoku/>
              <w:wordWrap/>
              <w:overflowPunct/>
              <w:topLinePunct w:val="0"/>
              <w:autoSpaceDN w:val="0"/>
              <w:bidi w:val="0"/>
              <w:adjustRightInd w:val="0"/>
              <w:snapToGrid w:val="0"/>
              <w:spacing w:line="500" w:lineRule="exact"/>
              <w:textAlignment w:val="auto"/>
              <w:rPr>
                <w:rFonts w:cs="宋体" w:asciiTheme="majorEastAsia" w:hAnsiTheme="majorEastAsia" w:eastAsiaTheme="majorEastAsia"/>
                <w:szCs w:val="21"/>
                <w:highlight w:val="none"/>
                <w:shd w:val="clear" w:color="auto" w:fill="FFFFFF"/>
              </w:rPr>
            </w:pPr>
            <w:r>
              <w:rPr>
                <w:rFonts w:hint="eastAsia" w:cs="Times New Roman" w:asciiTheme="majorEastAsia" w:hAnsiTheme="majorEastAsia" w:eastAsiaTheme="majorEastAsia"/>
                <w:szCs w:val="21"/>
                <w:highlight w:val="none"/>
                <w:lang w:val="en-US" w:eastAsia="zh-CN"/>
              </w:rPr>
              <w:t>3.5其他要求：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14:paraId="29953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C0185B8">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12</w:t>
            </w:r>
          </w:p>
        </w:tc>
        <w:tc>
          <w:tcPr>
            <w:tcW w:w="2070" w:type="dxa"/>
            <w:tcBorders>
              <w:top w:val="single" w:color="auto" w:sz="4" w:space="0"/>
              <w:left w:val="single" w:color="auto" w:sz="4" w:space="0"/>
              <w:bottom w:val="single" w:color="auto" w:sz="4" w:space="0"/>
              <w:right w:val="single" w:color="auto" w:sz="4" w:space="0"/>
            </w:tcBorders>
            <w:noWrap/>
            <w:vAlign w:val="center"/>
          </w:tcPr>
          <w:p w14:paraId="5729A907">
            <w:pPr>
              <w:keepNext w:val="0"/>
              <w:keepLines w:val="0"/>
              <w:pageBreakBefore w:val="0"/>
              <w:kinsoku/>
              <w:wordWrap/>
              <w:overflowPunct/>
              <w:topLinePunct w:val="0"/>
              <w:autoSpaceDN w:val="0"/>
              <w:bidi w:val="0"/>
              <w:adjustRightInd w:val="0"/>
              <w:snapToGrid w:val="0"/>
              <w:spacing w:line="500" w:lineRule="exact"/>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是否接受</w:t>
            </w:r>
          </w:p>
          <w:p w14:paraId="082E6D93">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联合体投标</w:t>
            </w:r>
          </w:p>
        </w:tc>
        <w:tc>
          <w:tcPr>
            <w:tcW w:w="6761" w:type="dxa"/>
            <w:tcBorders>
              <w:top w:val="single" w:color="auto" w:sz="4" w:space="0"/>
              <w:left w:val="single" w:color="auto" w:sz="4" w:space="0"/>
              <w:bottom w:val="single" w:color="auto" w:sz="4" w:space="0"/>
              <w:right w:val="single" w:color="auto" w:sz="4" w:space="0"/>
            </w:tcBorders>
            <w:noWrap/>
            <w:vAlign w:val="center"/>
          </w:tcPr>
          <w:p w14:paraId="0C909157">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□是，接受</w:t>
            </w:r>
          </w:p>
          <w:p w14:paraId="09795F76">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√否，不接受</w:t>
            </w:r>
          </w:p>
        </w:tc>
      </w:tr>
      <w:tr w14:paraId="06534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E8822B5">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13</w:t>
            </w:r>
          </w:p>
        </w:tc>
        <w:tc>
          <w:tcPr>
            <w:tcW w:w="2070" w:type="dxa"/>
            <w:tcBorders>
              <w:top w:val="single" w:color="auto" w:sz="4" w:space="0"/>
              <w:left w:val="single" w:color="auto" w:sz="4" w:space="0"/>
              <w:bottom w:val="single" w:color="auto" w:sz="4" w:space="0"/>
              <w:right w:val="single" w:color="auto" w:sz="4" w:space="0"/>
            </w:tcBorders>
            <w:noWrap/>
            <w:vAlign w:val="center"/>
          </w:tcPr>
          <w:p w14:paraId="26C8392F">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踏勘现场</w:t>
            </w:r>
          </w:p>
        </w:tc>
        <w:tc>
          <w:tcPr>
            <w:tcW w:w="6761" w:type="dxa"/>
            <w:tcBorders>
              <w:top w:val="single" w:color="auto" w:sz="4" w:space="0"/>
              <w:left w:val="single" w:color="auto" w:sz="4" w:space="0"/>
              <w:bottom w:val="single" w:color="auto" w:sz="4" w:space="0"/>
              <w:right w:val="single" w:color="auto" w:sz="4" w:space="0"/>
            </w:tcBorders>
            <w:noWrap/>
            <w:vAlign w:val="center"/>
          </w:tcPr>
          <w:p w14:paraId="4E2F9723">
            <w:pPr>
              <w:keepNext w:val="0"/>
              <w:keepLines w:val="0"/>
              <w:pageBreakBefore w:val="0"/>
              <w:kinsoku/>
              <w:wordWrap/>
              <w:overflowPunct/>
              <w:topLinePunct w:val="0"/>
              <w:autoSpaceDN w:val="0"/>
              <w:bidi w:val="0"/>
              <w:adjustRightInd w:val="0"/>
              <w:snapToGrid w:val="0"/>
              <w:spacing w:line="500" w:lineRule="exact"/>
              <w:textAlignment w:val="auto"/>
              <w:rPr>
                <w:rFonts w:cs="宋体" w:asciiTheme="majorEastAsia" w:hAnsiTheme="majorEastAsia" w:eastAsiaTheme="majorEastAsia"/>
                <w:szCs w:val="21"/>
                <w:highlight w:val="none"/>
              </w:rPr>
            </w:pPr>
            <w:r>
              <w:rPr>
                <w:rFonts w:hint="eastAsia" w:asciiTheme="majorEastAsia" w:hAnsiTheme="majorEastAsia" w:eastAsiaTheme="majorEastAsia"/>
                <w:szCs w:val="21"/>
                <w:highlight w:val="none"/>
              </w:rPr>
              <w:t>√</w:t>
            </w:r>
            <w:r>
              <w:rPr>
                <w:rFonts w:hint="eastAsia" w:cs="宋体" w:asciiTheme="majorEastAsia" w:hAnsiTheme="majorEastAsia" w:eastAsiaTheme="majorEastAsia"/>
                <w:szCs w:val="21"/>
                <w:highlight w:val="none"/>
              </w:rPr>
              <w:t>不组织</w:t>
            </w:r>
          </w:p>
          <w:p w14:paraId="7D695F2B">
            <w:pPr>
              <w:keepNext w:val="0"/>
              <w:keepLines w:val="0"/>
              <w:pageBreakBefore w:val="0"/>
              <w:kinsoku/>
              <w:wordWrap/>
              <w:overflowPunct/>
              <w:topLinePunct w:val="0"/>
              <w:autoSpaceDN w:val="0"/>
              <w:bidi w:val="0"/>
              <w:adjustRightInd w:val="0"/>
              <w:snapToGrid w:val="0"/>
              <w:spacing w:line="500" w:lineRule="exact"/>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□组织，踏勘时间：</w:t>
            </w:r>
          </w:p>
          <w:p w14:paraId="23911BB4">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踏勘集中地点：</w:t>
            </w:r>
          </w:p>
        </w:tc>
      </w:tr>
      <w:tr w14:paraId="3FB53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2E686A13">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14</w:t>
            </w:r>
          </w:p>
        </w:tc>
        <w:tc>
          <w:tcPr>
            <w:tcW w:w="2070" w:type="dxa"/>
            <w:tcBorders>
              <w:top w:val="single" w:color="auto" w:sz="4" w:space="0"/>
              <w:left w:val="single" w:color="auto" w:sz="4" w:space="0"/>
              <w:bottom w:val="nil"/>
              <w:right w:val="single" w:color="auto" w:sz="4" w:space="0"/>
            </w:tcBorders>
            <w:noWrap/>
            <w:vAlign w:val="center"/>
          </w:tcPr>
          <w:p w14:paraId="3409AA4B">
            <w:pPr>
              <w:keepNext w:val="0"/>
              <w:keepLines w:val="0"/>
              <w:pageBreakBefore w:val="0"/>
              <w:kinsoku/>
              <w:wordWrap/>
              <w:overflowPunct/>
              <w:topLinePunct w:val="0"/>
              <w:autoSpaceDN w:val="0"/>
              <w:bidi w:val="0"/>
              <w:adjustRightInd w:val="0"/>
              <w:snapToGrid w:val="0"/>
              <w:spacing w:line="500" w:lineRule="exact"/>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答疑会</w:t>
            </w:r>
          </w:p>
          <w:p w14:paraId="0938FB4E">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时间及地点</w:t>
            </w:r>
          </w:p>
        </w:tc>
        <w:tc>
          <w:tcPr>
            <w:tcW w:w="6761" w:type="dxa"/>
            <w:tcBorders>
              <w:top w:val="single" w:color="auto" w:sz="4" w:space="0"/>
              <w:left w:val="single" w:color="auto" w:sz="4" w:space="0"/>
              <w:bottom w:val="nil"/>
              <w:right w:val="single" w:color="auto" w:sz="4" w:space="0"/>
            </w:tcBorders>
            <w:noWrap/>
            <w:vAlign w:val="center"/>
          </w:tcPr>
          <w:p w14:paraId="7CA2044F">
            <w:pPr>
              <w:pStyle w:val="8"/>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 w:val="21"/>
                <w:szCs w:val="21"/>
                <w:highlight w:val="none"/>
              </w:rPr>
            </w:pPr>
            <w:r>
              <w:rPr>
                <w:rFonts w:hint="eastAsia" w:asciiTheme="majorEastAsia" w:hAnsiTheme="majorEastAsia" w:eastAsiaTheme="majorEastAsia"/>
                <w:szCs w:val="21"/>
                <w:highlight w:val="none"/>
              </w:rPr>
              <w:t>√</w:t>
            </w:r>
            <w:r>
              <w:rPr>
                <w:rFonts w:hint="eastAsia" w:asciiTheme="majorEastAsia" w:hAnsiTheme="majorEastAsia" w:eastAsiaTheme="majorEastAsia"/>
                <w:sz w:val="21"/>
                <w:szCs w:val="21"/>
                <w:highlight w:val="none"/>
              </w:rPr>
              <w:t>不召开</w:t>
            </w:r>
          </w:p>
          <w:p w14:paraId="4C880179">
            <w:pPr>
              <w:keepNext w:val="0"/>
              <w:keepLines w:val="0"/>
              <w:pageBreakBefore w:val="0"/>
              <w:kinsoku/>
              <w:wordWrap/>
              <w:overflowPunct/>
              <w:topLinePunct w:val="0"/>
              <w:autoSpaceDN w:val="0"/>
              <w:bidi w:val="0"/>
              <w:adjustRightInd w:val="0"/>
              <w:snapToGrid w:val="0"/>
              <w:spacing w:line="500" w:lineRule="exact"/>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□召开，召开时间：</w:t>
            </w:r>
          </w:p>
          <w:p w14:paraId="3C0945F4">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召开地点：</w:t>
            </w:r>
          </w:p>
        </w:tc>
      </w:tr>
      <w:tr w14:paraId="51C20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F273D1A">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15</w:t>
            </w:r>
          </w:p>
        </w:tc>
        <w:tc>
          <w:tcPr>
            <w:tcW w:w="2070" w:type="dxa"/>
            <w:tcBorders>
              <w:top w:val="single" w:color="auto" w:sz="4" w:space="0"/>
              <w:left w:val="single" w:color="auto" w:sz="4" w:space="0"/>
              <w:bottom w:val="single" w:color="auto" w:sz="4" w:space="0"/>
              <w:right w:val="single" w:color="auto" w:sz="4" w:space="0"/>
            </w:tcBorders>
            <w:noWrap/>
            <w:vAlign w:val="center"/>
          </w:tcPr>
          <w:p w14:paraId="7DECA2A4">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分包、转包</w:t>
            </w:r>
          </w:p>
        </w:tc>
        <w:tc>
          <w:tcPr>
            <w:tcW w:w="6761" w:type="dxa"/>
            <w:tcBorders>
              <w:top w:val="single" w:color="auto" w:sz="4" w:space="0"/>
              <w:left w:val="single" w:color="auto" w:sz="4" w:space="0"/>
              <w:bottom w:val="single" w:color="auto" w:sz="4" w:space="0"/>
              <w:right w:val="single" w:color="auto" w:sz="4" w:space="0"/>
            </w:tcBorders>
            <w:noWrap/>
            <w:vAlign w:val="center"/>
          </w:tcPr>
          <w:p w14:paraId="71EB9CE6">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不允许。</w:t>
            </w:r>
          </w:p>
        </w:tc>
      </w:tr>
      <w:tr w14:paraId="3F3B8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CF54607">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16</w:t>
            </w:r>
          </w:p>
        </w:tc>
        <w:tc>
          <w:tcPr>
            <w:tcW w:w="2070" w:type="dxa"/>
            <w:tcBorders>
              <w:top w:val="single" w:color="auto" w:sz="4" w:space="0"/>
              <w:left w:val="single" w:color="auto" w:sz="4" w:space="0"/>
              <w:bottom w:val="single" w:color="auto" w:sz="4" w:space="0"/>
              <w:right w:val="single" w:color="auto" w:sz="4" w:space="0"/>
            </w:tcBorders>
            <w:noWrap/>
            <w:vAlign w:val="center"/>
          </w:tcPr>
          <w:p w14:paraId="05C5F00F">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偏离</w:t>
            </w:r>
          </w:p>
        </w:tc>
        <w:tc>
          <w:tcPr>
            <w:tcW w:w="6761" w:type="dxa"/>
            <w:tcBorders>
              <w:top w:val="single" w:color="auto" w:sz="4" w:space="0"/>
              <w:left w:val="single" w:color="auto" w:sz="4" w:space="0"/>
              <w:bottom w:val="single" w:color="auto" w:sz="4" w:space="0"/>
              <w:right w:val="single" w:color="auto" w:sz="4" w:space="0"/>
            </w:tcBorders>
            <w:noWrap/>
            <w:vAlign w:val="center"/>
          </w:tcPr>
          <w:p w14:paraId="2C012136">
            <w:pPr>
              <w:keepNext w:val="0"/>
              <w:keepLines w:val="0"/>
              <w:pageBreakBefore w:val="0"/>
              <w:kinsoku/>
              <w:wordWrap/>
              <w:overflowPunct/>
              <w:topLinePunct w:val="0"/>
              <w:autoSpaceDN w:val="0"/>
              <w:bidi w:val="0"/>
              <w:adjustRightInd w:val="0"/>
              <w:snapToGrid w:val="0"/>
              <w:spacing w:line="500" w:lineRule="exact"/>
              <w:textAlignment w:val="auto"/>
              <w:rPr>
                <w:rFonts w:cs="宋体" w:asciiTheme="majorEastAsia" w:hAnsiTheme="majorEastAsia" w:eastAsiaTheme="majorEastAsia"/>
                <w:kern w:val="15"/>
                <w:szCs w:val="21"/>
                <w:highlight w:val="none"/>
              </w:rPr>
            </w:pPr>
            <w:r>
              <w:rPr>
                <w:rFonts w:hint="eastAsia" w:asciiTheme="majorEastAsia" w:hAnsiTheme="majorEastAsia" w:eastAsiaTheme="majorEastAsia"/>
                <w:szCs w:val="21"/>
                <w:highlight w:val="none"/>
              </w:rPr>
              <w:t>√</w:t>
            </w:r>
            <w:r>
              <w:rPr>
                <w:rFonts w:hint="eastAsia" w:cs="宋体" w:asciiTheme="majorEastAsia" w:hAnsiTheme="majorEastAsia" w:eastAsiaTheme="majorEastAsia"/>
                <w:kern w:val="15"/>
                <w:szCs w:val="21"/>
                <w:highlight w:val="none"/>
              </w:rPr>
              <w:t>允许正偏离</w:t>
            </w:r>
          </w:p>
          <w:p w14:paraId="249748C1">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cs="宋体" w:asciiTheme="majorEastAsia" w:hAnsiTheme="majorEastAsia" w:eastAsiaTheme="majorEastAsia"/>
                <w:kern w:val="15"/>
                <w:szCs w:val="21"/>
                <w:highlight w:val="none"/>
              </w:rPr>
              <w:t>□不接受任何偏离</w:t>
            </w:r>
          </w:p>
        </w:tc>
      </w:tr>
      <w:tr w14:paraId="0B45A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DBD04F7">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17</w:t>
            </w:r>
          </w:p>
        </w:tc>
        <w:tc>
          <w:tcPr>
            <w:tcW w:w="2070" w:type="dxa"/>
            <w:tcBorders>
              <w:top w:val="single" w:color="auto" w:sz="4" w:space="0"/>
              <w:left w:val="single" w:color="auto" w:sz="4" w:space="0"/>
              <w:bottom w:val="single" w:color="auto" w:sz="4" w:space="0"/>
              <w:right w:val="single" w:color="auto" w:sz="4" w:space="0"/>
            </w:tcBorders>
            <w:noWrap/>
            <w:vAlign w:val="center"/>
          </w:tcPr>
          <w:p w14:paraId="65D1D6F6">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构成投标文件</w:t>
            </w:r>
          </w:p>
          <w:p w14:paraId="14266567">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的其他材料</w:t>
            </w:r>
          </w:p>
        </w:tc>
        <w:tc>
          <w:tcPr>
            <w:tcW w:w="6761" w:type="dxa"/>
            <w:tcBorders>
              <w:top w:val="single" w:color="auto" w:sz="4" w:space="0"/>
              <w:left w:val="single" w:color="auto" w:sz="4" w:space="0"/>
              <w:bottom w:val="single" w:color="auto" w:sz="4" w:space="0"/>
              <w:right w:val="single" w:color="auto" w:sz="4" w:space="0"/>
            </w:tcBorders>
            <w:noWrap/>
            <w:vAlign w:val="center"/>
          </w:tcPr>
          <w:p w14:paraId="56CAEFCF">
            <w:pPr>
              <w:pStyle w:val="53"/>
              <w:keepNext w:val="0"/>
              <w:keepLines w:val="0"/>
              <w:pageBreakBefore w:val="0"/>
              <w:kinsoku/>
              <w:wordWrap/>
              <w:overflowPunct/>
              <w:topLinePunct w:val="0"/>
              <w:autoSpaceDN w:val="0"/>
              <w:bidi w:val="0"/>
              <w:snapToGrid w:val="0"/>
              <w:spacing w:line="500" w:lineRule="exact"/>
              <w:textAlignment w:val="auto"/>
              <w:rPr>
                <w:rFonts w:asciiTheme="majorEastAsia" w:hAnsiTheme="majorEastAsia" w:eastAsiaTheme="majorEastAsia"/>
                <w:bCs/>
                <w:szCs w:val="21"/>
                <w:highlight w:val="none"/>
                <w:shd w:val="clear" w:color="auto" w:fill="FFFFFF"/>
              </w:rPr>
            </w:pPr>
            <w:r>
              <w:rPr>
                <w:rFonts w:hint="eastAsia" w:asciiTheme="majorEastAsia" w:hAnsiTheme="majorEastAsia" w:eastAsiaTheme="majorEastAsia"/>
                <w:bCs/>
                <w:szCs w:val="21"/>
                <w:highlight w:val="none"/>
                <w:shd w:val="clear" w:color="auto" w:fill="FFFFFF"/>
              </w:rPr>
              <w:t>/</w:t>
            </w:r>
          </w:p>
        </w:tc>
      </w:tr>
      <w:tr w14:paraId="5967E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4D3D570">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18</w:t>
            </w:r>
          </w:p>
        </w:tc>
        <w:tc>
          <w:tcPr>
            <w:tcW w:w="2070" w:type="dxa"/>
            <w:tcBorders>
              <w:top w:val="single" w:color="auto" w:sz="4" w:space="0"/>
              <w:left w:val="single" w:color="auto" w:sz="4" w:space="0"/>
              <w:bottom w:val="single" w:color="auto" w:sz="4" w:space="0"/>
              <w:right w:val="single" w:color="auto" w:sz="4" w:space="0"/>
            </w:tcBorders>
            <w:noWrap/>
            <w:vAlign w:val="center"/>
          </w:tcPr>
          <w:p w14:paraId="561A1338">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签字或盖章要求</w:t>
            </w:r>
          </w:p>
        </w:tc>
        <w:tc>
          <w:tcPr>
            <w:tcW w:w="6761" w:type="dxa"/>
            <w:tcBorders>
              <w:top w:val="single" w:color="auto" w:sz="4" w:space="0"/>
              <w:left w:val="single" w:color="auto" w:sz="4" w:space="0"/>
              <w:bottom w:val="single" w:color="auto" w:sz="4" w:space="0"/>
              <w:right w:val="single" w:color="auto" w:sz="4" w:space="0"/>
            </w:tcBorders>
            <w:noWrap/>
            <w:vAlign w:val="center"/>
          </w:tcPr>
          <w:p w14:paraId="71992492">
            <w:pPr>
              <w:keepNext w:val="0"/>
              <w:keepLines w:val="0"/>
              <w:pageBreakBefore w:val="0"/>
              <w:kinsoku/>
              <w:wordWrap/>
              <w:overflowPunct/>
              <w:topLinePunct w:val="0"/>
              <w:autoSpaceDN w:val="0"/>
              <w:bidi w:val="0"/>
              <w:adjustRightInd w:val="0"/>
              <w:snapToGrid w:val="0"/>
              <w:spacing w:line="500" w:lineRule="exact"/>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（1）所有要求签字的地方都应用不褪色的墨水或签字笔由本人亲笔手写签字（包括姓和名），不得用盖章（如签名章、签字章等）代替，也不得由他人代签。 </w:t>
            </w:r>
          </w:p>
          <w:p w14:paraId="5A68969B">
            <w:pPr>
              <w:keepNext w:val="0"/>
              <w:keepLines w:val="0"/>
              <w:pageBreakBefore w:val="0"/>
              <w:kinsoku/>
              <w:wordWrap/>
              <w:overflowPunct/>
              <w:topLinePunct w:val="0"/>
              <w:autoSpaceDN w:val="0"/>
              <w:bidi w:val="0"/>
              <w:adjustRightInd w:val="0"/>
              <w:snapToGrid w:val="0"/>
              <w:spacing w:line="500" w:lineRule="exact"/>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（2）所有要求盖章的地方都应按照招标文件的规定加盖与</w:t>
            </w:r>
            <w:r>
              <w:rPr>
                <w:rFonts w:hint="eastAsia" w:cs="宋体" w:asciiTheme="majorEastAsia" w:hAnsiTheme="majorEastAsia" w:eastAsiaTheme="majorEastAsia"/>
                <w:szCs w:val="21"/>
                <w:highlight w:val="none"/>
                <w:lang w:eastAsia="zh-CN"/>
              </w:rPr>
              <w:t>投标人</w:t>
            </w:r>
            <w:r>
              <w:rPr>
                <w:rFonts w:hint="eastAsia" w:cs="宋体" w:asciiTheme="majorEastAsia" w:hAnsiTheme="majorEastAsia" w:eastAsiaTheme="majorEastAsia"/>
                <w:szCs w:val="21"/>
                <w:highlight w:val="none"/>
              </w:rPr>
              <w:t xml:space="preserve">名称全称相一致的标准公章，不得使用彩喷或者彩印的印章。 </w:t>
            </w:r>
          </w:p>
          <w:p w14:paraId="28E114D9">
            <w:pPr>
              <w:keepNext w:val="0"/>
              <w:keepLines w:val="0"/>
              <w:pageBreakBefore w:val="0"/>
              <w:kinsoku/>
              <w:wordWrap/>
              <w:overflowPunct/>
              <w:topLinePunct w:val="0"/>
              <w:autoSpaceDN w:val="0"/>
              <w:bidi w:val="0"/>
              <w:adjustRightInd w:val="0"/>
              <w:snapToGrid w:val="0"/>
              <w:spacing w:line="500" w:lineRule="exact"/>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（3）投标文件格式中要求</w:t>
            </w:r>
            <w:r>
              <w:rPr>
                <w:rFonts w:hint="eastAsia" w:cs="宋体" w:asciiTheme="majorEastAsia" w:hAnsiTheme="majorEastAsia" w:eastAsiaTheme="majorEastAsia"/>
                <w:szCs w:val="21"/>
                <w:highlight w:val="none"/>
                <w:lang w:eastAsia="zh-CN"/>
              </w:rPr>
              <w:t>投标人</w:t>
            </w:r>
            <w:r>
              <w:rPr>
                <w:rFonts w:hint="eastAsia" w:cs="宋体" w:asciiTheme="majorEastAsia" w:hAnsiTheme="majorEastAsia" w:eastAsiaTheme="majorEastAsia"/>
                <w:szCs w:val="21"/>
                <w:highlight w:val="none"/>
              </w:rPr>
              <w:t>“法定代表人或其委托代理人”签字的，如法定代表人亲自投标而不委托代理人投标，由法定代表人签字；如法定代表人授权委托代理人投标，由委托代理人签字，也可由法定代表人签字。</w:t>
            </w:r>
          </w:p>
        </w:tc>
      </w:tr>
      <w:tr w14:paraId="7F7A4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FFF8D09">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19</w:t>
            </w:r>
          </w:p>
        </w:tc>
        <w:tc>
          <w:tcPr>
            <w:tcW w:w="2070" w:type="dxa"/>
            <w:tcBorders>
              <w:top w:val="single" w:color="auto" w:sz="4" w:space="0"/>
              <w:left w:val="single" w:color="auto" w:sz="4" w:space="0"/>
              <w:bottom w:val="single" w:color="auto" w:sz="4" w:space="0"/>
              <w:right w:val="single" w:color="auto" w:sz="4" w:space="0"/>
            </w:tcBorders>
            <w:noWrap/>
            <w:vAlign w:val="center"/>
          </w:tcPr>
          <w:p w14:paraId="31E7886B">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投标有效期</w:t>
            </w:r>
          </w:p>
        </w:tc>
        <w:tc>
          <w:tcPr>
            <w:tcW w:w="6761" w:type="dxa"/>
            <w:tcBorders>
              <w:top w:val="single" w:color="auto" w:sz="4" w:space="0"/>
              <w:left w:val="single" w:color="auto" w:sz="4" w:space="0"/>
              <w:bottom w:val="single" w:color="auto" w:sz="4" w:space="0"/>
              <w:right w:val="single" w:color="auto" w:sz="4" w:space="0"/>
            </w:tcBorders>
            <w:noWrap/>
            <w:vAlign w:val="center"/>
          </w:tcPr>
          <w:p w14:paraId="1D0891C7">
            <w:pPr>
              <w:keepNext w:val="0"/>
              <w:keepLines w:val="0"/>
              <w:pageBreakBefore w:val="0"/>
              <w:kinsoku/>
              <w:wordWrap/>
              <w:overflowPunct/>
              <w:topLinePunct w:val="0"/>
              <w:autoSpaceDN w:val="0"/>
              <w:bidi w:val="0"/>
              <w:adjustRightInd w:val="0"/>
              <w:snapToGrid w:val="0"/>
              <w:spacing w:line="500" w:lineRule="exact"/>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90日历天（从投标截止之日算起）</w:t>
            </w:r>
          </w:p>
        </w:tc>
      </w:tr>
      <w:tr w14:paraId="66B53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410289C">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20</w:t>
            </w:r>
          </w:p>
        </w:tc>
        <w:tc>
          <w:tcPr>
            <w:tcW w:w="2070" w:type="dxa"/>
            <w:tcBorders>
              <w:top w:val="single" w:color="auto" w:sz="4" w:space="0"/>
              <w:left w:val="single" w:color="auto" w:sz="4" w:space="0"/>
              <w:bottom w:val="single" w:color="auto" w:sz="4" w:space="0"/>
              <w:right w:val="single" w:color="auto" w:sz="4" w:space="0"/>
            </w:tcBorders>
            <w:noWrap/>
            <w:vAlign w:val="center"/>
          </w:tcPr>
          <w:p w14:paraId="540053AA">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投标保证金</w:t>
            </w:r>
          </w:p>
        </w:tc>
        <w:tc>
          <w:tcPr>
            <w:tcW w:w="6761" w:type="dxa"/>
            <w:tcBorders>
              <w:top w:val="single" w:color="auto" w:sz="4" w:space="0"/>
              <w:left w:val="single" w:color="auto" w:sz="4" w:space="0"/>
              <w:bottom w:val="single" w:color="auto" w:sz="4" w:space="0"/>
              <w:right w:val="single" w:color="auto" w:sz="4" w:space="0"/>
            </w:tcBorders>
            <w:noWrap/>
            <w:vAlign w:val="center"/>
          </w:tcPr>
          <w:p w14:paraId="4AC81F28">
            <w:pPr>
              <w:keepNext w:val="0"/>
              <w:keepLines w:val="0"/>
              <w:pageBreakBefore w:val="0"/>
              <w:kinsoku/>
              <w:wordWrap/>
              <w:overflowPunct/>
              <w:topLinePunct w:val="0"/>
              <w:autoSpaceDN w:val="0"/>
              <w:bidi w:val="0"/>
              <w:adjustRightInd w:val="0"/>
              <w:snapToGrid w:val="0"/>
              <w:spacing w:line="500" w:lineRule="exact"/>
              <w:textAlignment w:val="auto"/>
              <w:rPr>
                <w:rFonts w:hint="eastAsia" w:cs="宋体" w:asciiTheme="majorEastAsia" w:hAnsiTheme="majorEastAsia" w:eastAsiaTheme="majorEastAsia"/>
                <w:szCs w:val="21"/>
                <w:highlight w:val="none"/>
                <w:lang w:val="en-US" w:eastAsia="zh-CN"/>
              </w:rPr>
            </w:pPr>
            <w:r>
              <w:rPr>
                <w:rFonts w:hint="eastAsia" w:cs="宋体" w:asciiTheme="majorEastAsia" w:hAnsiTheme="majorEastAsia" w:eastAsiaTheme="majorEastAsia"/>
                <w:szCs w:val="21"/>
                <w:highlight w:val="none"/>
                <w:lang w:val="en-US" w:eastAsia="zh-CN"/>
              </w:rPr>
              <w:t>本项目无</w:t>
            </w:r>
            <w:r>
              <w:rPr>
                <w:rFonts w:hint="eastAsia" w:cs="宋体" w:asciiTheme="majorEastAsia" w:hAnsiTheme="majorEastAsia" w:eastAsiaTheme="majorEastAsia"/>
                <w:szCs w:val="21"/>
                <w:highlight w:val="none"/>
              </w:rPr>
              <w:t>投标保证金</w:t>
            </w:r>
          </w:p>
        </w:tc>
      </w:tr>
      <w:tr w14:paraId="6E173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75EA101">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21</w:t>
            </w:r>
          </w:p>
        </w:tc>
        <w:tc>
          <w:tcPr>
            <w:tcW w:w="2070" w:type="dxa"/>
            <w:tcBorders>
              <w:top w:val="single" w:color="auto" w:sz="4" w:space="0"/>
              <w:left w:val="single" w:color="auto" w:sz="4" w:space="0"/>
              <w:bottom w:val="single" w:color="auto" w:sz="4" w:space="0"/>
              <w:right w:val="single" w:color="auto" w:sz="4" w:space="0"/>
            </w:tcBorders>
            <w:noWrap/>
            <w:vAlign w:val="center"/>
          </w:tcPr>
          <w:p w14:paraId="761BEB61">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color w:val="FF0000"/>
                <w:szCs w:val="21"/>
                <w:highlight w:val="none"/>
              </w:rPr>
            </w:pPr>
            <w:r>
              <w:rPr>
                <w:rFonts w:hint="eastAsia" w:asciiTheme="majorEastAsia" w:hAnsiTheme="majorEastAsia" w:eastAsiaTheme="majorEastAsia"/>
                <w:color w:val="FF0000"/>
                <w:szCs w:val="21"/>
                <w:highlight w:val="none"/>
              </w:rPr>
              <w:t>投标文件份数</w:t>
            </w:r>
          </w:p>
        </w:tc>
        <w:tc>
          <w:tcPr>
            <w:tcW w:w="6761" w:type="dxa"/>
            <w:tcBorders>
              <w:top w:val="single" w:color="auto" w:sz="4" w:space="0"/>
              <w:left w:val="single" w:color="auto" w:sz="4" w:space="0"/>
              <w:bottom w:val="single" w:color="auto" w:sz="4" w:space="0"/>
              <w:right w:val="single" w:color="auto" w:sz="4" w:space="0"/>
            </w:tcBorders>
            <w:noWrap/>
            <w:vAlign w:val="center"/>
          </w:tcPr>
          <w:p w14:paraId="0976A0B5">
            <w:pPr>
              <w:keepNext w:val="0"/>
              <w:keepLines w:val="0"/>
              <w:pageBreakBefore w:val="0"/>
              <w:kinsoku/>
              <w:wordWrap/>
              <w:overflowPunct/>
              <w:topLinePunct w:val="0"/>
              <w:autoSpaceDN w:val="0"/>
              <w:bidi w:val="0"/>
              <w:adjustRightInd w:val="0"/>
              <w:snapToGrid w:val="0"/>
              <w:spacing w:line="500" w:lineRule="exact"/>
              <w:textAlignment w:val="auto"/>
              <w:rPr>
                <w:rFonts w:hint="eastAsia" w:asciiTheme="majorEastAsia" w:hAnsiTheme="majorEastAsia" w:eastAsiaTheme="majorEastAsia"/>
                <w:color w:val="FF0000"/>
                <w:szCs w:val="21"/>
                <w:highlight w:val="none"/>
                <w:lang w:val="en-US" w:eastAsia="zh-CN"/>
              </w:rPr>
            </w:pPr>
            <w:r>
              <w:rPr>
                <w:rFonts w:hint="eastAsia" w:asciiTheme="majorEastAsia" w:hAnsiTheme="majorEastAsia" w:eastAsiaTheme="majorEastAsia"/>
                <w:color w:val="FF0000"/>
                <w:szCs w:val="21"/>
                <w:highlight w:val="none"/>
                <w:lang w:val="en-US" w:eastAsia="zh-CN"/>
              </w:rPr>
              <w:t>开标结束后需现场递交或邮寄，</w:t>
            </w:r>
            <w:r>
              <w:rPr>
                <w:rFonts w:hint="eastAsia" w:asciiTheme="majorEastAsia" w:hAnsiTheme="majorEastAsia" w:eastAsiaTheme="majorEastAsia"/>
                <w:color w:val="FF0000"/>
                <w:szCs w:val="21"/>
                <w:highlight w:val="none"/>
              </w:rPr>
              <w:t>一份正本，四份副本</w:t>
            </w:r>
            <w:r>
              <w:rPr>
                <w:rFonts w:hint="eastAsia" w:asciiTheme="majorEastAsia" w:hAnsiTheme="majorEastAsia" w:eastAsiaTheme="majorEastAsia"/>
                <w:color w:val="FF0000"/>
                <w:szCs w:val="21"/>
                <w:highlight w:val="none"/>
                <w:lang w:eastAsia="zh-CN"/>
              </w:rPr>
              <w:t>。</w:t>
            </w:r>
            <w:r>
              <w:rPr>
                <w:rFonts w:hint="eastAsia" w:asciiTheme="majorEastAsia" w:hAnsiTheme="majorEastAsia" w:eastAsiaTheme="majorEastAsia"/>
                <w:color w:val="FF0000"/>
                <w:szCs w:val="21"/>
                <w:highlight w:val="none"/>
                <w:lang w:val="en-US" w:eastAsia="zh-CN"/>
              </w:rPr>
              <w:t>至采购代理机构</w:t>
            </w:r>
          </w:p>
          <w:p w14:paraId="2CDB5143">
            <w:pPr>
              <w:keepNext w:val="0"/>
              <w:keepLines w:val="0"/>
              <w:pageBreakBefore w:val="0"/>
              <w:kinsoku/>
              <w:wordWrap/>
              <w:overflowPunct/>
              <w:topLinePunct w:val="0"/>
              <w:autoSpaceDN w:val="0"/>
              <w:bidi w:val="0"/>
              <w:adjustRightInd w:val="0"/>
              <w:snapToGrid w:val="0"/>
              <w:spacing w:line="500" w:lineRule="exact"/>
              <w:textAlignment w:val="auto"/>
              <w:rPr>
                <w:rFonts w:hint="default" w:asciiTheme="majorEastAsia" w:hAnsiTheme="majorEastAsia" w:eastAsiaTheme="majorEastAsia"/>
                <w:color w:val="FF0000"/>
                <w:szCs w:val="21"/>
                <w:highlight w:val="none"/>
                <w:lang w:val="en-US" w:eastAsia="zh-CN"/>
              </w:rPr>
            </w:pPr>
            <w:r>
              <w:rPr>
                <w:rFonts w:hint="default" w:asciiTheme="majorEastAsia" w:hAnsiTheme="majorEastAsia" w:eastAsiaTheme="majorEastAsia"/>
                <w:color w:val="FF0000"/>
                <w:szCs w:val="21"/>
                <w:highlight w:val="none"/>
                <w:lang w:val="en-US" w:eastAsia="zh-CN"/>
              </w:rPr>
              <w:t>地  址：</w:t>
            </w:r>
            <w:r>
              <w:rPr>
                <w:rFonts w:hint="eastAsia" w:asciiTheme="majorEastAsia" w:hAnsiTheme="majorEastAsia" w:eastAsiaTheme="majorEastAsia"/>
                <w:color w:val="FF0000"/>
                <w:szCs w:val="21"/>
                <w:highlight w:val="none"/>
                <w:lang w:val="en-US" w:eastAsia="zh-CN"/>
              </w:rPr>
              <w:t>长春市高新开发区长春市双创中心B座1520室</w:t>
            </w:r>
          </w:p>
          <w:p w14:paraId="4EFABBE5">
            <w:pPr>
              <w:keepNext w:val="0"/>
              <w:keepLines w:val="0"/>
              <w:pageBreakBefore w:val="0"/>
              <w:kinsoku/>
              <w:wordWrap/>
              <w:overflowPunct/>
              <w:topLinePunct w:val="0"/>
              <w:autoSpaceDN w:val="0"/>
              <w:bidi w:val="0"/>
              <w:adjustRightInd w:val="0"/>
              <w:snapToGrid w:val="0"/>
              <w:spacing w:line="500" w:lineRule="exact"/>
              <w:textAlignment w:val="auto"/>
              <w:rPr>
                <w:rFonts w:hint="default" w:asciiTheme="majorEastAsia" w:hAnsiTheme="majorEastAsia" w:eastAsiaTheme="majorEastAsia"/>
                <w:color w:val="FF0000"/>
                <w:szCs w:val="21"/>
                <w:highlight w:val="none"/>
                <w:lang w:val="en-US" w:eastAsia="zh-CN"/>
              </w:rPr>
            </w:pPr>
            <w:r>
              <w:rPr>
                <w:rFonts w:hint="eastAsia" w:asciiTheme="majorEastAsia" w:hAnsiTheme="majorEastAsia" w:eastAsiaTheme="majorEastAsia"/>
                <w:color w:val="FF0000"/>
                <w:szCs w:val="21"/>
                <w:highlight w:val="none"/>
                <w:lang w:val="en-US" w:eastAsia="zh-CN"/>
              </w:rPr>
              <w:t>收件人：孙立新</w:t>
            </w:r>
          </w:p>
          <w:p w14:paraId="0414C644">
            <w:pPr>
              <w:keepNext w:val="0"/>
              <w:keepLines w:val="0"/>
              <w:pageBreakBefore w:val="0"/>
              <w:kinsoku/>
              <w:wordWrap/>
              <w:overflowPunct/>
              <w:topLinePunct w:val="0"/>
              <w:autoSpaceDN w:val="0"/>
              <w:bidi w:val="0"/>
              <w:adjustRightInd w:val="0"/>
              <w:snapToGrid w:val="0"/>
              <w:spacing w:line="500" w:lineRule="exact"/>
              <w:textAlignment w:val="auto"/>
              <w:rPr>
                <w:rFonts w:hint="default" w:asciiTheme="majorEastAsia" w:hAnsiTheme="majorEastAsia" w:eastAsiaTheme="majorEastAsia"/>
                <w:color w:val="FF0000"/>
                <w:szCs w:val="21"/>
                <w:highlight w:val="none"/>
                <w:lang w:val="en-US" w:eastAsia="zh-CN"/>
              </w:rPr>
            </w:pPr>
            <w:r>
              <w:rPr>
                <w:rFonts w:hint="default" w:asciiTheme="majorEastAsia" w:hAnsiTheme="majorEastAsia" w:eastAsiaTheme="majorEastAsia"/>
                <w:color w:val="FF0000"/>
                <w:szCs w:val="21"/>
                <w:highlight w:val="none"/>
                <w:lang w:val="en-US" w:eastAsia="zh-CN"/>
              </w:rPr>
              <w:t>联系方式：</w:t>
            </w:r>
            <w:r>
              <w:rPr>
                <w:rFonts w:hint="eastAsia" w:asciiTheme="majorEastAsia" w:hAnsiTheme="majorEastAsia" w:eastAsiaTheme="majorEastAsia"/>
                <w:color w:val="FF0000"/>
                <w:szCs w:val="21"/>
                <w:highlight w:val="none"/>
                <w:lang w:val="en-US" w:eastAsia="zh-CN"/>
              </w:rPr>
              <w:t>18343095566</w:t>
            </w:r>
          </w:p>
        </w:tc>
      </w:tr>
      <w:tr w14:paraId="4B221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6970280">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22</w:t>
            </w:r>
          </w:p>
        </w:tc>
        <w:tc>
          <w:tcPr>
            <w:tcW w:w="2070" w:type="dxa"/>
            <w:tcBorders>
              <w:top w:val="single" w:color="auto" w:sz="4" w:space="0"/>
              <w:left w:val="single" w:color="auto" w:sz="4" w:space="0"/>
              <w:bottom w:val="single" w:color="auto" w:sz="4" w:space="0"/>
              <w:right w:val="single" w:color="auto" w:sz="4" w:space="0"/>
            </w:tcBorders>
            <w:noWrap/>
            <w:vAlign w:val="center"/>
          </w:tcPr>
          <w:p w14:paraId="323AE6B7">
            <w:pPr>
              <w:keepNext w:val="0"/>
              <w:keepLines w:val="0"/>
              <w:pageBreakBefore w:val="0"/>
              <w:kinsoku/>
              <w:wordWrap/>
              <w:overflowPunct/>
              <w:topLinePunct w:val="0"/>
              <w:autoSpaceDN w:val="0"/>
              <w:bidi w:val="0"/>
              <w:adjustRightInd w:val="0"/>
              <w:snapToGrid w:val="0"/>
              <w:spacing w:line="500" w:lineRule="exact"/>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投标文件提交</w:t>
            </w:r>
          </w:p>
          <w:p w14:paraId="6467FBDB">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地点及截止时间</w:t>
            </w:r>
          </w:p>
        </w:tc>
        <w:tc>
          <w:tcPr>
            <w:tcW w:w="6761" w:type="dxa"/>
            <w:tcBorders>
              <w:top w:val="single" w:color="auto" w:sz="4" w:space="0"/>
              <w:left w:val="single" w:color="auto" w:sz="4" w:space="0"/>
              <w:bottom w:val="single" w:color="auto" w:sz="4" w:space="0"/>
              <w:right w:val="single" w:color="auto" w:sz="4" w:space="0"/>
            </w:tcBorders>
            <w:noWrap/>
            <w:vAlign w:val="center"/>
          </w:tcPr>
          <w:p w14:paraId="51EC4DA9">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递交投标文件开始时间：202</w:t>
            </w:r>
            <w:r>
              <w:rPr>
                <w:rFonts w:hint="eastAsia" w:asciiTheme="majorEastAsia" w:hAnsiTheme="majorEastAsia" w:eastAsiaTheme="majorEastAsia"/>
                <w:bCs/>
                <w:szCs w:val="21"/>
                <w:highlight w:val="none"/>
                <w:lang w:val="en-US" w:eastAsia="zh-CN"/>
              </w:rPr>
              <w:t>5</w:t>
            </w:r>
            <w:r>
              <w:rPr>
                <w:rFonts w:hint="eastAsia" w:asciiTheme="majorEastAsia" w:hAnsiTheme="majorEastAsia" w:eastAsiaTheme="majorEastAsia"/>
                <w:bCs/>
                <w:szCs w:val="21"/>
                <w:highlight w:val="none"/>
              </w:rPr>
              <w:t>年</w:t>
            </w:r>
            <w:r>
              <w:rPr>
                <w:rFonts w:hint="eastAsia" w:asciiTheme="majorEastAsia" w:hAnsiTheme="majorEastAsia" w:eastAsiaTheme="majorEastAsia"/>
                <w:bCs/>
                <w:szCs w:val="21"/>
                <w:highlight w:val="none"/>
                <w:lang w:val="en-US" w:eastAsia="zh-CN"/>
              </w:rPr>
              <w:t>01月23日10时00分</w:t>
            </w:r>
          </w:p>
          <w:p w14:paraId="4C18F6C7">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递交投标文件截止时间：202</w:t>
            </w:r>
            <w:r>
              <w:rPr>
                <w:rFonts w:hint="eastAsia" w:asciiTheme="majorEastAsia" w:hAnsiTheme="majorEastAsia" w:eastAsiaTheme="majorEastAsia"/>
                <w:bCs/>
                <w:szCs w:val="21"/>
                <w:highlight w:val="none"/>
                <w:lang w:val="en-US" w:eastAsia="zh-CN"/>
              </w:rPr>
              <w:t>5</w:t>
            </w:r>
            <w:r>
              <w:rPr>
                <w:rFonts w:hint="eastAsia" w:asciiTheme="majorEastAsia" w:hAnsiTheme="majorEastAsia" w:eastAsiaTheme="majorEastAsia"/>
                <w:bCs/>
                <w:szCs w:val="21"/>
                <w:highlight w:val="none"/>
              </w:rPr>
              <w:t>年</w:t>
            </w:r>
            <w:r>
              <w:rPr>
                <w:rFonts w:hint="eastAsia" w:asciiTheme="majorEastAsia" w:hAnsiTheme="majorEastAsia" w:eastAsiaTheme="majorEastAsia"/>
                <w:bCs/>
                <w:szCs w:val="21"/>
                <w:highlight w:val="none"/>
                <w:lang w:val="en-US" w:eastAsia="zh-CN"/>
              </w:rPr>
              <w:t>01月23日10时00分</w:t>
            </w:r>
          </w:p>
          <w:p w14:paraId="0D2B7270">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地点：长春市高新区鸿达街248号吉林日报副楼4楼吉利招开标</w:t>
            </w:r>
            <w:r>
              <w:rPr>
                <w:rFonts w:hint="eastAsia" w:asciiTheme="majorEastAsia" w:hAnsiTheme="majorEastAsia" w:eastAsiaTheme="majorEastAsia"/>
                <w:szCs w:val="21"/>
                <w:highlight w:val="none"/>
                <w:lang w:val="en-US" w:eastAsia="zh-CN"/>
              </w:rPr>
              <w:t>三</w:t>
            </w:r>
            <w:r>
              <w:rPr>
                <w:rFonts w:hint="eastAsia" w:asciiTheme="majorEastAsia" w:hAnsiTheme="majorEastAsia" w:eastAsiaTheme="majorEastAsia"/>
                <w:szCs w:val="21"/>
                <w:highlight w:val="none"/>
              </w:rPr>
              <w:t>室</w:t>
            </w:r>
          </w:p>
        </w:tc>
      </w:tr>
      <w:tr w14:paraId="6FF5A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9BC6BA3">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23</w:t>
            </w:r>
          </w:p>
        </w:tc>
        <w:tc>
          <w:tcPr>
            <w:tcW w:w="2070" w:type="dxa"/>
            <w:tcBorders>
              <w:top w:val="single" w:color="auto" w:sz="4" w:space="0"/>
              <w:left w:val="single" w:color="auto" w:sz="4" w:space="0"/>
              <w:bottom w:val="single" w:color="auto" w:sz="4" w:space="0"/>
              <w:right w:val="single" w:color="auto" w:sz="4" w:space="0"/>
            </w:tcBorders>
            <w:noWrap/>
            <w:vAlign w:val="center"/>
          </w:tcPr>
          <w:p w14:paraId="20B79AAE">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评标方法及标准</w:t>
            </w:r>
          </w:p>
        </w:tc>
        <w:tc>
          <w:tcPr>
            <w:tcW w:w="6761" w:type="dxa"/>
            <w:tcBorders>
              <w:top w:val="single" w:color="auto" w:sz="4" w:space="0"/>
              <w:left w:val="single" w:color="auto" w:sz="4" w:space="0"/>
              <w:bottom w:val="single" w:color="auto" w:sz="4" w:space="0"/>
              <w:right w:val="single" w:color="auto" w:sz="4" w:space="0"/>
            </w:tcBorders>
            <w:noWrap/>
            <w:vAlign w:val="center"/>
          </w:tcPr>
          <w:p w14:paraId="4E630BF6">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bookmarkStart w:id="34" w:name="blank29"/>
            <w:r>
              <w:rPr>
                <w:rFonts w:hint="eastAsia" w:asciiTheme="majorEastAsia" w:hAnsiTheme="majorEastAsia" w:eastAsiaTheme="majorEastAsia"/>
                <w:kern w:val="0"/>
                <w:szCs w:val="21"/>
                <w:highlight w:val="none"/>
              </w:rPr>
              <w:t>综合评分法</w:t>
            </w:r>
            <w:bookmarkEnd w:id="34"/>
          </w:p>
        </w:tc>
      </w:tr>
      <w:tr w14:paraId="4B47B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14C607A">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24</w:t>
            </w:r>
          </w:p>
        </w:tc>
        <w:tc>
          <w:tcPr>
            <w:tcW w:w="2070" w:type="dxa"/>
            <w:tcBorders>
              <w:top w:val="single" w:color="auto" w:sz="4" w:space="0"/>
              <w:left w:val="single" w:color="auto" w:sz="4" w:space="0"/>
              <w:bottom w:val="single" w:color="auto" w:sz="4" w:space="0"/>
              <w:right w:val="single" w:color="auto" w:sz="4" w:space="0"/>
            </w:tcBorders>
            <w:noWrap/>
            <w:vAlign w:val="center"/>
          </w:tcPr>
          <w:p w14:paraId="51C879AC">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资格审查方式</w:t>
            </w:r>
          </w:p>
        </w:tc>
        <w:tc>
          <w:tcPr>
            <w:tcW w:w="6761" w:type="dxa"/>
            <w:tcBorders>
              <w:top w:val="single" w:color="auto" w:sz="4" w:space="0"/>
              <w:left w:val="single" w:color="auto" w:sz="4" w:space="0"/>
              <w:bottom w:val="single" w:color="auto" w:sz="4" w:space="0"/>
              <w:right w:val="single" w:color="auto" w:sz="4" w:space="0"/>
            </w:tcBorders>
            <w:noWrap/>
            <w:vAlign w:val="center"/>
          </w:tcPr>
          <w:p w14:paraId="65F266C6">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bookmarkStart w:id="35" w:name="blank24"/>
            <w:r>
              <w:rPr>
                <w:rFonts w:hint="eastAsia" w:asciiTheme="majorEastAsia" w:hAnsiTheme="majorEastAsia" w:eastAsiaTheme="majorEastAsia"/>
                <w:kern w:val="0"/>
                <w:szCs w:val="21"/>
                <w:highlight w:val="none"/>
              </w:rPr>
              <w:t>资格后审</w:t>
            </w:r>
            <w:bookmarkEnd w:id="35"/>
          </w:p>
        </w:tc>
      </w:tr>
      <w:tr w14:paraId="08351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F1CE91D">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25</w:t>
            </w:r>
          </w:p>
        </w:tc>
        <w:tc>
          <w:tcPr>
            <w:tcW w:w="2070" w:type="dxa"/>
            <w:tcBorders>
              <w:top w:val="single" w:color="auto" w:sz="4" w:space="0"/>
              <w:left w:val="single" w:color="auto" w:sz="4" w:space="0"/>
              <w:bottom w:val="single" w:color="auto" w:sz="4" w:space="0"/>
              <w:right w:val="single" w:color="auto" w:sz="4" w:space="0"/>
            </w:tcBorders>
            <w:noWrap/>
            <w:vAlign w:val="center"/>
          </w:tcPr>
          <w:p w14:paraId="7CAD9973">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评标委员会的组建</w:t>
            </w:r>
          </w:p>
        </w:tc>
        <w:tc>
          <w:tcPr>
            <w:tcW w:w="6761" w:type="dxa"/>
            <w:tcBorders>
              <w:top w:val="single" w:color="auto" w:sz="4" w:space="0"/>
              <w:left w:val="single" w:color="auto" w:sz="4" w:space="0"/>
              <w:bottom w:val="single" w:color="auto" w:sz="4" w:space="0"/>
              <w:right w:val="single" w:color="auto" w:sz="4" w:space="0"/>
            </w:tcBorders>
            <w:noWrap/>
            <w:vAlign w:val="center"/>
          </w:tcPr>
          <w:p w14:paraId="0BAFB34F">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评标委员会构成：</w:t>
            </w:r>
            <w:bookmarkStart w:id="36" w:name="blank30"/>
            <w:r>
              <w:rPr>
                <w:rFonts w:hint="eastAsia" w:asciiTheme="majorEastAsia" w:hAnsiTheme="majorEastAsia" w:eastAsiaTheme="majorEastAsia"/>
                <w:kern w:val="0"/>
                <w:szCs w:val="21"/>
                <w:highlight w:val="none"/>
              </w:rPr>
              <w:t>5</w:t>
            </w:r>
            <w:bookmarkEnd w:id="36"/>
            <w:r>
              <w:rPr>
                <w:rFonts w:hint="eastAsia" w:asciiTheme="majorEastAsia" w:hAnsiTheme="majorEastAsia" w:eastAsiaTheme="majorEastAsia"/>
                <w:szCs w:val="21"/>
                <w:highlight w:val="none"/>
              </w:rPr>
              <w:t>人，评标委员会专家确定方式：</w:t>
            </w:r>
            <w:r>
              <w:rPr>
                <w:rFonts w:hint="eastAsia" w:asciiTheme="majorEastAsia" w:hAnsiTheme="majorEastAsia" w:eastAsiaTheme="majorEastAsia"/>
                <w:bCs/>
                <w:szCs w:val="21"/>
                <w:highlight w:val="none"/>
              </w:rPr>
              <w:t>从政府采购评审专家库中随机抽取产生。</w:t>
            </w:r>
          </w:p>
        </w:tc>
      </w:tr>
      <w:tr w14:paraId="102DE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0F858E0">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26</w:t>
            </w:r>
          </w:p>
        </w:tc>
        <w:tc>
          <w:tcPr>
            <w:tcW w:w="2070" w:type="dxa"/>
            <w:tcBorders>
              <w:top w:val="single" w:color="auto" w:sz="4" w:space="0"/>
              <w:left w:val="single" w:color="auto" w:sz="4" w:space="0"/>
              <w:bottom w:val="single" w:color="auto" w:sz="4" w:space="0"/>
              <w:right w:val="single" w:color="auto" w:sz="4" w:space="0"/>
            </w:tcBorders>
            <w:noWrap/>
            <w:vAlign w:val="center"/>
          </w:tcPr>
          <w:p w14:paraId="55FACECE">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是否授权评标委员会确定中标人</w:t>
            </w:r>
          </w:p>
        </w:tc>
        <w:tc>
          <w:tcPr>
            <w:tcW w:w="6761" w:type="dxa"/>
            <w:tcBorders>
              <w:top w:val="single" w:color="auto" w:sz="4" w:space="0"/>
              <w:left w:val="single" w:color="auto" w:sz="4" w:space="0"/>
              <w:bottom w:val="single" w:color="auto" w:sz="4" w:space="0"/>
              <w:right w:val="single" w:color="auto" w:sz="4" w:space="0"/>
            </w:tcBorders>
            <w:noWrap/>
            <w:vAlign w:val="center"/>
          </w:tcPr>
          <w:p w14:paraId="3AC089E6">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否，由</w:t>
            </w:r>
            <w:r>
              <w:rPr>
                <w:rFonts w:hint="eastAsia" w:asciiTheme="majorEastAsia" w:hAnsiTheme="majorEastAsia" w:eastAsiaTheme="majorEastAsia"/>
                <w:szCs w:val="21"/>
                <w:highlight w:val="none"/>
              </w:rPr>
              <w:t>评标委员会</w:t>
            </w:r>
            <w:r>
              <w:rPr>
                <w:rFonts w:hint="eastAsia" w:asciiTheme="majorEastAsia" w:hAnsiTheme="majorEastAsia" w:eastAsiaTheme="majorEastAsia"/>
                <w:szCs w:val="21"/>
                <w:highlight w:val="none"/>
                <w:lang w:val="en-US" w:eastAsia="zh-CN"/>
              </w:rPr>
              <w:t>推荐一名中标候选人</w:t>
            </w:r>
            <w:r>
              <w:rPr>
                <w:rFonts w:hint="eastAsia" w:asciiTheme="majorEastAsia" w:hAnsiTheme="majorEastAsia" w:eastAsiaTheme="majorEastAsia"/>
                <w:szCs w:val="21"/>
                <w:highlight w:val="none"/>
              </w:rPr>
              <w:t>。</w:t>
            </w:r>
          </w:p>
        </w:tc>
      </w:tr>
      <w:tr w14:paraId="2C1B2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5A1A84F">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27</w:t>
            </w:r>
          </w:p>
        </w:tc>
        <w:tc>
          <w:tcPr>
            <w:tcW w:w="2070" w:type="dxa"/>
            <w:tcBorders>
              <w:top w:val="single" w:color="auto" w:sz="4" w:space="0"/>
              <w:left w:val="single" w:color="auto" w:sz="4" w:space="0"/>
              <w:bottom w:val="single" w:color="auto" w:sz="4" w:space="0"/>
              <w:right w:val="single" w:color="auto" w:sz="4" w:space="0"/>
            </w:tcBorders>
            <w:noWrap/>
            <w:vAlign w:val="center"/>
          </w:tcPr>
          <w:p w14:paraId="668C1231">
            <w:pPr>
              <w:keepNext w:val="0"/>
              <w:keepLines w:val="0"/>
              <w:pageBreakBefore w:val="0"/>
              <w:kinsoku/>
              <w:wordWrap/>
              <w:overflowPunct/>
              <w:topLinePunct w:val="0"/>
              <w:autoSpaceDN w:val="0"/>
              <w:bidi w:val="0"/>
              <w:adjustRightInd w:val="0"/>
              <w:snapToGrid w:val="0"/>
              <w:spacing w:line="500" w:lineRule="exact"/>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rPr>
              <w:t>履约</w:t>
            </w:r>
            <w:r>
              <w:rPr>
                <w:rFonts w:hint="eastAsia" w:asciiTheme="majorEastAsia" w:hAnsiTheme="majorEastAsia" w:eastAsiaTheme="majorEastAsia"/>
                <w:szCs w:val="21"/>
                <w:highlight w:val="none"/>
                <w:lang w:val="en-US" w:eastAsia="zh-CN"/>
              </w:rPr>
              <w:t>保证金</w:t>
            </w:r>
          </w:p>
        </w:tc>
        <w:tc>
          <w:tcPr>
            <w:tcW w:w="6761" w:type="dxa"/>
            <w:tcBorders>
              <w:top w:val="single" w:color="auto" w:sz="4" w:space="0"/>
              <w:left w:val="single" w:color="auto" w:sz="4" w:space="0"/>
              <w:bottom w:val="single" w:color="auto" w:sz="4" w:space="0"/>
              <w:right w:val="single" w:color="auto" w:sz="4" w:space="0"/>
            </w:tcBorders>
            <w:noWrap/>
            <w:vAlign w:val="center"/>
          </w:tcPr>
          <w:p w14:paraId="0EC022A3">
            <w:pPr>
              <w:keepNext w:val="0"/>
              <w:keepLines w:val="0"/>
              <w:pageBreakBefore w:val="0"/>
              <w:kinsoku/>
              <w:wordWrap/>
              <w:overflowPunct/>
              <w:topLinePunct w:val="0"/>
              <w:autoSpaceDN w:val="0"/>
              <w:bidi w:val="0"/>
              <w:adjustRightInd w:val="0"/>
              <w:snapToGrid w:val="0"/>
              <w:spacing w:line="500" w:lineRule="exact"/>
              <w:textAlignment w:val="auto"/>
              <w:rPr>
                <w:rFonts w:hint="default" w:asciiTheme="majorEastAsia" w:hAnsiTheme="majorEastAsia" w:eastAsiaTheme="majorEastAsia"/>
                <w:bCs/>
                <w:szCs w:val="21"/>
                <w:highlight w:val="none"/>
                <w:lang w:val="en-US" w:eastAsia="zh-CN"/>
              </w:rPr>
            </w:pPr>
            <w:r>
              <w:rPr>
                <w:rFonts w:hint="eastAsia" w:asciiTheme="majorEastAsia" w:hAnsiTheme="majorEastAsia" w:eastAsiaTheme="majorEastAsia"/>
                <w:bCs/>
                <w:szCs w:val="21"/>
                <w:highlight w:val="none"/>
                <w:lang w:val="en-US" w:eastAsia="zh-CN"/>
              </w:rPr>
              <w:t>不收取</w:t>
            </w:r>
          </w:p>
        </w:tc>
      </w:tr>
      <w:tr w14:paraId="22ADA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CAD9B24">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28</w:t>
            </w:r>
          </w:p>
        </w:tc>
        <w:tc>
          <w:tcPr>
            <w:tcW w:w="2070" w:type="dxa"/>
            <w:tcBorders>
              <w:top w:val="single" w:color="auto" w:sz="4" w:space="0"/>
              <w:left w:val="single" w:color="auto" w:sz="4" w:space="0"/>
              <w:bottom w:val="single" w:color="auto" w:sz="4" w:space="0"/>
              <w:right w:val="single" w:color="auto" w:sz="4" w:space="0"/>
            </w:tcBorders>
            <w:noWrap/>
            <w:vAlign w:val="center"/>
          </w:tcPr>
          <w:p w14:paraId="07E929BA">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付款方式</w:t>
            </w:r>
          </w:p>
        </w:tc>
        <w:tc>
          <w:tcPr>
            <w:tcW w:w="6761" w:type="dxa"/>
            <w:tcBorders>
              <w:top w:val="single" w:color="auto" w:sz="4" w:space="0"/>
              <w:left w:val="single" w:color="auto" w:sz="4" w:space="0"/>
              <w:bottom w:val="single" w:color="auto" w:sz="4" w:space="0"/>
              <w:right w:val="single" w:color="auto" w:sz="4" w:space="0"/>
            </w:tcBorders>
            <w:noWrap/>
            <w:vAlign w:val="center"/>
          </w:tcPr>
          <w:p w14:paraId="0BF6BCBB">
            <w:pPr>
              <w:keepNext w:val="0"/>
              <w:keepLines w:val="0"/>
              <w:pageBreakBefore w:val="0"/>
              <w:kinsoku/>
              <w:wordWrap/>
              <w:overflowPunct/>
              <w:topLinePunct w:val="0"/>
              <w:autoSpaceDN w:val="0"/>
              <w:bidi w:val="0"/>
              <w:adjustRightInd w:val="0"/>
              <w:snapToGrid w:val="0"/>
              <w:spacing w:line="500" w:lineRule="exact"/>
              <w:textAlignment w:val="auto"/>
              <w:rPr>
                <w:rFonts w:hint="eastAsia" w:asciiTheme="majorEastAsia" w:hAnsiTheme="majorEastAsia" w:eastAsiaTheme="majorEastAsia"/>
                <w:szCs w:val="21"/>
                <w:highlight w:val="none"/>
                <w:lang w:eastAsia="zh-CN"/>
              </w:rPr>
            </w:pPr>
            <w:r>
              <w:rPr>
                <w:rFonts w:hint="eastAsia" w:cs="宋体" w:asciiTheme="majorEastAsia" w:hAnsiTheme="majorEastAsia" w:eastAsiaTheme="majorEastAsia"/>
                <w:bCs/>
                <w:kern w:val="15"/>
                <w:szCs w:val="21"/>
                <w:highlight w:val="none"/>
                <w:lang w:eastAsia="zh-CN"/>
              </w:rPr>
              <w:t>以签订合同为准</w:t>
            </w:r>
          </w:p>
        </w:tc>
      </w:tr>
      <w:tr w14:paraId="79A2A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49F09F9">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30</w:t>
            </w:r>
          </w:p>
        </w:tc>
        <w:tc>
          <w:tcPr>
            <w:tcW w:w="2070" w:type="dxa"/>
            <w:tcBorders>
              <w:top w:val="single" w:color="auto" w:sz="4" w:space="0"/>
              <w:left w:val="single" w:color="auto" w:sz="4" w:space="0"/>
              <w:bottom w:val="single" w:color="auto" w:sz="4" w:space="0"/>
              <w:right w:val="single" w:color="auto" w:sz="4" w:space="0"/>
            </w:tcBorders>
            <w:noWrap/>
            <w:vAlign w:val="center"/>
          </w:tcPr>
          <w:p w14:paraId="382F1483">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签订合同</w:t>
            </w:r>
          </w:p>
        </w:tc>
        <w:tc>
          <w:tcPr>
            <w:tcW w:w="6761" w:type="dxa"/>
            <w:tcBorders>
              <w:top w:val="single" w:color="auto" w:sz="4" w:space="0"/>
              <w:left w:val="single" w:color="auto" w:sz="4" w:space="0"/>
              <w:bottom w:val="single" w:color="auto" w:sz="4" w:space="0"/>
              <w:right w:val="single" w:color="auto" w:sz="4" w:space="0"/>
            </w:tcBorders>
            <w:noWrap/>
            <w:vAlign w:val="center"/>
          </w:tcPr>
          <w:p w14:paraId="1B799BB7">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中标人应在领取</w:t>
            </w:r>
            <w:r>
              <w:rPr>
                <w:rFonts w:asciiTheme="majorEastAsia" w:hAnsiTheme="majorEastAsia" w:eastAsiaTheme="majorEastAsia"/>
                <w:szCs w:val="21"/>
                <w:highlight w:val="none"/>
              </w:rPr>
              <w:t>中标通知书</w:t>
            </w:r>
            <w:r>
              <w:rPr>
                <w:rFonts w:hint="eastAsia" w:asciiTheme="majorEastAsia" w:hAnsiTheme="majorEastAsia" w:eastAsiaTheme="majorEastAsia"/>
                <w:szCs w:val="21"/>
                <w:highlight w:val="none"/>
              </w:rPr>
              <w:t>后</w:t>
            </w:r>
            <w:r>
              <w:rPr>
                <w:rFonts w:hint="eastAsia" w:asciiTheme="majorEastAsia" w:hAnsiTheme="majorEastAsia" w:eastAsiaTheme="majorEastAsia"/>
                <w:szCs w:val="21"/>
                <w:highlight w:val="none"/>
                <w:u w:val="single"/>
              </w:rPr>
              <w:t xml:space="preserve">  30  </w:t>
            </w:r>
            <w:r>
              <w:rPr>
                <w:rFonts w:hint="eastAsia" w:asciiTheme="majorEastAsia" w:hAnsiTheme="majorEastAsia" w:eastAsiaTheme="majorEastAsia"/>
                <w:szCs w:val="21"/>
                <w:highlight w:val="none"/>
              </w:rPr>
              <w:t>天内签订采购合同。</w:t>
            </w:r>
          </w:p>
        </w:tc>
      </w:tr>
      <w:tr w14:paraId="6FBE4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56FB0FA">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31</w:t>
            </w:r>
          </w:p>
        </w:tc>
        <w:tc>
          <w:tcPr>
            <w:tcW w:w="2070" w:type="dxa"/>
            <w:tcBorders>
              <w:top w:val="single" w:color="auto" w:sz="4" w:space="0"/>
              <w:left w:val="single" w:color="auto" w:sz="4" w:space="0"/>
              <w:bottom w:val="single" w:color="auto" w:sz="4" w:space="0"/>
              <w:right w:val="single" w:color="auto" w:sz="4" w:space="0"/>
            </w:tcBorders>
            <w:noWrap/>
            <w:vAlign w:val="center"/>
          </w:tcPr>
          <w:p w14:paraId="5E1AC623">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招标代理服务费</w:t>
            </w:r>
          </w:p>
        </w:tc>
        <w:tc>
          <w:tcPr>
            <w:tcW w:w="6761" w:type="dxa"/>
            <w:tcBorders>
              <w:top w:val="single" w:color="auto" w:sz="4" w:space="0"/>
              <w:left w:val="single" w:color="auto" w:sz="4" w:space="0"/>
              <w:bottom w:val="single" w:color="auto" w:sz="4" w:space="0"/>
              <w:right w:val="single" w:color="auto" w:sz="4" w:space="0"/>
            </w:tcBorders>
            <w:noWrap/>
            <w:vAlign w:val="center"/>
          </w:tcPr>
          <w:p w14:paraId="48ECEC75">
            <w:pPr>
              <w:keepNext w:val="0"/>
              <w:keepLines w:val="0"/>
              <w:pageBreakBefore w:val="0"/>
              <w:kinsoku/>
              <w:wordWrap/>
              <w:overflowPunct/>
              <w:topLinePunct w:val="0"/>
              <w:autoSpaceDN w:val="0"/>
              <w:bidi w:val="0"/>
              <w:adjustRightInd w:val="0"/>
              <w:snapToGrid w:val="0"/>
              <w:spacing w:line="500" w:lineRule="exact"/>
              <w:textAlignment w:val="auto"/>
              <w:rPr>
                <w:rFonts w:cs="宋体" w:asciiTheme="majorEastAsia" w:hAnsiTheme="majorEastAsia" w:eastAsiaTheme="majorEastAsia"/>
                <w:kern w:val="15"/>
                <w:szCs w:val="21"/>
                <w:highlight w:val="none"/>
              </w:rPr>
            </w:pPr>
            <w:r>
              <w:rPr>
                <w:rFonts w:hint="eastAsia" w:cs="宋体" w:asciiTheme="majorEastAsia" w:hAnsiTheme="majorEastAsia" w:eastAsiaTheme="majorEastAsia"/>
                <w:bCs/>
                <w:kern w:val="15"/>
                <w:szCs w:val="21"/>
                <w:highlight w:val="none"/>
              </w:rPr>
              <w:t>按照国家发展改革委关于进一步放开建设项目专业服务价格的通知（发改价格[2015]299号）文件执行，由</w:t>
            </w:r>
            <w:r>
              <w:rPr>
                <w:rFonts w:hint="eastAsia" w:cs="宋体" w:asciiTheme="majorEastAsia" w:hAnsiTheme="majorEastAsia" w:eastAsiaTheme="majorEastAsia"/>
                <w:bCs/>
                <w:kern w:val="15"/>
                <w:szCs w:val="21"/>
                <w:highlight w:val="none"/>
                <w:lang w:eastAsia="zh-CN"/>
              </w:rPr>
              <w:t>采购代理机构</w:t>
            </w:r>
            <w:r>
              <w:rPr>
                <w:rFonts w:hint="eastAsia" w:cs="宋体" w:asciiTheme="majorEastAsia" w:hAnsiTheme="majorEastAsia" w:eastAsiaTheme="majorEastAsia"/>
                <w:bCs/>
                <w:kern w:val="15"/>
                <w:szCs w:val="21"/>
                <w:highlight w:val="none"/>
              </w:rPr>
              <w:t>向中标人收取，</w:t>
            </w:r>
            <w:r>
              <w:rPr>
                <w:rFonts w:hint="eastAsia" w:cs="宋体" w:asciiTheme="majorEastAsia" w:hAnsiTheme="majorEastAsia" w:eastAsiaTheme="majorEastAsia"/>
                <w:bCs/>
                <w:kern w:val="15"/>
                <w:szCs w:val="21"/>
                <w:highlight w:val="none"/>
                <w:lang w:val="en-US" w:eastAsia="zh-CN"/>
              </w:rPr>
              <w:t>代理</w:t>
            </w:r>
            <w:r>
              <w:rPr>
                <w:rFonts w:hint="eastAsia" w:cs="宋体" w:asciiTheme="majorEastAsia" w:hAnsiTheme="majorEastAsia" w:eastAsiaTheme="majorEastAsia"/>
                <w:bCs/>
                <w:kern w:val="15"/>
                <w:szCs w:val="21"/>
                <w:highlight w:val="none"/>
              </w:rPr>
              <w:t>服务费金额</w:t>
            </w:r>
            <w:r>
              <w:rPr>
                <w:rFonts w:hint="eastAsia" w:cs="宋体" w:asciiTheme="majorEastAsia" w:hAnsiTheme="majorEastAsia" w:eastAsiaTheme="majorEastAsia"/>
                <w:bCs/>
                <w:kern w:val="15"/>
                <w:szCs w:val="21"/>
                <w:highlight w:val="none"/>
                <w:lang w:val="en-US" w:eastAsia="zh-CN"/>
              </w:rPr>
              <w:t>按中标金额2%收取</w:t>
            </w:r>
            <w:r>
              <w:rPr>
                <w:rFonts w:hint="eastAsia" w:cs="宋体" w:asciiTheme="majorEastAsia" w:hAnsiTheme="majorEastAsia" w:eastAsiaTheme="majorEastAsia"/>
                <w:bCs/>
                <w:kern w:val="15"/>
                <w:szCs w:val="21"/>
                <w:highlight w:val="none"/>
              </w:rPr>
              <w:t>。</w:t>
            </w:r>
          </w:p>
        </w:tc>
      </w:tr>
      <w:tr w14:paraId="1C0D9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34D95EC">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eastAsia="宋体" w:asciiTheme="majorEastAsia" w:hAnsiTheme="majorEastAsia"/>
                <w:szCs w:val="21"/>
                <w:highlight w:val="none"/>
                <w:lang w:val="en-US" w:eastAsia="zh-CN"/>
              </w:rPr>
            </w:pPr>
            <w:r>
              <w:rPr>
                <w:rFonts w:hint="eastAsia" w:asciiTheme="majorEastAsia" w:hAnsiTheme="majorEastAsia"/>
                <w:szCs w:val="21"/>
                <w:highlight w:val="none"/>
                <w:lang w:val="en-US" w:eastAsia="zh-CN"/>
              </w:rPr>
              <w:t>32</w:t>
            </w:r>
          </w:p>
        </w:tc>
        <w:tc>
          <w:tcPr>
            <w:tcW w:w="2070" w:type="dxa"/>
            <w:tcBorders>
              <w:top w:val="single" w:color="auto" w:sz="4" w:space="0"/>
              <w:left w:val="single" w:color="auto" w:sz="4" w:space="0"/>
              <w:bottom w:val="single" w:color="auto" w:sz="4" w:space="0"/>
              <w:right w:val="single" w:color="auto" w:sz="4" w:space="0"/>
            </w:tcBorders>
            <w:noWrap/>
            <w:vAlign w:val="center"/>
          </w:tcPr>
          <w:p w14:paraId="297E61A9">
            <w:pPr>
              <w:keepNext w:val="0"/>
              <w:keepLines w:val="0"/>
              <w:pageBreakBefore w:val="0"/>
              <w:kinsoku/>
              <w:wordWrap/>
              <w:overflowPunct/>
              <w:topLinePunct w:val="0"/>
              <w:autoSpaceDN w:val="0"/>
              <w:bidi w:val="0"/>
              <w:adjustRightInd w:val="0"/>
              <w:snapToGrid w:val="0"/>
              <w:spacing w:line="500" w:lineRule="exact"/>
              <w:jc w:val="center"/>
              <w:textAlignment w:val="auto"/>
              <w:rPr>
                <w:rFonts w:hint="eastAsia" w:asciiTheme="majorEastAsia" w:hAnsiTheme="majorEastAsia" w:eastAsiaTheme="majorEastAsia"/>
                <w:bCs/>
                <w:kern w:val="15"/>
                <w:szCs w:val="21"/>
                <w:highlight w:val="none"/>
                <w:lang w:eastAsia="zh-CN"/>
              </w:rPr>
            </w:pPr>
            <w:r>
              <w:rPr>
                <w:rFonts w:hint="eastAsia" w:asciiTheme="majorEastAsia" w:hAnsiTheme="majorEastAsia" w:eastAsiaTheme="majorEastAsia"/>
                <w:bCs/>
                <w:kern w:val="15"/>
                <w:szCs w:val="21"/>
                <w:highlight w:val="none"/>
                <w:lang w:eastAsia="zh-CN"/>
              </w:rPr>
              <w:t>投标人</w:t>
            </w:r>
          </w:p>
          <w:p w14:paraId="0662983B">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信用信息查询</w:t>
            </w:r>
          </w:p>
          <w:p w14:paraId="7C08EEE3">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bCs/>
                <w:kern w:val="15"/>
                <w:szCs w:val="21"/>
                <w:highlight w:val="none"/>
              </w:rPr>
            </w:pPr>
          </w:p>
        </w:tc>
        <w:tc>
          <w:tcPr>
            <w:tcW w:w="6761" w:type="dxa"/>
            <w:tcBorders>
              <w:top w:val="single" w:color="auto" w:sz="4" w:space="0"/>
              <w:left w:val="single" w:color="auto" w:sz="4" w:space="0"/>
              <w:bottom w:val="single" w:color="auto" w:sz="4" w:space="0"/>
              <w:right w:val="single" w:color="auto" w:sz="4" w:space="0"/>
            </w:tcBorders>
            <w:noWrap/>
            <w:vAlign w:val="center"/>
          </w:tcPr>
          <w:p w14:paraId="59CD24DA">
            <w:pPr>
              <w:keepNext w:val="0"/>
              <w:keepLines w:val="0"/>
              <w:pageBreakBefore w:val="0"/>
              <w:kinsoku/>
              <w:wordWrap/>
              <w:overflowPunct/>
              <w:topLinePunct w:val="0"/>
              <w:autoSpaceDN w:val="0"/>
              <w:bidi w:val="0"/>
              <w:adjustRightInd w:val="0"/>
              <w:snapToGrid w:val="0"/>
              <w:spacing w:line="500" w:lineRule="exact"/>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查询渠道：</w:t>
            </w:r>
          </w:p>
          <w:p w14:paraId="1A5D16E1">
            <w:pPr>
              <w:keepNext w:val="0"/>
              <w:keepLines w:val="0"/>
              <w:pageBreakBefore w:val="0"/>
              <w:kinsoku/>
              <w:wordWrap/>
              <w:overflowPunct/>
              <w:topLinePunct w:val="0"/>
              <w:autoSpaceDN w:val="0"/>
              <w:bidi w:val="0"/>
              <w:adjustRightInd w:val="0"/>
              <w:snapToGrid w:val="0"/>
              <w:spacing w:line="500" w:lineRule="exact"/>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①“信用中国”网站（www.creditchina.gov.cn）：失信被执行人、重大税收违法案件当事人名单 。</w:t>
            </w:r>
          </w:p>
          <w:p w14:paraId="7E60FD77">
            <w:pPr>
              <w:keepNext w:val="0"/>
              <w:keepLines w:val="0"/>
              <w:pageBreakBefore w:val="0"/>
              <w:kinsoku/>
              <w:wordWrap/>
              <w:overflowPunct/>
              <w:topLinePunct w:val="0"/>
              <w:autoSpaceDN w:val="0"/>
              <w:bidi w:val="0"/>
              <w:adjustRightInd w:val="0"/>
              <w:snapToGrid w:val="0"/>
              <w:spacing w:line="500" w:lineRule="exact"/>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②中国政府采购网(www.ccgp.gov.cn)：政府采购严重违法失信行为信息记录。</w:t>
            </w:r>
          </w:p>
          <w:p w14:paraId="3ABE4D7A">
            <w:pPr>
              <w:keepNext w:val="0"/>
              <w:keepLines w:val="0"/>
              <w:pageBreakBefore w:val="0"/>
              <w:kinsoku/>
              <w:wordWrap/>
              <w:overflowPunct/>
              <w:topLinePunct w:val="0"/>
              <w:autoSpaceDN w:val="0"/>
              <w:bidi w:val="0"/>
              <w:adjustRightInd w:val="0"/>
              <w:snapToGrid w:val="0"/>
              <w:spacing w:line="500" w:lineRule="exact"/>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查询截止时点：同投标截止时间</w:t>
            </w:r>
          </w:p>
          <w:p w14:paraId="2AEF6F0F">
            <w:pPr>
              <w:keepNext w:val="0"/>
              <w:keepLines w:val="0"/>
              <w:pageBreakBefore w:val="0"/>
              <w:kinsoku/>
              <w:wordWrap/>
              <w:overflowPunct/>
              <w:topLinePunct w:val="0"/>
              <w:autoSpaceDN w:val="0"/>
              <w:bidi w:val="0"/>
              <w:adjustRightInd w:val="0"/>
              <w:snapToGrid w:val="0"/>
              <w:spacing w:line="500" w:lineRule="exact"/>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信用信息查询记录和证据留存的具体方式：</w:t>
            </w:r>
          </w:p>
          <w:p w14:paraId="335AA209">
            <w:pPr>
              <w:keepNext w:val="0"/>
              <w:keepLines w:val="0"/>
              <w:pageBreakBefore w:val="0"/>
              <w:kinsoku/>
              <w:wordWrap/>
              <w:overflowPunct/>
              <w:topLinePunct w:val="0"/>
              <w:autoSpaceDN w:val="0"/>
              <w:bidi w:val="0"/>
              <w:adjustRightInd w:val="0"/>
              <w:snapToGrid w:val="0"/>
              <w:spacing w:line="500" w:lineRule="exact"/>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采购人或采购代理机构将按查询截止时点对所有</w:t>
            </w:r>
            <w:r>
              <w:rPr>
                <w:rFonts w:hint="eastAsia" w:cs="宋体" w:asciiTheme="majorEastAsia" w:hAnsiTheme="majorEastAsia" w:eastAsiaTheme="majorEastAsia"/>
                <w:bCs/>
                <w:szCs w:val="21"/>
                <w:highlight w:val="none"/>
                <w:lang w:eastAsia="zh-CN"/>
              </w:rPr>
              <w:t>投标人</w:t>
            </w:r>
            <w:r>
              <w:rPr>
                <w:rFonts w:hint="eastAsia" w:cs="宋体" w:asciiTheme="majorEastAsia" w:hAnsiTheme="majorEastAsia" w:eastAsiaTheme="majorEastAsia"/>
                <w:bCs/>
                <w:szCs w:val="21"/>
                <w:highlight w:val="none"/>
              </w:rPr>
              <w:t>的信用信息进行查询，查询记录将作为评委评标的依据，对列入失信被执行人、重大税收违法案件当事人名单、政府采购严重违法失信行为记录名单的</w:t>
            </w:r>
            <w:r>
              <w:rPr>
                <w:rFonts w:hint="eastAsia" w:cs="宋体" w:asciiTheme="majorEastAsia" w:hAnsiTheme="majorEastAsia" w:eastAsiaTheme="majorEastAsia"/>
                <w:bCs/>
                <w:szCs w:val="21"/>
                <w:highlight w:val="none"/>
                <w:lang w:eastAsia="zh-CN"/>
              </w:rPr>
              <w:t>投标人</w:t>
            </w:r>
            <w:r>
              <w:rPr>
                <w:rFonts w:hint="eastAsia" w:cs="宋体" w:asciiTheme="majorEastAsia" w:hAnsiTheme="majorEastAsia" w:eastAsiaTheme="majorEastAsia"/>
                <w:bCs/>
                <w:szCs w:val="21"/>
                <w:highlight w:val="none"/>
              </w:rPr>
              <w:t>，投标文件作无效处理。</w:t>
            </w:r>
          </w:p>
        </w:tc>
      </w:tr>
      <w:tr w14:paraId="4E217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937E98F">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33</w:t>
            </w:r>
          </w:p>
        </w:tc>
        <w:tc>
          <w:tcPr>
            <w:tcW w:w="2070" w:type="dxa"/>
            <w:tcBorders>
              <w:top w:val="single" w:color="auto" w:sz="4" w:space="0"/>
              <w:left w:val="single" w:color="auto" w:sz="4" w:space="0"/>
              <w:bottom w:val="single" w:color="auto" w:sz="4" w:space="0"/>
              <w:right w:val="single" w:color="auto" w:sz="4" w:space="0"/>
            </w:tcBorders>
            <w:noWrap/>
            <w:vAlign w:val="center"/>
          </w:tcPr>
          <w:p w14:paraId="06D6B912">
            <w:pPr>
              <w:keepNext w:val="0"/>
              <w:keepLines w:val="0"/>
              <w:pageBreakBefore w:val="0"/>
              <w:kinsoku/>
              <w:wordWrap/>
              <w:overflowPunct/>
              <w:topLinePunct w:val="0"/>
              <w:autoSpaceDN w:val="0"/>
              <w:bidi w:val="0"/>
              <w:adjustRightInd w:val="0"/>
              <w:snapToGrid w:val="0"/>
              <w:spacing w:line="500" w:lineRule="exact"/>
              <w:jc w:val="center"/>
              <w:textAlignment w:val="auto"/>
              <w:rPr>
                <w:rFonts w:hint="eastAsia"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重新招标的</w:t>
            </w:r>
          </w:p>
          <w:p w14:paraId="6D26493D">
            <w:pPr>
              <w:keepNext w:val="0"/>
              <w:keepLines w:val="0"/>
              <w:pageBreakBefore w:val="0"/>
              <w:kinsoku/>
              <w:wordWrap/>
              <w:overflowPunct/>
              <w:topLinePunct w:val="0"/>
              <w:autoSpaceDN w:val="0"/>
              <w:bidi w:val="0"/>
              <w:adjustRightInd w:val="0"/>
              <w:snapToGrid w:val="0"/>
              <w:spacing w:line="500" w:lineRule="exact"/>
              <w:jc w:val="center"/>
              <w:textAlignment w:val="auto"/>
              <w:rPr>
                <w:rFonts w:asciiTheme="majorEastAsia" w:hAnsiTheme="majorEastAsia" w:eastAsiaTheme="majorEastAsia"/>
                <w:bCs/>
                <w:szCs w:val="21"/>
                <w:highlight w:val="none"/>
              </w:rPr>
            </w:pPr>
            <w:r>
              <w:rPr>
                <w:rFonts w:hint="eastAsia" w:asciiTheme="majorEastAsia" w:hAnsiTheme="majorEastAsia" w:eastAsiaTheme="majorEastAsia"/>
                <w:bCs/>
                <w:kern w:val="15"/>
                <w:szCs w:val="21"/>
                <w:highlight w:val="none"/>
              </w:rPr>
              <w:t>其他情形</w:t>
            </w:r>
          </w:p>
        </w:tc>
        <w:tc>
          <w:tcPr>
            <w:tcW w:w="6761" w:type="dxa"/>
            <w:tcBorders>
              <w:top w:val="single" w:color="auto" w:sz="4" w:space="0"/>
              <w:left w:val="single" w:color="auto" w:sz="4" w:space="0"/>
              <w:bottom w:val="single" w:color="auto" w:sz="4" w:space="0"/>
              <w:right w:val="single" w:color="auto" w:sz="4" w:space="0"/>
            </w:tcBorders>
            <w:noWrap/>
            <w:vAlign w:val="center"/>
          </w:tcPr>
          <w:p w14:paraId="2055BB35">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bCs/>
                <w:szCs w:val="21"/>
                <w:highlight w:val="none"/>
              </w:rPr>
            </w:pPr>
            <w:r>
              <w:rPr>
                <w:rFonts w:hint="eastAsia" w:asciiTheme="majorEastAsia" w:hAnsiTheme="majorEastAsia" w:eastAsiaTheme="majorEastAsia"/>
                <w:bCs/>
                <w:kern w:val="15"/>
                <w:szCs w:val="21"/>
                <w:highlight w:val="none"/>
              </w:rPr>
              <w:t>除</w:t>
            </w:r>
            <w:r>
              <w:rPr>
                <w:rFonts w:hint="eastAsia" w:asciiTheme="majorEastAsia" w:hAnsiTheme="majorEastAsia" w:eastAsiaTheme="majorEastAsia"/>
                <w:bCs/>
                <w:kern w:val="15"/>
                <w:szCs w:val="21"/>
                <w:highlight w:val="none"/>
                <w:lang w:eastAsia="zh-CN"/>
              </w:rPr>
              <w:t>投标人</w:t>
            </w:r>
            <w:r>
              <w:rPr>
                <w:rFonts w:hint="eastAsia" w:asciiTheme="majorEastAsia" w:hAnsiTheme="majorEastAsia" w:eastAsiaTheme="majorEastAsia"/>
                <w:bCs/>
                <w:kern w:val="15"/>
                <w:szCs w:val="21"/>
                <w:highlight w:val="none"/>
              </w:rPr>
              <w:t>须知正文第8条规定的情形外，除非已经产生中标候选人，在投标有效期内同意延长投标有效期的</w:t>
            </w:r>
            <w:r>
              <w:rPr>
                <w:rFonts w:hint="eastAsia" w:asciiTheme="majorEastAsia" w:hAnsiTheme="majorEastAsia" w:eastAsiaTheme="majorEastAsia"/>
                <w:bCs/>
                <w:kern w:val="15"/>
                <w:szCs w:val="21"/>
                <w:highlight w:val="none"/>
                <w:lang w:eastAsia="zh-CN"/>
              </w:rPr>
              <w:t>投标人</w:t>
            </w:r>
            <w:r>
              <w:rPr>
                <w:rFonts w:hint="eastAsia" w:asciiTheme="majorEastAsia" w:hAnsiTheme="majorEastAsia" w:eastAsiaTheme="majorEastAsia"/>
                <w:bCs/>
                <w:kern w:val="15"/>
                <w:szCs w:val="21"/>
                <w:highlight w:val="none"/>
              </w:rPr>
              <w:t>少于三个的，采购人应当依法重新招标。</w:t>
            </w:r>
          </w:p>
        </w:tc>
      </w:tr>
      <w:tr w14:paraId="37D50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E0DF308">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34</w:t>
            </w:r>
          </w:p>
        </w:tc>
        <w:tc>
          <w:tcPr>
            <w:tcW w:w="2070" w:type="dxa"/>
            <w:tcBorders>
              <w:top w:val="single" w:color="auto" w:sz="4" w:space="0"/>
              <w:left w:val="single" w:color="auto" w:sz="4" w:space="0"/>
              <w:bottom w:val="single" w:color="auto" w:sz="4" w:space="0"/>
              <w:right w:val="single" w:color="auto" w:sz="4" w:space="0"/>
            </w:tcBorders>
            <w:noWrap/>
            <w:vAlign w:val="center"/>
          </w:tcPr>
          <w:p w14:paraId="6CF76FD9">
            <w:pPr>
              <w:keepNext w:val="0"/>
              <w:keepLines w:val="0"/>
              <w:pageBreakBefore w:val="0"/>
              <w:kinsoku/>
              <w:wordWrap/>
              <w:overflowPunct/>
              <w:topLinePunct w:val="0"/>
              <w:bidi w:val="0"/>
              <w:snapToGrid w:val="0"/>
              <w:spacing w:line="500" w:lineRule="exact"/>
              <w:jc w:val="center"/>
              <w:textAlignment w:val="auto"/>
              <w:rPr>
                <w:rFonts w:ascii="宋体" w:hAnsi="宋体"/>
                <w:szCs w:val="21"/>
                <w:highlight w:val="none"/>
              </w:rPr>
            </w:pPr>
            <w:r>
              <w:rPr>
                <w:rFonts w:hint="eastAsia" w:ascii="宋体" w:hAnsi="宋体"/>
                <w:szCs w:val="21"/>
                <w:highlight w:val="none"/>
              </w:rPr>
              <w:t>报价方式</w:t>
            </w:r>
          </w:p>
        </w:tc>
        <w:tc>
          <w:tcPr>
            <w:tcW w:w="6761" w:type="dxa"/>
            <w:tcBorders>
              <w:top w:val="single" w:color="auto" w:sz="4" w:space="0"/>
              <w:left w:val="single" w:color="auto" w:sz="4" w:space="0"/>
              <w:bottom w:val="single" w:color="auto" w:sz="4" w:space="0"/>
              <w:right w:val="single" w:color="auto" w:sz="4" w:space="0"/>
            </w:tcBorders>
            <w:noWrap/>
            <w:vAlign w:val="center"/>
          </w:tcPr>
          <w:p w14:paraId="04EE12E7">
            <w:pPr>
              <w:keepNext w:val="0"/>
              <w:keepLines w:val="0"/>
              <w:pageBreakBefore w:val="0"/>
              <w:kinsoku/>
              <w:wordWrap/>
              <w:overflowPunct/>
              <w:topLinePunct w:val="0"/>
              <w:bidi w:val="0"/>
              <w:snapToGrid w:val="0"/>
              <w:spacing w:line="500" w:lineRule="exact"/>
              <w:textAlignment w:val="auto"/>
              <w:rPr>
                <w:rFonts w:ascii="宋体" w:hAnsi="宋体" w:cs="宋体"/>
                <w:bCs/>
                <w:szCs w:val="21"/>
                <w:highlight w:val="none"/>
                <w:lang w:val="zh-CN"/>
              </w:rPr>
            </w:pPr>
            <w:r>
              <w:rPr>
                <w:rFonts w:hint="eastAsia" w:ascii="宋体" w:hAnsi="宋体" w:cs="宋体"/>
                <w:bCs/>
                <w:szCs w:val="21"/>
                <w:highlight w:val="none"/>
                <w:lang w:val="zh-CN"/>
              </w:rPr>
              <w:t>投标人按总价报价，超过预算（最高控制价）按无效投标处理。报价中应包含成本、利润、税金、安装、调试、运输等一切费用。</w:t>
            </w:r>
          </w:p>
        </w:tc>
      </w:tr>
      <w:tr w14:paraId="24359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50F90CD">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35</w:t>
            </w:r>
          </w:p>
        </w:tc>
        <w:tc>
          <w:tcPr>
            <w:tcW w:w="2070" w:type="dxa"/>
            <w:tcBorders>
              <w:top w:val="single" w:color="auto" w:sz="4" w:space="0"/>
              <w:left w:val="single" w:color="auto" w:sz="4" w:space="0"/>
              <w:bottom w:val="single" w:color="auto" w:sz="4" w:space="0"/>
              <w:right w:val="single" w:color="auto" w:sz="4" w:space="0"/>
            </w:tcBorders>
            <w:noWrap/>
            <w:vAlign w:val="center"/>
          </w:tcPr>
          <w:p w14:paraId="123437E7">
            <w:pPr>
              <w:keepNext w:val="0"/>
              <w:keepLines w:val="0"/>
              <w:pageBreakBefore w:val="0"/>
              <w:kinsoku/>
              <w:wordWrap/>
              <w:overflowPunct/>
              <w:topLinePunct w:val="0"/>
              <w:autoSpaceDE w:val="0"/>
              <w:autoSpaceDN w:val="0"/>
              <w:bidi w:val="0"/>
              <w:adjustRightInd w:val="0"/>
              <w:spacing w:line="500" w:lineRule="exact"/>
              <w:jc w:val="center"/>
              <w:textAlignment w:val="auto"/>
              <w:rPr>
                <w:rFonts w:ascii="宋体" w:hAnsi="宋体"/>
                <w:bCs/>
                <w:szCs w:val="21"/>
                <w:highlight w:val="none"/>
                <w:lang w:val="zh-CN"/>
              </w:rPr>
            </w:pPr>
            <w:r>
              <w:rPr>
                <w:rFonts w:hint="eastAsia" w:ascii="宋体" w:hAnsi="宋体"/>
                <w:bCs/>
                <w:szCs w:val="21"/>
                <w:highlight w:val="none"/>
                <w:lang w:val="zh-CN"/>
              </w:rPr>
              <w:t>投标无效的情形</w:t>
            </w:r>
          </w:p>
        </w:tc>
        <w:tc>
          <w:tcPr>
            <w:tcW w:w="6761" w:type="dxa"/>
            <w:tcBorders>
              <w:top w:val="single" w:color="auto" w:sz="4" w:space="0"/>
              <w:left w:val="single" w:color="auto" w:sz="4" w:space="0"/>
              <w:bottom w:val="single" w:color="auto" w:sz="4" w:space="0"/>
              <w:right w:val="single" w:color="auto" w:sz="4" w:space="0"/>
            </w:tcBorders>
            <w:noWrap/>
            <w:vAlign w:val="center"/>
          </w:tcPr>
          <w:p w14:paraId="5A5C376E">
            <w:pPr>
              <w:keepNext w:val="0"/>
              <w:keepLines w:val="0"/>
              <w:pageBreakBefore w:val="0"/>
              <w:kinsoku/>
              <w:wordWrap/>
              <w:overflowPunct/>
              <w:topLinePunct w:val="0"/>
              <w:bidi w:val="0"/>
              <w:snapToGrid w:val="0"/>
              <w:spacing w:line="500" w:lineRule="exact"/>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一</w:t>
            </w:r>
            <w:r>
              <w:rPr>
                <w:rFonts w:hint="eastAsia" w:ascii="宋体" w:hAnsi="宋体"/>
                <w:bCs/>
                <w:szCs w:val="21"/>
                <w:highlight w:val="none"/>
                <w:lang w:val="zh-CN"/>
              </w:rPr>
              <w:t>）投标文件未按招标文件要求签署、盖章的；</w:t>
            </w:r>
          </w:p>
          <w:p w14:paraId="2057F3B3">
            <w:pPr>
              <w:keepNext w:val="0"/>
              <w:keepLines w:val="0"/>
              <w:pageBreakBefore w:val="0"/>
              <w:kinsoku/>
              <w:wordWrap/>
              <w:overflowPunct/>
              <w:topLinePunct w:val="0"/>
              <w:bidi w:val="0"/>
              <w:snapToGrid w:val="0"/>
              <w:spacing w:line="500" w:lineRule="exact"/>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二</w:t>
            </w:r>
            <w:r>
              <w:rPr>
                <w:rFonts w:hint="eastAsia" w:ascii="宋体" w:hAnsi="宋体"/>
                <w:bCs/>
                <w:szCs w:val="21"/>
                <w:highlight w:val="none"/>
                <w:lang w:val="zh-CN"/>
              </w:rPr>
              <w:t>）不具备招标文件中规定的资格要求的；</w:t>
            </w:r>
          </w:p>
          <w:p w14:paraId="1F87E3C2">
            <w:pPr>
              <w:keepNext w:val="0"/>
              <w:keepLines w:val="0"/>
              <w:pageBreakBefore w:val="0"/>
              <w:kinsoku/>
              <w:wordWrap/>
              <w:overflowPunct/>
              <w:topLinePunct w:val="0"/>
              <w:bidi w:val="0"/>
              <w:snapToGrid w:val="0"/>
              <w:spacing w:line="500" w:lineRule="exact"/>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三</w:t>
            </w:r>
            <w:r>
              <w:rPr>
                <w:rFonts w:hint="eastAsia" w:ascii="宋体" w:hAnsi="宋体"/>
                <w:bCs/>
                <w:szCs w:val="21"/>
                <w:highlight w:val="none"/>
                <w:lang w:val="zh-CN"/>
              </w:rPr>
              <w:t>）报价超过招标文件中规定的预算金额或者最高限价的；</w:t>
            </w:r>
          </w:p>
          <w:p w14:paraId="5507538C">
            <w:pPr>
              <w:keepNext w:val="0"/>
              <w:keepLines w:val="0"/>
              <w:pageBreakBefore w:val="0"/>
              <w:kinsoku/>
              <w:wordWrap/>
              <w:overflowPunct/>
              <w:topLinePunct w:val="0"/>
              <w:bidi w:val="0"/>
              <w:snapToGrid w:val="0"/>
              <w:spacing w:line="500" w:lineRule="exact"/>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四</w:t>
            </w:r>
            <w:r>
              <w:rPr>
                <w:rFonts w:hint="eastAsia" w:ascii="宋体" w:hAnsi="宋体"/>
                <w:bCs/>
                <w:szCs w:val="21"/>
                <w:highlight w:val="none"/>
                <w:lang w:val="zh-CN"/>
              </w:rPr>
              <w:t>）投标文件含有采购人不能接受的附加条件的;</w:t>
            </w:r>
          </w:p>
          <w:p w14:paraId="40229B80">
            <w:pPr>
              <w:keepNext w:val="0"/>
              <w:keepLines w:val="0"/>
              <w:pageBreakBefore w:val="0"/>
              <w:kinsoku/>
              <w:wordWrap/>
              <w:overflowPunct/>
              <w:topLinePunct w:val="0"/>
              <w:bidi w:val="0"/>
              <w:snapToGrid w:val="0"/>
              <w:spacing w:line="500" w:lineRule="exact"/>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五</w:t>
            </w:r>
            <w:r>
              <w:rPr>
                <w:rFonts w:hint="eastAsia" w:ascii="宋体" w:hAnsi="宋体"/>
                <w:bCs/>
                <w:szCs w:val="21"/>
                <w:highlight w:val="none"/>
                <w:lang w:val="zh-CN"/>
              </w:rPr>
              <w:t>）法律、法规和招标文件规定的其他无效情形。</w:t>
            </w:r>
          </w:p>
        </w:tc>
      </w:tr>
      <w:tr w14:paraId="549CF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862" w:type="dxa"/>
            <w:vMerge w:val="restart"/>
            <w:tcBorders>
              <w:top w:val="single" w:color="auto" w:sz="4" w:space="0"/>
              <w:left w:val="single" w:color="auto" w:sz="4" w:space="0"/>
              <w:bottom w:val="single" w:color="auto" w:sz="4" w:space="0"/>
              <w:right w:val="single" w:color="auto" w:sz="4" w:space="0"/>
            </w:tcBorders>
            <w:noWrap/>
            <w:vAlign w:val="center"/>
          </w:tcPr>
          <w:p w14:paraId="64FC7527">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36</w:t>
            </w:r>
          </w:p>
        </w:tc>
        <w:tc>
          <w:tcPr>
            <w:tcW w:w="2070" w:type="dxa"/>
            <w:vMerge w:val="restart"/>
            <w:tcBorders>
              <w:top w:val="single" w:color="auto" w:sz="4" w:space="0"/>
              <w:left w:val="single" w:color="auto" w:sz="4" w:space="0"/>
              <w:bottom w:val="single" w:color="auto" w:sz="4" w:space="0"/>
              <w:right w:val="single" w:color="auto" w:sz="4" w:space="0"/>
            </w:tcBorders>
            <w:noWrap/>
            <w:vAlign w:val="center"/>
          </w:tcPr>
          <w:p w14:paraId="22945349">
            <w:pPr>
              <w:pStyle w:val="54"/>
              <w:keepNext w:val="0"/>
              <w:keepLines w:val="0"/>
              <w:pageBreakBefore w:val="0"/>
              <w:tabs>
                <w:tab w:val="left" w:pos="8295"/>
              </w:tabs>
              <w:kinsoku/>
              <w:wordWrap/>
              <w:overflowPunct/>
              <w:topLinePunct w:val="0"/>
              <w:bidi w:val="0"/>
              <w:snapToGrid w:val="0"/>
              <w:spacing w:before="0" w:after="0" w:line="500" w:lineRule="exact"/>
              <w:ind w:left="0" w:right="0"/>
              <w:jc w:val="center"/>
              <w:textAlignment w:val="auto"/>
              <w:rPr>
                <w:rFonts w:asciiTheme="majorEastAsia" w:hAnsiTheme="majorEastAsia" w:eastAsiaTheme="majorEastAsia"/>
                <w:bCs/>
                <w:kern w:val="18"/>
                <w:sz w:val="21"/>
                <w:szCs w:val="21"/>
                <w:highlight w:val="none"/>
              </w:rPr>
            </w:pPr>
            <w:r>
              <w:rPr>
                <w:rFonts w:hint="eastAsia" w:cs="宋体" w:asciiTheme="majorEastAsia" w:hAnsiTheme="majorEastAsia" w:eastAsiaTheme="majorEastAsia"/>
                <w:bCs/>
                <w:kern w:val="15"/>
                <w:sz w:val="21"/>
                <w:szCs w:val="21"/>
                <w:highlight w:val="none"/>
              </w:rPr>
              <w:t>其他要求</w:t>
            </w:r>
          </w:p>
        </w:tc>
        <w:tc>
          <w:tcPr>
            <w:tcW w:w="6761" w:type="dxa"/>
            <w:tcBorders>
              <w:top w:val="single" w:color="auto" w:sz="4" w:space="0"/>
              <w:left w:val="single" w:color="auto" w:sz="4" w:space="0"/>
              <w:right w:val="single" w:color="auto" w:sz="4" w:space="0"/>
            </w:tcBorders>
            <w:noWrap/>
            <w:vAlign w:val="center"/>
          </w:tcPr>
          <w:p w14:paraId="75E2ED52">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bCs/>
                <w:szCs w:val="21"/>
                <w:highlight w:val="none"/>
              </w:rPr>
            </w:pPr>
            <w:r>
              <w:rPr>
                <w:rFonts w:hint="eastAsia" w:cs="宋体" w:asciiTheme="majorEastAsia" w:hAnsiTheme="majorEastAsia" w:eastAsiaTheme="majorEastAsia"/>
                <w:bCs/>
                <w:kern w:val="15"/>
                <w:szCs w:val="21"/>
                <w:highlight w:val="none"/>
                <w:lang w:eastAsia="zh-CN"/>
              </w:rPr>
              <w:t>投标人</w:t>
            </w:r>
            <w:r>
              <w:rPr>
                <w:rFonts w:hint="eastAsia" w:cs="宋体" w:asciiTheme="majorEastAsia" w:hAnsiTheme="majorEastAsia" w:eastAsiaTheme="majorEastAsia"/>
                <w:bCs/>
                <w:kern w:val="15"/>
                <w:szCs w:val="21"/>
                <w:highlight w:val="none"/>
              </w:rPr>
              <w:t>必须保证投标时所报资料真实有效，采购人保留对资料的核查权力，一旦发现资料有虚假现象将移交有关部门处理。</w:t>
            </w:r>
          </w:p>
        </w:tc>
      </w:tr>
      <w:tr w14:paraId="3BBF9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14:paraId="3647C5C0">
            <w:pPr>
              <w:keepNext w:val="0"/>
              <w:keepLines w:val="0"/>
              <w:pageBreakBefore w:val="0"/>
              <w:widowControl/>
              <w:kinsoku/>
              <w:wordWrap/>
              <w:overflowPunct/>
              <w:topLinePunct w:val="0"/>
              <w:bidi w:val="0"/>
              <w:spacing w:line="500" w:lineRule="exact"/>
              <w:jc w:val="both"/>
              <w:textAlignment w:val="auto"/>
              <w:rPr>
                <w:rFonts w:asciiTheme="majorEastAsia" w:hAnsiTheme="majorEastAsia" w:eastAsiaTheme="majorEastAsia"/>
                <w:szCs w:val="21"/>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14:paraId="2695C894">
            <w:pPr>
              <w:keepNext w:val="0"/>
              <w:keepLines w:val="0"/>
              <w:pageBreakBefore w:val="0"/>
              <w:widowControl/>
              <w:kinsoku/>
              <w:wordWrap/>
              <w:overflowPunct/>
              <w:topLinePunct w:val="0"/>
              <w:bidi w:val="0"/>
              <w:spacing w:line="500" w:lineRule="exact"/>
              <w:jc w:val="left"/>
              <w:textAlignment w:val="auto"/>
              <w:rPr>
                <w:rFonts w:asciiTheme="majorEastAsia" w:hAnsiTheme="majorEastAsia" w:eastAsiaTheme="majorEastAsia"/>
                <w:bCs/>
                <w:kern w:val="18"/>
                <w:szCs w:val="21"/>
                <w:highlight w:val="none"/>
              </w:rPr>
            </w:pPr>
          </w:p>
        </w:tc>
        <w:tc>
          <w:tcPr>
            <w:tcW w:w="6761" w:type="dxa"/>
            <w:tcBorders>
              <w:top w:val="single" w:color="auto" w:sz="4" w:space="0"/>
              <w:left w:val="single" w:color="auto" w:sz="4" w:space="0"/>
              <w:bottom w:val="single" w:color="auto" w:sz="4" w:space="0"/>
              <w:right w:val="single" w:color="auto" w:sz="4" w:space="0"/>
            </w:tcBorders>
            <w:noWrap/>
            <w:vAlign w:val="center"/>
          </w:tcPr>
          <w:p w14:paraId="62C7F603">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bCs/>
                <w:szCs w:val="21"/>
                <w:highlight w:val="none"/>
              </w:rPr>
            </w:pPr>
            <w:r>
              <w:rPr>
                <w:rFonts w:hint="eastAsia" w:asciiTheme="majorEastAsia" w:hAnsiTheme="majorEastAsia" w:eastAsiaTheme="majorEastAsia"/>
                <w:bCs/>
                <w:kern w:val="15"/>
                <w:szCs w:val="21"/>
                <w:highlight w:val="none"/>
              </w:rPr>
              <w:t>对于中小企业参与本项目投标的：</w:t>
            </w:r>
            <w:r>
              <w:rPr>
                <w:rFonts w:hint="eastAsia" w:asciiTheme="majorEastAsia" w:hAnsiTheme="majorEastAsia" w:eastAsiaTheme="majorEastAsia"/>
                <w:bCs/>
                <w:kern w:val="15"/>
                <w:szCs w:val="21"/>
                <w:highlight w:val="none"/>
                <w:lang w:eastAsia="zh-CN"/>
              </w:rPr>
              <w:t>投标人</w:t>
            </w:r>
            <w:r>
              <w:rPr>
                <w:rFonts w:hint="eastAsia" w:asciiTheme="majorEastAsia" w:hAnsiTheme="majorEastAsia" w:eastAsiaTheme="majorEastAsia"/>
                <w:bCs/>
                <w:kern w:val="15"/>
                <w:szCs w:val="21"/>
                <w:highlight w:val="none"/>
              </w:rPr>
              <w:t>需提供符合《政府采购促进中小企业发展管理办法》（财库[2020]46号）、</w:t>
            </w:r>
            <w:r>
              <w:rPr>
                <w:rFonts w:hint="eastAsia" w:cs="宋体" w:asciiTheme="majorEastAsia" w:hAnsiTheme="majorEastAsia" w:eastAsiaTheme="majorEastAsia"/>
                <w:szCs w:val="21"/>
                <w:highlight w:val="none"/>
              </w:rPr>
              <w:t>财库〔2022〕19号</w:t>
            </w:r>
            <w:r>
              <w:rPr>
                <w:rFonts w:hint="eastAsia" w:asciiTheme="majorEastAsia" w:hAnsiTheme="majorEastAsia" w:eastAsiaTheme="majorEastAsia"/>
                <w:bCs/>
                <w:kern w:val="15"/>
                <w:szCs w:val="21"/>
                <w:highlight w:val="none"/>
              </w:rPr>
              <w:t>规定的《中小企业声明函》原件，在评审中将对小型或微型企业报价给予10%的扣除，用扣除后的价格参与评审。</w:t>
            </w:r>
          </w:p>
        </w:tc>
      </w:tr>
      <w:tr w14:paraId="01930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14:paraId="43191186">
            <w:pPr>
              <w:keepNext w:val="0"/>
              <w:keepLines w:val="0"/>
              <w:pageBreakBefore w:val="0"/>
              <w:widowControl/>
              <w:kinsoku/>
              <w:wordWrap/>
              <w:overflowPunct/>
              <w:topLinePunct w:val="0"/>
              <w:bidi w:val="0"/>
              <w:spacing w:line="500" w:lineRule="exact"/>
              <w:jc w:val="both"/>
              <w:textAlignment w:val="auto"/>
              <w:rPr>
                <w:rFonts w:asciiTheme="majorEastAsia" w:hAnsiTheme="majorEastAsia" w:eastAsiaTheme="majorEastAsia"/>
                <w:szCs w:val="21"/>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14:paraId="160760F8">
            <w:pPr>
              <w:keepNext w:val="0"/>
              <w:keepLines w:val="0"/>
              <w:pageBreakBefore w:val="0"/>
              <w:widowControl/>
              <w:kinsoku/>
              <w:wordWrap/>
              <w:overflowPunct/>
              <w:topLinePunct w:val="0"/>
              <w:bidi w:val="0"/>
              <w:spacing w:line="500" w:lineRule="exact"/>
              <w:jc w:val="left"/>
              <w:textAlignment w:val="auto"/>
              <w:rPr>
                <w:rFonts w:asciiTheme="majorEastAsia" w:hAnsiTheme="majorEastAsia" w:eastAsiaTheme="majorEastAsia"/>
                <w:bCs/>
                <w:kern w:val="18"/>
                <w:szCs w:val="21"/>
                <w:highlight w:val="none"/>
              </w:rPr>
            </w:pPr>
          </w:p>
        </w:tc>
        <w:tc>
          <w:tcPr>
            <w:tcW w:w="6761" w:type="dxa"/>
            <w:tcBorders>
              <w:top w:val="single" w:color="auto" w:sz="4" w:space="0"/>
              <w:left w:val="single" w:color="auto" w:sz="4" w:space="0"/>
              <w:bottom w:val="single" w:color="auto" w:sz="4" w:space="0"/>
              <w:right w:val="single" w:color="auto" w:sz="4" w:space="0"/>
            </w:tcBorders>
            <w:noWrap/>
            <w:vAlign w:val="center"/>
          </w:tcPr>
          <w:p w14:paraId="1775D852">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根据中华人民共和国财政部令第94号--政府采购质疑和投诉办法规定，</w:t>
            </w:r>
            <w:r>
              <w:rPr>
                <w:rFonts w:hint="eastAsia" w:asciiTheme="majorEastAsia" w:hAnsiTheme="majorEastAsia" w:eastAsiaTheme="majorEastAsia"/>
                <w:bCs/>
                <w:kern w:val="15"/>
                <w:szCs w:val="21"/>
                <w:highlight w:val="none"/>
                <w:lang w:eastAsia="zh-CN"/>
              </w:rPr>
              <w:t>投标人</w:t>
            </w:r>
            <w:r>
              <w:rPr>
                <w:rFonts w:hint="eastAsia" w:asciiTheme="majorEastAsia" w:hAnsiTheme="majorEastAsia" w:eastAsiaTheme="majorEastAsia"/>
                <w:bCs/>
                <w:kern w:val="15"/>
                <w:szCs w:val="21"/>
                <w:highlight w:val="none"/>
              </w:rPr>
              <w:t>在法定质疑期内应一次性提出针对同一采购程序环节的质疑，提出质疑时应当提交符合规定的质疑函和必要的证明材料。</w:t>
            </w:r>
          </w:p>
          <w:p w14:paraId="625B8497">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只接受以书面形式向采购人、采购代理机构提出质疑，不接受以其他形式或提出的质疑。</w:t>
            </w:r>
          </w:p>
          <w:p w14:paraId="15D13C5E">
            <w:pPr>
              <w:keepNext w:val="0"/>
              <w:keepLines w:val="0"/>
              <w:pageBreakBefore w:val="0"/>
              <w:kinsoku/>
              <w:wordWrap/>
              <w:overflowPunct/>
              <w:topLinePunct w:val="0"/>
              <w:autoSpaceDN w:val="0"/>
              <w:bidi w:val="0"/>
              <w:adjustRightInd w:val="0"/>
              <w:snapToGrid w:val="0"/>
              <w:spacing w:line="500" w:lineRule="exact"/>
              <w:textAlignment w:val="auto"/>
              <w:rPr>
                <w:rFonts w:hint="eastAsia" w:asciiTheme="majorEastAsia" w:hAnsiTheme="majorEastAsia" w:eastAsiaTheme="majorEastAsia"/>
                <w:bCs/>
                <w:szCs w:val="21"/>
                <w:highlight w:val="none"/>
                <w:lang w:val="zh-CN" w:eastAsia="zh-CN"/>
              </w:rPr>
            </w:pPr>
            <w:r>
              <w:rPr>
                <w:rFonts w:hint="eastAsia" w:asciiTheme="majorEastAsia" w:hAnsiTheme="majorEastAsia" w:eastAsiaTheme="majorEastAsia"/>
                <w:bCs/>
                <w:szCs w:val="21"/>
                <w:highlight w:val="none"/>
                <w:lang w:val="zh-CN" w:eastAsia="zh-CN"/>
              </w:rPr>
              <w:t>名称：吉林省永屹招标代理有限公司</w:t>
            </w:r>
          </w:p>
          <w:p w14:paraId="02DA36AA">
            <w:pPr>
              <w:keepNext w:val="0"/>
              <w:keepLines w:val="0"/>
              <w:pageBreakBefore w:val="0"/>
              <w:kinsoku/>
              <w:wordWrap/>
              <w:overflowPunct/>
              <w:topLinePunct w:val="0"/>
              <w:autoSpaceDN w:val="0"/>
              <w:bidi w:val="0"/>
              <w:adjustRightInd w:val="0"/>
              <w:snapToGrid w:val="0"/>
              <w:spacing w:line="500" w:lineRule="exact"/>
              <w:textAlignment w:val="auto"/>
              <w:rPr>
                <w:rFonts w:hint="eastAsia" w:asciiTheme="majorEastAsia" w:hAnsiTheme="majorEastAsia" w:eastAsiaTheme="majorEastAsia"/>
                <w:bCs/>
                <w:szCs w:val="21"/>
                <w:highlight w:val="none"/>
                <w:lang w:val="zh-CN" w:eastAsia="zh-CN"/>
              </w:rPr>
            </w:pPr>
            <w:r>
              <w:rPr>
                <w:rFonts w:hint="eastAsia" w:asciiTheme="majorEastAsia" w:hAnsiTheme="majorEastAsia" w:eastAsiaTheme="majorEastAsia"/>
                <w:bCs/>
                <w:szCs w:val="21"/>
                <w:highlight w:val="none"/>
                <w:lang w:val="zh-CN" w:eastAsia="zh-CN"/>
              </w:rPr>
              <w:t>地址：长春市高新开发区宝来雅居7a幢615号房</w:t>
            </w:r>
          </w:p>
          <w:p w14:paraId="0821B993">
            <w:pPr>
              <w:keepNext w:val="0"/>
              <w:keepLines w:val="0"/>
              <w:pageBreakBefore w:val="0"/>
              <w:kinsoku/>
              <w:wordWrap/>
              <w:overflowPunct/>
              <w:topLinePunct w:val="0"/>
              <w:autoSpaceDN w:val="0"/>
              <w:bidi w:val="0"/>
              <w:adjustRightInd w:val="0"/>
              <w:snapToGrid w:val="0"/>
              <w:spacing w:line="500" w:lineRule="exact"/>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lang w:val="zh-CN" w:eastAsia="zh-CN"/>
              </w:rPr>
              <w:t>联系方式：孙立新</w:t>
            </w:r>
            <w:r>
              <w:rPr>
                <w:rFonts w:hint="eastAsia" w:asciiTheme="majorEastAsia" w:hAnsiTheme="majorEastAsia" w:eastAsiaTheme="majorEastAsia"/>
                <w:bCs/>
                <w:szCs w:val="21"/>
                <w:highlight w:val="none"/>
                <w:lang w:val="en-US" w:eastAsia="zh-CN"/>
              </w:rPr>
              <w:t xml:space="preserve"> </w:t>
            </w:r>
            <w:r>
              <w:rPr>
                <w:rFonts w:hint="eastAsia" w:asciiTheme="majorEastAsia" w:hAnsiTheme="majorEastAsia" w:eastAsiaTheme="majorEastAsia"/>
                <w:bCs/>
                <w:szCs w:val="21"/>
                <w:highlight w:val="none"/>
                <w:lang w:val="zh-CN" w:eastAsia="zh-CN"/>
              </w:rPr>
              <w:t>18343095566</w:t>
            </w:r>
          </w:p>
        </w:tc>
      </w:tr>
      <w:tr w14:paraId="2E99D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14:paraId="296994D9">
            <w:pPr>
              <w:keepNext w:val="0"/>
              <w:keepLines w:val="0"/>
              <w:pageBreakBefore w:val="0"/>
              <w:widowControl/>
              <w:kinsoku/>
              <w:wordWrap/>
              <w:overflowPunct/>
              <w:topLinePunct w:val="0"/>
              <w:bidi w:val="0"/>
              <w:spacing w:line="500" w:lineRule="exact"/>
              <w:jc w:val="center"/>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37</w:t>
            </w:r>
          </w:p>
        </w:tc>
        <w:tc>
          <w:tcPr>
            <w:tcW w:w="2070" w:type="dxa"/>
            <w:tcBorders>
              <w:top w:val="single" w:color="auto" w:sz="4" w:space="0"/>
              <w:left w:val="single" w:color="auto" w:sz="4" w:space="0"/>
              <w:bottom w:val="single" w:color="auto" w:sz="4" w:space="0"/>
              <w:right w:val="single" w:color="auto" w:sz="4" w:space="0"/>
            </w:tcBorders>
            <w:vAlign w:val="center"/>
          </w:tcPr>
          <w:p w14:paraId="32FC3213">
            <w:pPr>
              <w:keepNext w:val="0"/>
              <w:keepLines w:val="0"/>
              <w:pageBreakBefore w:val="0"/>
              <w:widowControl/>
              <w:kinsoku/>
              <w:wordWrap/>
              <w:overflowPunct/>
              <w:topLinePunct w:val="0"/>
              <w:bidi w:val="0"/>
              <w:spacing w:line="500" w:lineRule="exact"/>
              <w:jc w:val="center"/>
              <w:textAlignment w:val="auto"/>
              <w:rPr>
                <w:rFonts w:asciiTheme="majorEastAsia" w:hAnsiTheme="majorEastAsia" w:eastAsiaTheme="majorEastAsia"/>
                <w:bCs/>
                <w:kern w:val="18"/>
                <w:szCs w:val="21"/>
                <w:highlight w:val="none"/>
              </w:rPr>
            </w:pPr>
            <w:r>
              <w:rPr>
                <w:rFonts w:hint="eastAsia" w:asciiTheme="majorEastAsia" w:hAnsiTheme="majorEastAsia" w:eastAsiaTheme="majorEastAsia"/>
                <w:szCs w:val="21"/>
                <w:highlight w:val="none"/>
                <w:lang w:val="en-US" w:eastAsia="zh-CN"/>
              </w:rPr>
              <w:t>投标保证金</w:t>
            </w:r>
          </w:p>
        </w:tc>
        <w:tc>
          <w:tcPr>
            <w:tcW w:w="6761" w:type="dxa"/>
            <w:tcBorders>
              <w:top w:val="single" w:color="auto" w:sz="4" w:space="0"/>
              <w:left w:val="single" w:color="auto" w:sz="4" w:space="0"/>
              <w:bottom w:val="single" w:color="auto" w:sz="4" w:space="0"/>
              <w:right w:val="single" w:color="auto" w:sz="4" w:space="0"/>
            </w:tcBorders>
            <w:noWrap/>
            <w:vAlign w:val="center"/>
          </w:tcPr>
          <w:p w14:paraId="5DB8B88D">
            <w:pPr>
              <w:spacing w:line="320" w:lineRule="exact"/>
              <w:ind w:firstLine="18" w:firstLineChars="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投标保证金的金额：人民币</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000.00元。</w:t>
            </w:r>
          </w:p>
          <w:p w14:paraId="36F4AF33">
            <w:pPr>
              <w:spacing w:line="320" w:lineRule="exact"/>
              <w:ind w:firstLine="18" w:firstLineChars="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提交形式：转账、电汇（从基本账户转出）</w:t>
            </w:r>
          </w:p>
          <w:p w14:paraId="13941CB7">
            <w:pPr>
              <w:spacing w:line="320" w:lineRule="exact"/>
              <w:ind w:firstLine="18" w:firstLineChars="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缴纳时间： 2025年01月</w:t>
            </w:r>
            <w:r>
              <w:rPr>
                <w:rFonts w:hint="eastAsia" w:ascii="宋体" w:hAnsi="宋体" w:cs="宋体"/>
                <w:szCs w:val="21"/>
                <w:highlight w:val="none"/>
                <w:lang w:val="en-US" w:eastAsia="zh-CN"/>
              </w:rPr>
              <w:t>23</w:t>
            </w:r>
            <w:r>
              <w:rPr>
                <w:rFonts w:hint="eastAsia" w:ascii="宋体" w:hAnsi="宋体" w:eastAsia="宋体" w:cs="宋体"/>
                <w:szCs w:val="21"/>
                <w:highlight w:val="none"/>
                <w:lang w:val="en-US" w:eastAsia="zh-CN"/>
              </w:rPr>
              <w:t>日</w:t>
            </w:r>
            <w:r>
              <w:rPr>
                <w:rFonts w:hint="eastAsia" w:ascii="宋体" w:hAnsi="宋体" w:cs="宋体"/>
                <w:szCs w:val="21"/>
                <w:highlight w:val="none"/>
                <w:lang w:val="en-US" w:eastAsia="zh-CN"/>
              </w:rPr>
              <w:t>10</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00</w:t>
            </w:r>
            <w:r>
              <w:rPr>
                <w:rFonts w:hint="eastAsia" w:ascii="宋体" w:hAnsi="宋体" w:eastAsia="宋体" w:cs="宋体"/>
                <w:szCs w:val="21"/>
                <w:highlight w:val="none"/>
                <w:lang w:val="en-US" w:eastAsia="zh-CN"/>
              </w:rPr>
              <w:t xml:space="preserve"> 时前递交至采购</w:t>
            </w:r>
            <w:r>
              <w:rPr>
                <w:rFonts w:hint="eastAsia" w:ascii="宋体" w:hAnsi="宋体" w:cs="宋体"/>
                <w:szCs w:val="21"/>
                <w:highlight w:val="none"/>
                <w:lang w:val="en-US" w:eastAsia="zh-CN"/>
              </w:rPr>
              <w:t>代理机构</w:t>
            </w:r>
            <w:r>
              <w:rPr>
                <w:rFonts w:hint="eastAsia" w:ascii="宋体" w:hAnsi="宋体" w:eastAsia="宋体" w:cs="宋体"/>
                <w:szCs w:val="21"/>
                <w:highlight w:val="none"/>
                <w:lang w:val="en-US" w:eastAsia="zh-CN"/>
              </w:rPr>
              <w:t>指定账户，若在规定截止时间前没有收到任何形式的付款，则视为</w:t>
            </w:r>
            <w:r>
              <w:rPr>
                <w:rFonts w:hint="eastAsia" w:ascii="宋体" w:hAnsi="宋体" w:cs="宋体"/>
                <w:szCs w:val="21"/>
                <w:highlight w:val="none"/>
                <w:lang w:val="en-US" w:eastAsia="zh-CN"/>
              </w:rPr>
              <w:t>投标人</w:t>
            </w:r>
            <w:r>
              <w:rPr>
                <w:rFonts w:hint="eastAsia" w:ascii="宋体" w:hAnsi="宋体" w:eastAsia="宋体" w:cs="宋体"/>
                <w:szCs w:val="21"/>
                <w:highlight w:val="none"/>
                <w:lang w:val="en-US" w:eastAsia="zh-CN"/>
              </w:rPr>
              <w:t>自动放弃此次投标。投标保证金必须从单位基本账户转入到指定账户，并注明投标项目名称。投标保证金以到账时间为准。未按规定时限足额转入、非</w:t>
            </w:r>
            <w:r>
              <w:rPr>
                <w:rFonts w:hint="eastAsia" w:ascii="宋体" w:hAnsi="宋体" w:cs="宋体"/>
                <w:szCs w:val="21"/>
                <w:highlight w:val="none"/>
                <w:lang w:val="en-US" w:eastAsia="zh-CN"/>
              </w:rPr>
              <w:t>投标人</w:t>
            </w:r>
            <w:r>
              <w:rPr>
                <w:rFonts w:hint="eastAsia" w:ascii="宋体" w:hAnsi="宋体" w:eastAsia="宋体" w:cs="宋体"/>
                <w:szCs w:val="21"/>
                <w:highlight w:val="none"/>
                <w:lang w:val="en-US" w:eastAsia="zh-CN"/>
              </w:rPr>
              <w:t>基本账户汇出的，保证金无效，其响应文件按废标处理。</w:t>
            </w:r>
          </w:p>
          <w:p w14:paraId="12BCC76D">
            <w:pPr>
              <w:spacing w:line="320" w:lineRule="exact"/>
              <w:ind w:firstLine="18" w:firstLineChars="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收款人全称：</w:t>
            </w:r>
            <w:r>
              <w:rPr>
                <w:rFonts w:hint="eastAsia" w:ascii="宋体" w:hAnsi="宋体" w:cs="宋体"/>
                <w:szCs w:val="21"/>
                <w:highlight w:val="none"/>
                <w:lang w:val="en-US" w:eastAsia="zh-CN"/>
              </w:rPr>
              <w:t>吉林省永屹招标代理有限公司</w:t>
            </w:r>
          </w:p>
          <w:p w14:paraId="174C1D99">
            <w:pPr>
              <w:spacing w:line="320" w:lineRule="exact"/>
              <w:ind w:firstLine="18" w:firstLineChars="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账 号：431902611210611</w:t>
            </w:r>
          </w:p>
          <w:p w14:paraId="4A928E77">
            <w:pPr>
              <w:spacing w:line="320" w:lineRule="exact"/>
              <w:ind w:firstLine="18" w:firstLineChars="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开户行：招商银行股份有限公司长春高新技术产业开发区支行</w:t>
            </w:r>
          </w:p>
          <w:p w14:paraId="13208661">
            <w:pPr>
              <w:keepNext w:val="0"/>
              <w:keepLines w:val="0"/>
              <w:pageBreakBefore w:val="0"/>
              <w:kinsoku/>
              <w:wordWrap/>
              <w:overflowPunct/>
              <w:topLinePunct w:val="0"/>
              <w:autoSpaceDN w:val="0"/>
              <w:bidi w:val="0"/>
              <w:adjustRightInd w:val="0"/>
              <w:snapToGrid w:val="0"/>
              <w:spacing w:line="500" w:lineRule="exact"/>
              <w:textAlignment w:val="auto"/>
              <w:rPr>
                <w:rFonts w:hint="eastAsia" w:asciiTheme="majorEastAsia" w:hAnsiTheme="majorEastAsia" w:eastAsiaTheme="majorEastAsia"/>
                <w:bCs/>
                <w:szCs w:val="21"/>
                <w:highlight w:val="none"/>
                <w:lang w:val="zh-CN" w:eastAsia="zh-CN"/>
              </w:rPr>
            </w:pPr>
            <w:r>
              <w:rPr>
                <w:rFonts w:hint="eastAsia" w:ascii="宋体" w:hAnsi="宋体" w:eastAsia="宋体" w:cs="宋体"/>
                <w:szCs w:val="21"/>
                <w:highlight w:val="none"/>
                <w:lang w:val="en-US" w:eastAsia="zh-CN"/>
              </w:rPr>
              <w:t>注：将缴纳保证金凭证截图发送至</w:t>
            </w:r>
            <w:r>
              <w:rPr>
                <w:rFonts w:hint="eastAsia" w:ascii="宋体" w:hAnsi="宋体" w:cs="宋体"/>
                <w:szCs w:val="21"/>
                <w:highlight w:val="none"/>
                <w:lang w:val="en-US" w:eastAsia="zh-CN"/>
              </w:rPr>
              <w:t>770270355</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qq</w:t>
            </w:r>
            <w:r>
              <w:rPr>
                <w:rFonts w:hint="eastAsia" w:ascii="宋体" w:hAnsi="宋体" w:eastAsia="宋体" w:cs="宋体"/>
                <w:szCs w:val="21"/>
                <w:highlight w:val="none"/>
                <w:lang w:val="en-US" w:eastAsia="zh-CN"/>
              </w:rPr>
              <w:t>.com邮箱，以便核验。</w:t>
            </w:r>
          </w:p>
        </w:tc>
      </w:tr>
    </w:tbl>
    <w:p w14:paraId="3A8DF467">
      <w:pPr>
        <w:autoSpaceDN w:val="0"/>
        <w:adjustRightInd w:val="0"/>
        <w:snapToGrid w:val="0"/>
        <w:spacing w:line="360" w:lineRule="auto"/>
        <w:rPr>
          <w:rFonts w:asciiTheme="majorEastAsia" w:hAnsiTheme="majorEastAsia" w:eastAsiaTheme="majorEastAsia"/>
          <w:szCs w:val="21"/>
          <w:highlight w:val="none"/>
        </w:rPr>
      </w:pPr>
    </w:p>
    <w:p w14:paraId="3470AA2F">
      <w:pPr>
        <w:pStyle w:val="20"/>
        <w:autoSpaceDN w:val="0"/>
        <w:adjustRightInd w:val="0"/>
        <w:snapToGrid w:val="0"/>
        <w:spacing w:line="360" w:lineRule="auto"/>
        <w:rPr>
          <w:rFonts w:asciiTheme="majorEastAsia" w:hAnsiTheme="majorEastAsia" w:eastAsiaTheme="majorEastAsia"/>
          <w:szCs w:val="21"/>
          <w:highlight w:val="none"/>
        </w:rPr>
      </w:pPr>
    </w:p>
    <w:p w14:paraId="16FA2FFC">
      <w:pPr>
        <w:pStyle w:val="2"/>
        <w:tabs>
          <w:tab w:val="left" w:pos="360"/>
        </w:tabs>
        <w:autoSpaceDN w:val="0"/>
        <w:adjustRightInd w:val="0"/>
        <w:snapToGrid w:val="0"/>
        <w:spacing w:line="36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二</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投标人</w:t>
      </w:r>
      <w:r>
        <w:rPr>
          <w:rFonts w:hint="eastAsia" w:asciiTheme="majorEastAsia" w:hAnsiTheme="majorEastAsia" w:eastAsiaTheme="majorEastAsia"/>
          <w:highlight w:val="none"/>
        </w:rPr>
        <w:t>须知</w:t>
      </w:r>
    </w:p>
    <w:p w14:paraId="6D54C9F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本项目招标依据为《中华人民共和国政府采购法》、《中华人民共和国政府采购法实施条例》、《政府采购货物和服务招标投标管理办法》等有关法律、法规及规定。</w:t>
      </w:r>
    </w:p>
    <w:p w14:paraId="118AF0A3">
      <w:pPr>
        <w:pStyle w:val="6"/>
        <w:autoSpaceDN w:val="0"/>
        <w:adjustRightInd w:val="0"/>
        <w:snapToGrid w:val="0"/>
        <w:spacing w:line="360" w:lineRule="auto"/>
        <w:ind w:firstLine="420"/>
        <w:rPr>
          <w:rFonts w:asciiTheme="majorEastAsia" w:hAnsiTheme="majorEastAsia" w:eastAsiaTheme="majorEastAsia"/>
          <w:szCs w:val="21"/>
          <w:highlight w:val="none"/>
        </w:rPr>
      </w:pPr>
    </w:p>
    <w:p w14:paraId="3690CD87">
      <w:pPr>
        <w:pStyle w:val="4"/>
        <w:autoSpaceDN w:val="0"/>
        <w:adjustRightInd w:val="0"/>
        <w:snapToGrid w:val="0"/>
        <w:spacing w:before="0" w:after="0" w:line="360" w:lineRule="auto"/>
        <w:jc w:val="center"/>
        <w:rPr>
          <w:rFonts w:asciiTheme="majorEastAsia" w:hAnsiTheme="majorEastAsia" w:eastAsiaTheme="majorEastAsia"/>
          <w:sz w:val="21"/>
          <w:szCs w:val="21"/>
          <w:highlight w:val="none"/>
        </w:rPr>
      </w:pPr>
      <w:bookmarkStart w:id="37" w:name="_Toc98580391"/>
      <w:r>
        <w:rPr>
          <w:rFonts w:hint="eastAsia" w:asciiTheme="majorEastAsia" w:hAnsiTheme="majorEastAsia" w:eastAsiaTheme="majorEastAsia"/>
          <w:sz w:val="21"/>
          <w:szCs w:val="21"/>
          <w:highlight w:val="none"/>
        </w:rPr>
        <w:t>A 说明</w:t>
      </w:r>
      <w:bookmarkEnd w:id="37"/>
    </w:p>
    <w:p w14:paraId="7B41DC83">
      <w:pPr>
        <w:pStyle w:val="5"/>
        <w:autoSpaceDN w:val="0"/>
        <w:adjustRightInd w:val="0"/>
        <w:snapToGrid w:val="0"/>
        <w:spacing w:before="0" w:after="0" w:line="360" w:lineRule="auto"/>
        <w:rPr>
          <w:rFonts w:asciiTheme="majorEastAsia" w:hAnsiTheme="majorEastAsia" w:eastAsiaTheme="majorEastAsia"/>
          <w:b w:val="0"/>
          <w:bCs w:val="0"/>
          <w:spacing w:val="6"/>
          <w:sz w:val="21"/>
          <w:szCs w:val="21"/>
          <w:highlight w:val="none"/>
        </w:rPr>
      </w:pPr>
      <w:bookmarkStart w:id="38" w:name="_Toc98580392"/>
      <w:r>
        <w:rPr>
          <w:rFonts w:hint="eastAsia" w:asciiTheme="majorEastAsia" w:hAnsiTheme="majorEastAsia" w:eastAsiaTheme="majorEastAsia"/>
          <w:sz w:val="21"/>
          <w:szCs w:val="21"/>
          <w:highlight w:val="none"/>
        </w:rPr>
        <w:t>1.适用范围</w:t>
      </w:r>
      <w:bookmarkEnd w:id="38"/>
    </w:p>
    <w:p w14:paraId="1EDF3395">
      <w:pPr>
        <w:autoSpaceDN w:val="0"/>
        <w:adjustRightInd w:val="0"/>
        <w:snapToGrid w:val="0"/>
        <w:spacing w:line="360" w:lineRule="auto"/>
        <w:ind w:firstLine="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本文件是受</w:t>
      </w:r>
      <w:r>
        <w:rPr>
          <w:rFonts w:hint="eastAsia" w:asciiTheme="majorEastAsia" w:hAnsiTheme="majorEastAsia" w:eastAsiaTheme="majorEastAsia"/>
          <w:spacing w:val="6"/>
          <w:szCs w:val="21"/>
          <w:highlight w:val="none"/>
        </w:rPr>
        <w:t>采购人</w:t>
      </w:r>
      <w:r>
        <w:rPr>
          <w:rFonts w:hint="eastAsia" w:asciiTheme="majorEastAsia" w:hAnsiTheme="majorEastAsia" w:eastAsiaTheme="majorEastAsia"/>
          <w:szCs w:val="21"/>
          <w:highlight w:val="none"/>
        </w:rPr>
        <w:t>委托</w:t>
      </w:r>
      <w:r>
        <w:rPr>
          <w:rFonts w:hint="eastAsia" w:asciiTheme="majorEastAsia" w:hAnsiTheme="majorEastAsia" w:eastAsiaTheme="majorEastAsia"/>
          <w:spacing w:val="6"/>
          <w:szCs w:val="21"/>
          <w:highlight w:val="none"/>
        </w:rPr>
        <w:t>，对采购人</w:t>
      </w:r>
      <w:r>
        <w:rPr>
          <w:rFonts w:hint="eastAsia" w:asciiTheme="majorEastAsia" w:hAnsiTheme="majorEastAsia" w:eastAsiaTheme="majorEastAsia"/>
          <w:szCs w:val="21"/>
          <w:highlight w:val="none"/>
        </w:rPr>
        <w:t>委托</w:t>
      </w:r>
      <w:r>
        <w:rPr>
          <w:rFonts w:hint="eastAsia" w:cs="宋体" w:asciiTheme="majorEastAsia" w:hAnsiTheme="majorEastAsia" w:eastAsiaTheme="majorEastAsia"/>
          <w:bCs/>
          <w:szCs w:val="21"/>
          <w:highlight w:val="none"/>
          <w:lang w:val="zh-CN"/>
        </w:rPr>
        <w:t>采购项目</w:t>
      </w:r>
      <w:r>
        <w:rPr>
          <w:rFonts w:hint="eastAsia" w:asciiTheme="majorEastAsia" w:hAnsiTheme="majorEastAsia" w:eastAsiaTheme="majorEastAsia"/>
          <w:spacing w:val="6"/>
          <w:szCs w:val="21"/>
          <w:highlight w:val="none"/>
        </w:rPr>
        <w:t>的规范性招标</w:t>
      </w:r>
      <w:r>
        <w:rPr>
          <w:rFonts w:hint="eastAsia" w:asciiTheme="majorEastAsia" w:hAnsiTheme="majorEastAsia" w:eastAsiaTheme="majorEastAsia"/>
          <w:szCs w:val="21"/>
          <w:highlight w:val="none"/>
        </w:rPr>
        <w:t>文件，适用于本项目招标公告所述的标的采购及服务，是</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编制投标文件的依据。</w:t>
      </w:r>
    </w:p>
    <w:p w14:paraId="675CE142">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39" w:name="_Toc98580393"/>
      <w:r>
        <w:rPr>
          <w:rFonts w:hint="eastAsia" w:asciiTheme="majorEastAsia" w:hAnsiTheme="majorEastAsia" w:eastAsiaTheme="majorEastAsia"/>
          <w:sz w:val="21"/>
          <w:szCs w:val="21"/>
          <w:highlight w:val="none"/>
        </w:rPr>
        <w:t>2.法律适用</w:t>
      </w:r>
      <w:bookmarkEnd w:id="39"/>
    </w:p>
    <w:p w14:paraId="1252EE60">
      <w:pPr>
        <w:autoSpaceDN w:val="0"/>
        <w:adjustRightInd w:val="0"/>
        <w:snapToGrid w:val="0"/>
        <w:spacing w:line="360" w:lineRule="auto"/>
        <w:ind w:firstLine="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本招标文件及由本次招标产生的合同适用中华人民共和国法律。</w:t>
      </w:r>
    </w:p>
    <w:p w14:paraId="6726C978">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40" w:name="_Toc98580394"/>
      <w:r>
        <w:rPr>
          <w:rFonts w:hint="eastAsia" w:asciiTheme="majorEastAsia" w:hAnsiTheme="majorEastAsia" w:eastAsiaTheme="majorEastAsia"/>
          <w:sz w:val="21"/>
          <w:szCs w:val="21"/>
          <w:highlight w:val="none"/>
        </w:rPr>
        <w:t>3.定义</w:t>
      </w:r>
      <w:bookmarkEnd w:id="40"/>
    </w:p>
    <w:p w14:paraId="22E9B1F6">
      <w:pPr>
        <w:autoSpaceDN w:val="0"/>
        <w:adjustRightInd w:val="0"/>
        <w:snapToGrid w:val="0"/>
        <w:spacing w:line="36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“招标机构”系指组织本次招标的代理机构；</w:t>
      </w:r>
    </w:p>
    <w:p w14:paraId="45FB44D4">
      <w:pPr>
        <w:autoSpaceDN w:val="0"/>
        <w:adjustRightInd w:val="0"/>
        <w:snapToGrid w:val="0"/>
        <w:spacing w:line="36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”系指向招标机构提交投标文件的投标商；</w:t>
      </w:r>
    </w:p>
    <w:p w14:paraId="03C165F2">
      <w:pPr>
        <w:autoSpaceDN w:val="0"/>
        <w:adjustRightInd w:val="0"/>
        <w:snapToGrid w:val="0"/>
        <w:spacing w:line="36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“买方”系指采购单位，合同一方当事人；</w:t>
      </w:r>
    </w:p>
    <w:p w14:paraId="2FD8FF01">
      <w:pPr>
        <w:autoSpaceDN w:val="0"/>
        <w:adjustRightInd w:val="0"/>
        <w:snapToGrid w:val="0"/>
        <w:spacing w:line="36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“服务”系指招标文件规定须完成的服务和其他的类似义务；</w:t>
      </w:r>
    </w:p>
    <w:p w14:paraId="47868444">
      <w:pPr>
        <w:autoSpaceDN w:val="0"/>
        <w:adjustRightInd w:val="0"/>
        <w:snapToGrid w:val="0"/>
        <w:spacing w:line="36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“日”、“天”系指日历日；</w:t>
      </w:r>
    </w:p>
    <w:p w14:paraId="0BBFF546">
      <w:pPr>
        <w:pStyle w:val="55"/>
        <w:autoSpaceDN w:val="0"/>
        <w:adjustRightInd w:val="0"/>
        <w:snapToGrid w:val="0"/>
        <w:spacing w:before="0" w:beforeAutospacing="0" w:after="0" w:afterAutospacing="0" w:line="360" w:lineRule="auto"/>
        <w:ind w:firstLine="24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661CB388">
      <w:pPr>
        <w:pStyle w:val="5"/>
        <w:autoSpaceDN w:val="0"/>
        <w:adjustRightInd w:val="0"/>
        <w:snapToGrid w:val="0"/>
        <w:spacing w:before="0" w:after="0" w:line="360" w:lineRule="auto"/>
        <w:rPr>
          <w:rFonts w:hint="eastAsia" w:asciiTheme="majorEastAsia" w:hAnsiTheme="majorEastAsia" w:eastAsiaTheme="majorEastAsia"/>
          <w:sz w:val="21"/>
          <w:szCs w:val="21"/>
          <w:highlight w:val="none"/>
          <w:lang w:eastAsia="zh-CN"/>
        </w:rPr>
      </w:pPr>
      <w:bookmarkStart w:id="41" w:name="_Toc98580395"/>
      <w:r>
        <w:rPr>
          <w:rFonts w:hint="eastAsia" w:asciiTheme="majorEastAsia" w:hAnsiTheme="majorEastAsia" w:eastAsiaTheme="majorEastAsia"/>
          <w:sz w:val="21"/>
          <w:szCs w:val="21"/>
          <w:highlight w:val="none"/>
        </w:rPr>
        <w:t>4.合格的</w:t>
      </w:r>
      <w:bookmarkEnd w:id="41"/>
      <w:r>
        <w:rPr>
          <w:rFonts w:hint="eastAsia" w:asciiTheme="majorEastAsia" w:hAnsiTheme="majorEastAsia" w:eastAsiaTheme="majorEastAsia"/>
          <w:sz w:val="21"/>
          <w:szCs w:val="21"/>
          <w:highlight w:val="none"/>
          <w:lang w:eastAsia="zh-CN"/>
        </w:rPr>
        <w:t>投标人</w:t>
      </w:r>
    </w:p>
    <w:p w14:paraId="67963091">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4.1合格</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必须符合</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须知前附表第12项下各项要求，并在投标时提供相应文件，若有遗漏或不符合要求均为资格审查不合格；</w:t>
      </w:r>
    </w:p>
    <w:p w14:paraId="3BDF4EF8">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4.2</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应仔细阅读招标文件的所有内容，按招标文件的要求提供投标文件，并保证所提供的全部资料的真实性，使其投标对招标文件做出实质性响应，否则，其投标将被拒绝。招标机构保留进一步要求</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补充提供有关材料的权利，拒绝补充材料或提供材料不真实，将被视为自动放弃投标资格。</w:t>
      </w:r>
    </w:p>
    <w:p w14:paraId="09F759F1">
      <w:pPr>
        <w:autoSpaceDN w:val="0"/>
        <w:adjustRightInd w:val="0"/>
        <w:snapToGrid w:val="0"/>
        <w:spacing w:line="360" w:lineRule="auto"/>
        <w:rPr>
          <w:rFonts w:asciiTheme="majorEastAsia" w:hAnsiTheme="majorEastAsia" w:eastAsiaTheme="majorEastAsia"/>
          <w:b/>
          <w:bCs/>
          <w:szCs w:val="21"/>
          <w:highlight w:val="none"/>
        </w:rPr>
      </w:pPr>
      <w:bookmarkStart w:id="42" w:name="_Toc98580402"/>
      <w:r>
        <w:rPr>
          <w:rFonts w:hint="eastAsia" w:asciiTheme="majorEastAsia" w:hAnsiTheme="majorEastAsia" w:eastAsiaTheme="majorEastAsia"/>
          <w:b/>
          <w:bCs/>
          <w:szCs w:val="21"/>
          <w:highlight w:val="none"/>
        </w:rPr>
        <w:t>5．投标费用</w:t>
      </w:r>
    </w:p>
    <w:p w14:paraId="4529C5E8">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应承担其在投标准备、编制、递交投标文件和签订合同协议书的整个过程中发生的一切费用而不论其投标结果如何。</w:t>
      </w:r>
    </w:p>
    <w:p w14:paraId="07F7804F">
      <w:pPr>
        <w:pStyle w:val="4"/>
        <w:autoSpaceDN w:val="0"/>
        <w:adjustRightInd w:val="0"/>
        <w:snapToGrid w:val="0"/>
        <w:spacing w:before="0" w:after="0" w:line="360" w:lineRule="auto"/>
        <w:jc w:val="center"/>
        <w:rPr>
          <w:rFonts w:asciiTheme="majorEastAsia" w:hAnsiTheme="majorEastAsia" w:eastAsiaTheme="majorEastAsia"/>
          <w:sz w:val="21"/>
          <w:szCs w:val="21"/>
          <w:highlight w:val="none"/>
        </w:rPr>
      </w:pPr>
      <w:bookmarkStart w:id="43" w:name="_Toc98580396"/>
      <w:r>
        <w:rPr>
          <w:rFonts w:hint="eastAsia" w:asciiTheme="majorEastAsia" w:hAnsiTheme="majorEastAsia" w:eastAsiaTheme="majorEastAsia"/>
          <w:sz w:val="21"/>
          <w:szCs w:val="21"/>
          <w:highlight w:val="none"/>
        </w:rPr>
        <w:t>B.招标文件说明</w:t>
      </w:r>
      <w:bookmarkEnd w:id="43"/>
    </w:p>
    <w:p w14:paraId="4BC77F03">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44" w:name="_Toc98580397"/>
      <w:r>
        <w:rPr>
          <w:rFonts w:hint="eastAsia" w:asciiTheme="majorEastAsia" w:hAnsiTheme="majorEastAsia" w:eastAsiaTheme="majorEastAsia"/>
          <w:sz w:val="21"/>
          <w:szCs w:val="21"/>
          <w:highlight w:val="none"/>
        </w:rPr>
        <w:t>6.招标文件</w:t>
      </w:r>
      <w:bookmarkEnd w:id="44"/>
    </w:p>
    <w:p w14:paraId="4E36464D">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招标文件用以阐明所需货物及服务、招标投标程序和投标文件格式。招标文件由以下部分组成：</w:t>
      </w:r>
    </w:p>
    <w:p w14:paraId="13E16053">
      <w:pPr>
        <w:autoSpaceDN w:val="0"/>
        <w:adjustRightInd w:val="0"/>
        <w:snapToGrid w:val="0"/>
        <w:spacing w:line="360" w:lineRule="auto"/>
        <w:ind w:firstLine="709"/>
        <w:rPr>
          <w:rFonts w:asciiTheme="majorEastAsia" w:hAnsiTheme="majorEastAsia" w:eastAsiaTheme="majorEastAsia"/>
          <w:szCs w:val="21"/>
          <w:highlight w:val="none"/>
        </w:rPr>
      </w:pPr>
      <w:bookmarkStart w:id="45" w:name="_Toc98580398"/>
      <w:r>
        <w:rPr>
          <w:rFonts w:hint="eastAsia" w:asciiTheme="majorEastAsia" w:hAnsiTheme="majorEastAsia" w:eastAsiaTheme="majorEastAsia"/>
          <w:szCs w:val="21"/>
          <w:highlight w:val="none"/>
        </w:rPr>
        <w:t>第一部分   招标公告</w:t>
      </w:r>
    </w:p>
    <w:p w14:paraId="0BF16448">
      <w:pPr>
        <w:autoSpaceDN w:val="0"/>
        <w:adjustRightInd w:val="0"/>
        <w:snapToGrid w:val="0"/>
        <w:spacing w:line="36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第二部分   </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须知</w:t>
      </w:r>
    </w:p>
    <w:p w14:paraId="4F6C2632">
      <w:pPr>
        <w:autoSpaceDN w:val="0"/>
        <w:adjustRightInd w:val="0"/>
        <w:snapToGrid w:val="0"/>
        <w:spacing w:line="36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第三部分   评标办法</w:t>
      </w:r>
    </w:p>
    <w:p w14:paraId="4D920E4F">
      <w:pPr>
        <w:autoSpaceDN w:val="0"/>
        <w:adjustRightInd w:val="0"/>
        <w:snapToGrid w:val="0"/>
        <w:spacing w:line="36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第四部分   采购需求</w:t>
      </w:r>
    </w:p>
    <w:p w14:paraId="6D03D7F6">
      <w:pPr>
        <w:autoSpaceDN w:val="0"/>
        <w:adjustRightInd w:val="0"/>
        <w:snapToGrid w:val="0"/>
        <w:spacing w:line="36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第五部分   合同条款及格式</w:t>
      </w:r>
    </w:p>
    <w:p w14:paraId="7EF2B392">
      <w:pPr>
        <w:pStyle w:val="20"/>
        <w:ind w:firstLine="380"/>
        <w:rPr>
          <w:rFonts w:eastAsiaTheme="majorEastAsia"/>
          <w:highlight w:val="none"/>
        </w:rPr>
      </w:pPr>
      <w:r>
        <w:rPr>
          <w:rFonts w:hint="eastAsia" w:asciiTheme="majorEastAsia" w:hAnsiTheme="majorEastAsia" w:eastAsiaTheme="majorEastAsia"/>
          <w:szCs w:val="21"/>
          <w:highlight w:val="none"/>
        </w:rPr>
        <w:t xml:space="preserve">   第六不分  投标文件格式</w:t>
      </w:r>
    </w:p>
    <w:p w14:paraId="7C796B10">
      <w:pPr>
        <w:pStyle w:val="5"/>
        <w:autoSpaceDN w:val="0"/>
        <w:adjustRightInd w:val="0"/>
        <w:snapToGrid w:val="0"/>
        <w:spacing w:before="0" w:after="0"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7.招标文件的澄清</w:t>
      </w:r>
      <w:bookmarkEnd w:id="45"/>
    </w:p>
    <w:p w14:paraId="65C9363A">
      <w:pPr>
        <w:autoSpaceDN w:val="0"/>
        <w:adjustRightInd w:val="0"/>
        <w:snapToGrid w:val="0"/>
        <w:spacing w:line="360" w:lineRule="auto"/>
        <w:ind w:firstLine="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对本次招标文件的内容有疑问时，可要求澄清，但应在距投标截止日15日前，按</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w:t>
      </w:r>
    </w:p>
    <w:p w14:paraId="6479C5B7">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46" w:name="_Toc98580399"/>
      <w:r>
        <w:rPr>
          <w:rFonts w:hint="eastAsia" w:asciiTheme="majorEastAsia" w:hAnsiTheme="majorEastAsia" w:eastAsiaTheme="majorEastAsia"/>
          <w:sz w:val="21"/>
          <w:szCs w:val="21"/>
          <w:highlight w:val="none"/>
        </w:rPr>
        <w:t>8.招标文件的修改</w:t>
      </w:r>
      <w:bookmarkEnd w:id="46"/>
    </w:p>
    <w:p w14:paraId="5FBC4041">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8.1在投标截止时间前，招标机构可根据需要和（或）依据</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要求澄清的问题而修改招标文件，并以书面形式通知所有购买招标文件的</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在收到该通知后应立即以传真的形式予以确认；</w:t>
      </w:r>
    </w:p>
    <w:p w14:paraId="166E6681">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8.2 招标文件的修改书将构成招标文件的一部分，对</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具有同样的约束力。</w:t>
      </w:r>
    </w:p>
    <w:p w14:paraId="06D918DF">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8.3为使</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有足够的时间按招标文件的修改要求考虑修正投标文件，招标机构可酌情推迟投标的截止时间和开标时间，并以书面形式通知已购买招标文件的每一</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w:t>
      </w:r>
    </w:p>
    <w:p w14:paraId="1F44F8B3">
      <w:pPr>
        <w:pStyle w:val="4"/>
        <w:autoSpaceDN w:val="0"/>
        <w:adjustRightInd w:val="0"/>
        <w:snapToGrid w:val="0"/>
        <w:spacing w:before="0" w:after="0" w:line="360" w:lineRule="auto"/>
        <w:jc w:val="center"/>
        <w:rPr>
          <w:rFonts w:asciiTheme="majorEastAsia" w:hAnsiTheme="majorEastAsia" w:eastAsiaTheme="majorEastAsia"/>
          <w:sz w:val="21"/>
          <w:szCs w:val="21"/>
          <w:highlight w:val="none"/>
        </w:rPr>
      </w:pPr>
      <w:bookmarkStart w:id="47" w:name="_Toc98580400"/>
      <w:r>
        <w:rPr>
          <w:rFonts w:hint="eastAsia" w:asciiTheme="majorEastAsia" w:hAnsiTheme="majorEastAsia" w:eastAsiaTheme="majorEastAsia"/>
          <w:sz w:val="21"/>
          <w:szCs w:val="21"/>
          <w:highlight w:val="none"/>
        </w:rPr>
        <w:t>C投标文件的编写</w:t>
      </w:r>
      <w:bookmarkEnd w:id="47"/>
    </w:p>
    <w:p w14:paraId="0D7F138F">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48" w:name="_Toc98580401"/>
      <w:r>
        <w:rPr>
          <w:rFonts w:hint="eastAsia" w:asciiTheme="majorEastAsia" w:hAnsiTheme="majorEastAsia" w:eastAsiaTheme="majorEastAsia"/>
          <w:sz w:val="21"/>
          <w:szCs w:val="21"/>
          <w:highlight w:val="none"/>
        </w:rPr>
        <w:t>9.投标语言及计量单位</w:t>
      </w:r>
      <w:bookmarkEnd w:id="48"/>
    </w:p>
    <w:p w14:paraId="12CBDA50">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9.1投标文件及</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和招标机构就投标交换的文件和来往信件，以中文书写（专有名词除外）；</w:t>
      </w:r>
    </w:p>
    <w:p w14:paraId="24F019D6">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9.2除在招标文件的“技术要求”中另有规定外， 计量单位应使用中华人民共和国法定计量单位（国际单位制和国家选定的其他计量单位）。</w:t>
      </w:r>
    </w:p>
    <w:p w14:paraId="5AC7AF38">
      <w:pPr>
        <w:pStyle w:val="5"/>
        <w:autoSpaceDN w:val="0"/>
        <w:adjustRightInd w:val="0"/>
        <w:snapToGrid w:val="0"/>
        <w:spacing w:before="0" w:after="0"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10．投标文件的组成</w:t>
      </w:r>
      <w:bookmarkEnd w:id="42"/>
    </w:p>
    <w:p w14:paraId="5202A0AE">
      <w:pPr>
        <w:autoSpaceDN w:val="0"/>
        <w:adjustRightInd w:val="0"/>
        <w:snapToGrid w:val="0"/>
        <w:spacing w:line="360" w:lineRule="auto"/>
        <w:ind w:left="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详见第六部分：投标文件格式。</w:t>
      </w:r>
    </w:p>
    <w:p w14:paraId="7D2E3E1F">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49" w:name="_Toc98580403"/>
      <w:r>
        <w:rPr>
          <w:rFonts w:hint="eastAsia" w:asciiTheme="majorEastAsia" w:hAnsiTheme="majorEastAsia" w:eastAsiaTheme="majorEastAsia"/>
          <w:sz w:val="21"/>
          <w:szCs w:val="21"/>
          <w:highlight w:val="none"/>
        </w:rPr>
        <w:t>11.投标文件内容填写说明</w:t>
      </w:r>
      <w:bookmarkEnd w:id="49"/>
    </w:p>
    <w:p w14:paraId="3B9BDAF2">
      <w:pPr>
        <w:autoSpaceDN w:val="0"/>
        <w:adjustRightInd w:val="0"/>
        <w:snapToGrid w:val="0"/>
        <w:spacing w:line="36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11.1</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应严格按招标文件要求的内容逐项填写编制投标文件，有规定格式的按规定格式填写，无规定格式的由</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自拟，并胶装成册。</w:t>
      </w:r>
    </w:p>
    <w:p w14:paraId="13DB11AB">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11.2开标一览表为在开标仪式上唱标的内容，要求按格式填写、统一规范，不得自行增减内容。投标文件不得漏项或虚报，否则将可能导致其投标被拒绝。</w:t>
      </w:r>
    </w:p>
    <w:p w14:paraId="24A99EC1">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11.3 </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应保证其所提供文件的真实性，并应对招标文件的实质性要求作出完全响应，否则其投标可能被拒绝。</w:t>
      </w:r>
    </w:p>
    <w:p w14:paraId="4ABD96E2">
      <w:pPr>
        <w:autoSpaceDN w:val="0"/>
        <w:adjustRightInd w:val="0"/>
        <w:snapToGrid w:val="0"/>
        <w:spacing w:line="36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11.4</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视需要自行编制技术文件的补充附件。规格幅面应与正文一致，附于正文之后，与正文页码统一编目编码装订。</w:t>
      </w:r>
    </w:p>
    <w:p w14:paraId="6C809998">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50" w:name="_Toc98580404"/>
      <w:r>
        <w:rPr>
          <w:rFonts w:hint="eastAsia" w:asciiTheme="majorEastAsia" w:hAnsiTheme="majorEastAsia" w:eastAsiaTheme="majorEastAsia"/>
          <w:sz w:val="21"/>
          <w:szCs w:val="21"/>
          <w:highlight w:val="none"/>
        </w:rPr>
        <w:t>12.投标报价</w:t>
      </w:r>
      <w:bookmarkEnd w:id="50"/>
    </w:p>
    <w:p w14:paraId="2D69EE16">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12.1 所有投标均以人民币报价；</w:t>
      </w:r>
    </w:p>
    <w:p w14:paraId="5B1BDC65">
      <w:pPr>
        <w:autoSpaceDN w:val="0"/>
        <w:adjustRightInd w:val="0"/>
        <w:snapToGrid w:val="0"/>
        <w:spacing w:line="36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12.2</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应在填写分项报价表时注明各项单价、总价。如果单价与总价有出入，以单价为准。招标机构不接受有任何选择的报价；报价须有法人代表或授权代表签署。</w:t>
      </w:r>
    </w:p>
    <w:p w14:paraId="774F3FF3">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12.3</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应按上述12.1-12.3条款要求填写投标报价，以供评标委员会比较评价。</w:t>
      </w:r>
    </w:p>
    <w:p w14:paraId="42772292">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12.4</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因承包本项目需支付的一切费用，并包含在所报的单价或总额价内。</w:t>
      </w:r>
    </w:p>
    <w:p w14:paraId="77E4F976">
      <w:pPr>
        <w:autoSpaceDN w:val="0"/>
        <w:adjustRightInd w:val="0"/>
        <w:snapToGrid w:val="0"/>
        <w:spacing w:line="360" w:lineRule="auto"/>
        <w:rPr>
          <w:rFonts w:asciiTheme="majorEastAsia" w:hAnsiTheme="majorEastAsia" w:eastAsiaTheme="majorEastAsia"/>
          <w:b/>
          <w:bCs/>
          <w:szCs w:val="21"/>
          <w:highlight w:val="none"/>
        </w:rPr>
      </w:pPr>
      <w:bookmarkStart w:id="51" w:name="_Toc98580405"/>
      <w:r>
        <w:rPr>
          <w:rFonts w:hint="eastAsia" w:asciiTheme="majorEastAsia" w:hAnsiTheme="majorEastAsia" w:eastAsiaTheme="majorEastAsia"/>
          <w:b/>
          <w:bCs/>
          <w:szCs w:val="21"/>
          <w:highlight w:val="none"/>
        </w:rPr>
        <w:t>13.投标保证金</w:t>
      </w:r>
      <w:bookmarkEnd w:id="51"/>
      <w:r>
        <w:rPr>
          <w:rFonts w:hint="eastAsia" w:asciiTheme="majorEastAsia" w:hAnsiTheme="majorEastAsia" w:eastAsiaTheme="majorEastAsia"/>
          <w:b/>
          <w:bCs/>
          <w:szCs w:val="21"/>
          <w:highlight w:val="none"/>
        </w:rPr>
        <w:t>（如有）</w:t>
      </w:r>
    </w:p>
    <w:p w14:paraId="0518199E">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13.1投标保证金的形式：现金或现金支票、保兑支票、银行汇票及银行、专业担保公司、保险公司出具的保函等形式，以现金或支票形式提交的投标保证金应当从</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的基本账户转出。</w:t>
      </w:r>
    </w:p>
    <w:p w14:paraId="711D3D53">
      <w:pPr>
        <w:autoSpaceDN w:val="0"/>
        <w:adjustRightInd w:val="0"/>
        <w:snapToGrid w:val="0"/>
        <w:spacing w:line="360" w:lineRule="auto"/>
        <w:ind w:firstLine="420"/>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13.2投标保证金的金额：见</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须知前附表第20项</w:t>
      </w:r>
      <w:r>
        <w:rPr>
          <w:rFonts w:hint="eastAsia" w:asciiTheme="majorEastAsia" w:hAnsiTheme="majorEastAsia" w:eastAsiaTheme="majorEastAsia"/>
          <w:bCs/>
          <w:kern w:val="15"/>
          <w:szCs w:val="21"/>
          <w:highlight w:val="none"/>
        </w:rPr>
        <w:t xml:space="preserve">； </w:t>
      </w:r>
    </w:p>
    <w:p w14:paraId="363CA742">
      <w:pPr>
        <w:autoSpaceDN w:val="0"/>
        <w:adjustRightInd w:val="0"/>
        <w:snapToGrid w:val="0"/>
        <w:spacing w:line="360" w:lineRule="auto"/>
        <w:ind w:firstLine="420"/>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13.3递交方式：见</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须知前附表第20项</w:t>
      </w:r>
      <w:r>
        <w:rPr>
          <w:rFonts w:hint="eastAsia" w:asciiTheme="majorEastAsia" w:hAnsiTheme="majorEastAsia" w:eastAsiaTheme="majorEastAsia"/>
          <w:bCs/>
          <w:kern w:val="15"/>
          <w:szCs w:val="21"/>
          <w:highlight w:val="none"/>
        </w:rPr>
        <w:t>；</w:t>
      </w:r>
    </w:p>
    <w:p w14:paraId="790E6854">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13.4投标保证金用于保护本次招标免受因</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不履行投标承诺及合同等行为而引起的风险；</w:t>
      </w:r>
    </w:p>
    <w:p w14:paraId="03BE4722">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13.5未按13.1和13.2条款要求提交投标保证金的投标将被视为投标无效；</w:t>
      </w:r>
    </w:p>
    <w:p w14:paraId="5964118B">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13.6未中标</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的投标保证金将按25.2条规定予以无息退还；</w:t>
      </w:r>
    </w:p>
    <w:p w14:paraId="222223B8">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13.7中标人的投标保证金，在中标人交纳中标服务费后予以无息退还；</w:t>
      </w:r>
    </w:p>
    <w:p w14:paraId="0A84EB75">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13.8 发生下列情况之一，投标保证金将被没收：</w:t>
      </w:r>
    </w:p>
    <w:p w14:paraId="1C9C7592">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在提交响应文件截止时间后撤回响应文件的;</w:t>
      </w:r>
    </w:p>
    <w:p w14:paraId="3A876DEC">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在响应文件中提供虚假材料的;</w:t>
      </w:r>
    </w:p>
    <w:p w14:paraId="5331D72D">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（3）除因不可抗力或谈判文件、询价通知书认可的情形以外，成交</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不与采购人签订合同的;</w:t>
      </w:r>
    </w:p>
    <w:p w14:paraId="0B4E91B0">
      <w:pPr>
        <w:autoSpaceDN w:val="0"/>
        <w:adjustRightInd w:val="0"/>
        <w:snapToGrid w:val="0"/>
        <w:spacing w:line="360" w:lineRule="auto"/>
        <w:ind w:left="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与采购人、其他</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或者采购代理机构恶意串通的;</w:t>
      </w:r>
    </w:p>
    <w:p w14:paraId="018AA789">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（5）采购文件规定的其他情形。</w:t>
      </w:r>
    </w:p>
    <w:p w14:paraId="2215B643">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52" w:name="_Toc98580406"/>
      <w:r>
        <w:rPr>
          <w:rFonts w:hint="eastAsia" w:asciiTheme="majorEastAsia" w:hAnsiTheme="majorEastAsia" w:eastAsiaTheme="majorEastAsia"/>
          <w:sz w:val="21"/>
          <w:szCs w:val="21"/>
          <w:highlight w:val="none"/>
        </w:rPr>
        <w:t>14.投标有效期</w:t>
      </w:r>
      <w:bookmarkEnd w:id="52"/>
    </w:p>
    <w:p w14:paraId="676249B2">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14.1从开标之日起，投标有效期为90天。不能满足投标有效期的投标，将被拒绝；</w:t>
      </w:r>
    </w:p>
    <w:p w14:paraId="02A0C7C1">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14.2特殊情况下，招标机构可于投标有效期满之前要求</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延长投标有效期，这种要求和答复都应以书面、传真的形式进行。</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可以拒绝接受延期要求。同意延长有效期的</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不能修改投标文件。</w:t>
      </w:r>
      <w:r>
        <w:rPr>
          <w:rFonts w:hint="eastAsia" w:cs="Times New Roman" w:asciiTheme="majorEastAsia" w:hAnsiTheme="majorEastAsia" w:eastAsiaTheme="majorEastAsia"/>
          <w:szCs w:val="21"/>
          <w:highlight w:val="none"/>
          <w:lang w:eastAsia="zh-CN"/>
        </w:rPr>
        <w:t>投标人</w:t>
      </w:r>
      <w:r>
        <w:rPr>
          <w:rFonts w:hint="eastAsia" w:cs="Times New Roman" w:asciiTheme="majorEastAsia" w:hAnsiTheme="majorEastAsia" w:eastAsiaTheme="majorEastAsia"/>
          <w:szCs w:val="21"/>
          <w:highlight w:val="none"/>
        </w:rPr>
        <w:t>须对响应有效期的时间及涉及到的实质内容作出响应，并在投标文件内附加盖公章和法定代表人签字盖章的承诺书。</w:t>
      </w:r>
    </w:p>
    <w:p w14:paraId="519A6EFD">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53" w:name="_Toc98580407"/>
      <w:r>
        <w:rPr>
          <w:rFonts w:hint="eastAsia" w:asciiTheme="majorEastAsia" w:hAnsiTheme="majorEastAsia" w:eastAsiaTheme="majorEastAsia"/>
          <w:sz w:val="21"/>
          <w:szCs w:val="21"/>
          <w:highlight w:val="none"/>
        </w:rPr>
        <w:t>15.投标文件的签署及规定</w:t>
      </w:r>
      <w:bookmarkEnd w:id="53"/>
    </w:p>
    <w:p w14:paraId="16429B5C">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15.1 组成投标文件的各项资料均应遵守本须知第10条中所规定的内容。</w:t>
      </w:r>
    </w:p>
    <w:p w14:paraId="5AC5E89D">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15.2 </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应填写单位全称，同时加盖印章。</w:t>
      </w:r>
    </w:p>
    <w:p w14:paraId="37BF7E25">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15.3 投标文件必须由法人代表或法人授权代表签署。</w:t>
      </w:r>
    </w:p>
    <w:p w14:paraId="14C544FD">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15.4 投标文件正本一份和副本四份，如果正本与副本不符，以正本为准，电子版</w:t>
      </w:r>
      <w:r>
        <w:rPr>
          <w:rFonts w:hint="eastAsia" w:asciiTheme="majorEastAsia" w:hAnsiTheme="majorEastAsia" w:eastAsiaTheme="majorEastAsia"/>
          <w:szCs w:val="21"/>
          <w:highlight w:val="none"/>
          <w:lang w:val="en-US" w:eastAsia="zh-CN"/>
        </w:rPr>
        <w:t>一</w:t>
      </w:r>
      <w:r>
        <w:rPr>
          <w:rFonts w:hint="eastAsia" w:asciiTheme="majorEastAsia" w:hAnsiTheme="majorEastAsia" w:eastAsiaTheme="majorEastAsia"/>
          <w:szCs w:val="21"/>
          <w:highlight w:val="none"/>
        </w:rPr>
        <w:t>份（U盘形式）</w:t>
      </w:r>
    </w:p>
    <w:p w14:paraId="263305C4">
      <w:pPr>
        <w:autoSpaceDN w:val="0"/>
        <w:adjustRightInd w:val="0"/>
        <w:snapToGrid w:val="0"/>
        <w:spacing w:line="36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15.5 投标文件的正本必须用不褪色的墨水填写或打印，注明“正本”字样。</w:t>
      </w:r>
    </w:p>
    <w:p w14:paraId="3E4FA97F">
      <w:pPr>
        <w:autoSpaceDN w:val="0"/>
        <w:adjustRightInd w:val="0"/>
        <w:snapToGrid w:val="0"/>
        <w:spacing w:line="360" w:lineRule="auto"/>
        <w:ind w:firstLine="420"/>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15.6 每本</w:t>
      </w:r>
      <w:r>
        <w:rPr>
          <w:rFonts w:hint="eastAsia" w:asciiTheme="majorEastAsia" w:hAnsiTheme="majorEastAsia" w:eastAsiaTheme="majorEastAsia"/>
          <w:szCs w:val="21"/>
          <w:highlight w:val="none"/>
        </w:rPr>
        <w:t>投标文件</w:t>
      </w:r>
      <w:r>
        <w:rPr>
          <w:rFonts w:hint="eastAsia" w:asciiTheme="majorEastAsia" w:hAnsiTheme="majorEastAsia" w:eastAsiaTheme="majorEastAsia"/>
          <w:szCs w:val="21"/>
          <w:highlight w:val="none"/>
          <w:lang w:val="en-US" w:eastAsia="zh-CN"/>
        </w:rPr>
        <w:t>侧面必须加盖骑缝章</w:t>
      </w:r>
    </w:p>
    <w:p w14:paraId="49B7C95B">
      <w:pPr>
        <w:autoSpaceDN w:val="0"/>
        <w:adjustRightInd w:val="0"/>
        <w:snapToGrid w:val="0"/>
        <w:spacing w:line="36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w:t>
      </w:r>
      <w:r>
        <w:rPr>
          <w:rFonts w:hint="eastAsia" w:asciiTheme="majorEastAsia" w:hAnsiTheme="majorEastAsia" w:eastAsiaTheme="majorEastAsia"/>
          <w:szCs w:val="21"/>
          <w:highlight w:val="none"/>
          <w:lang w:val="en-US" w:eastAsia="zh-CN"/>
        </w:rPr>
        <w:t>7</w:t>
      </w:r>
      <w:r>
        <w:rPr>
          <w:rFonts w:hint="eastAsia" w:asciiTheme="majorEastAsia" w:hAnsiTheme="majorEastAsia" w:eastAsiaTheme="majorEastAsia"/>
          <w:szCs w:val="21"/>
          <w:highlight w:val="none"/>
        </w:rPr>
        <w:t xml:space="preserve"> 投标文件不得涂改和增删，如有修改错漏处，必须由同一签署人签字或盖章。</w:t>
      </w:r>
    </w:p>
    <w:p w14:paraId="2CBB49AB">
      <w:pPr>
        <w:autoSpaceDN w:val="0"/>
        <w:adjustRightInd w:val="0"/>
        <w:snapToGrid w:val="0"/>
        <w:spacing w:line="36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w:t>
      </w:r>
      <w:r>
        <w:rPr>
          <w:rFonts w:hint="eastAsia" w:asciiTheme="majorEastAsia" w:hAnsiTheme="majorEastAsia" w:eastAsiaTheme="majorEastAsia"/>
          <w:szCs w:val="21"/>
          <w:highlight w:val="none"/>
          <w:lang w:val="en-US" w:eastAsia="zh-CN"/>
        </w:rPr>
        <w:t>8</w:t>
      </w:r>
      <w:r>
        <w:rPr>
          <w:rFonts w:hint="eastAsia" w:asciiTheme="majorEastAsia" w:hAnsiTheme="majorEastAsia" w:eastAsiaTheme="majorEastAsia"/>
          <w:szCs w:val="21"/>
          <w:highlight w:val="none"/>
        </w:rPr>
        <w:t xml:space="preserve"> 投标文件因字迹潦草或表达不清所引起的后果由</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负责。</w:t>
      </w:r>
    </w:p>
    <w:p w14:paraId="76C66D6F">
      <w:pPr>
        <w:autoSpaceDN w:val="0"/>
        <w:adjustRightInd w:val="0"/>
        <w:snapToGrid w:val="0"/>
        <w:spacing w:line="36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w:t>
      </w:r>
      <w:r>
        <w:rPr>
          <w:rFonts w:hint="eastAsia" w:asciiTheme="majorEastAsia" w:hAnsiTheme="majorEastAsia" w:eastAsiaTheme="majorEastAsia"/>
          <w:szCs w:val="21"/>
          <w:highlight w:val="none"/>
          <w:lang w:val="en-US" w:eastAsia="zh-CN"/>
        </w:rPr>
        <w:t>9</w:t>
      </w:r>
      <w:r>
        <w:rPr>
          <w:rFonts w:hint="eastAsia" w:asciiTheme="majorEastAsia" w:hAnsiTheme="majorEastAsia" w:eastAsiaTheme="majorEastAsia"/>
          <w:szCs w:val="21"/>
          <w:highlight w:val="none"/>
        </w:rPr>
        <w:t>招标机构概不接受以电话、传真形式的投标。</w:t>
      </w:r>
    </w:p>
    <w:p w14:paraId="2D269058">
      <w:pPr>
        <w:pStyle w:val="4"/>
        <w:autoSpaceDN w:val="0"/>
        <w:adjustRightInd w:val="0"/>
        <w:snapToGrid w:val="0"/>
        <w:spacing w:before="0" w:after="0" w:line="360" w:lineRule="auto"/>
        <w:jc w:val="center"/>
        <w:rPr>
          <w:rFonts w:asciiTheme="majorEastAsia" w:hAnsiTheme="majorEastAsia" w:eastAsiaTheme="majorEastAsia"/>
          <w:sz w:val="21"/>
          <w:szCs w:val="21"/>
          <w:highlight w:val="none"/>
        </w:rPr>
      </w:pPr>
      <w:bookmarkStart w:id="54" w:name="_Toc98580408"/>
      <w:r>
        <w:rPr>
          <w:rFonts w:hint="eastAsia" w:asciiTheme="majorEastAsia" w:hAnsiTheme="majorEastAsia" w:eastAsiaTheme="majorEastAsia"/>
          <w:sz w:val="21"/>
          <w:szCs w:val="21"/>
          <w:highlight w:val="none"/>
        </w:rPr>
        <w:t>D投标文件的递交</w:t>
      </w:r>
      <w:bookmarkEnd w:id="54"/>
    </w:p>
    <w:p w14:paraId="10109E9D">
      <w:pPr>
        <w:pStyle w:val="5"/>
        <w:autoSpaceDN w:val="0"/>
        <w:adjustRightInd w:val="0"/>
        <w:snapToGrid w:val="0"/>
        <w:spacing w:before="0" w:after="0" w:line="360" w:lineRule="auto"/>
        <w:rPr>
          <w:rFonts w:hint="eastAsia" w:asciiTheme="majorEastAsia" w:hAnsiTheme="majorEastAsia" w:eastAsiaTheme="majorEastAsia"/>
          <w:sz w:val="21"/>
          <w:szCs w:val="21"/>
          <w:highlight w:val="none"/>
          <w:lang w:eastAsia="zh-CN"/>
        </w:rPr>
      </w:pPr>
      <w:bookmarkStart w:id="55" w:name="_Toc98580409"/>
      <w:r>
        <w:rPr>
          <w:rFonts w:hint="eastAsia" w:asciiTheme="majorEastAsia" w:hAnsiTheme="majorEastAsia" w:eastAsiaTheme="majorEastAsia"/>
          <w:sz w:val="21"/>
          <w:szCs w:val="21"/>
          <w:highlight w:val="none"/>
        </w:rPr>
        <w:t>16.投标文件的密封和标记</w:t>
      </w:r>
      <w:bookmarkEnd w:id="55"/>
      <w:r>
        <w:rPr>
          <w:rFonts w:hint="eastAsia" w:asciiTheme="majorEastAsia" w:hAnsiTheme="majorEastAsia" w:eastAsiaTheme="majorEastAsia"/>
          <w:sz w:val="21"/>
          <w:szCs w:val="21"/>
          <w:highlight w:val="none"/>
          <w:lang w:eastAsia="zh-CN"/>
        </w:rPr>
        <w:t>（</w:t>
      </w:r>
      <w:r>
        <w:rPr>
          <w:rFonts w:hint="eastAsia" w:asciiTheme="majorEastAsia" w:hAnsiTheme="majorEastAsia" w:eastAsiaTheme="majorEastAsia"/>
          <w:sz w:val="21"/>
          <w:szCs w:val="21"/>
          <w:highlight w:val="none"/>
          <w:lang w:val="en-US" w:eastAsia="zh-CN"/>
        </w:rPr>
        <w:t>如电子标不适用</w:t>
      </w:r>
      <w:r>
        <w:rPr>
          <w:rFonts w:hint="eastAsia" w:asciiTheme="majorEastAsia" w:hAnsiTheme="majorEastAsia" w:eastAsiaTheme="majorEastAsia"/>
          <w:sz w:val="21"/>
          <w:szCs w:val="21"/>
          <w:highlight w:val="none"/>
          <w:lang w:eastAsia="zh-CN"/>
        </w:rPr>
        <w:t>）</w:t>
      </w:r>
    </w:p>
    <w:p w14:paraId="2CAC2FFF">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16.1</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应将投标文件正本和副本分别密封，并标明招标编号、投标项目名称、</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名称及正本或副本等。封口骑缝处应加盖</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印章；投标文件电子版应单独密封。</w:t>
      </w:r>
    </w:p>
    <w:p w14:paraId="03B2727C">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16.2为了方便开标唱标，</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应将开标一览表单独密封，并在信封上标明“开标一览表”字样。</w:t>
      </w:r>
    </w:p>
    <w:p w14:paraId="5B566B02">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16.3每一密封信封上注明“</w:t>
      </w:r>
      <w:r>
        <w:rPr>
          <w:rFonts w:hint="eastAsia" w:asciiTheme="majorEastAsia" w:hAnsiTheme="majorEastAsia" w:eastAsiaTheme="majorEastAsia"/>
          <w:szCs w:val="21"/>
          <w:highlight w:val="none"/>
          <w:u w:val="single"/>
        </w:rPr>
        <w:t>于   年   月  日   时之前不准启封</w:t>
      </w:r>
      <w:r>
        <w:rPr>
          <w:rFonts w:hint="eastAsia" w:asciiTheme="majorEastAsia" w:hAnsiTheme="majorEastAsia" w:eastAsiaTheme="majorEastAsia"/>
          <w:szCs w:val="21"/>
          <w:highlight w:val="none"/>
        </w:rPr>
        <w:t>”的字样；</w:t>
      </w:r>
    </w:p>
    <w:p w14:paraId="0DADC04B">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16.4投标文件由专人送交，</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应将投标文件按16.1-16.3中的规定进行密封和标记后，按投标邀请注明的投标地址送至招标机构；</w:t>
      </w:r>
    </w:p>
    <w:p w14:paraId="665EEC9D">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16.5招标机构对投标文件的误投或未投标前提前拆封概不负责。</w:t>
      </w:r>
    </w:p>
    <w:p w14:paraId="15E7443E">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56" w:name="_Toc98580410"/>
      <w:r>
        <w:rPr>
          <w:rFonts w:hint="eastAsia" w:asciiTheme="majorEastAsia" w:hAnsiTheme="majorEastAsia" w:eastAsiaTheme="majorEastAsia"/>
          <w:sz w:val="21"/>
          <w:szCs w:val="21"/>
          <w:highlight w:val="none"/>
        </w:rPr>
        <w:t>17.递交投标文件的截止时间</w:t>
      </w:r>
      <w:bookmarkEnd w:id="56"/>
    </w:p>
    <w:p w14:paraId="537CE44C">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17.1所有投标文件都必须按照招标机构在投标邀请中规定的投标截止时间之前送至投标地点。</w:t>
      </w:r>
    </w:p>
    <w:p w14:paraId="28AF9953">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17.2 招标机构推迟投标截止时间时，应以书面(或传真)的形式，通知所有</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。在这种情况下，招标机构和</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的权利和义务将受到新的截止期的约束。</w:t>
      </w:r>
    </w:p>
    <w:p w14:paraId="5D929CD1">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17.3 在投标截止时间以后送达的投标文件，招标机构拒绝接收。</w:t>
      </w:r>
    </w:p>
    <w:p w14:paraId="68926CB4">
      <w:pPr>
        <w:pStyle w:val="5"/>
        <w:autoSpaceDN w:val="0"/>
        <w:adjustRightInd w:val="0"/>
        <w:snapToGrid w:val="0"/>
        <w:spacing w:before="0" w:after="0"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18.投标文件修改和撤销</w:t>
      </w:r>
    </w:p>
    <w:p w14:paraId="4690AF25">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18.1 投标以后，如果</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提出书面修改和撤标要求，在投标截止时间前送达招标机构者，招标机构可以予以接受。但不退还投标文件。</w:t>
      </w:r>
    </w:p>
    <w:p w14:paraId="44775F33">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18.2 </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修改投标文件的书面材料，须密封送达招标机构，同时应在封套上标明“修改投标文件(并注明招标编号)”和“开标时启封”字样。</w:t>
      </w:r>
    </w:p>
    <w:p w14:paraId="468BC2BF">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18.3 撤销投标应以书面(或传真)的形式通知招标机构。如采取传真形式撤回投标，随后必须补充有法人代表或授权代表签署的要求撤销投标的正式文件。撤销投标的时间以送达招标机构或邮电到达日戳为准。</w:t>
      </w:r>
    </w:p>
    <w:p w14:paraId="56DCBDE4">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18.4投标截止时间以后不得修改投标文件；</w:t>
      </w:r>
    </w:p>
    <w:p w14:paraId="4215FD7B">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18.5开标后</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不得撤回投标。</w:t>
      </w:r>
    </w:p>
    <w:p w14:paraId="1C1F0797">
      <w:pPr>
        <w:pStyle w:val="4"/>
        <w:autoSpaceDN w:val="0"/>
        <w:adjustRightInd w:val="0"/>
        <w:snapToGrid w:val="0"/>
        <w:spacing w:before="0" w:after="0" w:line="360" w:lineRule="auto"/>
        <w:jc w:val="center"/>
        <w:rPr>
          <w:rFonts w:asciiTheme="majorEastAsia" w:hAnsiTheme="majorEastAsia" w:eastAsiaTheme="majorEastAsia"/>
          <w:sz w:val="21"/>
          <w:szCs w:val="21"/>
          <w:highlight w:val="none"/>
        </w:rPr>
      </w:pPr>
      <w:bookmarkStart w:id="57" w:name="_Toc98580411"/>
      <w:r>
        <w:rPr>
          <w:rFonts w:hint="eastAsia" w:asciiTheme="majorEastAsia" w:hAnsiTheme="majorEastAsia" w:eastAsiaTheme="majorEastAsia"/>
          <w:sz w:val="21"/>
          <w:szCs w:val="21"/>
          <w:highlight w:val="none"/>
        </w:rPr>
        <w:t>E开标及评标</w:t>
      </w:r>
      <w:bookmarkEnd w:id="57"/>
    </w:p>
    <w:p w14:paraId="70CEDB5E">
      <w:pPr>
        <w:pStyle w:val="5"/>
        <w:numPr>
          <w:ilvl w:val="0"/>
          <w:numId w:val="3"/>
        </w:numPr>
        <w:autoSpaceDN w:val="0"/>
        <w:adjustRightInd w:val="0"/>
        <w:snapToGrid w:val="0"/>
        <w:spacing w:before="0" w:after="0" w:line="360" w:lineRule="auto"/>
        <w:rPr>
          <w:rFonts w:asciiTheme="majorEastAsia" w:hAnsiTheme="majorEastAsia" w:eastAsiaTheme="majorEastAsia"/>
          <w:sz w:val="21"/>
          <w:szCs w:val="21"/>
          <w:highlight w:val="none"/>
        </w:rPr>
      </w:pPr>
      <w:bookmarkStart w:id="58" w:name="_Toc98580412"/>
      <w:r>
        <w:rPr>
          <w:rFonts w:hint="eastAsia" w:asciiTheme="majorEastAsia" w:hAnsiTheme="majorEastAsia" w:eastAsiaTheme="majorEastAsia"/>
          <w:sz w:val="21"/>
          <w:szCs w:val="21"/>
          <w:highlight w:val="none"/>
        </w:rPr>
        <w:t>开标</w:t>
      </w:r>
      <w:bookmarkEnd w:id="58"/>
    </w:p>
    <w:p w14:paraId="258B8225">
      <w:pPr>
        <w:pStyle w:val="6"/>
        <w:autoSpaceDN w:val="0"/>
        <w:adjustRightInd w:val="0"/>
        <w:snapToGrid w:val="0"/>
        <w:spacing w:line="360" w:lineRule="auto"/>
        <w:ind w:firstLine="42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19.1</w:t>
      </w:r>
      <w:r>
        <w:rPr>
          <w:rFonts w:hint="eastAsia" w:asciiTheme="majorEastAsia" w:hAnsiTheme="majorEastAsia" w:eastAsiaTheme="majorEastAsia"/>
          <w:szCs w:val="21"/>
          <w:highlight w:val="none"/>
          <w:lang w:val="zh-CN"/>
        </w:rPr>
        <w:t>采购代理机构将在招标文件规定的时间和地点公开开标。投标人法定代表人或其授权代理人应参加并签名报到以证明其出席，并携带有效身份证件以备审查。</w:t>
      </w:r>
    </w:p>
    <w:p w14:paraId="242C4F57">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19.2采购代理机构按招标文件规定的时间、地点主持公开开标。开标仪式由采购代理机构主持，采购人代表及有关工作人员参加。</w:t>
      </w:r>
    </w:p>
    <w:p w14:paraId="1843415D">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19.3开标时由</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查验投标文件密封情况，确认无误后解密唱标。</w:t>
      </w:r>
    </w:p>
    <w:p w14:paraId="05EC1AB4">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19.4采购代理机构在开标仪式上，将公开唱出所有</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的“开标一览表”内容及投标声明，以及采购机构认为合适的其它内容并记录。</w:t>
      </w:r>
    </w:p>
    <w:p w14:paraId="1C83C478">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bookmarkStart w:id="59" w:name="_Toc98580413"/>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rPr>
        <w:t>9.5</w:t>
      </w:r>
      <w:r>
        <w:rPr>
          <w:rFonts w:hint="eastAsia" w:asciiTheme="majorEastAsia" w:hAnsiTheme="majorEastAsia" w:eastAsiaTheme="majorEastAsia"/>
          <w:szCs w:val="21"/>
          <w:highlight w:val="none"/>
          <w:lang w:val="zh-CN"/>
        </w:rPr>
        <w:t xml:space="preserve"> 开标时有下列情形之一的为无效投标：</w:t>
      </w:r>
    </w:p>
    <w:p w14:paraId="35ED74AC">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（1）投标文件在规定的投标截止时间以后送达的；</w:t>
      </w:r>
    </w:p>
    <w:p w14:paraId="45AA6059">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（2）未按招标文件规定提交投标保证金的；</w:t>
      </w:r>
    </w:p>
    <w:p w14:paraId="1DCA60E9">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（3）投标文件未按招标文件规定密封</w:t>
      </w:r>
      <w:r>
        <w:rPr>
          <w:rFonts w:hint="eastAsia" w:asciiTheme="majorEastAsia" w:hAnsiTheme="majorEastAsia" w:eastAsiaTheme="majorEastAsia"/>
          <w:szCs w:val="21"/>
          <w:highlight w:val="none"/>
          <w:lang w:val="en-US" w:eastAsia="zh-CN"/>
        </w:rPr>
        <w:t>及盖章</w:t>
      </w:r>
      <w:r>
        <w:rPr>
          <w:rFonts w:hint="eastAsia" w:asciiTheme="majorEastAsia" w:hAnsiTheme="majorEastAsia" w:eastAsiaTheme="majorEastAsia"/>
          <w:szCs w:val="21"/>
          <w:highlight w:val="none"/>
          <w:lang w:val="zh-CN"/>
        </w:rPr>
        <w:t>的；</w:t>
      </w:r>
    </w:p>
    <w:p w14:paraId="40E5FF1A">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（4）未提交单独密封的开标一览表或者开标一览表未按规定加盖公章和有效签署的；</w:t>
      </w:r>
    </w:p>
    <w:p w14:paraId="1CDE5A2E">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（5）招标文件规定开标时属于无效投标的其他情形。</w:t>
      </w:r>
    </w:p>
    <w:p w14:paraId="7814896C">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rPr>
        <w:t>9.6</w:t>
      </w:r>
      <w:r>
        <w:rPr>
          <w:rFonts w:hint="eastAsia" w:asciiTheme="majorEastAsia" w:hAnsiTheme="majorEastAsia" w:eastAsiaTheme="majorEastAsia"/>
          <w:szCs w:val="21"/>
          <w:highlight w:val="none"/>
          <w:lang w:val="zh-CN"/>
        </w:rPr>
        <w:t xml:space="preserve"> 开标时有下列情形之一的，采购代理机构有权宣布本项目招标失败：</w:t>
      </w:r>
    </w:p>
    <w:p w14:paraId="5A051BDA">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（1）交货时间符合招标文件要求的投标人不足三家的；</w:t>
      </w:r>
    </w:p>
    <w:p w14:paraId="41AE1D6B">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（2）所有投标人的报价均超过采购项目预算，采购单位不能支付的。</w:t>
      </w:r>
    </w:p>
    <w:p w14:paraId="3690CA53">
      <w:pPr>
        <w:pStyle w:val="5"/>
        <w:autoSpaceDN w:val="0"/>
        <w:adjustRightInd w:val="0"/>
        <w:snapToGrid w:val="0"/>
        <w:spacing w:before="0" w:after="0"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20.对投标文件的初审</w:t>
      </w:r>
      <w:bookmarkEnd w:id="59"/>
    </w:p>
    <w:p w14:paraId="5928E79F">
      <w:pPr>
        <w:autoSpaceDN w:val="0"/>
        <w:adjustRightInd w:val="0"/>
        <w:snapToGrid w:val="0"/>
        <w:spacing w:line="36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20.1 采购人根据招标项目特点组建评标委员会，由采购人从专家库中抽取的专家组成。 </w:t>
      </w:r>
    </w:p>
    <w:p w14:paraId="04024D3B">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5665B332">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20.2 初审中，对价格的计算错误按下述原则修正：</w:t>
      </w:r>
    </w:p>
    <w:p w14:paraId="1188431A">
      <w:pPr>
        <w:autoSpaceDN w:val="0"/>
        <w:adjustRightInd w:val="0"/>
        <w:snapToGrid w:val="0"/>
        <w:spacing w:line="36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1</w:t>
      </w:r>
      <w:r>
        <w:rPr>
          <w:rFonts w:hint="eastAsia" w:asciiTheme="majorEastAsia" w:hAnsiTheme="majorEastAsia" w:eastAsiaTheme="majorEastAsia"/>
          <w:szCs w:val="21"/>
          <w:highlight w:val="none"/>
          <w:lang w:val="zh-CN"/>
        </w:rPr>
        <w:t>）投标文件中开标一览表内容与投标文件中相应内容不一致的，以《开标一览表》的报价为准；</w:t>
      </w:r>
    </w:p>
    <w:p w14:paraId="6FC1272C">
      <w:pPr>
        <w:autoSpaceDN w:val="0"/>
        <w:adjustRightInd w:val="0"/>
        <w:snapToGrid w:val="0"/>
        <w:spacing w:line="36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2</w:t>
      </w:r>
      <w:r>
        <w:rPr>
          <w:rFonts w:hint="eastAsia" w:asciiTheme="majorEastAsia" w:hAnsiTheme="majorEastAsia" w:eastAsiaTheme="majorEastAsia"/>
          <w:szCs w:val="21"/>
          <w:highlight w:val="none"/>
          <w:lang w:val="zh-CN"/>
        </w:rPr>
        <w:t>）开标一览表内如果小写金额与大写金额不一致时，以大写金额为准；</w:t>
      </w:r>
    </w:p>
    <w:p w14:paraId="16C92211">
      <w:pPr>
        <w:autoSpaceDN w:val="0"/>
        <w:adjustRightInd w:val="0"/>
        <w:snapToGrid w:val="0"/>
        <w:spacing w:line="36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3</w:t>
      </w:r>
      <w:r>
        <w:rPr>
          <w:rFonts w:hint="eastAsia" w:asciiTheme="majorEastAsia" w:hAnsiTheme="majorEastAsia" w:eastAsiaTheme="majorEastAsia"/>
          <w:szCs w:val="21"/>
          <w:highlight w:val="none"/>
          <w:lang w:val="zh-CN"/>
        </w:rPr>
        <w:t>）如果总价金额与单价金额不一致，以单价金额为准。</w:t>
      </w:r>
    </w:p>
    <w:p w14:paraId="4AB6C7F4">
      <w:pPr>
        <w:autoSpaceDN w:val="0"/>
        <w:adjustRightInd w:val="0"/>
        <w:snapToGrid w:val="0"/>
        <w:spacing w:line="36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4</w:t>
      </w:r>
      <w:r>
        <w:rPr>
          <w:rFonts w:hint="eastAsia" w:asciiTheme="majorEastAsia" w:hAnsiTheme="majorEastAsia" w:eastAsiaTheme="majorEastAsia"/>
          <w:szCs w:val="21"/>
          <w:highlight w:val="none"/>
          <w:lang w:val="zh-CN"/>
        </w:rPr>
        <w:t>）除非单价有明显的小数点错位，此时应以该行标出的总额为准，并修改单价。</w:t>
      </w:r>
    </w:p>
    <w:p w14:paraId="0228D044">
      <w:pPr>
        <w:autoSpaceDN w:val="0"/>
        <w:adjustRightInd w:val="0"/>
        <w:snapToGrid w:val="0"/>
        <w:spacing w:line="360" w:lineRule="auto"/>
        <w:ind w:left="1" w:firstLine="420" w:firstLineChars="20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按上述原则调整后的价格为评标价，经投标人法定代表人或授权代理人签字确认后对投标人具有约束力。如果投标人不按照上述原则修正其投标报价及分项报价，则其投标将被拒绝。</w:t>
      </w:r>
    </w:p>
    <w:p w14:paraId="71827FD0">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20.3 与招标文件有重大偏离的投标文件将被视为具有非实质响应性的投标文件而被拒绝。</w:t>
      </w:r>
    </w:p>
    <w:p w14:paraId="6347827E">
      <w:pPr>
        <w:autoSpaceDN w:val="0"/>
        <w:adjustRightInd w:val="0"/>
        <w:snapToGrid w:val="0"/>
        <w:spacing w:line="360" w:lineRule="auto"/>
        <w:ind w:firstLine="420"/>
        <w:rPr>
          <w:rFonts w:asciiTheme="majorEastAsia" w:hAnsiTheme="majorEastAsia" w:eastAsiaTheme="majorEastAsia"/>
          <w:b/>
          <w:bCs/>
          <w:szCs w:val="21"/>
          <w:highlight w:val="none"/>
        </w:rPr>
      </w:pPr>
      <w:r>
        <w:rPr>
          <w:rFonts w:hint="eastAsia" w:asciiTheme="majorEastAsia" w:hAnsiTheme="majorEastAsia" w:eastAsiaTheme="majorEastAsia"/>
          <w:szCs w:val="21"/>
          <w:highlight w:val="none"/>
        </w:rPr>
        <w:t>20.4 投标有下列情况之一者，</w:t>
      </w:r>
      <w:r>
        <w:rPr>
          <w:rFonts w:hint="eastAsia" w:asciiTheme="majorEastAsia" w:hAnsiTheme="majorEastAsia" w:eastAsiaTheme="majorEastAsia"/>
          <w:bCs/>
          <w:szCs w:val="21"/>
          <w:highlight w:val="none"/>
        </w:rPr>
        <w:t>将被视为非实质性响应的投标而被拒绝：</w:t>
      </w:r>
    </w:p>
    <w:p w14:paraId="12B50683">
      <w:pPr>
        <w:numPr>
          <w:ilvl w:val="0"/>
          <w:numId w:val="4"/>
        </w:numPr>
        <w:tabs>
          <w:tab w:val="left" w:pos="686"/>
        </w:tabs>
        <w:autoSpaceDN w:val="0"/>
        <w:adjustRightInd w:val="0"/>
        <w:snapToGrid w:val="0"/>
        <w:spacing w:line="360" w:lineRule="auto"/>
        <w:ind w:left="420" w:hanging="420" w:hanging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资格条件及证明文件不符合招标文件要求的；</w:t>
      </w:r>
    </w:p>
    <w:p w14:paraId="64C423A1">
      <w:pPr>
        <w:numPr>
          <w:ilvl w:val="0"/>
          <w:numId w:val="4"/>
        </w:numPr>
        <w:tabs>
          <w:tab w:val="left" w:pos="686"/>
        </w:tabs>
        <w:autoSpaceDN w:val="0"/>
        <w:adjustRightInd w:val="0"/>
        <w:snapToGrid w:val="0"/>
        <w:spacing w:line="360" w:lineRule="auto"/>
        <w:ind w:left="0" w:firstLine="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投标文件无公章或无法定代表人签字，或签字人无法定代表人有效授权书的，或未按要求签字、盖公章的；</w:t>
      </w:r>
    </w:p>
    <w:p w14:paraId="01D87EDF">
      <w:pPr>
        <w:numPr>
          <w:ilvl w:val="0"/>
          <w:numId w:val="4"/>
        </w:numPr>
        <w:tabs>
          <w:tab w:val="left" w:pos="700"/>
        </w:tabs>
        <w:autoSpaceDN w:val="0"/>
        <w:adjustRightInd w:val="0"/>
        <w:snapToGrid w:val="0"/>
        <w:spacing w:line="360" w:lineRule="auto"/>
        <w:ind w:left="420" w:hanging="420" w:hanging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不能满足投标有效期的；</w:t>
      </w:r>
    </w:p>
    <w:p w14:paraId="10721827">
      <w:pPr>
        <w:numPr>
          <w:ilvl w:val="0"/>
          <w:numId w:val="4"/>
        </w:numPr>
        <w:tabs>
          <w:tab w:val="left" w:pos="700"/>
        </w:tabs>
        <w:autoSpaceDN w:val="0"/>
        <w:adjustRightInd w:val="0"/>
        <w:snapToGrid w:val="0"/>
        <w:spacing w:line="360" w:lineRule="auto"/>
        <w:ind w:left="420" w:hanging="420" w:hanging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投标明显不符合技术规格、技术标准的要求；</w:t>
      </w:r>
    </w:p>
    <w:p w14:paraId="49768FD3">
      <w:pPr>
        <w:numPr>
          <w:ilvl w:val="0"/>
          <w:numId w:val="4"/>
        </w:numPr>
        <w:tabs>
          <w:tab w:val="left" w:pos="714"/>
        </w:tabs>
        <w:autoSpaceDN w:val="0"/>
        <w:adjustRightInd w:val="0"/>
        <w:snapToGrid w:val="0"/>
        <w:spacing w:line="360" w:lineRule="auto"/>
        <w:ind w:left="420" w:hanging="420" w:hanging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投标文件附有买方不能接受的条件；</w:t>
      </w:r>
    </w:p>
    <w:p w14:paraId="1FF5ADC5">
      <w:pPr>
        <w:numPr>
          <w:ilvl w:val="0"/>
          <w:numId w:val="4"/>
        </w:numPr>
        <w:tabs>
          <w:tab w:val="left" w:pos="714"/>
        </w:tabs>
        <w:autoSpaceDN w:val="0"/>
        <w:adjustRightInd w:val="0"/>
        <w:snapToGrid w:val="0"/>
        <w:spacing w:line="360" w:lineRule="auto"/>
        <w:ind w:left="420" w:hanging="420" w:hanging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投标报价超过采购预算的；</w:t>
      </w:r>
    </w:p>
    <w:p w14:paraId="58C2E897">
      <w:pPr>
        <w:numPr>
          <w:ilvl w:val="0"/>
          <w:numId w:val="4"/>
        </w:numPr>
        <w:tabs>
          <w:tab w:val="left" w:pos="714"/>
        </w:tabs>
        <w:autoSpaceDN w:val="0"/>
        <w:adjustRightInd w:val="0"/>
        <w:snapToGrid w:val="0"/>
        <w:spacing w:line="360" w:lineRule="auto"/>
        <w:ind w:left="420" w:hanging="420" w:hanging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未响应招标文件规定的其它实质性条款。</w:t>
      </w:r>
    </w:p>
    <w:p w14:paraId="376CDA3C">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60" w:name="_Toc98580414"/>
      <w:r>
        <w:rPr>
          <w:rFonts w:hint="eastAsia" w:asciiTheme="majorEastAsia" w:hAnsiTheme="majorEastAsia" w:eastAsiaTheme="majorEastAsia"/>
          <w:sz w:val="21"/>
          <w:szCs w:val="21"/>
          <w:highlight w:val="none"/>
        </w:rPr>
        <w:t>21.投标的澄清</w:t>
      </w:r>
      <w:bookmarkEnd w:id="60"/>
    </w:p>
    <w:p w14:paraId="2B2AF1EC">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21.1 招标机构有权就投标文件中含混之处向</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提出询问或澄清要求，或要求其补充某些材料。</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必须按照招标机构通知的时间、地点派技术和商务人员进行答疑和澄清。</w:t>
      </w:r>
    </w:p>
    <w:p w14:paraId="73AF326E">
      <w:pPr>
        <w:autoSpaceDN w:val="0"/>
        <w:adjustRightInd w:val="0"/>
        <w:snapToGrid w:val="0"/>
        <w:spacing w:line="360" w:lineRule="auto"/>
        <w:ind w:firstLine="420"/>
        <w:textAlignment w:val="baseline"/>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21.2 </w:t>
      </w:r>
      <w:r>
        <w:rPr>
          <w:rFonts w:hint="eastAsia" w:asciiTheme="majorEastAsia" w:hAnsiTheme="majorEastAsia" w:eastAsiaTheme="majorEastAsia"/>
          <w:szCs w:val="21"/>
          <w:highlight w:val="none"/>
          <w:lang w:val="zh-CN"/>
        </w:rPr>
        <w:t>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63558354">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61" w:name="_Toc98580415"/>
      <w:bookmarkStart w:id="62" w:name="_Toc98580416"/>
      <w:r>
        <w:rPr>
          <w:rFonts w:hint="eastAsia" w:asciiTheme="majorEastAsia" w:hAnsiTheme="majorEastAsia" w:eastAsiaTheme="majorEastAsia"/>
          <w:sz w:val="21"/>
          <w:szCs w:val="21"/>
          <w:highlight w:val="none"/>
        </w:rPr>
        <w:t>22.评标</w:t>
      </w:r>
      <w:bookmarkEnd w:id="61"/>
    </w:p>
    <w:p w14:paraId="0BFD98DC">
      <w:pPr>
        <w:autoSpaceDE w:val="0"/>
        <w:autoSpaceDN w:val="0"/>
        <w:adjustRightInd w:val="0"/>
        <w:snapToGrid w:val="0"/>
        <w:spacing w:line="360" w:lineRule="auto"/>
        <w:ind w:firstLine="420"/>
        <w:textAlignment w:val="bottom"/>
        <w:rPr>
          <w:rFonts w:cs="Arial" w:asciiTheme="majorEastAsia" w:hAnsiTheme="majorEastAsia" w:eastAsiaTheme="majorEastAsia"/>
          <w:bCs/>
          <w:szCs w:val="21"/>
          <w:highlight w:val="none"/>
        </w:rPr>
      </w:pPr>
      <w:r>
        <w:rPr>
          <w:rFonts w:hint="eastAsia" w:cs="Arial" w:asciiTheme="majorEastAsia" w:hAnsiTheme="majorEastAsia" w:eastAsiaTheme="majorEastAsia"/>
          <w:bCs/>
          <w:szCs w:val="21"/>
          <w:highlight w:val="none"/>
        </w:rPr>
        <w:t>22.1 原则：对所有</w:t>
      </w:r>
      <w:r>
        <w:rPr>
          <w:rFonts w:hint="eastAsia" w:cs="Arial" w:asciiTheme="majorEastAsia" w:hAnsiTheme="majorEastAsia" w:eastAsiaTheme="majorEastAsia"/>
          <w:bCs/>
          <w:szCs w:val="21"/>
          <w:highlight w:val="none"/>
          <w:lang w:eastAsia="zh-CN"/>
        </w:rPr>
        <w:t>投标人</w:t>
      </w:r>
      <w:r>
        <w:rPr>
          <w:rFonts w:hint="eastAsia" w:cs="Arial" w:asciiTheme="majorEastAsia" w:hAnsiTheme="majorEastAsia" w:eastAsiaTheme="majorEastAsia"/>
          <w:bCs/>
          <w:szCs w:val="21"/>
          <w:highlight w:val="none"/>
        </w:rPr>
        <w:t>的投标评估，都采用相同的程序和标准。</w:t>
      </w:r>
    </w:p>
    <w:p w14:paraId="15597FFE">
      <w:pPr>
        <w:autoSpaceDE w:val="0"/>
        <w:autoSpaceDN w:val="0"/>
        <w:adjustRightInd w:val="0"/>
        <w:snapToGrid w:val="0"/>
        <w:spacing w:line="360" w:lineRule="auto"/>
        <w:ind w:firstLine="420"/>
        <w:textAlignment w:val="bottom"/>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22.2 标准：评标严格按照招标文件的要求和条件进行。</w:t>
      </w:r>
    </w:p>
    <w:p w14:paraId="3839BD95">
      <w:pPr>
        <w:tabs>
          <w:tab w:val="left" w:pos="475"/>
        </w:tabs>
        <w:autoSpaceDN w:val="0"/>
        <w:adjustRightInd w:val="0"/>
        <w:snapToGrid w:val="0"/>
        <w:spacing w:line="360" w:lineRule="auto"/>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ab/>
      </w:r>
      <w:r>
        <w:rPr>
          <w:rFonts w:hint="eastAsia" w:asciiTheme="majorEastAsia" w:hAnsiTheme="majorEastAsia" w:eastAsiaTheme="majorEastAsia"/>
          <w:szCs w:val="21"/>
          <w:highlight w:val="none"/>
          <w:lang w:val="zh-CN"/>
        </w:rPr>
        <w:t>22.</w:t>
      </w:r>
      <w:r>
        <w:rPr>
          <w:rFonts w:hint="eastAsia" w:asciiTheme="majorEastAsia" w:hAnsiTheme="majorEastAsia" w:eastAsiaTheme="majorEastAsia"/>
          <w:szCs w:val="21"/>
          <w:highlight w:val="none"/>
        </w:rPr>
        <w:t>3</w:t>
      </w:r>
      <w:r>
        <w:rPr>
          <w:rFonts w:hint="eastAsia" w:asciiTheme="majorEastAsia" w:hAnsiTheme="majorEastAsia" w:eastAsiaTheme="majorEastAsia"/>
          <w:szCs w:val="21"/>
          <w:highlight w:val="none"/>
          <w:lang w:val="zh-CN"/>
        </w:rPr>
        <w:t>本项目采用</w:t>
      </w:r>
      <w:bookmarkStart w:id="63" w:name="blank29_copy_1619578097000"/>
      <w:r>
        <w:rPr>
          <w:rFonts w:hint="eastAsia" w:asciiTheme="majorEastAsia" w:hAnsiTheme="majorEastAsia" w:eastAsiaTheme="majorEastAsia"/>
          <w:kern w:val="0"/>
          <w:sz w:val="20"/>
          <w:szCs w:val="20"/>
          <w:highlight w:val="none"/>
        </w:rPr>
        <w:t>综合评分法</w:t>
      </w:r>
      <w:bookmarkEnd w:id="63"/>
      <w:r>
        <w:rPr>
          <w:rFonts w:hint="eastAsia" w:asciiTheme="majorEastAsia" w:hAnsiTheme="majorEastAsia" w:eastAsiaTheme="majorEastAsia"/>
          <w:szCs w:val="21"/>
          <w:highlight w:val="none"/>
          <w:lang w:val="zh-CN"/>
        </w:rPr>
        <w:t>：</w:t>
      </w:r>
    </w:p>
    <w:p w14:paraId="58FEEA47">
      <w:pPr>
        <w:autoSpaceDN w:val="0"/>
        <w:adjustRightInd w:val="0"/>
        <w:snapToGrid w:val="0"/>
        <w:spacing w:line="360" w:lineRule="auto"/>
        <w:ind w:firstLine="420" w:firstLineChars="200"/>
        <w:textAlignment w:val="baseline"/>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zh-CN"/>
        </w:rPr>
        <w:t>评标委员会将按第三章规定的评审因素和标准，</w:t>
      </w:r>
      <w:r>
        <w:rPr>
          <w:rFonts w:hint="eastAsia" w:asciiTheme="majorEastAsia" w:hAnsiTheme="majorEastAsia" w:eastAsiaTheme="majorEastAsia"/>
          <w:szCs w:val="21"/>
          <w:highlight w:val="none"/>
        </w:rPr>
        <w:t>按评审后</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 xml:space="preserve">综合得分由高到低的顺序推荐中标候选人排序。 </w:t>
      </w:r>
    </w:p>
    <w:p w14:paraId="447233C5">
      <w:pPr>
        <w:pStyle w:val="5"/>
        <w:autoSpaceDN w:val="0"/>
        <w:adjustRightInd w:val="0"/>
        <w:snapToGrid w:val="0"/>
        <w:spacing w:before="0" w:after="0"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23.评标过程保密</w:t>
      </w:r>
      <w:bookmarkEnd w:id="62"/>
    </w:p>
    <w:p w14:paraId="6184C2BC">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23.1有关投标文件的审查、澄清、评估和比较以及有关授予合同意向的一切情况均不得透露给任一</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或与上述评标工作无关的人员；</w:t>
      </w:r>
    </w:p>
    <w:p w14:paraId="3C2E494B">
      <w:pPr>
        <w:autoSpaceDN w:val="0"/>
        <w:adjustRightInd w:val="0"/>
        <w:snapToGrid w:val="0"/>
        <w:spacing w:line="360" w:lineRule="auto"/>
        <w:ind w:firstLine="420"/>
        <w:rPr>
          <w:rFonts w:asciiTheme="majorEastAsia" w:hAnsiTheme="majorEastAsia" w:eastAsiaTheme="majorEastAsia"/>
          <w:b/>
          <w:bCs/>
          <w:szCs w:val="21"/>
          <w:highlight w:val="none"/>
        </w:rPr>
      </w:pPr>
      <w:r>
        <w:rPr>
          <w:rFonts w:hint="eastAsia" w:asciiTheme="majorEastAsia" w:hAnsiTheme="majorEastAsia" w:eastAsiaTheme="majorEastAsia"/>
          <w:szCs w:val="21"/>
          <w:highlight w:val="none"/>
        </w:rPr>
        <w:t>23.2在评标期间，</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企图影响招标方的任何活动，将导致投标被拒绝，并承担相应的法律责任。</w:t>
      </w:r>
    </w:p>
    <w:p w14:paraId="4E5C9FDB">
      <w:pPr>
        <w:autoSpaceDN w:val="0"/>
        <w:adjustRightInd w:val="0"/>
        <w:snapToGrid w:val="0"/>
        <w:spacing w:line="360" w:lineRule="auto"/>
        <w:jc w:val="center"/>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F 确定中标</w:t>
      </w:r>
    </w:p>
    <w:p w14:paraId="6BA460F7">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64" w:name="_Toc98580417"/>
      <w:r>
        <w:rPr>
          <w:rFonts w:hint="eastAsia" w:asciiTheme="majorEastAsia" w:hAnsiTheme="majorEastAsia" w:eastAsiaTheme="majorEastAsia"/>
          <w:sz w:val="21"/>
          <w:szCs w:val="21"/>
          <w:highlight w:val="none"/>
        </w:rPr>
        <w:t>24.最终审查</w:t>
      </w:r>
      <w:bookmarkEnd w:id="64"/>
    </w:p>
    <w:p w14:paraId="6C0108D7">
      <w:pPr>
        <w:autoSpaceDN w:val="0"/>
        <w:adjustRightInd w:val="0"/>
        <w:snapToGrid w:val="0"/>
        <w:spacing w:line="360" w:lineRule="auto"/>
        <w:ind w:left="29" w:leftChars="14" w:firstLine="41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24.1评标委员会按照招标文件确定的评标标准和方法，对投标文件进行评审，并提出书面评标报告，确定中标人。最终审查的对象是招标项目的合格的</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 xml:space="preserve">。 </w:t>
      </w:r>
    </w:p>
    <w:p w14:paraId="67D7A2A0">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24.2最终审查的内容是对合格的</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 xml:space="preserve">的财务状况、资格、信誉以及采购人认为有必要了解的其他问题作进一步的审查。  </w:t>
      </w:r>
    </w:p>
    <w:p w14:paraId="27B6B6A6">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24.3 接受最终审查的合格的</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，必须如实回答和受理采购人的询问或考查，并提供所需的有关资料。</w:t>
      </w:r>
    </w:p>
    <w:p w14:paraId="07D58FA5">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24.4评标委员会从合格的</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中评出中标人，并写出完整的评标报告。</w:t>
      </w:r>
    </w:p>
    <w:p w14:paraId="31F6BDBA">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65" w:name="_Toc98580418"/>
      <w:r>
        <w:rPr>
          <w:rFonts w:hint="eastAsia" w:asciiTheme="majorEastAsia" w:hAnsiTheme="majorEastAsia" w:eastAsiaTheme="majorEastAsia"/>
          <w:sz w:val="21"/>
          <w:szCs w:val="21"/>
          <w:highlight w:val="none"/>
        </w:rPr>
        <w:t>25.中标通知</w:t>
      </w:r>
      <w:bookmarkEnd w:id="65"/>
    </w:p>
    <w:p w14:paraId="74A32829">
      <w:pPr>
        <w:pStyle w:val="6"/>
        <w:autoSpaceDN w:val="0"/>
        <w:adjustRightInd w:val="0"/>
        <w:snapToGrid w:val="0"/>
        <w:spacing w:line="360" w:lineRule="auto"/>
        <w:ind w:firstLine="42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25.1在投标有效期内，</w:t>
      </w:r>
      <w:r>
        <w:rPr>
          <w:rFonts w:hint="eastAsia" w:asciiTheme="majorEastAsia" w:hAnsiTheme="majorEastAsia" w:eastAsiaTheme="majorEastAsia"/>
          <w:szCs w:val="21"/>
          <w:highlight w:val="none"/>
          <w:lang w:eastAsia="zh-CN"/>
        </w:rPr>
        <w:t>采购代理机构</w:t>
      </w:r>
      <w:r>
        <w:rPr>
          <w:rFonts w:hint="eastAsia" w:asciiTheme="majorEastAsia" w:hAnsiTheme="majorEastAsia" w:eastAsiaTheme="majorEastAsia"/>
          <w:szCs w:val="21"/>
          <w:highlight w:val="none"/>
        </w:rPr>
        <w:t>以书面形式通知所选定的中标人。通知也可以以传真的形式发出，但需要随以书面形式最终确认。</w:t>
      </w:r>
    </w:p>
    <w:p w14:paraId="27EB9FFA">
      <w:pPr>
        <w:pStyle w:val="6"/>
        <w:autoSpaceDN w:val="0"/>
        <w:adjustRightInd w:val="0"/>
        <w:snapToGrid w:val="0"/>
        <w:spacing w:line="360" w:lineRule="auto"/>
        <w:ind w:firstLine="42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25.2</w:t>
      </w:r>
      <w:r>
        <w:rPr>
          <w:rFonts w:hint="eastAsia" w:asciiTheme="majorEastAsia" w:hAnsiTheme="majorEastAsia" w:eastAsiaTheme="majorEastAsia"/>
          <w:szCs w:val="21"/>
          <w:highlight w:val="none"/>
          <w:lang w:val="zh-CN"/>
        </w:rPr>
        <w:t>采购代理机构将自中标通知书发出之日起5个工作日内退还未中标投标人的投标保证金，自政府采购合同签订之日起5个工作日内退还中标投标人的投标保证金。</w:t>
      </w:r>
    </w:p>
    <w:p w14:paraId="52308CA7">
      <w:pPr>
        <w:pStyle w:val="5"/>
        <w:autoSpaceDN w:val="0"/>
        <w:adjustRightInd w:val="0"/>
        <w:snapToGrid w:val="0"/>
        <w:spacing w:before="0" w:after="0"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26.签定合同</w:t>
      </w:r>
    </w:p>
    <w:p w14:paraId="3FABDEBD">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rPr>
        <w:t>6</w:t>
      </w:r>
      <w:r>
        <w:rPr>
          <w:rFonts w:hint="eastAsia" w:asciiTheme="majorEastAsia" w:hAnsiTheme="majorEastAsia" w:eastAsiaTheme="majorEastAsia"/>
          <w:szCs w:val="21"/>
          <w:highlight w:val="none"/>
          <w:lang w:val="zh-CN"/>
        </w:rPr>
        <w:t>.1中标通知书发出后，采购单位改变中标结果的，或者中标人放弃中标项目的，应当依法承担法律责任。</w:t>
      </w:r>
      <w:r>
        <w:rPr>
          <w:rFonts w:hint="eastAsia" w:asciiTheme="majorEastAsia" w:hAnsiTheme="majorEastAsia" w:eastAsiaTheme="majorEastAsia"/>
          <w:b w:val="0"/>
          <w:bCs w:val="0"/>
          <w:color w:val="auto"/>
          <w:szCs w:val="21"/>
          <w:highlight w:val="none"/>
          <w:lang w:val="zh-CN"/>
        </w:rPr>
        <w:t>投标人需在响应文件中附合同承诺书，承诺在与采购人签订合同时绝不推诿，应承担相应责任，对完全响应合同作出承诺，并加盖公章及法定代表人签字盖章，格式自拟。</w:t>
      </w:r>
    </w:p>
    <w:p w14:paraId="6AD99DA8">
      <w:pPr>
        <w:pStyle w:val="6"/>
        <w:autoSpaceDN w:val="0"/>
        <w:adjustRightInd w:val="0"/>
        <w:snapToGrid w:val="0"/>
        <w:spacing w:line="360" w:lineRule="auto"/>
        <w:ind w:firstLine="420"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rPr>
        <w:t>26</w:t>
      </w:r>
      <w:r>
        <w:rPr>
          <w:rFonts w:hint="eastAsia" w:asciiTheme="majorEastAsia" w:hAnsiTheme="majorEastAsia" w:eastAsiaTheme="majorEastAsia"/>
          <w:szCs w:val="21"/>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4508086B">
      <w:pPr>
        <w:pStyle w:val="6"/>
        <w:autoSpaceDN w:val="0"/>
        <w:adjustRightInd w:val="0"/>
        <w:snapToGrid w:val="0"/>
        <w:spacing w:line="360" w:lineRule="auto"/>
        <w:ind w:left="464" w:hanging="44"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rPr>
        <w:t>6</w:t>
      </w:r>
      <w:r>
        <w:rPr>
          <w:rFonts w:hint="eastAsia" w:asciiTheme="majorEastAsia" w:hAnsiTheme="majorEastAsia" w:eastAsiaTheme="majorEastAsia"/>
          <w:szCs w:val="21"/>
          <w:highlight w:val="none"/>
          <w:lang w:val="zh-CN"/>
        </w:rPr>
        <w:t>.3中标结果将在发布招标公告的同步网络媒介上公告，不再以书面方式通知未中标人。</w:t>
      </w:r>
    </w:p>
    <w:p w14:paraId="1C6AE30F">
      <w:pPr>
        <w:pStyle w:val="5"/>
        <w:autoSpaceDN w:val="0"/>
        <w:adjustRightInd w:val="0"/>
        <w:snapToGrid w:val="0"/>
        <w:spacing w:before="0" w:after="0" w:line="360" w:lineRule="auto"/>
        <w:rPr>
          <w:rFonts w:asciiTheme="majorEastAsia" w:hAnsiTheme="majorEastAsia" w:eastAsiaTheme="majorEastAsia"/>
          <w:sz w:val="21"/>
          <w:szCs w:val="21"/>
          <w:highlight w:val="none"/>
          <w:lang w:val="zh-CN"/>
        </w:rPr>
      </w:pPr>
      <w:r>
        <w:rPr>
          <w:rFonts w:hint="eastAsia" w:asciiTheme="majorEastAsia" w:hAnsiTheme="majorEastAsia" w:eastAsiaTheme="majorEastAsia"/>
          <w:sz w:val="21"/>
          <w:szCs w:val="21"/>
          <w:highlight w:val="none"/>
        </w:rPr>
        <w:t>27.</w:t>
      </w:r>
      <w:r>
        <w:rPr>
          <w:rFonts w:hint="eastAsia" w:asciiTheme="majorEastAsia" w:hAnsiTheme="majorEastAsia" w:eastAsiaTheme="majorEastAsia"/>
          <w:sz w:val="21"/>
          <w:szCs w:val="21"/>
          <w:highlight w:val="none"/>
          <w:lang w:val="zh-CN"/>
        </w:rPr>
        <w:t>履约保证金</w:t>
      </w:r>
    </w:p>
    <w:p w14:paraId="35632942">
      <w:pPr>
        <w:pStyle w:val="6"/>
        <w:autoSpaceDN w:val="0"/>
        <w:adjustRightInd w:val="0"/>
        <w:snapToGrid w:val="0"/>
        <w:spacing w:line="360" w:lineRule="auto"/>
        <w:ind w:firstLine="402"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中标人接到中标通知书与采购人签订协议前,向采购人缴纳履约保证金</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诚信记录良好的投标人免收履约担保金。</w:t>
      </w:r>
      <w:r>
        <w:rPr>
          <w:rFonts w:hint="eastAsia" w:asciiTheme="majorEastAsia" w:hAnsiTheme="majorEastAsia" w:eastAsiaTheme="majorEastAsia"/>
          <w:szCs w:val="21"/>
          <w:highlight w:val="none"/>
        </w:rPr>
        <w:t>协议履行完毕后依据采购方验收完成情况返还给成交</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。若出现任何违约情况，履约保证金全部扣收，并终止协议，造成损失的需另行支付赔偿。履约保证金缴纳标准详见投标须知前附表</w:t>
      </w:r>
    </w:p>
    <w:p w14:paraId="7A17EB52">
      <w:pPr>
        <w:pStyle w:val="5"/>
        <w:autoSpaceDN w:val="0"/>
        <w:adjustRightInd w:val="0"/>
        <w:snapToGrid w:val="0"/>
        <w:spacing w:before="0" w:after="0" w:line="360" w:lineRule="auto"/>
        <w:rPr>
          <w:rFonts w:asciiTheme="majorEastAsia" w:hAnsiTheme="majorEastAsia" w:eastAsiaTheme="majorEastAsia"/>
          <w:sz w:val="21"/>
          <w:szCs w:val="21"/>
          <w:highlight w:val="none"/>
          <w:lang w:val="zh-CN"/>
        </w:rPr>
      </w:pPr>
      <w:r>
        <w:rPr>
          <w:rFonts w:hint="eastAsia" w:asciiTheme="majorEastAsia" w:hAnsiTheme="majorEastAsia" w:eastAsiaTheme="majorEastAsia"/>
          <w:sz w:val="21"/>
          <w:szCs w:val="21"/>
          <w:highlight w:val="none"/>
          <w:lang w:val="zh-CN"/>
        </w:rPr>
        <w:t>2</w:t>
      </w:r>
      <w:r>
        <w:rPr>
          <w:rFonts w:hint="eastAsia" w:asciiTheme="majorEastAsia" w:hAnsiTheme="majorEastAsia" w:eastAsiaTheme="majorEastAsia"/>
          <w:sz w:val="21"/>
          <w:szCs w:val="21"/>
          <w:highlight w:val="none"/>
        </w:rPr>
        <w:t>8</w:t>
      </w:r>
      <w:r>
        <w:rPr>
          <w:rFonts w:hint="eastAsia" w:asciiTheme="majorEastAsia" w:hAnsiTheme="majorEastAsia" w:eastAsiaTheme="majorEastAsia"/>
          <w:sz w:val="21"/>
          <w:szCs w:val="21"/>
          <w:highlight w:val="none"/>
          <w:lang w:val="zh-CN"/>
        </w:rPr>
        <w:t>.保密和披露</w:t>
      </w:r>
    </w:p>
    <w:p w14:paraId="4F4CE533">
      <w:pPr>
        <w:pStyle w:val="6"/>
        <w:autoSpaceDN w:val="0"/>
        <w:adjustRightInd w:val="0"/>
        <w:snapToGrid w:val="0"/>
        <w:spacing w:line="360" w:lineRule="auto"/>
        <w:ind w:firstLine="420"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rPr>
        <w:t>8</w:t>
      </w:r>
      <w:r>
        <w:rPr>
          <w:rFonts w:hint="eastAsia" w:asciiTheme="majorEastAsia" w:hAnsiTheme="majorEastAsia" w:eastAsiaTheme="majorEastAsia"/>
          <w:szCs w:val="21"/>
          <w:highlight w:val="none"/>
          <w:lang w:val="zh-CN"/>
        </w:rPr>
        <w:t>.1采购代理机构有权将投标人提供的所有资料向其他政府部门或有关的非政府机构负责评审标书的人员或与评标有关的人员披露。</w:t>
      </w:r>
    </w:p>
    <w:p w14:paraId="315AAE60">
      <w:pPr>
        <w:pStyle w:val="6"/>
        <w:autoSpaceDN w:val="0"/>
        <w:adjustRightInd w:val="0"/>
        <w:snapToGrid w:val="0"/>
        <w:spacing w:line="360" w:lineRule="auto"/>
        <w:ind w:firstLine="420"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rPr>
        <w:t>28</w:t>
      </w:r>
      <w:r>
        <w:rPr>
          <w:rFonts w:hint="eastAsia" w:asciiTheme="majorEastAsia" w:hAnsiTheme="majorEastAsia" w:eastAsiaTheme="majorEastAsia"/>
          <w:szCs w:val="21"/>
          <w:highlight w:val="none"/>
          <w:lang w:val="zh-CN"/>
        </w:rPr>
        <w:t>.2在下列情形下：当发布中标公告和其它公告时，当国家机关调查、审查、审计时，以及在其他符合法律规定的情形下，采购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1F0AFF38">
      <w:pPr>
        <w:pStyle w:val="5"/>
        <w:autoSpaceDN w:val="0"/>
        <w:adjustRightInd w:val="0"/>
        <w:snapToGrid w:val="0"/>
        <w:spacing w:before="0" w:after="0" w:line="360" w:lineRule="auto"/>
        <w:rPr>
          <w:rFonts w:asciiTheme="majorEastAsia" w:hAnsiTheme="majorEastAsia" w:eastAsiaTheme="majorEastAsia"/>
          <w:sz w:val="21"/>
          <w:szCs w:val="21"/>
          <w:highlight w:val="none"/>
          <w:lang w:val="zh-CN"/>
        </w:rPr>
      </w:pPr>
      <w:r>
        <w:rPr>
          <w:rFonts w:hint="eastAsia" w:asciiTheme="majorEastAsia" w:hAnsiTheme="majorEastAsia" w:eastAsiaTheme="majorEastAsia"/>
          <w:sz w:val="21"/>
          <w:szCs w:val="21"/>
          <w:highlight w:val="none"/>
          <w:lang w:val="zh-CN"/>
        </w:rPr>
        <w:t>29、质疑和投诉</w:t>
      </w:r>
    </w:p>
    <w:p w14:paraId="5F2B394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29.1</w:t>
      </w:r>
      <w:r>
        <w:rPr>
          <w:rFonts w:hint="eastAsia" w:cs="宋体" w:asciiTheme="majorEastAsia" w:hAnsiTheme="majorEastAsia" w:eastAsiaTheme="majorEastAsia"/>
          <w:szCs w:val="21"/>
          <w:highlight w:val="none"/>
          <w:lang w:eastAsia="zh-CN"/>
        </w:rPr>
        <w:t>投标人</w:t>
      </w:r>
      <w:r>
        <w:rPr>
          <w:rFonts w:hint="eastAsia" w:cs="宋体" w:asciiTheme="majorEastAsia" w:hAnsiTheme="majorEastAsia" w:eastAsiaTheme="majorEastAsia"/>
          <w:szCs w:val="21"/>
          <w:highlight w:val="none"/>
        </w:rPr>
        <w:t>认为招标文件、招标过程和中标结果使自己的合法权益受到损害的，应当在知道或者应知其权益受到损害之日起七个工作日内，向招标方提出质疑。</w:t>
      </w:r>
      <w:r>
        <w:rPr>
          <w:rFonts w:hint="eastAsia" w:cs="宋体" w:asciiTheme="majorEastAsia" w:hAnsiTheme="majorEastAsia" w:eastAsiaTheme="majorEastAsia"/>
          <w:szCs w:val="21"/>
          <w:highlight w:val="none"/>
          <w:lang w:eastAsia="zh-CN"/>
        </w:rPr>
        <w:t>投标人</w:t>
      </w:r>
      <w:r>
        <w:rPr>
          <w:rFonts w:hint="eastAsia" w:cs="宋体" w:asciiTheme="majorEastAsia" w:hAnsiTheme="majorEastAsia" w:eastAsiaTheme="majorEastAsia"/>
          <w:szCs w:val="21"/>
          <w:highlight w:val="none"/>
        </w:rPr>
        <w:t>对</w:t>
      </w:r>
      <w:r>
        <w:rPr>
          <w:rFonts w:hint="eastAsia" w:cs="宋体" w:asciiTheme="majorEastAsia" w:hAnsiTheme="majorEastAsia" w:eastAsiaTheme="majorEastAsia"/>
          <w:szCs w:val="21"/>
          <w:highlight w:val="none"/>
          <w:lang w:eastAsia="zh-CN"/>
        </w:rPr>
        <w:t>采购代理机构</w:t>
      </w:r>
      <w:r>
        <w:rPr>
          <w:rFonts w:hint="eastAsia" w:cs="宋体" w:asciiTheme="majorEastAsia" w:hAnsiTheme="majorEastAsia" w:eastAsiaTheme="majorEastAsia"/>
          <w:szCs w:val="21"/>
          <w:highlight w:val="none"/>
        </w:rPr>
        <w:t>的质疑答复不满意或者</w:t>
      </w:r>
      <w:r>
        <w:rPr>
          <w:rFonts w:hint="eastAsia" w:cs="宋体" w:asciiTheme="majorEastAsia" w:hAnsiTheme="majorEastAsia" w:eastAsiaTheme="majorEastAsia"/>
          <w:szCs w:val="21"/>
          <w:highlight w:val="none"/>
          <w:lang w:eastAsia="zh-CN"/>
        </w:rPr>
        <w:t>采购代理机构</w:t>
      </w:r>
      <w:r>
        <w:rPr>
          <w:rFonts w:hint="eastAsia" w:cs="宋体" w:asciiTheme="majorEastAsia" w:hAnsiTheme="majorEastAsia" w:eastAsiaTheme="majorEastAsia"/>
          <w:szCs w:val="21"/>
          <w:highlight w:val="none"/>
        </w:rPr>
        <w:t>未在规定时间内作出答复的，可以在答复期满后十五个工作日内向同级采购监管部门投诉。</w:t>
      </w:r>
    </w:p>
    <w:p w14:paraId="5E74209D">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29.2质疑书、投诉书均应明确阐述招标文件、招标过程和中标结果中使自己合法权益受到损害的实质性内容，提供相关事实、依据和证据及其来源或线索，便于有关单位调查、答复和处理。</w:t>
      </w:r>
    </w:p>
    <w:p w14:paraId="25F549F2">
      <w:pPr>
        <w:rPr>
          <w:rFonts w:asciiTheme="majorEastAsia" w:hAnsiTheme="majorEastAsia" w:eastAsiaTheme="majorEastAsia"/>
          <w:highlight w:val="none"/>
        </w:rPr>
      </w:pPr>
      <w:bookmarkStart w:id="66" w:name="_Toc22071"/>
      <w:bookmarkStart w:id="67" w:name="_Toc48760973"/>
      <w:r>
        <w:rPr>
          <w:rFonts w:hint="eastAsia" w:asciiTheme="majorEastAsia" w:hAnsiTheme="majorEastAsia" w:eastAsiaTheme="majorEastAsia"/>
          <w:highlight w:val="none"/>
        </w:rPr>
        <w:br w:type="page"/>
      </w:r>
    </w:p>
    <w:p w14:paraId="152BAA79">
      <w:pPr>
        <w:pStyle w:val="3"/>
        <w:autoSpaceDN w:val="0"/>
        <w:adjustRightInd w:val="0"/>
        <w:snapToGrid w:val="0"/>
        <w:spacing w:before="0" w:after="0" w:line="36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第三部分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评标办法</w:t>
      </w:r>
      <w:bookmarkEnd w:id="66"/>
      <w:bookmarkEnd w:id="67"/>
    </w:p>
    <w:p w14:paraId="26AA9869">
      <w:pPr>
        <w:autoSpaceDN w:val="0"/>
        <w:adjustRightInd w:val="0"/>
        <w:snapToGrid w:val="0"/>
        <w:spacing w:line="360" w:lineRule="auto"/>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（本项目采用</w:t>
      </w:r>
      <w:bookmarkStart w:id="68" w:name="blank29_copy_1619578115000"/>
      <w:r>
        <w:rPr>
          <w:rFonts w:hint="eastAsia" w:asciiTheme="majorEastAsia" w:hAnsiTheme="majorEastAsia" w:eastAsiaTheme="majorEastAsia"/>
          <w:kern w:val="0"/>
          <w:szCs w:val="21"/>
          <w:highlight w:val="none"/>
        </w:rPr>
        <w:t>综合评分法</w:t>
      </w:r>
      <w:bookmarkEnd w:id="68"/>
      <w:r>
        <w:rPr>
          <w:rFonts w:hint="eastAsia" w:asciiTheme="majorEastAsia" w:hAnsiTheme="majorEastAsia" w:eastAsiaTheme="majorEastAsia"/>
          <w:szCs w:val="21"/>
          <w:highlight w:val="none"/>
        </w:rPr>
        <w:t>）</w:t>
      </w:r>
    </w:p>
    <w:p w14:paraId="5FF46630">
      <w:pPr>
        <w:autoSpaceDN w:val="0"/>
        <w:adjustRightInd w:val="0"/>
        <w:snapToGrid w:val="0"/>
        <w:spacing w:line="360" w:lineRule="auto"/>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评标办法</w:t>
      </w:r>
    </w:p>
    <w:p w14:paraId="4E22F1E9">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按照国家相关部门的规定，遵循公开、公平、公正和诚实信用的原则，结合本招标项目的实际情况，制定本招标项目评标办法。</w:t>
      </w:r>
    </w:p>
    <w:p w14:paraId="612D74CB">
      <w:pPr>
        <w:autoSpaceDN w:val="0"/>
        <w:adjustRightInd w:val="0"/>
        <w:snapToGrid w:val="0"/>
        <w:spacing w:before="156" w:after="156" w:line="360" w:lineRule="auto"/>
        <w:jc w:val="center"/>
        <w:outlineLvl w:val="1"/>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一、评 标 程 序</w:t>
      </w:r>
    </w:p>
    <w:p w14:paraId="689460CA">
      <w:pPr>
        <w:autoSpaceDN w:val="0"/>
        <w:adjustRightInd w:val="0"/>
        <w:snapToGrid w:val="0"/>
        <w:spacing w:before="156" w:after="156" w:line="360" w:lineRule="auto"/>
        <w:ind w:firstLine="422" w:firstLineChars="200"/>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（一）组成评标委员会</w:t>
      </w:r>
    </w:p>
    <w:p w14:paraId="38FA174C">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按照国家有关部委的相关规定，本项目由技术、经济等方面的专家组成评标委员会（以下简称“评委会”）。评标委员会共有5人组成，其中采购人代表0人，经济、技术专家5人。</w:t>
      </w:r>
    </w:p>
    <w:p w14:paraId="59D7F76B">
      <w:pPr>
        <w:keepNext/>
        <w:keepLines/>
        <w:autoSpaceDN w:val="0"/>
        <w:adjustRightInd w:val="0"/>
        <w:snapToGrid w:val="0"/>
        <w:spacing w:before="156" w:after="156" w:line="360" w:lineRule="auto"/>
        <w:ind w:firstLine="422" w:firstLineChars="200"/>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（二）评标工作</w:t>
      </w:r>
    </w:p>
    <w:p w14:paraId="5D1B99A7">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评标本着客观公正、公平竞争、择优推荐、规范合法的原则进行。评标工作分为资格审查、</w:t>
      </w:r>
      <w:r>
        <w:rPr>
          <w:rFonts w:hint="eastAsia" w:asciiTheme="majorEastAsia" w:hAnsiTheme="majorEastAsia" w:eastAsiaTheme="majorEastAsia"/>
          <w:bCs/>
          <w:szCs w:val="21"/>
          <w:highlight w:val="none"/>
          <w:lang w:val="en-US" w:eastAsia="zh-CN"/>
        </w:rPr>
        <w:t>符合性审查</w:t>
      </w:r>
      <w:r>
        <w:rPr>
          <w:rFonts w:hint="eastAsia" w:asciiTheme="majorEastAsia" w:hAnsiTheme="majorEastAsia" w:eastAsiaTheme="majorEastAsia"/>
          <w:bCs/>
          <w:szCs w:val="21"/>
          <w:highlight w:val="none"/>
        </w:rPr>
        <w:t>和详细评审三个步骤。</w:t>
      </w:r>
    </w:p>
    <w:p w14:paraId="6CCB7A55">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1.资格审查。采购人或代理机构对各</w:t>
      </w:r>
      <w:r>
        <w:rPr>
          <w:rFonts w:hint="eastAsia" w:asciiTheme="majorEastAsia" w:hAnsiTheme="majorEastAsia" w:eastAsiaTheme="majorEastAsia"/>
          <w:bCs/>
          <w:szCs w:val="21"/>
          <w:highlight w:val="none"/>
          <w:lang w:eastAsia="zh-CN"/>
        </w:rPr>
        <w:t>投标人</w:t>
      </w:r>
      <w:r>
        <w:rPr>
          <w:rFonts w:hint="eastAsia" w:asciiTheme="majorEastAsia" w:hAnsiTheme="majorEastAsia" w:eastAsiaTheme="majorEastAsia"/>
          <w:bCs/>
          <w:szCs w:val="21"/>
          <w:highlight w:val="none"/>
        </w:rPr>
        <w:t>的资格（包括资格审查表中信用查询部分）进行审查。资格审查合格的</w:t>
      </w:r>
      <w:r>
        <w:rPr>
          <w:rFonts w:hint="eastAsia" w:asciiTheme="majorEastAsia" w:hAnsiTheme="majorEastAsia" w:eastAsiaTheme="majorEastAsia"/>
          <w:bCs/>
          <w:szCs w:val="21"/>
          <w:highlight w:val="none"/>
          <w:lang w:eastAsia="zh-CN"/>
        </w:rPr>
        <w:t>投标人</w:t>
      </w:r>
      <w:r>
        <w:rPr>
          <w:rFonts w:hint="eastAsia" w:asciiTheme="majorEastAsia" w:hAnsiTheme="majorEastAsia" w:eastAsiaTheme="majorEastAsia"/>
          <w:bCs/>
          <w:szCs w:val="21"/>
          <w:highlight w:val="none"/>
        </w:rPr>
        <w:t>方可进入符合性审查。</w:t>
      </w:r>
    </w:p>
    <w:p w14:paraId="78192CDD">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2.符合性审查。评委会对</w:t>
      </w:r>
      <w:r>
        <w:rPr>
          <w:rFonts w:hint="eastAsia" w:asciiTheme="majorEastAsia" w:hAnsiTheme="majorEastAsia" w:eastAsiaTheme="majorEastAsia"/>
          <w:bCs/>
          <w:szCs w:val="21"/>
          <w:highlight w:val="none"/>
          <w:lang w:eastAsia="zh-CN"/>
        </w:rPr>
        <w:t>投标人</w:t>
      </w:r>
      <w:r>
        <w:rPr>
          <w:rFonts w:hint="eastAsia" w:asciiTheme="majorEastAsia" w:hAnsiTheme="majorEastAsia" w:eastAsiaTheme="majorEastAsia"/>
          <w:bCs/>
          <w:szCs w:val="21"/>
          <w:highlight w:val="none"/>
        </w:rPr>
        <w:t>的投标文件进行符合性鉴定。符合性审查合格的</w:t>
      </w:r>
      <w:r>
        <w:rPr>
          <w:rFonts w:hint="eastAsia" w:asciiTheme="majorEastAsia" w:hAnsiTheme="majorEastAsia" w:eastAsiaTheme="majorEastAsia"/>
          <w:bCs/>
          <w:szCs w:val="21"/>
          <w:highlight w:val="none"/>
          <w:lang w:eastAsia="zh-CN"/>
        </w:rPr>
        <w:t>投标人</w:t>
      </w:r>
      <w:r>
        <w:rPr>
          <w:rFonts w:hint="eastAsia" w:asciiTheme="majorEastAsia" w:hAnsiTheme="majorEastAsia" w:eastAsiaTheme="majorEastAsia"/>
          <w:bCs/>
          <w:szCs w:val="21"/>
          <w:highlight w:val="none"/>
        </w:rPr>
        <w:t>方可进入详细评审。</w:t>
      </w:r>
    </w:p>
    <w:p w14:paraId="6EE31892">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3.详细评审。详细评审采用综合评分法。评委依据评标办法分别对各</w:t>
      </w:r>
      <w:r>
        <w:rPr>
          <w:rFonts w:hint="eastAsia" w:asciiTheme="majorEastAsia" w:hAnsiTheme="majorEastAsia" w:eastAsiaTheme="majorEastAsia"/>
          <w:bCs/>
          <w:szCs w:val="21"/>
          <w:highlight w:val="none"/>
          <w:lang w:eastAsia="zh-CN"/>
        </w:rPr>
        <w:t>投标人</w:t>
      </w:r>
      <w:r>
        <w:rPr>
          <w:rFonts w:hint="eastAsia" w:asciiTheme="majorEastAsia" w:hAnsiTheme="majorEastAsia" w:eastAsiaTheme="majorEastAsia"/>
          <w:bCs/>
          <w:szCs w:val="21"/>
          <w:highlight w:val="none"/>
        </w:rPr>
        <w:t>的投标文件进行评审、赋分。</w:t>
      </w:r>
    </w:p>
    <w:p w14:paraId="3925CFA1">
      <w:pPr>
        <w:autoSpaceDN w:val="0"/>
        <w:adjustRightInd w:val="0"/>
        <w:snapToGrid w:val="0"/>
        <w:spacing w:before="156" w:after="156" w:line="360" w:lineRule="auto"/>
        <w:ind w:firstLine="422" w:firstLineChars="200"/>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（三）询标（必要时）</w:t>
      </w:r>
    </w:p>
    <w:p w14:paraId="5D29F83A">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评标委员会对投标文件需要澄清的问题，采用集体询标方式进行。</w:t>
      </w:r>
    </w:p>
    <w:p w14:paraId="37337DA3">
      <w:pPr>
        <w:autoSpaceDN w:val="0"/>
        <w:adjustRightInd w:val="0"/>
        <w:snapToGrid w:val="0"/>
        <w:spacing w:before="156" w:after="156" w:line="360" w:lineRule="auto"/>
        <w:ind w:firstLine="422" w:firstLineChars="200"/>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（四）确定中标候选人</w:t>
      </w:r>
    </w:p>
    <w:p w14:paraId="7A7CB780">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按最终综合得分由高到低的顺序推荐中标候选人3家，并确定中标人。</w:t>
      </w:r>
    </w:p>
    <w:p w14:paraId="7F49ACB6">
      <w:pPr>
        <w:autoSpaceDN w:val="0"/>
        <w:adjustRightInd w:val="0"/>
        <w:snapToGrid w:val="0"/>
        <w:spacing w:before="156" w:after="156" w:line="360" w:lineRule="auto"/>
        <w:ind w:firstLine="422" w:firstLineChars="200"/>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（五）评标报告</w:t>
      </w:r>
    </w:p>
    <w:p w14:paraId="5C7B5C7E">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评标工作结束时，评委会将本项目综合评审结果向采购人提交书面“评标报告”，各评委对评标报告内容讨论通过后，在“评标报告”上签字，对评标结果予以确认。</w:t>
      </w:r>
    </w:p>
    <w:p w14:paraId="149B5D55">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br w:type="page"/>
      </w:r>
    </w:p>
    <w:p w14:paraId="3A56B949">
      <w:pPr>
        <w:autoSpaceDN w:val="0"/>
        <w:adjustRightInd w:val="0"/>
        <w:snapToGrid w:val="0"/>
        <w:spacing w:before="156" w:after="156" w:line="360" w:lineRule="auto"/>
        <w:jc w:val="center"/>
        <w:outlineLvl w:val="1"/>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二、评 标 办 法</w:t>
      </w:r>
    </w:p>
    <w:p w14:paraId="1F75A903">
      <w:pPr>
        <w:autoSpaceDN w:val="0"/>
        <w:adjustRightInd w:val="0"/>
        <w:snapToGrid w:val="0"/>
        <w:spacing w:line="360" w:lineRule="auto"/>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（一）资格审查</w:t>
      </w:r>
    </w:p>
    <w:tbl>
      <w:tblPr>
        <w:tblStyle w:val="22"/>
        <w:tblW w:w="86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851"/>
        <w:gridCol w:w="5299"/>
      </w:tblGrid>
      <w:tr w14:paraId="2871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1477" w:type="dxa"/>
            <w:tcBorders>
              <w:top w:val="single" w:color="auto" w:sz="4" w:space="0"/>
              <w:bottom w:val="single" w:color="auto" w:sz="4" w:space="0"/>
              <w:right w:val="single" w:color="auto" w:sz="4" w:space="0"/>
            </w:tcBorders>
            <w:vAlign w:val="center"/>
          </w:tcPr>
          <w:p w14:paraId="4C13AB21">
            <w:pPr>
              <w:spacing w:line="300" w:lineRule="auto"/>
              <w:jc w:val="center"/>
              <w:rPr>
                <w:rFonts w:ascii="宋体" w:hAnsi="宋体"/>
                <w:b/>
                <w:szCs w:val="21"/>
                <w:highlight w:val="none"/>
              </w:rPr>
            </w:pPr>
            <w:r>
              <w:rPr>
                <w:rFonts w:ascii="宋体" w:hAnsi="宋体"/>
                <w:b/>
                <w:szCs w:val="21"/>
                <w:highlight w:val="none"/>
              </w:rPr>
              <w:t>条款号</w:t>
            </w:r>
          </w:p>
        </w:tc>
        <w:tc>
          <w:tcPr>
            <w:tcW w:w="1851" w:type="dxa"/>
            <w:tcBorders>
              <w:top w:val="single" w:color="auto" w:sz="4" w:space="0"/>
              <w:left w:val="single" w:color="auto" w:sz="4" w:space="0"/>
              <w:bottom w:val="single" w:color="auto" w:sz="4" w:space="0"/>
              <w:right w:val="single" w:color="auto" w:sz="4" w:space="0"/>
            </w:tcBorders>
            <w:vAlign w:val="center"/>
          </w:tcPr>
          <w:p w14:paraId="0B25BBBB">
            <w:pPr>
              <w:spacing w:line="300" w:lineRule="auto"/>
              <w:jc w:val="center"/>
              <w:rPr>
                <w:rFonts w:ascii="宋体" w:hAnsi="宋体"/>
                <w:b/>
                <w:szCs w:val="21"/>
                <w:highlight w:val="none"/>
              </w:rPr>
            </w:pPr>
            <w:r>
              <w:rPr>
                <w:rFonts w:ascii="宋体" w:hAnsi="宋体"/>
                <w:b/>
                <w:szCs w:val="21"/>
                <w:highlight w:val="none"/>
              </w:rPr>
              <w:t>评审因素</w:t>
            </w:r>
          </w:p>
        </w:tc>
        <w:tc>
          <w:tcPr>
            <w:tcW w:w="5299" w:type="dxa"/>
            <w:tcBorders>
              <w:top w:val="single" w:color="auto" w:sz="4" w:space="0"/>
              <w:left w:val="single" w:color="auto" w:sz="4" w:space="0"/>
              <w:bottom w:val="single" w:color="auto" w:sz="4" w:space="0"/>
              <w:right w:val="single" w:color="auto" w:sz="4" w:space="0"/>
            </w:tcBorders>
            <w:vAlign w:val="center"/>
          </w:tcPr>
          <w:p w14:paraId="4B01DEB6">
            <w:pPr>
              <w:spacing w:line="300" w:lineRule="auto"/>
              <w:jc w:val="center"/>
              <w:rPr>
                <w:rFonts w:ascii="宋体" w:hAnsi="宋体"/>
                <w:b/>
                <w:szCs w:val="21"/>
                <w:highlight w:val="none"/>
              </w:rPr>
            </w:pPr>
            <w:r>
              <w:rPr>
                <w:rFonts w:ascii="宋体" w:hAnsi="宋体"/>
                <w:b/>
                <w:szCs w:val="21"/>
                <w:highlight w:val="none"/>
              </w:rPr>
              <w:t>评审标准</w:t>
            </w:r>
          </w:p>
        </w:tc>
      </w:tr>
      <w:tr w14:paraId="40320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1" w:hRule="atLeast"/>
          <w:jc w:val="center"/>
        </w:trPr>
        <w:tc>
          <w:tcPr>
            <w:tcW w:w="1477" w:type="dxa"/>
            <w:vMerge w:val="restart"/>
            <w:tcBorders>
              <w:top w:val="single" w:color="auto" w:sz="4" w:space="0"/>
              <w:right w:val="single" w:color="auto" w:sz="4" w:space="0"/>
            </w:tcBorders>
            <w:vAlign w:val="center"/>
          </w:tcPr>
          <w:p w14:paraId="22A15259">
            <w:pPr>
              <w:spacing w:line="300" w:lineRule="auto"/>
              <w:jc w:val="center"/>
              <w:rPr>
                <w:rFonts w:ascii="宋体" w:hAnsi="宋体"/>
                <w:szCs w:val="21"/>
                <w:highlight w:val="none"/>
              </w:rPr>
            </w:pPr>
            <w:r>
              <w:rPr>
                <w:rFonts w:ascii="宋体" w:hAnsi="宋体"/>
                <w:szCs w:val="21"/>
                <w:highlight w:val="none"/>
              </w:rPr>
              <w:t>资格评审标准</w:t>
            </w:r>
          </w:p>
        </w:tc>
        <w:tc>
          <w:tcPr>
            <w:tcW w:w="1851" w:type="dxa"/>
            <w:tcBorders>
              <w:top w:val="single" w:color="auto" w:sz="4" w:space="0"/>
              <w:left w:val="single" w:color="auto" w:sz="4" w:space="0"/>
              <w:right w:val="single" w:color="auto" w:sz="4" w:space="0"/>
            </w:tcBorders>
            <w:vAlign w:val="center"/>
          </w:tcPr>
          <w:p w14:paraId="5B0F254E">
            <w:pPr>
              <w:spacing w:line="300" w:lineRule="auto"/>
              <w:jc w:val="center"/>
              <w:rPr>
                <w:rFonts w:ascii="宋体" w:hAnsi="宋体"/>
                <w:szCs w:val="21"/>
                <w:highlight w:val="none"/>
              </w:rPr>
            </w:pPr>
            <w:r>
              <w:rPr>
                <w:rFonts w:hint="eastAsia" w:ascii="宋体" w:hAnsi="宋体"/>
                <w:szCs w:val="21"/>
                <w:highlight w:val="none"/>
              </w:rPr>
              <w:t>营业执照</w:t>
            </w:r>
          </w:p>
        </w:tc>
        <w:tc>
          <w:tcPr>
            <w:tcW w:w="5299" w:type="dxa"/>
            <w:tcBorders>
              <w:top w:val="single" w:color="auto" w:sz="4" w:space="0"/>
              <w:left w:val="single" w:color="auto" w:sz="4" w:space="0"/>
              <w:bottom w:val="single" w:color="auto" w:sz="4" w:space="0"/>
              <w:right w:val="single" w:color="auto" w:sz="4" w:space="0"/>
            </w:tcBorders>
            <w:vAlign w:val="center"/>
          </w:tcPr>
          <w:p w14:paraId="73AE28C0">
            <w:pPr>
              <w:spacing w:line="300" w:lineRule="auto"/>
              <w:rPr>
                <w:rFonts w:hint="eastAsia" w:ascii="宋体" w:hAnsi="宋体" w:cs="宋体"/>
                <w:szCs w:val="21"/>
                <w:highlight w:val="none"/>
              </w:rPr>
            </w:pPr>
            <w:r>
              <w:rPr>
                <w:rFonts w:hint="eastAsia" w:ascii="宋体" w:hAnsi="宋体" w:cs="宋体"/>
                <w:szCs w:val="21"/>
                <w:highlight w:val="none"/>
              </w:rPr>
              <w:t>具备有效的营业执照。标书内附营业执照（副本）复印件并加盖公章。</w:t>
            </w:r>
          </w:p>
        </w:tc>
      </w:tr>
      <w:tr w14:paraId="66289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6422177E">
            <w:pPr>
              <w:spacing w:line="300" w:lineRule="auto"/>
              <w:jc w:val="center"/>
              <w:rPr>
                <w:rFonts w:ascii="宋体" w:hAnsi="宋体"/>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3B89DB75">
            <w:pPr>
              <w:spacing w:line="300" w:lineRule="auto"/>
              <w:jc w:val="center"/>
              <w:rPr>
                <w:rFonts w:ascii="宋体" w:hAnsi="宋体" w:cs="宋体"/>
                <w:szCs w:val="21"/>
                <w:highlight w:val="none"/>
              </w:rPr>
            </w:pPr>
            <w:r>
              <w:rPr>
                <w:rFonts w:hint="eastAsia" w:ascii="宋体" w:hAnsi="宋体" w:cs="宋体"/>
                <w:szCs w:val="21"/>
                <w:highlight w:val="none"/>
              </w:rPr>
              <w:t>财务要求</w:t>
            </w:r>
          </w:p>
        </w:tc>
        <w:tc>
          <w:tcPr>
            <w:tcW w:w="5299" w:type="dxa"/>
            <w:tcBorders>
              <w:top w:val="single" w:color="auto" w:sz="4" w:space="0"/>
              <w:left w:val="single" w:color="auto" w:sz="4" w:space="0"/>
              <w:bottom w:val="single" w:color="auto" w:sz="4" w:space="0"/>
              <w:right w:val="single" w:color="auto" w:sz="4" w:space="0"/>
            </w:tcBorders>
            <w:vAlign w:val="center"/>
          </w:tcPr>
          <w:p w14:paraId="06B85A32">
            <w:pPr>
              <w:spacing w:line="300" w:lineRule="auto"/>
              <w:rPr>
                <w:rFonts w:hint="eastAsia" w:ascii="宋体" w:hAnsi="宋体" w:cs="宋体"/>
                <w:szCs w:val="21"/>
                <w:highlight w:val="none"/>
              </w:rPr>
            </w:pPr>
            <w:r>
              <w:rPr>
                <w:rFonts w:hint="eastAsia" w:ascii="宋体" w:hAnsi="宋体" w:cs="宋体"/>
                <w:szCs w:val="21"/>
                <w:highlight w:val="none"/>
              </w:rPr>
              <w:t>近一年（2023年）的财务审计报告或财务报表或投标前三个月内</w:t>
            </w:r>
            <w:r>
              <w:rPr>
                <w:rFonts w:hint="eastAsia" w:ascii="宋体" w:hAnsi="宋体" w:cs="宋体"/>
                <w:szCs w:val="21"/>
                <w:highlight w:val="none"/>
                <w:lang w:eastAsia="zh-CN"/>
              </w:rPr>
              <w:t>投标人</w:t>
            </w:r>
            <w:r>
              <w:rPr>
                <w:rFonts w:hint="eastAsia" w:ascii="宋体" w:hAnsi="宋体" w:cs="宋体"/>
                <w:szCs w:val="21"/>
                <w:highlight w:val="none"/>
              </w:rPr>
              <w:t>开户银行出具的资信证明（除开具银行明确表示复印无效的，银行资信证明可以是复印件加盖本单位公章；资信证明要能证明</w:t>
            </w:r>
            <w:r>
              <w:rPr>
                <w:rFonts w:hint="eastAsia" w:ascii="宋体" w:hAnsi="宋体" w:cs="宋体"/>
                <w:szCs w:val="21"/>
                <w:highlight w:val="none"/>
                <w:lang w:eastAsia="zh-CN"/>
              </w:rPr>
              <w:t>投标人</w:t>
            </w:r>
            <w:r>
              <w:rPr>
                <w:rFonts w:hint="eastAsia" w:ascii="宋体" w:hAnsi="宋体" w:cs="宋体"/>
                <w:szCs w:val="21"/>
                <w:highlight w:val="none"/>
              </w:rPr>
              <w:t>的资信状况良好，往来帐款正常，无透支行为，存款证明无效）。</w:t>
            </w:r>
          </w:p>
        </w:tc>
      </w:tr>
      <w:tr w14:paraId="0F8BC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4" w:hRule="atLeast"/>
          <w:jc w:val="center"/>
        </w:trPr>
        <w:tc>
          <w:tcPr>
            <w:tcW w:w="1477" w:type="dxa"/>
            <w:vMerge w:val="continue"/>
            <w:tcBorders>
              <w:right w:val="single" w:color="auto" w:sz="4" w:space="0"/>
            </w:tcBorders>
            <w:vAlign w:val="center"/>
          </w:tcPr>
          <w:p w14:paraId="57FB6C97">
            <w:pPr>
              <w:spacing w:line="300" w:lineRule="auto"/>
              <w:jc w:val="center"/>
              <w:rPr>
                <w:rFonts w:ascii="宋体" w:hAnsi="宋体"/>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06638485">
            <w:pPr>
              <w:jc w:val="center"/>
              <w:rPr>
                <w:rFonts w:ascii="宋体" w:hAnsi="宋体" w:cs="宋体"/>
                <w:highlight w:val="none"/>
              </w:rPr>
            </w:pPr>
            <w:r>
              <w:rPr>
                <w:rFonts w:hint="eastAsia" w:ascii="宋体" w:hAnsi="宋体" w:cs="宋体"/>
                <w:highlight w:val="none"/>
              </w:rPr>
              <w:t>纳税及社保</w:t>
            </w:r>
          </w:p>
        </w:tc>
        <w:tc>
          <w:tcPr>
            <w:tcW w:w="5299" w:type="dxa"/>
            <w:tcBorders>
              <w:top w:val="single" w:color="auto" w:sz="4" w:space="0"/>
              <w:left w:val="single" w:color="auto" w:sz="4" w:space="0"/>
              <w:bottom w:val="single" w:color="auto" w:sz="4" w:space="0"/>
              <w:right w:val="single" w:color="auto" w:sz="4" w:space="0"/>
            </w:tcBorders>
            <w:vAlign w:val="center"/>
          </w:tcPr>
          <w:p w14:paraId="4FA3C507">
            <w:pPr>
              <w:spacing w:line="300" w:lineRule="auto"/>
              <w:rPr>
                <w:rFonts w:hint="eastAsia" w:ascii="宋体" w:hAnsi="宋体" w:cs="宋体"/>
                <w:szCs w:val="21"/>
                <w:highlight w:val="none"/>
              </w:rPr>
            </w:pPr>
            <w:r>
              <w:rPr>
                <w:rFonts w:hint="eastAsia" w:ascii="宋体" w:hAnsi="宋体" w:cs="宋体"/>
                <w:szCs w:val="21"/>
                <w:highlight w:val="none"/>
              </w:rPr>
              <w:t>提供2024年1月至今任意一个月纳税及社保缴费证明。（投标文件中附复印件加盖公章）</w:t>
            </w:r>
          </w:p>
        </w:tc>
      </w:tr>
      <w:tr w14:paraId="5065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4" w:hRule="atLeast"/>
          <w:jc w:val="center"/>
        </w:trPr>
        <w:tc>
          <w:tcPr>
            <w:tcW w:w="1477" w:type="dxa"/>
            <w:vMerge w:val="continue"/>
            <w:tcBorders>
              <w:right w:val="single" w:color="auto" w:sz="4" w:space="0"/>
            </w:tcBorders>
            <w:vAlign w:val="center"/>
          </w:tcPr>
          <w:p w14:paraId="213383A0">
            <w:pPr>
              <w:spacing w:line="300" w:lineRule="auto"/>
              <w:jc w:val="center"/>
              <w:rPr>
                <w:rFonts w:ascii="宋体" w:hAnsi="宋体"/>
                <w:szCs w:val="21"/>
                <w:highlight w:val="none"/>
              </w:rPr>
            </w:pPr>
          </w:p>
        </w:tc>
        <w:tc>
          <w:tcPr>
            <w:tcW w:w="1851" w:type="dxa"/>
            <w:tcBorders>
              <w:top w:val="single" w:color="auto" w:sz="4" w:space="0"/>
              <w:left w:val="single" w:color="auto" w:sz="4" w:space="0"/>
              <w:right w:val="single" w:color="auto" w:sz="4" w:space="0"/>
            </w:tcBorders>
            <w:vAlign w:val="center"/>
          </w:tcPr>
          <w:p w14:paraId="284D9746">
            <w:pPr>
              <w:spacing w:line="240" w:lineRule="auto"/>
              <w:jc w:val="center"/>
              <w:rPr>
                <w:rFonts w:hint="eastAsia" w:ascii="宋体" w:hAnsi="宋体" w:cs="宋体"/>
                <w:highlight w:val="none"/>
              </w:rPr>
            </w:pPr>
            <w:r>
              <w:rPr>
                <w:rFonts w:hint="eastAsia" w:ascii="Calibri" w:hAnsi="Calibri" w:eastAsia="宋体" w:cs="Times New Roman"/>
                <w:szCs w:val="21"/>
                <w:highlight w:val="none"/>
                <w:lang w:val="en-US" w:eastAsia="zh-CN"/>
              </w:rPr>
              <w:t>中小企业声明函</w:t>
            </w:r>
          </w:p>
        </w:tc>
        <w:tc>
          <w:tcPr>
            <w:tcW w:w="5299" w:type="dxa"/>
            <w:tcBorders>
              <w:top w:val="single" w:color="auto" w:sz="4" w:space="0"/>
              <w:left w:val="single" w:color="auto" w:sz="4" w:space="0"/>
              <w:bottom w:val="single" w:color="auto" w:sz="4" w:space="0"/>
              <w:right w:val="single" w:color="auto" w:sz="4" w:space="0"/>
            </w:tcBorders>
            <w:vAlign w:val="center"/>
          </w:tcPr>
          <w:p w14:paraId="2C2E393C">
            <w:pPr>
              <w:spacing w:line="240" w:lineRule="auto"/>
              <w:jc w:val="left"/>
              <w:rPr>
                <w:rFonts w:hint="eastAsia" w:ascii="宋体" w:hAnsi="宋体" w:cs="宋体"/>
                <w:szCs w:val="21"/>
                <w:highlight w:val="none"/>
              </w:rPr>
            </w:pPr>
            <w:r>
              <w:rPr>
                <w:rFonts w:hint="eastAsia"/>
                <w:szCs w:val="21"/>
                <w:highlight w:val="none"/>
                <w:lang w:val="en-US" w:eastAsia="zh-CN"/>
              </w:rPr>
              <w:t>提供</w:t>
            </w:r>
            <w:r>
              <w:rPr>
                <w:rFonts w:hint="eastAsia" w:ascii="Calibri" w:hAnsi="Calibri" w:eastAsia="宋体" w:cs="Times New Roman"/>
                <w:szCs w:val="21"/>
                <w:highlight w:val="none"/>
                <w:lang w:val="en-US" w:eastAsia="zh-CN"/>
              </w:rPr>
              <w:t>中小企业声明函</w:t>
            </w:r>
            <w:r>
              <w:rPr>
                <w:rFonts w:hint="eastAsia"/>
                <w:szCs w:val="21"/>
                <w:highlight w:val="none"/>
                <w:lang w:val="en-US" w:eastAsia="zh-CN"/>
              </w:rPr>
              <w:t>（复印件加盖公章 ）</w:t>
            </w:r>
          </w:p>
        </w:tc>
      </w:tr>
      <w:tr w14:paraId="7D3F5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bottom w:val="single" w:color="auto" w:sz="4" w:space="0"/>
              <w:right w:val="single" w:color="auto" w:sz="4" w:space="0"/>
            </w:tcBorders>
            <w:vAlign w:val="center"/>
          </w:tcPr>
          <w:p w14:paraId="18FBA763">
            <w:pPr>
              <w:spacing w:line="300" w:lineRule="auto"/>
              <w:jc w:val="center"/>
              <w:rPr>
                <w:rFonts w:ascii="宋体" w:hAnsi="宋体"/>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173C2918">
            <w:pPr>
              <w:spacing w:line="300" w:lineRule="auto"/>
              <w:jc w:val="center"/>
              <w:rPr>
                <w:rFonts w:ascii="宋体" w:hAnsi="宋体"/>
                <w:szCs w:val="21"/>
                <w:highlight w:val="none"/>
              </w:rPr>
            </w:pPr>
            <w:r>
              <w:rPr>
                <w:rFonts w:hint="eastAsia" w:ascii="宋体" w:hAnsi="宋体"/>
                <w:szCs w:val="21"/>
                <w:highlight w:val="none"/>
              </w:rPr>
              <w:t>信誉要求</w:t>
            </w:r>
          </w:p>
        </w:tc>
        <w:tc>
          <w:tcPr>
            <w:tcW w:w="5299" w:type="dxa"/>
            <w:tcBorders>
              <w:top w:val="single" w:color="auto" w:sz="4" w:space="0"/>
              <w:left w:val="single" w:color="auto" w:sz="4" w:space="0"/>
              <w:bottom w:val="single" w:color="auto" w:sz="4" w:space="0"/>
              <w:right w:val="single" w:color="auto" w:sz="4" w:space="0"/>
            </w:tcBorders>
            <w:vAlign w:val="center"/>
          </w:tcPr>
          <w:p w14:paraId="3245046B">
            <w:pPr>
              <w:spacing w:line="300" w:lineRule="auto"/>
              <w:rPr>
                <w:rFonts w:hint="eastAsia" w:ascii="宋体" w:hAnsi="宋体" w:cs="宋体"/>
                <w:szCs w:val="21"/>
                <w:highlight w:val="none"/>
              </w:rPr>
            </w:pPr>
            <w:r>
              <w:rPr>
                <w:rFonts w:hint="eastAsia" w:ascii="宋体" w:hAnsi="宋体" w:cs="宋体"/>
                <w:szCs w:val="21"/>
                <w:highlight w:val="none"/>
                <w:lang w:val="zh-CN"/>
              </w:rPr>
              <w:t>不接受被政府列入取消投标资格期间的企业或个人参加投标</w:t>
            </w:r>
            <w:r>
              <w:rPr>
                <w:rFonts w:hint="eastAsia" w:ascii="宋体" w:hAnsi="宋体" w:cs="宋体"/>
                <w:szCs w:val="21"/>
                <w:highlight w:val="none"/>
              </w:rPr>
              <w:t>，</w:t>
            </w:r>
            <w:r>
              <w:rPr>
                <w:rFonts w:hint="eastAsia" w:ascii="宋体" w:hAnsi="宋体" w:cs="宋体"/>
                <w:szCs w:val="21"/>
                <w:highlight w:val="none"/>
                <w:lang w:val="zh-CN"/>
              </w:rPr>
              <w:t>参加政府采购活动前3年内在经营活动中没有重大违法记录。标书内附由法定代表人签字和加盖公章的承诺书。</w:t>
            </w:r>
          </w:p>
        </w:tc>
      </w:tr>
    </w:tbl>
    <w:p w14:paraId="6B8F4ED7">
      <w:pPr>
        <w:autoSpaceDN w:val="0"/>
        <w:adjustRightInd w:val="0"/>
        <w:snapToGrid w:val="0"/>
        <w:spacing w:line="360" w:lineRule="auto"/>
        <w:ind w:firstLine="360" w:firstLineChars="200"/>
        <w:rPr>
          <w:rFonts w:asciiTheme="majorEastAsia" w:hAnsiTheme="majorEastAsia" w:eastAsiaTheme="majorEastAsia"/>
          <w:sz w:val="18"/>
          <w:szCs w:val="18"/>
          <w:highlight w:val="none"/>
        </w:rPr>
      </w:pPr>
    </w:p>
    <w:p w14:paraId="18394C7E">
      <w:pPr>
        <w:autoSpaceDN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注：（1）上述内容中有一项不合格，则资格审查不合格，不进入后续评审；</w:t>
      </w:r>
    </w:p>
    <w:p w14:paraId="3F09D00F">
      <w:pPr>
        <w:autoSpaceDN w:val="0"/>
        <w:adjustRightInd w:val="0"/>
        <w:snapToGrid w:val="0"/>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（2）公开招标采购项目开标结束后，采购人或采购代理机构应当依法对</w:t>
      </w:r>
      <w:r>
        <w:rPr>
          <w:rFonts w:hint="eastAsia" w:ascii="宋体" w:hAnsi="宋体" w:cs="宋体"/>
          <w:szCs w:val="21"/>
          <w:highlight w:val="none"/>
          <w:lang w:eastAsia="zh-CN"/>
        </w:rPr>
        <w:t>投标人</w:t>
      </w:r>
      <w:r>
        <w:rPr>
          <w:rFonts w:hint="eastAsia" w:ascii="宋体" w:hAnsi="宋体" w:cs="宋体"/>
          <w:szCs w:val="21"/>
          <w:highlight w:val="none"/>
        </w:rPr>
        <w:t>的资格进行审查。合格</w:t>
      </w:r>
      <w:r>
        <w:rPr>
          <w:rFonts w:hint="eastAsia" w:ascii="宋体" w:hAnsi="宋体" w:cs="宋体"/>
          <w:szCs w:val="21"/>
          <w:highlight w:val="none"/>
          <w:lang w:eastAsia="zh-CN"/>
        </w:rPr>
        <w:t>投标人</w:t>
      </w:r>
      <w:r>
        <w:rPr>
          <w:rFonts w:hint="eastAsia" w:ascii="宋体" w:hAnsi="宋体" w:cs="宋体"/>
          <w:szCs w:val="21"/>
          <w:highlight w:val="none"/>
        </w:rPr>
        <w:t>不足3家的，不得评标。</w:t>
      </w:r>
    </w:p>
    <w:p w14:paraId="70ACE5AA">
      <w:pPr>
        <w:autoSpaceDN w:val="0"/>
        <w:adjustRightInd w:val="0"/>
        <w:snapToGrid w:val="0"/>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（3）以上要求</w:t>
      </w:r>
      <w:r>
        <w:rPr>
          <w:rFonts w:hint="eastAsia" w:ascii="宋体" w:hAnsi="宋体" w:cs="宋体"/>
          <w:szCs w:val="21"/>
          <w:highlight w:val="none"/>
          <w:lang w:eastAsia="zh-CN"/>
        </w:rPr>
        <w:t>投标人</w:t>
      </w:r>
      <w:r>
        <w:rPr>
          <w:rFonts w:hint="eastAsia" w:ascii="宋体" w:hAnsi="宋体" w:cs="宋体"/>
          <w:szCs w:val="21"/>
          <w:highlight w:val="none"/>
        </w:rPr>
        <w:t>提供财务状况报告（表）或其基本开户银行出具的资信证明材料、依法缴纳税收和社保保障资金的证明材料。</w:t>
      </w:r>
      <w:r>
        <w:rPr>
          <w:rFonts w:hint="eastAsia" w:ascii="宋体" w:hAnsi="宋体" w:cs="宋体"/>
          <w:szCs w:val="21"/>
          <w:highlight w:val="none"/>
          <w:lang w:eastAsia="zh-CN"/>
        </w:rPr>
        <w:t>投标人</w:t>
      </w:r>
      <w:r>
        <w:rPr>
          <w:rFonts w:hint="eastAsia" w:ascii="宋体" w:hAnsi="宋体" w:cs="宋体"/>
          <w:szCs w:val="21"/>
          <w:highlight w:val="none"/>
        </w:rPr>
        <w:t>参加采购活动可提交反映其财务状况、依法缴纳税收和社保保障资金情况的资格条件承诺函（承诺函附后）。</w:t>
      </w:r>
    </w:p>
    <w:p w14:paraId="638A84C7">
      <w:pPr>
        <w:pStyle w:val="18"/>
        <w:spacing w:before="0" w:beforeAutospacing="0" w:after="0" w:afterAutospacing="0" w:line="360" w:lineRule="auto"/>
        <w:rPr>
          <w:rFonts w:ascii="宋体" w:hAnsi="宋体"/>
          <w:sz w:val="21"/>
          <w:szCs w:val="21"/>
          <w:highlight w:val="none"/>
        </w:rPr>
      </w:pPr>
      <w:r>
        <w:rPr>
          <w:rFonts w:hint="eastAsia" w:ascii="宋体" w:hAnsi="宋体"/>
          <w:sz w:val="21"/>
          <w:szCs w:val="21"/>
          <w:highlight w:val="none"/>
        </w:rPr>
        <w:t>以下情形不适用：</w:t>
      </w:r>
    </w:p>
    <w:p w14:paraId="231F0298">
      <w:pPr>
        <w:pStyle w:val="18"/>
        <w:spacing w:before="0" w:beforeAutospacing="0" w:after="0" w:afterAutospacing="0" w:line="360" w:lineRule="auto"/>
        <w:rPr>
          <w:rFonts w:ascii="宋体" w:hAnsi="宋体"/>
          <w:sz w:val="21"/>
          <w:szCs w:val="21"/>
          <w:highlight w:val="none"/>
        </w:rPr>
      </w:pPr>
      <w:r>
        <w:rPr>
          <w:rFonts w:hint="eastAsia" w:ascii="宋体" w:hAnsi="宋体"/>
          <w:sz w:val="21"/>
          <w:szCs w:val="21"/>
          <w:highlight w:val="none"/>
        </w:rPr>
        <w:t>1.被列入政府采购不良行为记录名单的，被禁止参加政府采购活动且尚在处罚有效期内的；</w:t>
      </w:r>
    </w:p>
    <w:p w14:paraId="14BBB253">
      <w:pPr>
        <w:pStyle w:val="18"/>
        <w:spacing w:before="0" w:beforeAutospacing="0" w:after="0" w:afterAutospacing="0" w:line="360" w:lineRule="auto"/>
        <w:rPr>
          <w:rFonts w:ascii="宋体" w:hAnsi="宋体"/>
          <w:sz w:val="21"/>
          <w:szCs w:val="21"/>
          <w:highlight w:val="none"/>
        </w:rPr>
      </w:pPr>
      <w:r>
        <w:rPr>
          <w:rFonts w:hint="eastAsia" w:ascii="宋体" w:hAnsi="宋体"/>
          <w:sz w:val="21"/>
          <w:szCs w:val="21"/>
          <w:highlight w:val="none"/>
        </w:rPr>
        <w:t>2.被有关部门列入失信被执行人、联合惩戒对象、严重违法失信行为记录等情形的；</w:t>
      </w:r>
    </w:p>
    <w:p w14:paraId="3ED97A51">
      <w:pPr>
        <w:pStyle w:val="18"/>
        <w:spacing w:before="0" w:beforeAutospacing="0" w:after="0" w:afterAutospacing="0" w:line="360" w:lineRule="auto"/>
        <w:rPr>
          <w:rFonts w:ascii="宋体" w:hAnsi="宋体"/>
          <w:sz w:val="21"/>
          <w:szCs w:val="21"/>
          <w:highlight w:val="none"/>
        </w:rPr>
      </w:pPr>
      <w:r>
        <w:rPr>
          <w:rFonts w:hint="eastAsia" w:ascii="宋体" w:hAnsi="宋体"/>
          <w:sz w:val="21"/>
          <w:szCs w:val="21"/>
          <w:highlight w:val="none"/>
        </w:rPr>
        <w:t>3.其他法律法规规定的不适用于资格条件信用承诺的情行。</w:t>
      </w:r>
    </w:p>
    <w:p w14:paraId="1D55CC7A">
      <w:pPr>
        <w:pStyle w:val="18"/>
        <w:spacing w:before="0" w:beforeAutospacing="0" w:after="0" w:afterAutospacing="0" w:line="360" w:lineRule="auto"/>
        <w:rPr>
          <w:rFonts w:ascii="宋体" w:hAnsi="宋体"/>
          <w:sz w:val="21"/>
          <w:szCs w:val="21"/>
          <w:highlight w:val="none"/>
        </w:rPr>
      </w:pPr>
    </w:p>
    <w:p w14:paraId="3779501B">
      <w:pPr>
        <w:rPr>
          <w:rFonts w:ascii="宋体" w:hAnsi="宋体" w:cs="宋体"/>
          <w:szCs w:val="21"/>
          <w:highlight w:val="none"/>
        </w:rPr>
      </w:pPr>
      <w:r>
        <w:rPr>
          <w:rFonts w:hint="eastAsia" w:ascii="宋体" w:hAnsi="宋体" w:cs="宋体"/>
          <w:szCs w:val="21"/>
          <w:highlight w:val="none"/>
        </w:rPr>
        <w:br w:type="page"/>
      </w:r>
    </w:p>
    <w:p w14:paraId="6D18196C">
      <w:pPr>
        <w:autoSpaceDN w:val="0"/>
        <w:adjustRightInd w:val="0"/>
        <w:snapToGrid w:val="0"/>
        <w:spacing w:line="360" w:lineRule="auto"/>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（二）符合性审查</w:t>
      </w:r>
    </w:p>
    <w:p w14:paraId="5992BBEC">
      <w:pPr>
        <w:autoSpaceDN w:val="0"/>
        <w:adjustRightInd w:val="0"/>
        <w:snapToGrid w:val="0"/>
        <w:spacing w:line="360" w:lineRule="auto"/>
        <w:jc w:val="center"/>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符合性审查表</w:t>
      </w:r>
    </w:p>
    <w:tbl>
      <w:tblPr>
        <w:tblStyle w:val="22"/>
        <w:tblW w:w="91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3"/>
        <w:gridCol w:w="1181"/>
        <w:gridCol w:w="1999"/>
        <w:gridCol w:w="4867"/>
      </w:tblGrid>
      <w:tr w14:paraId="752DA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2254" w:type="dxa"/>
            <w:gridSpan w:val="2"/>
            <w:tcBorders>
              <w:top w:val="single" w:color="auto" w:sz="4" w:space="0"/>
              <w:bottom w:val="single" w:color="auto" w:sz="4" w:space="0"/>
              <w:right w:val="single" w:color="auto" w:sz="4" w:space="0"/>
            </w:tcBorders>
            <w:vAlign w:val="center"/>
          </w:tcPr>
          <w:p w14:paraId="30EF9C42">
            <w:pPr>
              <w:spacing w:line="300" w:lineRule="auto"/>
              <w:jc w:val="center"/>
              <w:rPr>
                <w:rFonts w:ascii="宋体" w:hAnsi="宋体"/>
                <w:b/>
                <w:szCs w:val="21"/>
                <w:highlight w:val="none"/>
              </w:rPr>
            </w:pPr>
            <w:r>
              <w:rPr>
                <w:rFonts w:ascii="宋体" w:hAnsi="宋体"/>
                <w:b/>
                <w:szCs w:val="21"/>
                <w:highlight w:val="none"/>
              </w:rPr>
              <w:t>条款号</w:t>
            </w:r>
          </w:p>
        </w:tc>
        <w:tc>
          <w:tcPr>
            <w:tcW w:w="1999" w:type="dxa"/>
            <w:tcBorders>
              <w:top w:val="single" w:color="auto" w:sz="4" w:space="0"/>
              <w:left w:val="single" w:color="auto" w:sz="4" w:space="0"/>
              <w:bottom w:val="single" w:color="auto" w:sz="4" w:space="0"/>
              <w:right w:val="single" w:color="auto" w:sz="4" w:space="0"/>
            </w:tcBorders>
            <w:vAlign w:val="center"/>
          </w:tcPr>
          <w:p w14:paraId="6C228387">
            <w:pPr>
              <w:spacing w:line="300" w:lineRule="auto"/>
              <w:jc w:val="center"/>
              <w:rPr>
                <w:rFonts w:ascii="宋体" w:hAnsi="宋体"/>
                <w:b/>
                <w:szCs w:val="21"/>
                <w:highlight w:val="none"/>
              </w:rPr>
            </w:pPr>
            <w:r>
              <w:rPr>
                <w:rFonts w:ascii="宋体" w:hAnsi="宋体"/>
                <w:b/>
                <w:szCs w:val="21"/>
                <w:highlight w:val="none"/>
              </w:rPr>
              <w:t>评审因素</w:t>
            </w:r>
          </w:p>
        </w:tc>
        <w:tc>
          <w:tcPr>
            <w:tcW w:w="4867" w:type="dxa"/>
            <w:tcBorders>
              <w:top w:val="single" w:color="auto" w:sz="4" w:space="0"/>
              <w:left w:val="single" w:color="auto" w:sz="4" w:space="0"/>
              <w:bottom w:val="single" w:color="auto" w:sz="4" w:space="0"/>
              <w:right w:val="single" w:color="auto" w:sz="4" w:space="0"/>
            </w:tcBorders>
            <w:vAlign w:val="center"/>
          </w:tcPr>
          <w:p w14:paraId="78B0F8DC">
            <w:pPr>
              <w:spacing w:line="300" w:lineRule="auto"/>
              <w:jc w:val="center"/>
              <w:rPr>
                <w:rFonts w:ascii="宋体" w:hAnsi="宋体"/>
                <w:b/>
                <w:szCs w:val="21"/>
                <w:highlight w:val="none"/>
              </w:rPr>
            </w:pPr>
            <w:r>
              <w:rPr>
                <w:rFonts w:ascii="宋体" w:hAnsi="宋体"/>
                <w:b/>
                <w:szCs w:val="21"/>
                <w:highlight w:val="none"/>
              </w:rPr>
              <w:t>评审标准</w:t>
            </w:r>
          </w:p>
        </w:tc>
      </w:tr>
      <w:tr w14:paraId="6C8F9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1073" w:type="dxa"/>
            <w:vMerge w:val="restart"/>
            <w:tcBorders>
              <w:top w:val="single" w:color="auto" w:sz="4" w:space="0"/>
              <w:right w:val="single" w:color="auto" w:sz="4" w:space="0"/>
            </w:tcBorders>
            <w:vAlign w:val="center"/>
          </w:tcPr>
          <w:p w14:paraId="26D6840D">
            <w:pPr>
              <w:spacing w:line="300" w:lineRule="auto"/>
              <w:jc w:val="center"/>
              <w:rPr>
                <w:rFonts w:ascii="宋体" w:hAnsi="宋体"/>
                <w:szCs w:val="21"/>
                <w:highlight w:val="none"/>
              </w:rPr>
            </w:pPr>
            <w:r>
              <w:rPr>
                <w:rFonts w:ascii="宋体" w:hAnsi="宋体"/>
                <w:szCs w:val="21"/>
                <w:highlight w:val="none"/>
              </w:rPr>
              <w:t>2.</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2</w:t>
            </w:r>
          </w:p>
        </w:tc>
        <w:tc>
          <w:tcPr>
            <w:tcW w:w="1181" w:type="dxa"/>
            <w:vMerge w:val="restart"/>
            <w:tcBorders>
              <w:top w:val="single" w:color="auto" w:sz="4" w:space="0"/>
              <w:right w:val="single" w:color="auto" w:sz="4" w:space="0"/>
            </w:tcBorders>
            <w:vAlign w:val="center"/>
          </w:tcPr>
          <w:p w14:paraId="752846D6">
            <w:pPr>
              <w:spacing w:line="300" w:lineRule="auto"/>
              <w:jc w:val="center"/>
              <w:rPr>
                <w:rFonts w:ascii="宋体" w:hAnsi="宋体"/>
                <w:szCs w:val="21"/>
                <w:highlight w:val="none"/>
              </w:rPr>
            </w:pPr>
            <w:r>
              <w:rPr>
                <w:rFonts w:ascii="宋体" w:hAnsi="宋体"/>
                <w:szCs w:val="21"/>
                <w:highlight w:val="none"/>
              </w:rPr>
              <w:t>响应性</w:t>
            </w:r>
          </w:p>
          <w:p w14:paraId="1B15855F">
            <w:pPr>
              <w:spacing w:line="300" w:lineRule="auto"/>
              <w:jc w:val="center"/>
              <w:rPr>
                <w:rFonts w:ascii="宋体" w:hAnsi="宋体"/>
                <w:szCs w:val="21"/>
                <w:highlight w:val="none"/>
              </w:rPr>
            </w:pPr>
            <w:r>
              <w:rPr>
                <w:rFonts w:ascii="宋体" w:hAnsi="宋体"/>
                <w:szCs w:val="21"/>
                <w:highlight w:val="none"/>
              </w:rPr>
              <w:t>评审</w:t>
            </w:r>
          </w:p>
          <w:p w14:paraId="3FB251A9">
            <w:pPr>
              <w:spacing w:line="300" w:lineRule="auto"/>
              <w:jc w:val="center"/>
              <w:rPr>
                <w:rFonts w:ascii="宋体" w:hAnsi="宋体"/>
                <w:szCs w:val="21"/>
                <w:highlight w:val="none"/>
              </w:rPr>
            </w:pPr>
            <w:r>
              <w:rPr>
                <w:rFonts w:ascii="宋体" w:hAnsi="宋体"/>
                <w:szCs w:val="21"/>
                <w:highlight w:val="none"/>
              </w:rPr>
              <w:t>标准</w:t>
            </w:r>
          </w:p>
        </w:tc>
        <w:tc>
          <w:tcPr>
            <w:tcW w:w="1999" w:type="dxa"/>
            <w:tcBorders>
              <w:top w:val="single" w:color="auto" w:sz="4" w:space="0"/>
              <w:left w:val="single" w:color="auto" w:sz="4" w:space="0"/>
              <w:bottom w:val="single" w:color="auto" w:sz="4" w:space="0"/>
              <w:right w:val="single" w:color="auto" w:sz="4" w:space="0"/>
            </w:tcBorders>
            <w:vAlign w:val="center"/>
          </w:tcPr>
          <w:p w14:paraId="32CF6379">
            <w:pPr>
              <w:spacing w:line="300" w:lineRule="auto"/>
              <w:jc w:val="center"/>
              <w:rPr>
                <w:rFonts w:ascii="宋体" w:hAnsi="宋体"/>
                <w:szCs w:val="21"/>
                <w:highlight w:val="none"/>
              </w:rPr>
            </w:pPr>
            <w:r>
              <w:rPr>
                <w:rFonts w:hint="eastAsia" w:ascii="宋体" w:hAnsi="宋体"/>
                <w:szCs w:val="21"/>
                <w:highlight w:val="none"/>
              </w:rPr>
              <w:t>投标报价</w:t>
            </w:r>
          </w:p>
        </w:tc>
        <w:tc>
          <w:tcPr>
            <w:tcW w:w="4867" w:type="dxa"/>
            <w:tcBorders>
              <w:top w:val="single" w:color="auto" w:sz="4" w:space="0"/>
              <w:left w:val="single" w:color="auto" w:sz="4" w:space="0"/>
              <w:bottom w:val="single" w:color="auto" w:sz="4" w:space="0"/>
              <w:right w:val="single" w:color="auto" w:sz="4" w:space="0"/>
            </w:tcBorders>
            <w:vAlign w:val="center"/>
          </w:tcPr>
          <w:p w14:paraId="6F179D7E">
            <w:pPr>
              <w:spacing w:line="300" w:lineRule="auto"/>
              <w:rPr>
                <w:rFonts w:ascii="宋体" w:hAnsi="宋体"/>
                <w:szCs w:val="21"/>
                <w:highlight w:val="none"/>
              </w:rPr>
            </w:pPr>
            <w:r>
              <w:rPr>
                <w:rFonts w:hint="eastAsia" w:ascii="宋体" w:hAnsi="宋体"/>
                <w:szCs w:val="21"/>
                <w:highlight w:val="none"/>
              </w:rPr>
              <w:t>不超过采购预算</w:t>
            </w:r>
          </w:p>
        </w:tc>
      </w:tr>
      <w:tr w14:paraId="11BF5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1073" w:type="dxa"/>
            <w:vMerge w:val="continue"/>
            <w:tcBorders>
              <w:top w:val="single" w:color="auto" w:sz="4" w:space="0"/>
              <w:right w:val="single" w:color="auto" w:sz="4" w:space="0"/>
            </w:tcBorders>
            <w:vAlign w:val="center"/>
          </w:tcPr>
          <w:p w14:paraId="6D480E8D">
            <w:pPr>
              <w:spacing w:line="300" w:lineRule="auto"/>
              <w:jc w:val="center"/>
              <w:rPr>
                <w:rFonts w:ascii="宋体" w:hAnsi="宋体"/>
                <w:szCs w:val="21"/>
                <w:highlight w:val="none"/>
              </w:rPr>
            </w:pPr>
          </w:p>
        </w:tc>
        <w:tc>
          <w:tcPr>
            <w:tcW w:w="1181" w:type="dxa"/>
            <w:vMerge w:val="continue"/>
            <w:tcBorders>
              <w:top w:val="single" w:color="auto" w:sz="4" w:space="0"/>
              <w:right w:val="single" w:color="auto" w:sz="4" w:space="0"/>
            </w:tcBorders>
            <w:vAlign w:val="center"/>
          </w:tcPr>
          <w:p w14:paraId="5A73FB66">
            <w:pPr>
              <w:spacing w:line="300" w:lineRule="auto"/>
              <w:jc w:val="center"/>
              <w:rPr>
                <w:rFonts w:ascii="宋体" w:hAnsi="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0F8F54B6">
            <w:pPr>
              <w:spacing w:line="300" w:lineRule="auto"/>
              <w:jc w:val="center"/>
              <w:rPr>
                <w:rFonts w:ascii="宋体" w:hAnsi="宋体"/>
                <w:szCs w:val="21"/>
                <w:highlight w:val="none"/>
              </w:rPr>
            </w:pPr>
            <w:r>
              <w:rPr>
                <w:rFonts w:hint="eastAsia" w:asciiTheme="majorEastAsia" w:hAnsiTheme="majorEastAsia" w:eastAsiaTheme="majorEastAsia"/>
                <w:szCs w:val="21"/>
                <w:highlight w:val="none"/>
              </w:rPr>
              <w:t>采购内容</w:t>
            </w:r>
          </w:p>
        </w:tc>
        <w:tc>
          <w:tcPr>
            <w:tcW w:w="4867" w:type="dxa"/>
            <w:tcBorders>
              <w:top w:val="single" w:color="auto" w:sz="4" w:space="0"/>
              <w:left w:val="single" w:color="auto" w:sz="4" w:space="0"/>
              <w:bottom w:val="single" w:color="auto" w:sz="4" w:space="0"/>
              <w:right w:val="single" w:color="auto" w:sz="4" w:space="0"/>
            </w:tcBorders>
            <w:vAlign w:val="center"/>
          </w:tcPr>
          <w:p w14:paraId="02269FC3">
            <w:pPr>
              <w:rPr>
                <w:rFonts w:ascii="宋体" w:hAnsi="宋体"/>
                <w:szCs w:val="21"/>
                <w:highlight w:val="none"/>
              </w:rPr>
            </w:pPr>
            <w:r>
              <w:rPr>
                <w:rFonts w:ascii="宋体" w:hAnsi="宋体"/>
                <w:szCs w:val="21"/>
                <w:highlight w:val="none"/>
              </w:rPr>
              <w:t>符合第二章“</w:t>
            </w:r>
            <w:r>
              <w:rPr>
                <w:rFonts w:hint="eastAsia" w:ascii="宋体" w:hAnsi="宋体"/>
                <w:szCs w:val="21"/>
                <w:highlight w:val="none"/>
                <w:lang w:eastAsia="zh-CN"/>
              </w:rPr>
              <w:t>投标人</w:t>
            </w:r>
            <w:r>
              <w:rPr>
                <w:rFonts w:ascii="宋体" w:hAnsi="宋体"/>
                <w:szCs w:val="21"/>
                <w:highlight w:val="none"/>
              </w:rPr>
              <w:t>须知”</w:t>
            </w:r>
            <w:r>
              <w:rPr>
                <w:rFonts w:hint="eastAsia" w:asciiTheme="majorEastAsia" w:hAnsiTheme="majorEastAsia" w:eastAsiaTheme="majorEastAsia"/>
                <w:szCs w:val="21"/>
                <w:highlight w:val="none"/>
              </w:rPr>
              <w:t>采购内容</w:t>
            </w:r>
            <w:r>
              <w:rPr>
                <w:rFonts w:ascii="宋体" w:hAnsi="宋体"/>
                <w:szCs w:val="21"/>
                <w:highlight w:val="none"/>
              </w:rPr>
              <w:t>规定</w:t>
            </w:r>
          </w:p>
        </w:tc>
      </w:tr>
      <w:tr w14:paraId="0CA8A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73" w:type="dxa"/>
            <w:vMerge w:val="continue"/>
            <w:tcBorders>
              <w:right w:val="single" w:color="auto" w:sz="4" w:space="0"/>
            </w:tcBorders>
            <w:vAlign w:val="center"/>
          </w:tcPr>
          <w:p w14:paraId="5F5ADC2C">
            <w:pPr>
              <w:spacing w:line="300" w:lineRule="auto"/>
              <w:jc w:val="center"/>
              <w:rPr>
                <w:rFonts w:ascii="宋体" w:hAnsi="宋体"/>
                <w:szCs w:val="21"/>
                <w:highlight w:val="none"/>
              </w:rPr>
            </w:pPr>
          </w:p>
        </w:tc>
        <w:tc>
          <w:tcPr>
            <w:tcW w:w="1181" w:type="dxa"/>
            <w:vMerge w:val="continue"/>
            <w:tcBorders>
              <w:right w:val="single" w:color="auto" w:sz="4" w:space="0"/>
            </w:tcBorders>
            <w:vAlign w:val="center"/>
          </w:tcPr>
          <w:p w14:paraId="3283E522">
            <w:pPr>
              <w:spacing w:line="300" w:lineRule="auto"/>
              <w:jc w:val="center"/>
              <w:rPr>
                <w:rFonts w:ascii="宋体" w:hAnsi="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058240DB">
            <w:pPr>
              <w:spacing w:line="300" w:lineRule="auto"/>
              <w:jc w:val="center"/>
              <w:rPr>
                <w:rFonts w:ascii="宋体" w:hAnsi="宋体"/>
                <w:szCs w:val="21"/>
                <w:highlight w:val="none"/>
              </w:rPr>
            </w:pPr>
            <w:r>
              <w:rPr>
                <w:rFonts w:hint="eastAsia" w:asciiTheme="majorEastAsia" w:hAnsiTheme="majorEastAsia" w:eastAsiaTheme="majorEastAsia"/>
                <w:szCs w:val="21"/>
                <w:highlight w:val="none"/>
              </w:rPr>
              <w:t>合同履行期限</w:t>
            </w:r>
          </w:p>
        </w:tc>
        <w:tc>
          <w:tcPr>
            <w:tcW w:w="4867" w:type="dxa"/>
            <w:tcBorders>
              <w:top w:val="single" w:color="auto" w:sz="4" w:space="0"/>
              <w:left w:val="single" w:color="auto" w:sz="4" w:space="0"/>
              <w:bottom w:val="single" w:color="auto" w:sz="4" w:space="0"/>
              <w:right w:val="single" w:color="auto" w:sz="4" w:space="0"/>
            </w:tcBorders>
            <w:vAlign w:val="center"/>
          </w:tcPr>
          <w:p w14:paraId="4772A27B">
            <w:pPr>
              <w:spacing w:line="300" w:lineRule="auto"/>
              <w:rPr>
                <w:rFonts w:ascii="宋体" w:hAnsi="宋体"/>
                <w:szCs w:val="21"/>
                <w:highlight w:val="none"/>
              </w:rPr>
            </w:pPr>
            <w:r>
              <w:rPr>
                <w:rFonts w:hint="eastAsia" w:ascii="宋体" w:hAnsi="宋体"/>
                <w:szCs w:val="21"/>
                <w:highlight w:val="none"/>
                <w:lang w:eastAsia="zh-CN"/>
              </w:rPr>
              <w:t>中标之日起7日内供货完毕</w:t>
            </w:r>
          </w:p>
        </w:tc>
      </w:tr>
      <w:tr w14:paraId="368F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4" w:hRule="atLeast"/>
          <w:jc w:val="center"/>
        </w:trPr>
        <w:tc>
          <w:tcPr>
            <w:tcW w:w="1073" w:type="dxa"/>
            <w:vMerge w:val="continue"/>
            <w:tcBorders>
              <w:right w:val="single" w:color="auto" w:sz="4" w:space="0"/>
            </w:tcBorders>
            <w:vAlign w:val="center"/>
          </w:tcPr>
          <w:p w14:paraId="2271A4CF">
            <w:pPr>
              <w:spacing w:line="300" w:lineRule="auto"/>
              <w:jc w:val="center"/>
              <w:rPr>
                <w:rFonts w:ascii="宋体" w:hAnsi="宋体"/>
                <w:szCs w:val="21"/>
                <w:highlight w:val="none"/>
              </w:rPr>
            </w:pPr>
          </w:p>
        </w:tc>
        <w:tc>
          <w:tcPr>
            <w:tcW w:w="1181" w:type="dxa"/>
            <w:vMerge w:val="continue"/>
            <w:tcBorders>
              <w:right w:val="single" w:color="auto" w:sz="4" w:space="0"/>
            </w:tcBorders>
            <w:vAlign w:val="center"/>
          </w:tcPr>
          <w:p w14:paraId="6D38E132">
            <w:pPr>
              <w:spacing w:line="300" w:lineRule="auto"/>
              <w:jc w:val="center"/>
              <w:rPr>
                <w:rFonts w:ascii="宋体" w:hAnsi="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6698DAFE">
            <w:pPr>
              <w:spacing w:line="300" w:lineRule="auto"/>
              <w:jc w:val="center"/>
              <w:rPr>
                <w:rFonts w:ascii="宋体" w:hAnsi="宋体"/>
                <w:szCs w:val="21"/>
                <w:highlight w:val="none"/>
              </w:rPr>
            </w:pPr>
            <w:r>
              <w:rPr>
                <w:rFonts w:hint="eastAsia" w:ascii="宋体" w:hAnsi="宋体"/>
                <w:szCs w:val="21"/>
                <w:highlight w:val="none"/>
              </w:rPr>
              <w:t>供货地点</w:t>
            </w:r>
          </w:p>
        </w:tc>
        <w:tc>
          <w:tcPr>
            <w:tcW w:w="4867" w:type="dxa"/>
            <w:tcBorders>
              <w:top w:val="single" w:color="auto" w:sz="4" w:space="0"/>
              <w:left w:val="single" w:color="auto" w:sz="4" w:space="0"/>
              <w:bottom w:val="single" w:color="auto" w:sz="4" w:space="0"/>
              <w:right w:val="single" w:color="auto" w:sz="4" w:space="0"/>
            </w:tcBorders>
            <w:vAlign w:val="center"/>
          </w:tcPr>
          <w:p w14:paraId="78B2EF82">
            <w:pPr>
              <w:spacing w:line="300" w:lineRule="auto"/>
              <w:rPr>
                <w:rFonts w:ascii="宋体" w:hAnsi="宋体"/>
                <w:szCs w:val="21"/>
                <w:highlight w:val="none"/>
              </w:rPr>
            </w:pPr>
            <w:r>
              <w:rPr>
                <w:rFonts w:hint="eastAsia" w:ascii="宋体" w:hAnsi="宋体"/>
                <w:szCs w:val="21"/>
                <w:highlight w:val="none"/>
                <w:lang w:eastAsia="zh-CN"/>
              </w:rPr>
              <w:t>长岭县</w:t>
            </w:r>
          </w:p>
        </w:tc>
      </w:tr>
      <w:tr w14:paraId="52560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1073" w:type="dxa"/>
            <w:vMerge w:val="continue"/>
            <w:tcBorders>
              <w:right w:val="single" w:color="auto" w:sz="4" w:space="0"/>
            </w:tcBorders>
            <w:vAlign w:val="center"/>
          </w:tcPr>
          <w:p w14:paraId="52F93A01">
            <w:pPr>
              <w:spacing w:line="300" w:lineRule="auto"/>
              <w:jc w:val="center"/>
              <w:rPr>
                <w:rFonts w:ascii="宋体" w:hAnsi="宋体"/>
                <w:szCs w:val="21"/>
                <w:highlight w:val="none"/>
              </w:rPr>
            </w:pPr>
          </w:p>
        </w:tc>
        <w:tc>
          <w:tcPr>
            <w:tcW w:w="1181" w:type="dxa"/>
            <w:vMerge w:val="continue"/>
            <w:tcBorders>
              <w:right w:val="single" w:color="auto" w:sz="4" w:space="0"/>
            </w:tcBorders>
            <w:vAlign w:val="center"/>
          </w:tcPr>
          <w:p w14:paraId="22C4B4B1">
            <w:pPr>
              <w:spacing w:line="300" w:lineRule="auto"/>
              <w:jc w:val="center"/>
              <w:rPr>
                <w:rFonts w:ascii="宋体" w:hAnsi="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62D92EF9">
            <w:pPr>
              <w:spacing w:line="300" w:lineRule="auto"/>
              <w:jc w:val="center"/>
              <w:rPr>
                <w:rFonts w:ascii="宋体" w:hAnsi="宋体"/>
                <w:szCs w:val="21"/>
                <w:highlight w:val="none"/>
              </w:rPr>
            </w:pPr>
            <w:r>
              <w:rPr>
                <w:rFonts w:ascii="宋体" w:hAnsi="宋体"/>
                <w:szCs w:val="21"/>
                <w:highlight w:val="none"/>
              </w:rPr>
              <w:t>质量</w:t>
            </w:r>
            <w:r>
              <w:rPr>
                <w:rFonts w:hint="eastAsia" w:ascii="宋体" w:hAnsi="宋体"/>
                <w:szCs w:val="21"/>
                <w:highlight w:val="none"/>
              </w:rPr>
              <w:t>要求</w:t>
            </w:r>
          </w:p>
        </w:tc>
        <w:tc>
          <w:tcPr>
            <w:tcW w:w="4867" w:type="dxa"/>
            <w:tcBorders>
              <w:top w:val="single" w:color="auto" w:sz="4" w:space="0"/>
              <w:left w:val="single" w:color="auto" w:sz="4" w:space="0"/>
              <w:bottom w:val="single" w:color="auto" w:sz="4" w:space="0"/>
              <w:right w:val="single" w:color="auto" w:sz="4" w:space="0"/>
            </w:tcBorders>
            <w:vAlign w:val="center"/>
          </w:tcPr>
          <w:p w14:paraId="21D27945">
            <w:pPr>
              <w:spacing w:line="300" w:lineRule="auto"/>
              <w:rPr>
                <w:rFonts w:hint="eastAsia" w:ascii="宋体" w:hAnsi="宋体" w:eastAsia="宋体"/>
                <w:szCs w:val="21"/>
                <w:highlight w:val="none"/>
                <w:lang w:eastAsia="zh-CN"/>
              </w:rPr>
            </w:pPr>
            <w:r>
              <w:rPr>
                <w:rFonts w:hint="eastAsia" w:ascii="宋体" w:hAnsi="宋体"/>
                <w:highlight w:val="none"/>
                <w:lang w:eastAsia="zh-CN"/>
              </w:rPr>
              <w:t>符合国家现行质量验收统一标准及相关行业标准，满足甲方对项目的各项要求</w:t>
            </w:r>
          </w:p>
        </w:tc>
      </w:tr>
      <w:tr w14:paraId="6B23F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1073" w:type="dxa"/>
            <w:vMerge w:val="continue"/>
            <w:tcBorders>
              <w:right w:val="single" w:color="auto" w:sz="4" w:space="0"/>
            </w:tcBorders>
            <w:vAlign w:val="center"/>
          </w:tcPr>
          <w:p w14:paraId="1C24421D">
            <w:pPr>
              <w:spacing w:line="300" w:lineRule="auto"/>
              <w:jc w:val="center"/>
              <w:rPr>
                <w:rFonts w:ascii="宋体" w:hAnsi="宋体"/>
                <w:szCs w:val="21"/>
                <w:highlight w:val="none"/>
              </w:rPr>
            </w:pPr>
          </w:p>
        </w:tc>
        <w:tc>
          <w:tcPr>
            <w:tcW w:w="1181" w:type="dxa"/>
            <w:vMerge w:val="continue"/>
            <w:tcBorders>
              <w:right w:val="single" w:color="auto" w:sz="4" w:space="0"/>
            </w:tcBorders>
            <w:vAlign w:val="center"/>
          </w:tcPr>
          <w:p w14:paraId="39168705">
            <w:pPr>
              <w:spacing w:line="300" w:lineRule="auto"/>
              <w:jc w:val="center"/>
              <w:rPr>
                <w:rFonts w:ascii="宋体" w:hAnsi="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5E248F51">
            <w:pPr>
              <w:spacing w:line="300" w:lineRule="auto"/>
              <w:jc w:val="center"/>
              <w:rPr>
                <w:rFonts w:ascii="宋体" w:hAnsi="宋体"/>
                <w:szCs w:val="21"/>
                <w:highlight w:val="none"/>
              </w:rPr>
            </w:pPr>
            <w:r>
              <w:rPr>
                <w:rFonts w:hint="eastAsia" w:ascii="宋体" w:hAnsi="宋体"/>
                <w:szCs w:val="21"/>
                <w:highlight w:val="none"/>
              </w:rPr>
              <w:t>投标有效期</w:t>
            </w:r>
          </w:p>
        </w:tc>
        <w:tc>
          <w:tcPr>
            <w:tcW w:w="4867" w:type="dxa"/>
            <w:tcBorders>
              <w:top w:val="single" w:color="auto" w:sz="4" w:space="0"/>
              <w:left w:val="single" w:color="auto" w:sz="4" w:space="0"/>
              <w:bottom w:val="single" w:color="auto" w:sz="4" w:space="0"/>
              <w:right w:val="single" w:color="auto" w:sz="4" w:space="0"/>
            </w:tcBorders>
            <w:vAlign w:val="center"/>
          </w:tcPr>
          <w:p w14:paraId="46E3AD01">
            <w:pPr>
              <w:spacing w:line="300" w:lineRule="auto"/>
              <w:rPr>
                <w:rFonts w:ascii="宋体" w:hAnsi="宋体"/>
                <w:szCs w:val="21"/>
                <w:highlight w:val="none"/>
              </w:rPr>
            </w:pPr>
            <w:r>
              <w:rPr>
                <w:rFonts w:hint="eastAsia" w:ascii="宋体" w:hAnsi="宋体"/>
                <w:szCs w:val="21"/>
                <w:highlight w:val="none"/>
              </w:rPr>
              <w:t>90天</w:t>
            </w:r>
          </w:p>
        </w:tc>
      </w:tr>
      <w:tr w14:paraId="70CF0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1073" w:type="dxa"/>
            <w:vMerge w:val="continue"/>
            <w:tcBorders>
              <w:right w:val="single" w:color="auto" w:sz="4" w:space="0"/>
            </w:tcBorders>
            <w:vAlign w:val="center"/>
          </w:tcPr>
          <w:p w14:paraId="3F4E370D">
            <w:pPr>
              <w:spacing w:line="300" w:lineRule="auto"/>
              <w:jc w:val="center"/>
              <w:rPr>
                <w:rFonts w:ascii="宋体" w:hAnsi="宋体"/>
                <w:szCs w:val="21"/>
                <w:highlight w:val="none"/>
              </w:rPr>
            </w:pPr>
          </w:p>
        </w:tc>
        <w:tc>
          <w:tcPr>
            <w:tcW w:w="1181" w:type="dxa"/>
            <w:vMerge w:val="continue"/>
            <w:tcBorders>
              <w:right w:val="single" w:color="auto" w:sz="4" w:space="0"/>
            </w:tcBorders>
            <w:vAlign w:val="center"/>
          </w:tcPr>
          <w:p w14:paraId="5CF8583F">
            <w:pPr>
              <w:spacing w:line="300" w:lineRule="auto"/>
              <w:jc w:val="center"/>
              <w:rPr>
                <w:rFonts w:ascii="宋体" w:hAnsi="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17735DA0">
            <w:pPr>
              <w:spacing w:line="300" w:lineRule="auto"/>
              <w:jc w:val="center"/>
              <w:rPr>
                <w:rFonts w:ascii="宋体" w:hAnsi="宋体"/>
                <w:szCs w:val="21"/>
                <w:highlight w:val="none"/>
              </w:rPr>
            </w:pPr>
            <w:r>
              <w:rPr>
                <w:rFonts w:hint="eastAsia" w:ascii="宋体" w:hAnsi="宋体"/>
                <w:szCs w:val="21"/>
                <w:highlight w:val="none"/>
              </w:rPr>
              <w:t>技术规格及要求</w:t>
            </w:r>
          </w:p>
        </w:tc>
        <w:tc>
          <w:tcPr>
            <w:tcW w:w="4867" w:type="dxa"/>
            <w:tcBorders>
              <w:top w:val="single" w:color="auto" w:sz="4" w:space="0"/>
              <w:left w:val="single" w:color="auto" w:sz="4" w:space="0"/>
              <w:bottom w:val="single" w:color="auto" w:sz="4" w:space="0"/>
              <w:right w:val="single" w:color="auto" w:sz="4" w:space="0"/>
            </w:tcBorders>
            <w:vAlign w:val="center"/>
          </w:tcPr>
          <w:p w14:paraId="7BD6F071">
            <w:pPr>
              <w:spacing w:line="300" w:lineRule="auto"/>
              <w:rPr>
                <w:rFonts w:ascii="宋体" w:hAnsi="宋体"/>
                <w:szCs w:val="21"/>
                <w:highlight w:val="none"/>
              </w:rPr>
            </w:pPr>
            <w:r>
              <w:rPr>
                <w:rFonts w:hint="eastAsia" w:ascii="宋体" w:hAnsi="宋体"/>
                <w:szCs w:val="21"/>
                <w:highlight w:val="none"/>
              </w:rPr>
              <w:t>满足招标文件要求并提供相关证明材料</w:t>
            </w:r>
          </w:p>
        </w:tc>
      </w:tr>
      <w:tr w14:paraId="4C8BD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jc w:val="center"/>
        </w:trPr>
        <w:tc>
          <w:tcPr>
            <w:tcW w:w="1073" w:type="dxa"/>
            <w:vMerge w:val="continue"/>
            <w:tcBorders>
              <w:right w:val="single" w:color="auto" w:sz="4" w:space="0"/>
            </w:tcBorders>
            <w:vAlign w:val="center"/>
          </w:tcPr>
          <w:p w14:paraId="6E12DB1C">
            <w:pPr>
              <w:spacing w:line="300" w:lineRule="auto"/>
              <w:jc w:val="center"/>
              <w:rPr>
                <w:rFonts w:ascii="宋体" w:hAnsi="宋体"/>
                <w:szCs w:val="21"/>
                <w:highlight w:val="none"/>
              </w:rPr>
            </w:pPr>
          </w:p>
        </w:tc>
        <w:tc>
          <w:tcPr>
            <w:tcW w:w="1181" w:type="dxa"/>
            <w:vMerge w:val="continue"/>
            <w:tcBorders>
              <w:right w:val="single" w:color="auto" w:sz="4" w:space="0"/>
            </w:tcBorders>
            <w:vAlign w:val="center"/>
          </w:tcPr>
          <w:p w14:paraId="48FCF45F">
            <w:pPr>
              <w:spacing w:line="300" w:lineRule="auto"/>
              <w:jc w:val="center"/>
              <w:rPr>
                <w:rFonts w:ascii="宋体" w:hAnsi="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06505AF5">
            <w:pPr>
              <w:spacing w:line="300" w:lineRule="auto"/>
              <w:jc w:val="center"/>
              <w:rPr>
                <w:rFonts w:ascii="宋体" w:hAnsi="宋体"/>
                <w:szCs w:val="21"/>
                <w:highlight w:val="none"/>
              </w:rPr>
            </w:pPr>
            <w:r>
              <w:rPr>
                <w:rFonts w:ascii="宋体" w:hAnsi="宋体"/>
                <w:szCs w:val="21"/>
                <w:highlight w:val="none"/>
              </w:rPr>
              <w:t>投标保证金</w:t>
            </w:r>
          </w:p>
        </w:tc>
        <w:tc>
          <w:tcPr>
            <w:tcW w:w="4867" w:type="dxa"/>
            <w:tcBorders>
              <w:top w:val="single" w:color="auto" w:sz="4" w:space="0"/>
              <w:left w:val="single" w:color="auto" w:sz="4" w:space="0"/>
              <w:bottom w:val="single" w:color="auto" w:sz="4" w:space="0"/>
              <w:right w:val="single" w:color="auto" w:sz="4" w:space="0"/>
            </w:tcBorders>
            <w:vAlign w:val="center"/>
          </w:tcPr>
          <w:p w14:paraId="0C6CFE83">
            <w:pPr>
              <w:spacing w:line="300" w:lineRule="auto"/>
              <w:rPr>
                <w:rFonts w:ascii="宋体" w:hAnsi="宋体"/>
                <w:szCs w:val="21"/>
                <w:highlight w:val="none"/>
              </w:rPr>
            </w:pPr>
            <w:r>
              <w:rPr>
                <w:rFonts w:hint="eastAsia" w:ascii="宋体" w:hAnsi="宋体"/>
                <w:szCs w:val="21"/>
                <w:highlight w:val="none"/>
              </w:rPr>
              <w:t>满足</w:t>
            </w:r>
            <w:r>
              <w:rPr>
                <w:rFonts w:hint="eastAsia" w:ascii="宋体" w:hAnsi="宋体"/>
                <w:szCs w:val="21"/>
                <w:highlight w:val="none"/>
                <w:lang w:eastAsia="zh-CN"/>
              </w:rPr>
              <w:t>投标人</w:t>
            </w:r>
            <w:r>
              <w:rPr>
                <w:rFonts w:hint="eastAsia" w:ascii="宋体" w:hAnsi="宋体"/>
                <w:szCs w:val="21"/>
                <w:highlight w:val="none"/>
              </w:rPr>
              <w:t>须知前附表要求</w:t>
            </w:r>
          </w:p>
        </w:tc>
      </w:tr>
      <w:tr w14:paraId="25D3C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73" w:type="dxa"/>
            <w:vMerge w:val="continue"/>
            <w:tcBorders>
              <w:right w:val="single" w:color="auto" w:sz="4" w:space="0"/>
            </w:tcBorders>
            <w:vAlign w:val="center"/>
          </w:tcPr>
          <w:p w14:paraId="5E9DE260">
            <w:pPr>
              <w:spacing w:line="300" w:lineRule="auto"/>
              <w:jc w:val="center"/>
              <w:rPr>
                <w:rFonts w:ascii="宋体" w:hAnsi="宋体"/>
                <w:szCs w:val="21"/>
                <w:highlight w:val="none"/>
              </w:rPr>
            </w:pPr>
          </w:p>
        </w:tc>
        <w:tc>
          <w:tcPr>
            <w:tcW w:w="1181" w:type="dxa"/>
            <w:vMerge w:val="continue"/>
            <w:tcBorders>
              <w:right w:val="single" w:color="auto" w:sz="4" w:space="0"/>
            </w:tcBorders>
            <w:vAlign w:val="center"/>
          </w:tcPr>
          <w:p w14:paraId="4371D5EC">
            <w:pPr>
              <w:spacing w:line="300" w:lineRule="auto"/>
              <w:jc w:val="center"/>
              <w:rPr>
                <w:rFonts w:ascii="宋体" w:hAnsi="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27AAB095">
            <w:pPr>
              <w:spacing w:line="300" w:lineRule="auto"/>
              <w:jc w:val="center"/>
              <w:rPr>
                <w:rFonts w:ascii="宋体" w:hAnsi="宋体"/>
                <w:szCs w:val="21"/>
                <w:highlight w:val="none"/>
              </w:rPr>
            </w:pPr>
            <w:r>
              <w:rPr>
                <w:rFonts w:ascii="宋体" w:hAnsi="宋体"/>
                <w:szCs w:val="21"/>
                <w:highlight w:val="none"/>
              </w:rPr>
              <w:t>权利义务</w:t>
            </w:r>
          </w:p>
        </w:tc>
        <w:tc>
          <w:tcPr>
            <w:tcW w:w="4867" w:type="dxa"/>
            <w:tcBorders>
              <w:top w:val="single" w:color="auto" w:sz="4" w:space="0"/>
              <w:left w:val="single" w:color="auto" w:sz="4" w:space="0"/>
              <w:bottom w:val="single" w:color="auto" w:sz="4" w:space="0"/>
              <w:right w:val="single" w:color="auto" w:sz="4" w:space="0"/>
            </w:tcBorders>
            <w:vAlign w:val="center"/>
          </w:tcPr>
          <w:p w14:paraId="02FFCA4B">
            <w:pPr>
              <w:spacing w:line="300" w:lineRule="auto"/>
              <w:rPr>
                <w:rFonts w:ascii="宋体" w:hAnsi="宋体"/>
                <w:szCs w:val="21"/>
                <w:highlight w:val="none"/>
              </w:rPr>
            </w:pPr>
            <w:r>
              <w:rPr>
                <w:rFonts w:ascii="宋体" w:hAnsi="宋体"/>
                <w:szCs w:val="21"/>
                <w:highlight w:val="none"/>
              </w:rPr>
              <w:t>符合</w:t>
            </w:r>
            <w:r>
              <w:rPr>
                <w:rFonts w:hint="eastAsia" w:ascii="宋体" w:hAnsi="宋体"/>
                <w:szCs w:val="21"/>
                <w:highlight w:val="none"/>
                <w:lang w:val="en-US" w:eastAsia="zh-CN"/>
              </w:rPr>
              <w:t>招标文件</w:t>
            </w:r>
            <w:r>
              <w:rPr>
                <w:rFonts w:ascii="宋体" w:hAnsi="宋体"/>
                <w:szCs w:val="21"/>
                <w:highlight w:val="none"/>
              </w:rPr>
              <w:t>“合同条款”规定</w:t>
            </w:r>
          </w:p>
        </w:tc>
      </w:tr>
      <w:tr w14:paraId="2EA2B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jc w:val="center"/>
        </w:trPr>
        <w:tc>
          <w:tcPr>
            <w:tcW w:w="1073" w:type="dxa"/>
            <w:tcBorders>
              <w:bottom w:val="single" w:color="auto" w:sz="4" w:space="0"/>
              <w:right w:val="single" w:color="auto" w:sz="4" w:space="0"/>
            </w:tcBorders>
            <w:vAlign w:val="center"/>
          </w:tcPr>
          <w:p w14:paraId="2E7C272C">
            <w:pPr>
              <w:spacing w:line="300" w:lineRule="auto"/>
              <w:jc w:val="center"/>
              <w:rPr>
                <w:rFonts w:ascii="宋体" w:hAnsi="宋体"/>
                <w:szCs w:val="21"/>
                <w:highlight w:val="none"/>
              </w:rPr>
            </w:pPr>
          </w:p>
        </w:tc>
        <w:tc>
          <w:tcPr>
            <w:tcW w:w="1181" w:type="dxa"/>
            <w:tcBorders>
              <w:bottom w:val="single" w:color="auto" w:sz="4" w:space="0"/>
              <w:right w:val="single" w:color="auto" w:sz="4" w:space="0"/>
            </w:tcBorders>
            <w:vAlign w:val="center"/>
          </w:tcPr>
          <w:p w14:paraId="61F65C01">
            <w:pPr>
              <w:spacing w:line="300" w:lineRule="auto"/>
              <w:jc w:val="center"/>
              <w:rPr>
                <w:rFonts w:ascii="宋体" w:hAnsi="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293338D9">
            <w:pPr>
              <w:spacing w:line="300" w:lineRule="auto"/>
              <w:jc w:val="center"/>
              <w:rPr>
                <w:rFonts w:ascii="宋体" w:hAnsi="宋体"/>
                <w:szCs w:val="21"/>
                <w:highlight w:val="none"/>
              </w:rPr>
            </w:pPr>
            <w:r>
              <w:rPr>
                <w:rFonts w:hint="eastAsia" w:ascii="宋体" w:hAnsi="宋体"/>
                <w:szCs w:val="21"/>
                <w:highlight w:val="none"/>
              </w:rPr>
              <w:t>其他</w:t>
            </w:r>
          </w:p>
        </w:tc>
        <w:tc>
          <w:tcPr>
            <w:tcW w:w="4867" w:type="dxa"/>
            <w:tcBorders>
              <w:top w:val="single" w:color="auto" w:sz="4" w:space="0"/>
              <w:left w:val="single" w:color="auto" w:sz="4" w:space="0"/>
              <w:bottom w:val="single" w:color="auto" w:sz="4" w:space="0"/>
              <w:right w:val="single" w:color="auto" w:sz="4" w:space="0"/>
            </w:tcBorders>
            <w:vAlign w:val="center"/>
          </w:tcPr>
          <w:p w14:paraId="6E13E34C">
            <w:pPr>
              <w:spacing w:line="300" w:lineRule="auto"/>
              <w:rPr>
                <w:rFonts w:ascii="宋体" w:hAnsi="宋体"/>
                <w:szCs w:val="21"/>
                <w:highlight w:val="none"/>
              </w:rPr>
            </w:pPr>
            <w:r>
              <w:rPr>
                <w:rFonts w:hint="eastAsia" w:ascii="宋体" w:hAnsi="宋体"/>
                <w:szCs w:val="21"/>
                <w:highlight w:val="none"/>
              </w:rPr>
              <w:t>法律法规及招标文件规定的其他要求</w:t>
            </w:r>
          </w:p>
        </w:tc>
      </w:tr>
    </w:tbl>
    <w:p w14:paraId="68D0AA53">
      <w:pPr>
        <w:pStyle w:val="39"/>
        <w:numPr>
          <w:ilvl w:val="0"/>
          <w:numId w:val="0"/>
        </w:numPr>
        <w:rPr>
          <w:rFonts w:asciiTheme="majorEastAsia" w:hAnsiTheme="majorEastAsia" w:eastAsiaTheme="majorEastAsia"/>
          <w:b/>
          <w:bCs/>
          <w:sz w:val="24"/>
          <w:highlight w:val="none"/>
        </w:rPr>
      </w:pPr>
    </w:p>
    <w:p w14:paraId="105C2EA7">
      <w:pPr>
        <w:pStyle w:val="39"/>
        <w:numPr>
          <w:ilvl w:val="0"/>
          <w:numId w:val="0"/>
        </w:numPr>
        <w:rPr>
          <w:rFonts w:asciiTheme="majorEastAsia" w:hAnsiTheme="majorEastAsia" w:eastAsiaTheme="majorEastAsia"/>
          <w:b/>
          <w:bCs/>
          <w:sz w:val="24"/>
          <w:highlight w:val="none"/>
        </w:rPr>
      </w:pPr>
    </w:p>
    <w:p w14:paraId="2B82B690">
      <w:pPr>
        <w:autoSpaceDN w:val="0"/>
        <w:adjustRightInd w:val="0"/>
        <w:snapToGrid w:val="0"/>
        <w:spacing w:line="360" w:lineRule="auto"/>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注：</w:t>
      </w:r>
      <w:r>
        <w:rPr>
          <w:rFonts w:hint="eastAsia" w:asciiTheme="majorEastAsia" w:hAnsiTheme="majorEastAsia" w:eastAsiaTheme="majorEastAsia"/>
          <w:sz w:val="18"/>
          <w:szCs w:val="18"/>
          <w:highlight w:val="none"/>
          <w:lang w:eastAsia="zh-CN"/>
        </w:rPr>
        <w:t>投标人</w:t>
      </w:r>
      <w:r>
        <w:rPr>
          <w:rFonts w:hint="eastAsia" w:asciiTheme="majorEastAsia" w:hAnsiTheme="majorEastAsia" w:eastAsiaTheme="majorEastAsia"/>
          <w:sz w:val="18"/>
          <w:szCs w:val="18"/>
          <w:highlight w:val="none"/>
        </w:rPr>
        <w:t>或其投标文件不符合上述情况之一的，则符合性审查不合格，不进入详细评审；</w:t>
      </w:r>
    </w:p>
    <w:p w14:paraId="3FD72578">
      <w:pPr>
        <w:autoSpaceDN w:val="0"/>
        <w:adjustRightInd w:val="0"/>
        <w:snapToGrid w:val="0"/>
        <w:spacing w:line="360" w:lineRule="auto"/>
        <w:rPr>
          <w:rFonts w:cs="黑体" w:asciiTheme="majorEastAsia" w:hAnsiTheme="majorEastAsia" w:eastAsiaTheme="majorEastAsia"/>
          <w:b/>
          <w:bCs/>
          <w:sz w:val="24"/>
          <w:highlight w:val="none"/>
        </w:rPr>
      </w:pPr>
      <w:r>
        <w:rPr>
          <w:rFonts w:hint="eastAsia" w:cs="黑体" w:asciiTheme="majorEastAsia" w:hAnsiTheme="majorEastAsia" w:eastAsiaTheme="majorEastAsia"/>
          <w:b/>
          <w:bCs/>
          <w:sz w:val="24"/>
          <w:highlight w:val="none"/>
        </w:rPr>
        <w:br w:type="page"/>
      </w:r>
      <w:r>
        <w:rPr>
          <w:rFonts w:hint="eastAsia" w:asciiTheme="majorEastAsia" w:hAnsiTheme="majorEastAsia" w:eastAsiaTheme="majorEastAsia"/>
          <w:b/>
          <w:bCs/>
          <w:sz w:val="24"/>
          <w:highlight w:val="none"/>
        </w:rPr>
        <w:t xml:space="preserve">（三）详细评审 </w:t>
      </w:r>
    </w:p>
    <w:p w14:paraId="1E0DB819">
      <w:pPr>
        <w:pStyle w:val="12"/>
        <w:tabs>
          <w:tab w:val="left" w:pos="6840"/>
        </w:tabs>
        <w:autoSpaceDN w:val="0"/>
        <w:adjustRightInd w:val="0"/>
        <w:snapToGrid w:val="0"/>
        <w:spacing w:line="360" w:lineRule="auto"/>
        <w:ind w:right="-57"/>
        <w:jc w:val="center"/>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详细评审表</w:t>
      </w:r>
    </w:p>
    <w:tbl>
      <w:tblPr>
        <w:tblStyle w:val="22"/>
        <w:tblpPr w:leftFromText="180" w:rightFromText="180" w:vertAnchor="text" w:horzAnchor="margin" w:tblpXSpec="center" w:tblpY="2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648"/>
        <w:gridCol w:w="1360"/>
        <w:gridCol w:w="6112"/>
        <w:gridCol w:w="692"/>
      </w:tblGrid>
      <w:tr w14:paraId="466B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0" w:type="pct"/>
            <w:vAlign w:val="center"/>
          </w:tcPr>
          <w:p w14:paraId="4C92248F">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lang w:val="zh-CN"/>
              </w:rPr>
            </w:pPr>
            <w:r>
              <w:rPr>
                <w:rFonts w:hint="eastAsia" w:asciiTheme="minorEastAsia" w:hAnsiTheme="minorEastAsia" w:eastAsiaTheme="minorEastAsia" w:cstheme="minorEastAsia"/>
                <w:bCs/>
                <w:color w:val="000000"/>
                <w:sz w:val="21"/>
                <w:szCs w:val="21"/>
                <w:highlight w:val="none"/>
                <w:lang w:val="zh-CN"/>
              </w:rPr>
              <w:t>序号</w:t>
            </w:r>
          </w:p>
        </w:tc>
        <w:tc>
          <w:tcPr>
            <w:tcW w:w="1082" w:type="pct"/>
            <w:gridSpan w:val="2"/>
            <w:vAlign w:val="center"/>
          </w:tcPr>
          <w:p w14:paraId="7EB49EC3">
            <w:pPr>
              <w:autoSpaceDE w:val="0"/>
              <w:autoSpaceDN w:val="0"/>
              <w:adjustRightInd w:val="0"/>
              <w:spacing w:line="276" w:lineRule="auto"/>
              <w:ind w:left="57" w:leftChars="27" w:firstLine="52" w:firstLineChars="25"/>
              <w:jc w:val="left"/>
              <w:rPr>
                <w:rFonts w:hint="eastAsia" w:asciiTheme="minorEastAsia" w:hAnsiTheme="minorEastAsia" w:eastAsiaTheme="minorEastAsia" w:cstheme="minorEastAsia"/>
                <w:bCs/>
                <w:color w:val="000000"/>
                <w:sz w:val="21"/>
                <w:szCs w:val="21"/>
                <w:highlight w:val="none"/>
                <w:lang w:val="zh-CN"/>
              </w:rPr>
            </w:pPr>
            <w:r>
              <w:rPr>
                <w:rFonts w:hint="eastAsia" w:asciiTheme="minorEastAsia" w:hAnsiTheme="minorEastAsia" w:eastAsiaTheme="minorEastAsia" w:cstheme="minorEastAsia"/>
                <w:bCs/>
                <w:color w:val="000000"/>
                <w:sz w:val="21"/>
                <w:szCs w:val="21"/>
                <w:highlight w:val="none"/>
                <w:lang w:val="zh-CN"/>
              </w:rPr>
              <w:t>评审因素</w:t>
            </w:r>
          </w:p>
        </w:tc>
        <w:tc>
          <w:tcPr>
            <w:tcW w:w="3293" w:type="pct"/>
            <w:vAlign w:val="center"/>
          </w:tcPr>
          <w:p w14:paraId="4214FB18">
            <w:pPr>
              <w:autoSpaceDE w:val="0"/>
              <w:autoSpaceDN w:val="0"/>
              <w:adjustRightInd w:val="0"/>
              <w:spacing w:line="276" w:lineRule="auto"/>
              <w:ind w:left="57" w:leftChars="27" w:firstLine="52" w:firstLineChars="25"/>
              <w:jc w:val="left"/>
              <w:rPr>
                <w:rFonts w:hint="eastAsia" w:asciiTheme="minorEastAsia" w:hAnsiTheme="minorEastAsia" w:eastAsiaTheme="minorEastAsia" w:cstheme="minorEastAsia"/>
                <w:bCs/>
                <w:color w:val="000000"/>
                <w:sz w:val="21"/>
                <w:szCs w:val="21"/>
                <w:highlight w:val="none"/>
                <w:lang w:val="zh-CN"/>
              </w:rPr>
            </w:pPr>
            <w:r>
              <w:rPr>
                <w:rFonts w:hint="eastAsia" w:asciiTheme="minorEastAsia" w:hAnsiTheme="minorEastAsia" w:eastAsiaTheme="minorEastAsia" w:cstheme="minorEastAsia"/>
                <w:bCs/>
                <w:color w:val="000000"/>
                <w:sz w:val="21"/>
                <w:szCs w:val="21"/>
                <w:highlight w:val="none"/>
                <w:lang w:val="zh-CN"/>
              </w:rPr>
              <w:t>评     分    细    则</w:t>
            </w:r>
          </w:p>
        </w:tc>
        <w:tc>
          <w:tcPr>
            <w:tcW w:w="373" w:type="pct"/>
            <w:vAlign w:val="center"/>
          </w:tcPr>
          <w:p w14:paraId="04155B7E">
            <w:pPr>
              <w:autoSpaceDE w:val="0"/>
              <w:autoSpaceDN w:val="0"/>
              <w:adjustRightInd w:val="0"/>
              <w:spacing w:line="276" w:lineRule="auto"/>
              <w:jc w:val="center"/>
              <w:rPr>
                <w:rFonts w:hint="eastAsia" w:asciiTheme="minorEastAsia" w:hAnsiTheme="minorEastAsia" w:eastAsiaTheme="minorEastAsia" w:cstheme="minorEastAsia"/>
                <w:bCs/>
                <w:color w:val="000000"/>
                <w:sz w:val="21"/>
                <w:szCs w:val="21"/>
                <w:highlight w:val="none"/>
                <w:lang w:val="zh-CN"/>
              </w:rPr>
            </w:pPr>
            <w:r>
              <w:rPr>
                <w:rFonts w:hint="eastAsia" w:asciiTheme="minorEastAsia" w:hAnsiTheme="minorEastAsia" w:eastAsiaTheme="minorEastAsia" w:cstheme="minorEastAsia"/>
                <w:bCs/>
                <w:color w:val="000000"/>
                <w:sz w:val="21"/>
                <w:szCs w:val="21"/>
                <w:highlight w:val="none"/>
                <w:lang w:val="zh-CN"/>
              </w:rPr>
              <w:t>分值</w:t>
            </w:r>
          </w:p>
        </w:tc>
      </w:tr>
      <w:tr w14:paraId="5BBE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50" w:type="pct"/>
            <w:vAlign w:val="center"/>
          </w:tcPr>
          <w:p w14:paraId="33419A9F">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lang w:val="zh-CN"/>
              </w:rPr>
            </w:pPr>
            <w:r>
              <w:rPr>
                <w:rFonts w:hint="eastAsia" w:asciiTheme="minorEastAsia" w:hAnsiTheme="minorEastAsia" w:eastAsiaTheme="minorEastAsia" w:cstheme="minorEastAsia"/>
                <w:bCs/>
                <w:color w:val="000000"/>
                <w:sz w:val="21"/>
                <w:szCs w:val="21"/>
                <w:highlight w:val="none"/>
              </w:rPr>
              <w:t>1</w:t>
            </w:r>
          </w:p>
        </w:tc>
        <w:tc>
          <w:tcPr>
            <w:tcW w:w="349" w:type="pct"/>
            <w:vAlign w:val="center"/>
          </w:tcPr>
          <w:p w14:paraId="70D4C15E">
            <w:pPr>
              <w:widowControl/>
              <w:wordWrap w:val="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投标报价</w:t>
            </w:r>
          </w:p>
        </w:tc>
        <w:tc>
          <w:tcPr>
            <w:tcW w:w="733" w:type="pct"/>
            <w:vAlign w:val="center"/>
          </w:tcPr>
          <w:p w14:paraId="3EE110F5">
            <w:pPr>
              <w:widowControl/>
              <w:wordWrap w:val="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报价得分</w:t>
            </w:r>
          </w:p>
        </w:tc>
        <w:tc>
          <w:tcPr>
            <w:tcW w:w="3293" w:type="pct"/>
            <w:vAlign w:val="center"/>
          </w:tcPr>
          <w:p w14:paraId="7556937C">
            <w:pPr>
              <w:widowControl/>
              <w:wordWrap w:val="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满足招标文件要求且投标价格最低的投标报价为评标基准价，其价格分为满分30分，其他投标人的价格分统一按照下列公式计算：投标报价得分=(评标基准价／投标报价)×30％</w:t>
            </w:r>
            <w:r>
              <w:rPr>
                <w:rFonts w:hint="eastAsia" w:asciiTheme="minorEastAsia" w:hAnsiTheme="minorEastAsia" w:eastAsiaTheme="minorEastAsia" w:cstheme="minorEastAsia"/>
                <w:color w:val="auto"/>
                <w:sz w:val="21"/>
                <w:szCs w:val="21"/>
                <w:highlight w:val="none"/>
              </w:rPr>
              <w:t>×100</w:t>
            </w:r>
            <w:r>
              <w:rPr>
                <w:rFonts w:hint="eastAsia" w:asciiTheme="minorEastAsia" w:hAnsiTheme="minorEastAsia" w:eastAsiaTheme="minorEastAsia" w:cstheme="minorEastAsia"/>
                <w:color w:val="auto"/>
                <w:sz w:val="21"/>
                <w:szCs w:val="21"/>
                <w:highlight w:val="none"/>
                <w:lang w:val="zh-CN"/>
              </w:rPr>
              <w:t>。</w:t>
            </w:r>
          </w:p>
        </w:tc>
        <w:tc>
          <w:tcPr>
            <w:tcW w:w="373" w:type="pct"/>
            <w:vAlign w:val="center"/>
          </w:tcPr>
          <w:p w14:paraId="27623888">
            <w:pPr>
              <w:widowControl/>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zh-CN"/>
              </w:rPr>
              <w:t>0</w:t>
            </w:r>
            <w:r>
              <w:rPr>
                <w:rFonts w:hint="eastAsia" w:asciiTheme="minorEastAsia" w:hAnsiTheme="minorEastAsia" w:eastAsiaTheme="minorEastAsia" w:cstheme="minorEastAsia"/>
                <w:color w:val="auto"/>
                <w:kern w:val="0"/>
                <w:sz w:val="21"/>
                <w:szCs w:val="21"/>
                <w:highlight w:val="none"/>
              </w:rPr>
              <w:t>-0</w:t>
            </w:r>
          </w:p>
        </w:tc>
      </w:tr>
      <w:tr w14:paraId="7AFA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50" w:type="pct"/>
            <w:vMerge w:val="restart"/>
            <w:vAlign w:val="center"/>
          </w:tcPr>
          <w:p w14:paraId="57E2C86D">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lang w:val="zh-CN"/>
              </w:rPr>
            </w:pPr>
            <w:r>
              <w:rPr>
                <w:rFonts w:hint="eastAsia" w:asciiTheme="minorEastAsia" w:hAnsiTheme="minorEastAsia" w:eastAsiaTheme="minorEastAsia" w:cstheme="minorEastAsia"/>
                <w:bCs/>
                <w:color w:val="000000"/>
                <w:sz w:val="21"/>
                <w:szCs w:val="21"/>
                <w:highlight w:val="none"/>
              </w:rPr>
              <w:t>2</w:t>
            </w:r>
          </w:p>
        </w:tc>
        <w:tc>
          <w:tcPr>
            <w:tcW w:w="349" w:type="pct"/>
            <w:vMerge w:val="restart"/>
            <w:vAlign w:val="center"/>
          </w:tcPr>
          <w:p w14:paraId="66AB3823">
            <w:pPr>
              <w:widowControl/>
              <w:wordWrap w:val="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商务评分因素</w:t>
            </w:r>
          </w:p>
        </w:tc>
        <w:tc>
          <w:tcPr>
            <w:tcW w:w="733" w:type="pct"/>
            <w:shd w:val="clear" w:color="auto" w:fill="auto"/>
            <w:vAlign w:val="center"/>
          </w:tcPr>
          <w:p w14:paraId="5BD088B9">
            <w:pPr>
              <w:autoSpaceDE w:val="0"/>
              <w:autoSpaceDN w:val="0"/>
              <w:adjustRightInd w:val="0"/>
              <w:spacing w:line="276" w:lineRule="auto"/>
              <w:jc w:val="left"/>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zh-CN"/>
              </w:rPr>
              <w:t>企业业绩</w:t>
            </w:r>
          </w:p>
        </w:tc>
        <w:tc>
          <w:tcPr>
            <w:tcW w:w="3293" w:type="pct"/>
            <w:shd w:val="clear" w:color="auto" w:fill="auto"/>
            <w:vAlign w:val="center"/>
          </w:tcPr>
          <w:p w14:paraId="034751C7">
            <w:pPr>
              <w:widowControl/>
              <w:wordWrap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zh-CN"/>
              </w:rPr>
              <w:t>20</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年1月1日至今有</w:t>
            </w:r>
            <w:r>
              <w:rPr>
                <w:rFonts w:hint="eastAsia" w:asciiTheme="minorEastAsia" w:hAnsiTheme="minorEastAsia" w:eastAsiaTheme="minorEastAsia" w:cstheme="minorEastAsia"/>
                <w:color w:val="auto"/>
                <w:sz w:val="21"/>
                <w:szCs w:val="21"/>
                <w:highlight w:val="none"/>
                <w:lang w:val="en-US" w:eastAsia="zh-CN"/>
              </w:rPr>
              <w:t>相关类似</w:t>
            </w:r>
            <w:r>
              <w:rPr>
                <w:rFonts w:hint="eastAsia" w:asciiTheme="minorEastAsia" w:hAnsiTheme="minorEastAsia" w:eastAsiaTheme="minorEastAsia" w:cstheme="minorEastAsia"/>
                <w:color w:val="auto"/>
                <w:sz w:val="21"/>
                <w:szCs w:val="21"/>
                <w:highlight w:val="none"/>
                <w:lang w:val="zh-CN"/>
              </w:rPr>
              <w:t>项目业绩，有</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zh-CN"/>
              </w:rPr>
              <w:t>项得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分，最多得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。（标书内附合同或中标通知书复印件加盖公章）</w:t>
            </w:r>
          </w:p>
        </w:tc>
        <w:tc>
          <w:tcPr>
            <w:tcW w:w="373" w:type="pct"/>
            <w:vAlign w:val="center"/>
          </w:tcPr>
          <w:p w14:paraId="29291C37">
            <w:pPr>
              <w:widowControl/>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0</w:t>
            </w:r>
          </w:p>
        </w:tc>
      </w:tr>
      <w:tr w14:paraId="370F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50" w:type="pct"/>
            <w:vMerge w:val="continue"/>
            <w:vAlign w:val="center"/>
          </w:tcPr>
          <w:p w14:paraId="073787DB">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lang w:val="zh-CN"/>
              </w:rPr>
            </w:pPr>
          </w:p>
        </w:tc>
        <w:tc>
          <w:tcPr>
            <w:tcW w:w="349" w:type="pct"/>
            <w:vMerge w:val="continue"/>
            <w:vAlign w:val="center"/>
          </w:tcPr>
          <w:p w14:paraId="3FB5E050">
            <w:pPr>
              <w:widowControl/>
              <w:wordWrap w:val="0"/>
              <w:rPr>
                <w:rFonts w:hint="eastAsia" w:asciiTheme="minorEastAsia" w:hAnsiTheme="minorEastAsia" w:eastAsiaTheme="minorEastAsia" w:cstheme="minorEastAsia"/>
                <w:color w:val="auto"/>
                <w:sz w:val="21"/>
                <w:szCs w:val="21"/>
                <w:highlight w:val="none"/>
                <w:lang w:val="zh-CN"/>
              </w:rPr>
            </w:pPr>
          </w:p>
        </w:tc>
        <w:tc>
          <w:tcPr>
            <w:tcW w:w="733" w:type="pct"/>
            <w:shd w:val="clear" w:color="auto" w:fill="auto"/>
            <w:vAlign w:val="center"/>
          </w:tcPr>
          <w:p w14:paraId="58759762">
            <w:pPr>
              <w:autoSpaceDE w:val="0"/>
              <w:autoSpaceDN w:val="0"/>
              <w:adjustRightInd w:val="0"/>
              <w:spacing w:line="276" w:lineRule="auto"/>
              <w:jc w:val="left"/>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rPr>
              <w:t>优惠条件</w:t>
            </w:r>
          </w:p>
        </w:tc>
        <w:tc>
          <w:tcPr>
            <w:tcW w:w="3293" w:type="pct"/>
            <w:shd w:val="clear" w:color="auto" w:fill="auto"/>
            <w:vAlign w:val="center"/>
          </w:tcPr>
          <w:p w14:paraId="17BE95C8">
            <w:pPr>
              <w:adjustRightInd w:val="0"/>
              <w:snapToGrid w:val="0"/>
              <w:spacing w:before="36" w:beforeLines="15" w:line="276" w:lineRule="auto"/>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宋体" w:hAnsi="宋体"/>
                <w:color w:val="auto"/>
                <w:szCs w:val="21"/>
                <w:highlight w:val="none"/>
                <w:lang w:eastAsia="zh-CN"/>
              </w:rPr>
              <w:t>投标人</w:t>
            </w:r>
            <w:r>
              <w:rPr>
                <w:rFonts w:hint="eastAsia" w:ascii="宋体" w:hAnsi="宋体"/>
                <w:color w:val="auto"/>
                <w:szCs w:val="21"/>
                <w:highlight w:val="none"/>
              </w:rPr>
              <w:t>提供的优惠条件具有实质性、可行的每有一项得</w:t>
            </w:r>
            <w:r>
              <w:rPr>
                <w:rFonts w:ascii="宋体" w:hAnsi="宋体"/>
                <w:color w:val="auto"/>
                <w:szCs w:val="21"/>
                <w:highlight w:val="none"/>
              </w:rPr>
              <w:t>1</w:t>
            </w:r>
            <w:r>
              <w:rPr>
                <w:rFonts w:hint="eastAsia" w:ascii="宋体" w:hAnsi="宋体"/>
                <w:color w:val="auto"/>
                <w:szCs w:val="21"/>
                <w:highlight w:val="none"/>
              </w:rPr>
              <w:t>分，满分3分，没有不得分。</w:t>
            </w:r>
          </w:p>
        </w:tc>
        <w:tc>
          <w:tcPr>
            <w:tcW w:w="373" w:type="pct"/>
            <w:shd w:val="clear" w:color="auto" w:fill="auto"/>
            <w:vAlign w:val="center"/>
          </w:tcPr>
          <w:p w14:paraId="64AB8CD5">
            <w:pPr>
              <w:autoSpaceDE w:val="0"/>
              <w:autoSpaceDN w:val="0"/>
              <w:adjustRightInd w:val="0"/>
              <w:spacing w:before="36" w:beforeLines="15" w:line="276"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3-0</w:t>
            </w:r>
          </w:p>
        </w:tc>
      </w:tr>
      <w:tr w14:paraId="6D2A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0" w:type="pct"/>
            <w:vMerge w:val="continue"/>
            <w:vAlign w:val="center"/>
          </w:tcPr>
          <w:p w14:paraId="23D94827">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lang w:val="zh-CN"/>
              </w:rPr>
            </w:pPr>
          </w:p>
        </w:tc>
        <w:tc>
          <w:tcPr>
            <w:tcW w:w="349" w:type="pct"/>
            <w:vMerge w:val="continue"/>
            <w:vAlign w:val="center"/>
          </w:tcPr>
          <w:p w14:paraId="2C22EF8F">
            <w:pPr>
              <w:widowControl/>
              <w:wordWrap w:val="0"/>
              <w:rPr>
                <w:rFonts w:hint="eastAsia" w:asciiTheme="minorEastAsia" w:hAnsiTheme="minorEastAsia" w:eastAsiaTheme="minorEastAsia" w:cstheme="minorEastAsia"/>
                <w:color w:val="auto"/>
                <w:sz w:val="21"/>
                <w:szCs w:val="21"/>
                <w:highlight w:val="none"/>
                <w:lang w:val="zh-CN"/>
              </w:rPr>
            </w:pPr>
          </w:p>
        </w:tc>
        <w:tc>
          <w:tcPr>
            <w:tcW w:w="733" w:type="pct"/>
            <w:shd w:val="clear" w:color="auto" w:fill="auto"/>
            <w:vAlign w:val="center"/>
          </w:tcPr>
          <w:p w14:paraId="543C41CE">
            <w:pPr>
              <w:autoSpaceDE w:val="0"/>
              <w:autoSpaceDN w:val="0"/>
              <w:adjustRightInd w:val="0"/>
              <w:spacing w:line="276" w:lineRule="auto"/>
              <w:jc w:val="left"/>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服务承诺</w:t>
            </w:r>
          </w:p>
        </w:tc>
        <w:tc>
          <w:tcPr>
            <w:tcW w:w="3293" w:type="pct"/>
            <w:shd w:val="clear" w:color="auto" w:fill="auto"/>
            <w:vAlign w:val="center"/>
          </w:tcPr>
          <w:p w14:paraId="3D9FC9C5">
            <w:pPr>
              <w:adjustRightInd w:val="0"/>
              <w:snapToGrid w:val="0"/>
              <w:spacing w:before="36" w:beforeLines="15" w:line="276" w:lineRule="auto"/>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宋体" w:hAnsi="宋体"/>
                <w:color w:val="auto"/>
                <w:szCs w:val="21"/>
                <w:highlight w:val="none"/>
                <w:lang w:eastAsia="zh-CN"/>
              </w:rPr>
              <w:t>投标人</w:t>
            </w:r>
            <w:r>
              <w:rPr>
                <w:rFonts w:hint="eastAsia" w:ascii="宋体" w:hAnsi="宋体"/>
                <w:color w:val="auto"/>
                <w:szCs w:val="21"/>
                <w:highlight w:val="none"/>
              </w:rPr>
              <w:t>提供的服务承诺具有实质性、可行的每有一项得</w:t>
            </w:r>
            <w:r>
              <w:rPr>
                <w:rFonts w:ascii="宋体" w:hAnsi="宋体"/>
                <w:color w:val="auto"/>
                <w:szCs w:val="21"/>
                <w:highlight w:val="none"/>
              </w:rPr>
              <w:t>1</w:t>
            </w:r>
            <w:r>
              <w:rPr>
                <w:rFonts w:hint="eastAsia" w:ascii="宋体" w:hAnsi="宋体"/>
                <w:color w:val="auto"/>
                <w:szCs w:val="21"/>
                <w:highlight w:val="none"/>
              </w:rPr>
              <w:t>分，满分3分，没有不得分。</w:t>
            </w:r>
          </w:p>
        </w:tc>
        <w:tc>
          <w:tcPr>
            <w:tcW w:w="373" w:type="pct"/>
            <w:shd w:val="clear" w:color="auto" w:fill="auto"/>
            <w:vAlign w:val="center"/>
          </w:tcPr>
          <w:p w14:paraId="2AF61F9B">
            <w:pPr>
              <w:autoSpaceDE w:val="0"/>
              <w:autoSpaceDN w:val="0"/>
              <w:adjustRightInd w:val="0"/>
              <w:spacing w:before="36" w:beforeLines="15" w:line="276"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3-0</w:t>
            </w:r>
          </w:p>
        </w:tc>
      </w:tr>
      <w:tr w14:paraId="0B2D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0" w:type="pct"/>
            <w:vMerge w:val="continue"/>
            <w:vAlign w:val="center"/>
          </w:tcPr>
          <w:p w14:paraId="356F127F">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lang w:val="zh-CN"/>
              </w:rPr>
            </w:pPr>
          </w:p>
        </w:tc>
        <w:tc>
          <w:tcPr>
            <w:tcW w:w="349" w:type="pct"/>
            <w:vMerge w:val="continue"/>
            <w:vAlign w:val="center"/>
          </w:tcPr>
          <w:p w14:paraId="544C428F">
            <w:pPr>
              <w:widowControl/>
              <w:wordWrap w:val="0"/>
              <w:rPr>
                <w:rFonts w:hint="eastAsia" w:asciiTheme="minorEastAsia" w:hAnsiTheme="minorEastAsia" w:eastAsiaTheme="minorEastAsia" w:cstheme="minorEastAsia"/>
                <w:color w:val="auto"/>
                <w:sz w:val="21"/>
                <w:szCs w:val="21"/>
                <w:highlight w:val="none"/>
                <w:lang w:val="zh-CN"/>
              </w:rPr>
            </w:pPr>
          </w:p>
        </w:tc>
        <w:tc>
          <w:tcPr>
            <w:tcW w:w="733" w:type="pct"/>
            <w:shd w:val="clear" w:color="auto" w:fill="auto"/>
            <w:vAlign w:val="center"/>
          </w:tcPr>
          <w:p w14:paraId="46354CEE">
            <w:pPr>
              <w:adjustRightInd w:val="0"/>
              <w:snapToGrid w:val="0"/>
              <w:spacing w:before="36" w:beforeLines="15" w:line="276"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售后服务</w:t>
            </w:r>
          </w:p>
        </w:tc>
        <w:tc>
          <w:tcPr>
            <w:tcW w:w="3293" w:type="pct"/>
            <w:shd w:val="clear" w:color="auto" w:fill="auto"/>
            <w:vAlign w:val="center"/>
          </w:tcPr>
          <w:p w14:paraId="261D95F6">
            <w:pPr>
              <w:adjustRightInd w:val="0"/>
              <w:snapToGrid w:val="0"/>
              <w:spacing w:before="36" w:beforeLines="15" w:line="276" w:lineRule="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有完善、合理的售后服务措施、有符合采购人需求的售后服务承诺、有专业的售后服务人员及工具，每有符合上述要求的1条得1分，满分3分。无不得分。</w:t>
            </w:r>
          </w:p>
        </w:tc>
        <w:tc>
          <w:tcPr>
            <w:tcW w:w="373" w:type="pct"/>
            <w:shd w:val="clear" w:color="auto" w:fill="auto"/>
            <w:vAlign w:val="center"/>
          </w:tcPr>
          <w:p w14:paraId="2B9C5B69">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3</w:t>
            </w:r>
            <w:r>
              <w:rPr>
                <w:rFonts w:hint="eastAsia" w:asciiTheme="minorEastAsia" w:hAnsiTheme="minorEastAsia" w:eastAsiaTheme="minorEastAsia" w:cstheme="minorEastAsia"/>
                <w:kern w:val="0"/>
                <w:sz w:val="21"/>
                <w:szCs w:val="21"/>
                <w:highlight w:val="none"/>
              </w:rPr>
              <w:t>-0</w:t>
            </w:r>
          </w:p>
        </w:tc>
      </w:tr>
      <w:tr w14:paraId="78C7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0" w:type="pct"/>
            <w:vMerge w:val="restart"/>
            <w:vAlign w:val="center"/>
          </w:tcPr>
          <w:p w14:paraId="00042221">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3</w:t>
            </w:r>
          </w:p>
        </w:tc>
        <w:tc>
          <w:tcPr>
            <w:tcW w:w="349" w:type="pct"/>
            <w:vMerge w:val="restart"/>
            <w:vAlign w:val="center"/>
          </w:tcPr>
          <w:p w14:paraId="02D41491">
            <w:pPr>
              <w:widowControl/>
              <w:wordWrap w:val="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技术评分因</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zh-CN"/>
              </w:rPr>
              <w:t>素</w:t>
            </w:r>
          </w:p>
        </w:tc>
        <w:tc>
          <w:tcPr>
            <w:tcW w:w="733" w:type="pct"/>
            <w:shd w:val="clear" w:color="auto" w:fill="auto"/>
            <w:vAlign w:val="center"/>
          </w:tcPr>
          <w:p w14:paraId="1E04304D">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项目实施方案</w:t>
            </w:r>
          </w:p>
        </w:tc>
        <w:tc>
          <w:tcPr>
            <w:tcW w:w="3293" w:type="pct"/>
            <w:shd w:val="clear" w:color="auto" w:fill="auto"/>
            <w:vAlign w:val="center"/>
          </w:tcPr>
          <w:p w14:paraId="783A698A">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与项目需要贴切，可行性强，能有效保障项目实施的得10分；方案与项目需要较贴切，有一定可行性，有利于项目顺利履约的得5分；方案与项目需要贴切度不高，有待完善的得3分；未提供相关内容差的不得分。</w:t>
            </w:r>
          </w:p>
        </w:tc>
        <w:tc>
          <w:tcPr>
            <w:tcW w:w="373" w:type="pct"/>
            <w:shd w:val="clear" w:color="auto" w:fill="auto"/>
            <w:vAlign w:val="center"/>
          </w:tcPr>
          <w:p w14:paraId="65A87137">
            <w:pPr>
              <w:widowControl/>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-0</w:t>
            </w:r>
          </w:p>
        </w:tc>
      </w:tr>
      <w:tr w14:paraId="29CE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50" w:type="pct"/>
            <w:vMerge w:val="continue"/>
            <w:tcBorders/>
            <w:vAlign w:val="center"/>
          </w:tcPr>
          <w:p w14:paraId="7A48FA59">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rPr>
            </w:pPr>
          </w:p>
        </w:tc>
        <w:tc>
          <w:tcPr>
            <w:tcW w:w="349" w:type="pct"/>
            <w:vMerge w:val="continue"/>
            <w:tcBorders/>
            <w:vAlign w:val="center"/>
          </w:tcPr>
          <w:p w14:paraId="28852316">
            <w:pPr>
              <w:widowControl/>
              <w:wordWrap w:val="0"/>
              <w:rPr>
                <w:rFonts w:hint="eastAsia" w:asciiTheme="minorEastAsia" w:hAnsiTheme="minorEastAsia" w:eastAsiaTheme="minorEastAsia" w:cstheme="minorEastAsia"/>
                <w:color w:val="auto"/>
                <w:sz w:val="21"/>
                <w:szCs w:val="21"/>
                <w:highlight w:val="none"/>
                <w:lang w:val="zh-CN"/>
              </w:rPr>
            </w:pPr>
          </w:p>
        </w:tc>
        <w:tc>
          <w:tcPr>
            <w:tcW w:w="733" w:type="pct"/>
            <w:shd w:val="clear" w:color="auto" w:fill="auto"/>
            <w:vAlign w:val="center"/>
          </w:tcPr>
          <w:p w14:paraId="48AD45D6">
            <w:pPr>
              <w:widowControl/>
              <w:wordWrap w:val="0"/>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质量保障方案及措施</w:t>
            </w:r>
          </w:p>
        </w:tc>
        <w:tc>
          <w:tcPr>
            <w:tcW w:w="3293" w:type="pct"/>
            <w:shd w:val="clear" w:color="auto" w:fill="auto"/>
            <w:vAlign w:val="center"/>
          </w:tcPr>
          <w:p w14:paraId="3B90FB3E">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①措施完善、有相关质量证明材料、质量保障方案全面、合理，可行性强、符合采购单位实际需求的，计5分；</w:t>
            </w:r>
          </w:p>
          <w:p w14:paraId="72C365F4">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②措施比较完善、无相关质量证明材料、质量保障方案较全面、较合理，可行性较强、较符合采购单位实际需求的，计3分；</w:t>
            </w:r>
          </w:p>
          <w:p w14:paraId="052820C3">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③措施一般、无相关质量证明材料、质量保障方案一般、基本不符合采购单位实际需求，计1分；</w:t>
            </w:r>
          </w:p>
          <w:p w14:paraId="6A7D6DFD">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④未提供措施的，不计分。</w:t>
            </w:r>
          </w:p>
        </w:tc>
        <w:tc>
          <w:tcPr>
            <w:tcW w:w="373" w:type="pct"/>
            <w:shd w:val="clear" w:color="auto" w:fill="auto"/>
            <w:vAlign w:val="center"/>
          </w:tcPr>
          <w:p w14:paraId="53336FC4">
            <w:pPr>
              <w:widowControl/>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5-0</w:t>
            </w:r>
          </w:p>
        </w:tc>
      </w:tr>
      <w:tr w14:paraId="4C63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50" w:type="pct"/>
            <w:vMerge w:val="continue"/>
            <w:tcBorders/>
            <w:vAlign w:val="center"/>
          </w:tcPr>
          <w:p w14:paraId="5F17E872">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rPr>
            </w:pPr>
          </w:p>
        </w:tc>
        <w:tc>
          <w:tcPr>
            <w:tcW w:w="349" w:type="pct"/>
            <w:vMerge w:val="continue"/>
            <w:tcBorders/>
            <w:vAlign w:val="center"/>
          </w:tcPr>
          <w:p w14:paraId="29FADB7C">
            <w:pPr>
              <w:widowControl/>
              <w:wordWrap w:val="0"/>
              <w:rPr>
                <w:rFonts w:hint="eastAsia" w:asciiTheme="minorEastAsia" w:hAnsiTheme="minorEastAsia" w:eastAsiaTheme="minorEastAsia" w:cstheme="minorEastAsia"/>
                <w:color w:val="auto"/>
                <w:sz w:val="21"/>
                <w:szCs w:val="21"/>
                <w:highlight w:val="none"/>
                <w:lang w:val="zh-CN"/>
              </w:rPr>
            </w:pPr>
          </w:p>
        </w:tc>
        <w:tc>
          <w:tcPr>
            <w:tcW w:w="733" w:type="pct"/>
            <w:shd w:val="clear" w:color="auto" w:fill="auto"/>
            <w:vAlign w:val="center"/>
          </w:tcPr>
          <w:p w14:paraId="08C810F2">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供货及安装</w:t>
            </w:r>
            <w:r>
              <w:rPr>
                <w:rFonts w:hint="eastAsia" w:asciiTheme="minorEastAsia" w:hAnsiTheme="minorEastAsia" w:eastAsiaTheme="minorEastAsia" w:cstheme="minorEastAsia"/>
                <w:color w:val="auto"/>
                <w:sz w:val="21"/>
                <w:szCs w:val="21"/>
                <w:highlight w:val="none"/>
                <w:lang w:val="zh-CN" w:eastAsia="zh-CN"/>
              </w:rPr>
              <w:t>进度计划与保证措施</w:t>
            </w:r>
          </w:p>
        </w:tc>
        <w:tc>
          <w:tcPr>
            <w:tcW w:w="3293" w:type="pct"/>
            <w:shd w:val="clear" w:color="auto" w:fill="auto"/>
            <w:vAlign w:val="center"/>
          </w:tcPr>
          <w:p w14:paraId="7DE709DB">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①满足招标文件要求；供货进度计划内容全面，思路清晰、准确、完整，计划编制合理、有进度图、可行；措施有力、合理、可行性强的，计5分；</w:t>
            </w:r>
          </w:p>
          <w:p w14:paraId="5B569F94">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②满足招标文件要求；供货进度计划内容较全面，思路较清晰、准确、完整，计划编制较合理、无进度图、较可行；措施较有力、较合理、较可行的，计3分；</w:t>
            </w:r>
          </w:p>
          <w:p w14:paraId="1CFDF5D2">
            <w:pPr>
              <w:widowControl/>
              <w:wordWrap w:val="0"/>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③满足招标文件要求；但供货进度计划内容一般全面、思路一般清晰、一般准确、一般完整，计划编制一般合理、无进度图、措施一般有力、一般合理、一般可行的，计1分；</w:t>
            </w:r>
          </w:p>
          <w:p w14:paraId="1E2DDA99">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④未提供措施的，不计分。</w:t>
            </w:r>
          </w:p>
        </w:tc>
        <w:tc>
          <w:tcPr>
            <w:tcW w:w="373" w:type="pct"/>
            <w:shd w:val="clear" w:color="auto" w:fill="auto"/>
            <w:vAlign w:val="center"/>
          </w:tcPr>
          <w:p w14:paraId="206BF7F3">
            <w:pPr>
              <w:widowControl/>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5-0</w:t>
            </w:r>
          </w:p>
        </w:tc>
      </w:tr>
      <w:tr w14:paraId="4E4F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50" w:type="pct"/>
            <w:vMerge w:val="continue"/>
            <w:tcBorders/>
            <w:vAlign w:val="center"/>
          </w:tcPr>
          <w:p w14:paraId="066D4F59">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rPr>
            </w:pPr>
          </w:p>
        </w:tc>
        <w:tc>
          <w:tcPr>
            <w:tcW w:w="349" w:type="pct"/>
            <w:vMerge w:val="continue"/>
            <w:tcBorders/>
            <w:vAlign w:val="center"/>
          </w:tcPr>
          <w:p w14:paraId="3D11C5A2">
            <w:pPr>
              <w:widowControl/>
              <w:wordWrap w:val="0"/>
              <w:rPr>
                <w:rFonts w:hint="eastAsia" w:asciiTheme="minorEastAsia" w:hAnsiTheme="minorEastAsia" w:eastAsiaTheme="minorEastAsia" w:cstheme="minorEastAsia"/>
                <w:color w:val="auto"/>
                <w:sz w:val="21"/>
                <w:szCs w:val="21"/>
                <w:highlight w:val="none"/>
                <w:lang w:val="zh-CN"/>
              </w:rPr>
            </w:pPr>
          </w:p>
        </w:tc>
        <w:tc>
          <w:tcPr>
            <w:tcW w:w="733" w:type="pct"/>
            <w:vAlign w:val="center"/>
          </w:tcPr>
          <w:p w14:paraId="4DC8AFF4">
            <w:pPr>
              <w:widowControl/>
              <w:wordWrap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安装方案与保证措施</w:t>
            </w:r>
          </w:p>
        </w:tc>
        <w:tc>
          <w:tcPr>
            <w:tcW w:w="3293" w:type="pct"/>
            <w:vAlign w:val="center"/>
          </w:tcPr>
          <w:p w14:paraId="4B6D897A">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根据投标人对场地用灯质量、亮化率保障措施进行评价打分。</w:t>
            </w:r>
          </w:p>
          <w:p w14:paraId="7303B428">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①有详细的安装方案及符合采购人需求的安装措施、有充足的安装技术人员、有专业的安装机械设备、满足采购人安装时间要求，计5分；</w:t>
            </w:r>
          </w:p>
          <w:p w14:paraId="252B7BE6">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②安装方案基本合理、安装措施基本满足采购人需求、有安装技术人员、机械设备、满足采购人安装时间要求，计3分；</w:t>
            </w:r>
          </w:p>
          <w:p w14:paraId="41FBC4DB">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③安装方案一般、安装措施一般满足采购人需求、安装技术人员、机械设备较少、满足采购人安装时间要求，计1分；</w:t>
            </w:r>
          </w:p>
          <w:p w14:paraId="57DF0436">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④未提供方案及措施、无人员机械设备、不满足采购人安装时间要求，不计分。</w:t>
            </w:r>
          </w:p>
        </w:tc>
        <w:tc>
          <w:tcPr>
            <w:tcW w:w="373" w:type="pct"/>
            <w:vAlign w:val="center"/>
          </w:tcPr>
          <w:p w14:paraId="592A6049">
            <w:pPr>
              <w:widowControl/>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5-0</w:t>
            </w:r>
          </w:p>
        </w:tc>
      </w:tr>
      <w:tr w14:paraId="6A4C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tcBorders/>
            <w:vAlign w:val="center"/>
          </w:tcPr>
          <w:p w14:paraId="247FB7D3">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rPr>
            </w:pPr>
          </w:p>
        </w:tc>
        <w:tc>
          <w:tcPr>
            <w:tcW w:w="349" w:type="pct"/>
            <w:vMerge w:val="continue"/>
            <w:tcBorders/>
            <w:vAlign w:val="center"/>
          </w:tcPr>
          <w:p w14:paraId="0E7DCAD2">
            <w:pPr>
              <w:widowControl/>
              <w:wordWrap w:val="0"/>
              <w:rPr>
                <w:rFonts w:hint="eastAsia" w:asciiTheme="minorEastAsia" w:hAnsiTheme="minorEastAsia" w:eastAsiaTheme="minorEastAsia" w:cstheme="minorEastAsia"/>
                <w:sz w:val="21"/>
                <w:szCs w:val="21"/>
                <w:highlight w:val="none"/>
                <w:lang w:val="zh-CN"/>
              </w:rPr>
            </w:pPr>
          </w:p>
        </w:tc>
        <w:tc>
          <w:tcPr>
            <w:tcW w:w="733" w:type="pct"/>
            <w:shd w:val="clear" w:color="auto" w:fill="auto"/>
            <w:vAlign w:val="center"/>
          </w:tcPr>
          <w:p w14:paraId="41F438FB">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管理制度</w:t>
            </w:r>
          </w:p>
        </w:tc>
        <w:tc>
          <w:tcPr>
            <w:tcW w:w="3293" w:type="pct"/>
            <w:shd w:val="clear" w:color="auto" w:fill="auto"/>
            <w:vAlign w:val="center"/>
          </w:tcPr>
          <w:p w14:paraId="31B1BD39">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对本项目制订的管理制度完整，有详细的工作职责、岗位要求、工作质量管理体系完善，制定内部考核制度，有专门的组织机构负责对本项目进行质量监管，评委根据其方案阐述合理性、措施有效性、操作性进行评价给分。</w:t>
            </w:r>
          </w:p>
          <w:p w14:paraId="20B7BB09">
            <w:pPr>
              <w:widowControl/>
              <w:wordWrap w:val="0"/>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注：方案内容科学合理、可操作性强的得5分；方案内容较合理清晰、可操作性一般的得3分；方案内容合理性较差、可操作性不强的得1分；完全偏离实际情况或未提供内容的不得分。</w:t>
            </w:r>
          </w:p>
        </w:tc>
        <w:tc>
          <w:tcPr>
            <w:tcW w:w="373" w:type="pct"/>
            <w:shd w:val="clear" w:color="auto" w:fill="auto"/>
            <w:vAlign w:val="center"/>
          </w:tcPr>
          <w:p w14:paraId="029E4D91">
            <w:pPr>
              <w:widowControl/>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5-0</w:t>
            </w:r>
          </w:p>
        </w:tc>
      </w:tr>
      <w:tr w14:paraId="0863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Merge w:val="continue"/>
            <w:tcBorders/>
            <w:vAlign w:val="center"/>
          </w:tcPr>
          <w:p w14:paraId="6A85BF68">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rPr>
            </w:pPr>
          </w:p>
        </w:tc>
        <w:tc>
          <w:tcPr>
            <w:tcW w:w="349" w:type="pct"/>
            <w:vMerge w:val="continue"/>
            <w:tcBorders/>
            <w:vAlign w:val="center"/>
          </w:tcPr>
          <w:p w14:paraId="0AD3B93E">
            <w:pPr>
              <w:widowControl/>
              <w:wordWrap w:val="0"/>
              <w:rPr>
                <w:rFonts w:hint="eastAsia" w:asciiTheme="minorEastAsia" w:hAnsiTheme="minorEastAsia" w:eastAsiaTheme="minorEastAsia" w:cstheme="minorEastAsia"/>
                <w:sz w:val="21"/>
                <w:szCs w:val="21"/>
                <w:highlight w:val="none"/>
                <w:lang w:val="zh-CN"/>
              </w:rPr>
            </w:pPr>
          </w:p>
        </w:tc>
        <w:tc>
          <w:tcPr>
            <w:tcW w:w="733" w:type="pct"/>
            <w:shd w:val="clear" w:color="auto" w:fill="auto"/>
            <w:vAlign w:val="center"/>
          </w:tcPr>
          <w:p w14:paraId="7E32FE41">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设备设施维护检测方案</w:t>
            </w:r>
          </w:p>
        </w:tc>
        <w:tc>
          <w:tcPr>
            <w:tcW w:w="3293" w:type="pct"/>
            <w:shd w:val="clear" w:color="auto" w:fill="auto"/>
            <w:vAlign w:val="center"/>
          </w:tcPr>
          <w:p w14:paraId="26B166AB">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根据投标人对控制箱、线缆、灯具、电器元器件等设备设施建立的定期维护检测方案，评委根据投标人提供的设备设施维护检测方案的合理性、措施有效性、操作性进行评价打分。</w:t>
            </w:r>
          </w:p>
          <w:p w14:paraId="11AF6C07">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注：方案内容科学合理、可操作性强的得5分；方案内容较合理清晰、可操作性一般的得3分；方案内容合理性较差、可操作性不强的得1分；完全偏离实际情况或未提供内容的不得分。</w:t>
            </w:r>
          </w:p>
        </w:tc>
        <w:tc>
          <w:tcPr>
            <w:tcW w:w="373" w:type="pct"/>
            <w:shd w:val="clear" w:color="auto" w:fill="auto"/>
            <w:vAlign w:val="center"/>
          </w:tcPr>
          <w:p w14:paraId="34F81382">
            <w:pPr>
              <w:widowControl/>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5-0</w:t>
            </w:r>
          </w:p>
        </w:tc>
      </w:tr>
      <w:tr w14:paraId="3E66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0" w:type="pct"/>
            <w:vMerge w:val="continue"/>
            <w:tcBorders/>
            <w:vAlign w:val="center"/>
          </w:tcPr>
          <w:p w14:paraId="4EC6E426">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rPr>
            </w:pPr>
          </w:p>
        </w:tc>
        <w:tc>
          <w:tcPr>
            <w:tcW w:w="349" w:type="pct"/>
            <w:vMerge w:val="continue"/>
            <w:tcBorders/>
            <w:vAlign w:val="center"/>
          </w:tcPr>
          <w:p w14:paraId="64A75F0F">
            <w:pPr>
              <w:widowControl/>
              <w:wordWrap w:val="0"/>
              <w:rPr>
                <w:rFonts w:hint="eastAsia" w:asciiTheme="minorEastAsia" w:hAnsiTheme="minorEastAsia" w:eastAsiaTheme="minorEastAsia" w:cstheme="minorEastAsia"/>
                <w:sz w:val="21"/>
                <w:szCs w:val="21"/>
                <w:highlight w:val="none"/>
                <w:lang w:val="zh-CN"/>
              </w:rPr>
            </w:pPr>
          </w:p>
        </w:tc>
        <w:tc>
          <w:tcPr>
            <w:tcW w:w="733" w:type="pct"/>
            <w:shd w:val="clear" w:color="auto" w:fill="auto"/>
            <w:vAlign w:val="center"/>
          </w:tcPr>
          <w:p w14:paraId="35FFF2A5">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安全文明维护作业方案</w:t>
            </w:r>
          </w:p>
        </w:tc>
        <w:tc>
          <w:tcPr>
            <w:tcW w:w="3293" w:type="pct"/>
            <w:shd w:val="clear" w:color="auto" w:fill="auto"/>
            <w:vAlign w:val="center"/>
          </w:tcPr>
          <w:p w14:paraId="663541D9">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本项目特点，投标人应编制光影秀灯具设施安全文明维护作业技术方案（内容包括但不限于基本要求、高空作业、带电作业、夜间作业及安全防范措施等内容），评委根据其方案阐述合理性、措施有效性、操作性进行评价打分。</w:t>
            </w:r>
          </w:p>
          <w:p w14:paraId="672CD2A2">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注：方案内容科学合理、可操作性强的得5分；方案内容较合理清晰、可操作性一般的得3分；方案内容合理性较差、可操作性不强的得1分；完全偏离实际情况或未提供内容的不得分。</w:t>
            </w:r>
          </w:p>
        </w:tc>
        <w:tc>
          <w:tcPr>
            <w:tcW w:w="373" w:type="pct"/>
            <w:shd w:val="clear" w:color="auto" w:fill="auto"/>
            <w:vAlign w:val="center"/>
          </w:tcPr>
          <w:p w14:paraId="0A6E198E">
            <w:pPr>
              <w:widowControl/>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en-US" w:eastAsia="zh-CN"/>
              </w:rPr>
              <w:t>-0</w:t>
            </w:r>
          </w:p>
        </w:tc>
      </w:tr>
      <w:tr w14:paraId="1C04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tcBorders/>
            <w:vAlign w:val="center"/>
          </w:tcPr>
          <w:p w14:paraId="08AC4BA5">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rPr>
            </w:pPr>
          </w:p>
        </w:tc>
        <w:tc>
          <w:tcPr>
            <w:tcW w:w="349" w:type="pct"/>
            <w:vMerge w:val="continue"/>
            <w:tcBorders/>
            <w:vAlign w:val="center"/>
          </w:tcPr>
          <w:p w14:paraId="5410E167">
            <w:pPr>
              <w:widowControl/>
              <w:wordWrap w:val="0"/>
              <w:rPr>
                <w:rFonts w:hint="eastAsia" w:asciiTheme="minorEastAsia" w:hAnsiTheme="minorEastAsia" w:eastAsiaTheme="minorEastAsia" w:cstheme="minorEastAsia"/>
                <w:sz w:val="21"/>
                <w:szCs w:val="21"/>
                <w:highlight w:val="none"/>
                <w:lang w:val="zh-CN"/>
              </w:rPr>
            </w:pPr>
          </w:p>
        </w:tc>
        <w:tc>
          <w:tcPr>
            <w:tcW w:w="733" w:type="pct"/>
            <w:vAlign w:val="center"/>
          </w:tcPr>
          <w:p w14:paraId="0A318DF3">
            <w:pPr>
              <w:widowControl/>
              <w:wordWrap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应急预案</w:t>
            </w:r>
          </w:p>
        </w:tc>
        <w:tc>
          <w:tcPr>
            <w:tcW w:w="3293" w:type="pct"/>
            <w:vAlign w:val="center"/>
          </w:tcPr>
          <w:p w14:paraId="6592E7F4">
            <w:pPr>
              <w:widowControl/>
              <w:wordWrap w:val="0"/>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针对突发事件制定合理有效的应急预案</w:t>
            </w:r>
            <w:r>
              <w:rPr>
                <w:rFonts w:hint="eastAsia" w:asciiTheme="minorEastAsia" w:hAnsiTheme="minorEastAsia" w:eastAsiaTheme="minorEastAsia" w:cstheme="minorEastAsia"/>
                <w:color w:val="auto"/>
                <w:sz w:val="21"/>
                <w:szCs w:val="21"/>
                <w:highlight w:val="none"/>
                <w:lang w:val="en-US" w:eastAsia="zh-CN"/>
              </w:rPr>
              <w:t>(包括但不仅限于</w:t>
            </w:r>
            <w:r>
              <w:rPr>
                <w:rFonts w:hint="eastAsia" w:asciiTheme="minorEastAsia" w:hAnsiTheme="minorEastAsia" w:eastAsiaTheme="minorEastAsia" w:cstheme="minorEastAsia"/>
                <w:color w:val="auto"/>
                <w:sz w:val="21"/>
                <w:szCs w:val="21"/>
                <w:highlight w:val="none"/>
                <w:lang w:val="zh-CN" w:eastAsia="zh-CN"/>
              </w:rPr>
              <w:t>对极端天气交通安全预案措施、紧急事故预案措施等）</w:t>
            </w:r>
          </w:p>
          <w:p w14:paraId="1FC14609">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内容具体、完整的得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分；；</w:t>
            </w:r>
            <w:r>
              <w:rPr>
                <w:rFonts w:hint="eastAsia" w:asciiTheme="minorEastAsia" w:hAnsiTheme="minorEastAsia" w:eastAsiaTheme="minorEastAsia" w:cstheme="minorEastAsia"/>
                <w:color w:val="auto"/>
                <w:sz w:val="21"/>
                <w:szCs w:val="21"/>
                <w:highlight w:val="none"/>
                <w:lang w:val="en-US" w:eastAsia="zh-CN"/>
              </w:rPr>
              <w:t>内容</w:t>
            </w:r>
            <w:r>
              <w:rPr>
                <w:rFonts w:hint="eastAsia" w:asciiTheme="minorEastAsia" w:hAnsiTheme="minorEastAsia" w:eastAsiaTheme="minorEastAsia" w:cstheme="minorEastAsia"/>
                <w:color w:val="auto"/>
                <w:sz w:val="21"/>
                <w:szCs w:val="21"/>
                <w:highlight w:val="none"/>
                <w:lang w:val="zh-CN" w:eastAsia="zh-CN"/>
              </w:rPr>
              <w:t>一般</w:t>
            </w:r>
            <w:r>
              <w:rPr>
                <w:rFonts w:hint="eastAsia" w:asciiTheme="minorEastAsia" w:hAnsiTheme="minorEastAsia" w:eastAsiaTheme="minorEastAsia" w:cstheme="minorEastAsia"/>
                <w:color w:val="auto"/>
                <w:sz w:val="21"/>
                <w:szCs w:val="21"/>
                <w:highlight w:val="none"/>
                <w:lang w:val="en-US" w:eastAsia="zh-CN"/>
              </w:rPr>
              <w:t>的得3分，</w:t>
            </w:r>
            <w:r>
              <w:rPr>
                <w:rFonts w:hint="eastAsia" w:asciiTheme="minorEastAsia" w:hAnsiTheme="minorEastAsia" w:eastAsiaTheme="minorEastAsia" w:cstheme="minorEastAsia"/>
                <w:color w:val="auto"/>
                <w:sz w:val="21"/>
                <w:szCs w:val="21"/>
                <w:highlight w:val="none"/>
                <w:lang w:val="zh-CN" w:eastAsia="zh-CN"/>
              </w:rPr>
              <w:t>内容不具体、不全面得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eastAsia="zh-CN"/>
              </w:rPr>
              <w:t>分；</w:t>
            </w:r>
            <w:r>
              <w:rPr>
                <w:rFonts w:hint="eastAsia" w:asciiTheme="minorEastAsia" w:hAnsiTheme="minorEastAsia" w:eastAsiaTheme="minorEastAsia" w:cstheme="minorEastAsia"/>
                <w:color w:val="auto"/>
                <w:sz w:val="21"/>
                <w:szCs w:val="21"/>
                <w:highlight w:val="none"/>
                <w:lang w:val="en-US" w:eastAsia="zh-CN"/>
              </w:rPr>
              <w:t>未提供的</w:t>
            </w:r>
            <w:r>
              <w:rPr>
                <w:rFonts w:hint="eastAsia" w:asciiTheme="minorEastAsia" w:hAnsiTheme="minorEastAsia" w:eastAsiaTheme="minorEastAsia" w:cstheme="minorEastAsia"/>
                <w:color w:val="auto"/>
                <w:sz w:val="21"/>
                <w:szCs w:val="21"/>
                <w:highlight w:val="none"/>
                <w:lang w:val="zh-CN" w:eastAsia="zh-CN"/>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eastAsia="zh-CN"/>
              </w:rPr>
              <w:t>分；</w:t>
            </w:r>
          </w:p>
        </w:tc>
        <w:tc>
          <w:tcPr>
            <w:tcW w:w="373" w:type="pct"/>
            <w:vAlign w:val="center"/>
          </w:tcPr>
          <w:p w14:paraId="7CAF745E">
            <w:pPr>
              <w:widowControl/>
              <w:wordWrap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-0</w:t>
            </w:r>
          </w:p>
        </w:tc>
      </w:tr>
      <w:tr w14:paraId="77A5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tcBorders/>
            <w:vAlign w:val="center"/>
          </w:tcPr>
          <w:p w14:paraId="2B0AD19C">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rPr>
            </w:pPr>
          </w:p>
        </w:tc>
        <w:tc>
          <w:tcPr>
            <w:tcW w:w="349" w:type="pct"/>
            <w:vMerge w:val="continue"/>
            <w:tcBorders/>
            <w:vAlign w:val="center"/>
          </w:tcPr>
          <w:p w14:paraId="438F5CEB">
            <w:pPr>
              <w:widowControl/>
              <w:wordWrap w:val="0"/>
              <w:rPr>
                <w:rFonts w:hint="eastAsia" w:asciiTheme="minorEastAsia" w:hAnsiTheme="minorEastAsia" w:eastAsiaTheme="minorEastAsia" w:cstheme="minorEastAsia"/>
                <w:sz w:val="21"/>
                <w:szCs w:val="21"/>
                <w:highlight w:val="none"/>
                <w:lang w:val="zh-CN"/>
              </w:rPr>
            </w:pPr>
          </w:p>
        </w:tc>
        <w:tc>
          <w:tcPr>
            <w:tcW w:w="733" w:type="pct"/>
            <w:vAlign w:val="center"/>
          </w:tcPr>
          <w:p w14:paraId="0D137098">
            <w:pPr>
              <w:widowControl/>
              <w:wordWrap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移交</w:t>
            </w:r>
            <w:r>
              <w:rPr>
                <w:rFonts w:hint="eastAsia" w:asciiTheme="minorEastAsia" w:hAnsiTheme="minorEastAsia" w:eastAsiaTheme="minorEastAsia" w:cstheme="minorEastAsia"/>
                <w:sz w:val="21"/>
                <w:szCs w:val="21"/>
                <w:highlight w:val="none"/>
              </w:rPr>
              <w:t>、测试、运行、验收</w:t>
            </w:r>
            <w:r>
              <w:rPr>
                <w:rFonts w:hint="eastAsia" w:asciiTheme="minorEastAsia" w:hAnsiTheme="minorEastAsia" w:eastAsiaTheme="minorEastAsia" w:cstheme="minorEastAsia"/>
                <w:sz w:val="21"/>
                <w:szCs w:val="21"/>
                <w:highlight w:val="none"/>
                <w:lang w:val="en-US" w:eastAsia="zh-CN"/>
              </w:rPr>
              <w:t>方案</w:t>
            </w:r>
          </w:p>
        </w:tc>
        <w:tc>
          <w:tcPr>
            <w:tcW w:w="3293" w:type="pct"/>
            <w:vAlign w:val="center"/>
          </w:tcPr>
          <w:p w14:paraId="75079B84">
            <w:pPr>
              <w:widowControl/>
              <w:wordWrap w:val="0"/>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投标人提出的动态光影秀照明灯具移交、测试、运行及验收方案的合理性、可行性情况评价打分。</w:t>
            </w:r>
          </w:p>
          <w:p w14:paraId="31A219E1">
            <w:pPr>
              <w:widowControl/>
              <w:wordWrap w:val="0"/>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注：方案内容科学合理、可操作性强的得5分；方案内容较合理清晰、可操作性一般的得3分；方案内容合理性较差、可操作性不强的得1分；完全偏离实际情况或未提供内容的不得分。</w:t>
            </w:r>
          </w:p>
        </w:tc>
        <w:tc>
          <w:tcPr>
            <w:tcW w:w="373" w:type="pct"/>
            <w:vAlign w:val="center"/>
          </w:tcPr>
          <w:p w14:paraId="53F77020">
            <w:pPr>
              <w:widowControl/>
              <w:wordWrap w:val="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-0</w:t>
            </w:r>
          </w:p>
        </w:tc>
      </w:tr>
      <w:tr w14:paraId="1396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tcBorders/>
            <w:vAlign w:val="center"/>
          </w:tcPr>
          <w:p w14:paraId="7AD42594">
            <w:pPr>
              <w:autoSpaceDE w:val="0"/>
              <w:autoSpaceDN w:val="0"/>
              <w:adjustRightInd w:val="0"/>
              <w:spacing w:line="276" w:lineRule="auto"/>
              <w:jc w:val="left"/>
              <w:rPr>
                <w:rFonts w:hint="eastAsia" w:asciiTheme="minorEastAsia" w:hAnsiTheme="minorEastAsia" w:eastAsiaTheme="minorEastAsia" w:cstheme="minorEastAsia"/>
                <w:bCs/>
                <w:color w:val="000000"/>
                <w:sz w:val="21"/>
                <w:szCs w:val="21"/>
                <w:highlight w:val="none"/>
              </w:rPr>
            </w:pPr>
          </w:p>
        </w:tc>
        <w:tc>
          <w:tcPr>
            <w:tcW w:w="349" w:type="pct"/>
            <w:vMerge w:val="continue"/>
            <w:tcBorders/>
            <w:vAlign w:val="center"/>
          </w:tcPr>
          <w:p w14:paraId="36B9E107">
            <w:pPr>
              <w:widowControl/>
              <w:wordWrap w:val="0"/>
              <w:rPr>
                <w:rFonts w:hint="eastAsia" w:asciiTheme="minorEastAsia" w:hAnsiTheme="minorEastAsia" w:eastAsiaTheme="minorEastAsia" w:cstheme="minorEastAsia"/>
                <w:sz w:val="21"/>
                <w:szCs w:val="21"/>
                <w:highlight w:val="none"/>
                <w:lang w:val="zh-CN"/>
              </w:rPr>
            </w:pPr>
          </w:p>
        </w:tc>
        <w:tc>
          <w:tcPr>
            <w:tcW w:w="733" w:type="pct"/>
            <w:vAlign w:val="center"/>
          </w:tcPr>
          <w:p w14:paraId="54F4D813">
            <w:pPr>
              <w:widowControl/>
              <w:wordWrap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合理化建议</w:t>
            </w:r>
          </w:p>
        </w:tc>
        <w:tc>
          <w:tcPr>
            <w:tcW w:w="3293" w:type="pct"/>
            <w:vAlign w:val="center"/>
          </w:tcPr>
          <w:p w14:paraId="75613542">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投标人提供的合理化建议切合本项目采购需求，评委根据其方案阐述合理性、措施有效性、操作性进行评价打分。</w:t>
            </w:r>
          </w:p>
          <w:p w14:paraId="17A25E07">
            <w:pPr>
              <w:widowControl/>
              <w:wordWrap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注：建议合理、可行性高的得5分；建议基本合理、可行性一般的得3分；建议可行性不高，无法确保项目顺利实施的得1分；未提供方案的不得分。</w:t>
            </w:r>
          </w:p>
        </w:tc>
        <w:tc>
          <w:tcPr>
            <w:tcW w:w="373" w:type="pct"/>
            <w:vAlign w:val="center"/>
          </w:tcPr>
          <w:p w14:paraId="28B42245">
            <w:pPr>
              <w:widowControl/>
              <w:wordWrap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-0</w:t>
            </w:r>
          </w:p>
        </w:tc>
      </w:tr>
    </w:tbl>
    <w:p w14:paraId="03FD4471">
      <w:pPr>
        <w:pStyle w:val="39"/>
        <w:numPr>
          <w:ilvl w:val="0"/>
          <w:numId w:val="0"/>
        </w:numPr>
        <w:rPr>
          <w:highlight w:val="none"/>
        </w:rPr>
      </w:pPr>
    </w:p>
    <w:p w14:paraId="4AF930BA">
      <w:pPr>
        <w:autoSpaceDN w:val="0"/>
        <w:adjustRightInd w:val="0"/>
        <w:snapToGrid w:val="0"/>
        <w:spacing w:line="360" w:lineRule="auto"/>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 xml:space="preserve"> (四) 说  明</w:t>
      </w:r>
    </w:p>
    <w:p w14:paraId="7ACC3B16">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评标委员会对满足招标文件实质性要求的投标文件，按照本章规定的评分标准进行打分，并按得分由高到低顺序推荐中标候选人，或根据采购人授权直接确定中标人，但投标报价低于其成本的除外。综合评分得分相同的，按投标报价由低到高顺序排列。得分且投标报价相同的并列。投标文件满足招标文件全部实质性要求，且按照评审因素的量化指标评审得分最高的</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为排名第一的中标候选人；</w:t>
      </w:r>
    </w:p>
    <w:p w14:paraId="5FA349A9">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2、本办法未列内容，不作为本次评审依据。</w:t>
      </w:r>
    </w:p>
    <w:p w14:paraId="7E3E8999">
      <w:pPr>
        <w:autoSpaceDN w:val="0"/>
        <w:adjustRightInd w:val="0"/>
        <w:snapToGrid w:val="0"/>
        <w:spacing w:line="360" w:lineRule="auto"/>
        <w:ind w:firstLine="42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Cs w:val="21"/>
          <w:highlight w:val="none"/>
        </w:rPr>
        <w:t>投标报价评审表：</w:t>
      </w:r>
    </w:p>
    <w:tbl>
      <w:tblPr>
        <w:tblStyle w:val="22"/>
        <w:tblW w:w="91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1"/>
        <w:gridCol w:w="855"/>
        <w:gridCol w:w="1005"/>
        <w:gridCol w:w="1176"/>
        <w:gridCol w:w="1058"/>
        <w:gridCol w:w="1090"/>
        <w:gridCol w:w="1207"/>
        <w:gridCol w:w="1083"/>
        <w:gridCol w:w="971"/>
      </w:tblGrid>
      <w:tr w14:paraId="54948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9" w:hRule="atLeast"/>
          <w:jc w:val="center"/>
        </w:trPr>
        <w:tc>
          <w:tcPr>
            <w:tcW w:w="681" w:type="dxa"/>
            <w:vMerge w:val="restart"/>
            <w:tcBorders>
              <w:top w:val="single" w:color="auto" w:sz="4" w:space="0"/>
              <w:left w:val="single" w:color="auto" w:sz="4" w:space="0"/>
              <w:bottom w:val="single" w:color="auto" w:sz="4" w:space="0"/>
              <w:right w:val="single" w:color="auto" w:sz="4" w:space="0"/>
            </w:tcBorders>
            <w:noWrap/>
            <w:vAlign w:val="center"/>
          </w:tcPr>
          <w:p w14:paraId="0762B542">
            <w:pPr>
              <w:pStyle w:val="6"/>
              <w:autoSpaceDN w:val="0"/>
              <w:adjustRightInd w:val="0"/>
              <w:snapToGrid w:val="0"/>
              <w:spacing w:line="360" w:lineRule="auto"/>
              <w:ind w:firstLine="0" w:firstLineChars="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855" w:type="dxa"/>
            <w:vMerge w:val="restart"/>
            <w:tcBorders>
              <w:top w:val="single" w:color="auto" w:sz="4" w:space="0"/>
              <w:left w:val="single" w:color="auto" w:sz="4" w:space="0"/>
              <w:bottom w:val="single" w:color="auto" w:sz="4" w:space="0"/>
              <w:right w:val="single" w:color="auto" w:sz="4" w:space="0"/>
            </w:tcBorders>
            <w:noWrap/>
            <w:vAlign w:val="center"/>
          </w:tcPr>
          <w:p w14:paraId="1F6D9914">
            <w:pPr>
              <w:pStyle w:val="6"/>
              <w:autoSpaceDN w:val="0"/>
              <w:adjustRightInd w:val="0"/>
              <w:snapToGrid w:val="0"/>
              <w:spacing w:line="360" w:lineRule="auto"/>
              <w:ind w:firstLine="0" w:firstLineChars="0"/>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投标人</w:t>
            </w:r>
          </w:p>
        </w:tc>
        <w:tc>
          <w:tcPr>
            <w:tcW w:w="1005" w:type="dxa"/>
            <w:vMerge w:val="restart"/>
            <w:tcBorders>
              <w:top w:val="single" w:color="auto" w:sz="4" w:space="0"/>
              <w:left w:val="single" w:color="auto" w:sz="4" w:space="0"/>
              <w:bottom w:val="single" w:color="auto" w:sz="4" w:space="0"/>
              <w:right w:val="single" w:color="auto" w:sz="4" w:space="0"/>
            </w:tcBorders>
            <w:noWrap/>
            <w:vAlign w:val="center"/>
          </w:tcPr>
          <w:p w14:paraId="0A013EC5">
            <w:pPr>
              <w:pStyle w:val="6"/>
              <w:autoSpaceDN w:val="0"/>
              <w:adjustRightInd w:val="0"/>
              <w:snapToGrid w:val="0"/>
              <w:spacing w:line="360" w:lineRule="auto"/>
              <w:ind w:firstLine="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投标报价</w:t>
            </w:r>
          </w:p>
        </w:tc>
        <w:tc>
          <w:tcPr>
            <w:tcW w:w="2234" w:type="dxa"/>
            <w:gridSpan w:val="2"/>
            <w:tcBorders>
              <w:top w:val="single" w:color="auto" w:sz="4" w:space="0"/>
              <w:left w:val="single" w:color="auto" w:sz="4" w:space="0"/>
              <w:bottom w:val="single" w:color="auto" w:sz="4" w:space="0"/>
              <w:right w:val="single" w:color="auto" w:sz="4" w:space="0"/>
            </w:tcBorders>
            <w:noWrap/>
            <w:vAlign w:val="center"/>
          </w:tcPr>
          <w:p w14:paraId="7A4E3EBA">
            <w:pPr>
              <w:pStyle w:val="6"/>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纠正计算错误</w:t>
            </w:r>
          </w:p>
        </w:tc>
        <w:tc>
          <w:tcPr>
            <w:tcW w:w="1090" w:type="dxa"/>
            <w:tcBorders>
              <w:top w:val="single" w:color="auto" w:sz="4" w:space="0"/>
              <w:left w:val="single" w:color="auto" w:sz="4" w:space="0"/>
              <w:bottom w:val="single" w:color="auto" w:sz="4" w:space="0"/>
              <w:right w:val="single" w:color="auto" w:sz="4" w:space="0"/>
            </w:tcBorders>
            <w:noWrap/>
            <w:vAlign w:val="center"/>
          </w:tcPr>
          <w:p w14:paraId="5850F3F8">
            <w:pPr>
              <w:pStyle w:val="6"/>
              <w:autoSpaceDN w:val="0"/>
              <w:adjustRightInd w:val="0"/>
              <w:snapToGrid w:val="0"/>
              <w:spacing w:line="360" w:lineRule="auto"/>
              <w:ind w:firstLine="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小微企业价格优惠</w:t>
            </w:r>
          </w:p>
        </w:tc>
        <w:tc>
          <w:tcPr>
            <w:tcW w:w="1207" w:type="dxa"/>
            <w:tcBorders>
              <w:top w:val="single" w:color="auto" w:sz="4" w:space="0"/>
              <w:left w:val="single" w:color="auto" w:sz="4" w:space="0"/>
              <w:bottom w:val="single" w:color="auto" w:sz="4" w:space="0"/>
              <w:right w:val="single" w:color="auto" w:sz="4" w:space="0"/>
            </w:tcBorders>
            <w:noWrap/>
            <w:vAlign w:val="center"/>
          </w:tcPr>
          <w:p w14:paraId="081514BF">
            <w:pPr>
              <w:pStyle w:val="6"/>
              <w:autoSpaceDN w:val="0"/>
              <w:adjustRightInd w:val="0"/>
              <w:snapToGrid w:val="0"/>
              <w:spacing w:line="360" w:lineRule="auto"/>
              <w:ind w:firstLine="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监狱企业价格优惠</w:t>
            </w:r>
          </w:p>
        </w:tc>
        <w:tc>
          <w:tcPr>
            <w:tcW w:w="1083" w:type="dxa"/>
            <w:vMerge w:val="restart"/>
            <w:tcBorders>
              <w:top w:val="single" w:color="auto" w:sz="4" w:space="0"/>
              <w:left w:val="single" w:color="auto" w:sz="4" w:space="0"/>
              <w:bottom w:val="single" w:color="auto" w:sz="4" w:space="0"/>
              <w:right w:val="single" w:color="auto" w:sz="4" w:space="0"/>
            </w:tcBorders>
            <w:noWrap/>
            <w:vAlign w:val="center"/>
          </w:tcPr>
          <w:p w14:paraId="6023C3F6">
            <w:pPr>
              <w:pStyle w:val="6"/>
              <w:autoSpaceDN w:val="0"/>
              <w:adjustRightInd w:val="0"/>
              <w:snapToGrid w:val="0"/>
              <w:spacing w:line="360" w:lineRule="auto"/>
              <w:ind w:firstLine="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是否低于成本</w:t>
            </w:r>
          </w:p>
        </w:tc>
        <w:tc>
          <w:tcPr>
            <w:tcW w:w="971" w:type="dxa"/>
            <w:vMerge w:val="restart"/>
            <w:tcBorders>
              <w:top w:val="single" w:color="auto" w:sz="4" w:space="0"/>
              <w:left w:val="single" w:color="auto" w:sz="4" w:space="0"/>
              <w:bottom w:val="single" w:color="auto" w:sz="4" w:space="0"/>
              <w:right w:val="single" w:color="auto" w:sz="4" w:space="0"/>
            </w:tcBorders>
            <w:noWrap/>
            <w:vAlign w:val="center"/>
          </w:tcPr>
          <w:p w14:paraId="37BF2B8E">
            <w:pPr>
              <w:pStyle w:val="6"/>
              <w:autoSpaceDN w:val="0"/>
              <w:adjustRightInd w:val="0"/>
              <w:snapToGrid w:val="0"/>
              <w:spacing w:line="360" w:lineRule="auto"/>
              <w:ind w:firstLine="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参与评标价格</w:t>
            </w:r>
          </w:p>
        </w:tc>
      </w:tr>
      <w:tr w14:paraId="56BE9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681" w:type="dxa"/>
            <w:vMerge w:val="continue"/>
            <w:tcBorders>
              <w:top w:val="single" w:color="auto" w:sz="4" w:space="0"/>
              <w:left w:val="single" w:color="auto" w:sz="4" w:space="0"/>
              <w:bottom w:val="single" w:color="auto" w:sz="4" w:space="0"/>
              <w:right w:val="single" w:color="auto" w:sz="4" w:space="0"/>
            </w:tcBorders>
            <w:vAlign w:val="center"/>
          </w:tcPr>
          <w:p w14:paraId="261B5E5A">
            <w:pPr>
              <w:widowControl/>
              <w:spacing w:line="360" w:lineRule="auto"/>
              <w:jc w:val="left"/>
              <w:rPr>
                <w:rFonts w:asciiTheme="majorEastAsia" w:hAnsiTheme="majorEastAsia" w:eastAsiaTheme="majorEastAsia"/>
                <w:szCs w:val="21"/>
                <w:highlight w:val="none"/>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14:paraId="18184F94">
            <w:pPr>
              <w:widowControl/>
              <w:spacing w:line="360" w:lineRule="auto"/>
              <w:jc w:val="left"/>
              <w:rPr>
                <w:rFonts w:asciiTheme="majorEastAsia" w:hAnsiTheme="majorEastAsia" w:eastAsiaTheme="majorEastAsia"/>
                <w:szCs w:val="21"/>
                <w:highlight w:val="none"/>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14:paraId="019D8F33">
            <w:pPr>
              <w:widowControl/>
              <w:spacing w:line="360" w:lineRule="auto"/>
              <w:jc w:val="left"/>
              <w:rPr>
                <w:rFonts w:asciiTheme="majorEastAsia" w:hAnsiTheme="majorEastAsia" w:eastAsiaTheme="majorEastAsia"/>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ign w:val="center"/>
          </w:tcPr>
          <w:p w14:paraId="0639A4DC">
            <w:pPr>
              <w:pStyle w:val="6"/>
              <w:autoSpaceDN w:val="0"/>
              <w:adjustRightInd w:val="0"/>
              <w:snapToGrid w:val="0"/>
              <w:spacing w:line="360" w:lineRule="auto"/>
              <w:ind w:firstLine="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增加（十）</w:t>
            </w:r>
          </w:p>
        </w:tc>
        <w:tc>
          <w:tcPr>
            <w:tcW w:w="1058" w:type="dxa"/>
            <w:tcBorders>
              <w:top w:val="single" w:color="auto" w:sz="4" w:space="0"/>
              <w:left w:val="single" w:color="auto" w:sz="4" w:space="0"/>
              <w:bottom w:val="single" w:color="auto" w:sz="4" w:space="0"/>
              <w:right w:val="single" w:color="auto" w:sz="4" w:space="0"/>
            </w:tcBorders>
            <w:noWrap/>
            <w:vAlign w:val="center"/>
          </w:tcPr>
          <w:p w14:paraId="6866F774">
            <w:pPr>
              <w:pStyle w:val="6"/>
              <w:autoSpaceDN w:val="0"/>
              <w:adjustRightInd w:val="0"/>
              <w:snapToGrid w:val="0"/>
              <w:spacing w:line="360" w:lineRule="auto"/>
              <w:ind w:firstLine="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减少（一）</w:t>
            </w:r>
          </w:p>
        </w:tc>
        <w:tc>
          <w:tcPr>
            <w:tcW w:w="1090" w:type="dxa"/>
            <w:tcBorders>
              <w:top w:val="single" w:color="auto" w:sz="4" w:space="0"/>
              <w:left w:val="single" w:color="auto" w:sz="4" w:space="0"/>
              <w:bottom w:val="single" w:color="auto" w:sz="4" w:space="0"/>
              <w:right w:val="single" w:color="auto" w:sz="4" w:space="0"/>
            </w:tcBorders>
            <w:noWrap/>
            <w:vAlign w:val="center"/>
          </w:tcPr>
          <w:p w14:paraId="4AA0E3D7">
            <w:pPr>
              <w:pStyle w:val="6"/>
              <w:autoSpaceDN w:val="0"/>
              <w:adjustRightInd w:val="0"/>
              <w:snapToGrid w:val="0"/>
              <w:spacing w:line="360" w:lineRule="auto"/>
              <w:ind w:firstLine="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扣除10%</w:t>
            </w:r>
          </w:p>
        </w:tc>
        <w:tc>
          <w:tcPr>
            <w:tcW w:w="1207" w:type="dxa"/>
            <w:tcBorders>
              <w:top w:val="single" w:color="auto" w:sz="4" w:space="0"/>
              <w:left w:val="single" w:color="auto" w:sz="4" w:space="0"/>
              <w:bottom w:val="single" w:color="auto" w:sz="4" w:space="0"/>
              <w:right w:val="single" w:color="auto" w:sz="4" w:space="0"/>
            </w:tcBorders>
            <w:noWrap/>
            <w:vAlign w:val="center"/>
          </w:tcPr>
          <w:p w14:paraId="08E57FEA">
            <w:pPr>
              <w:pStyle w:val="6"/>
              <w:autoSpaceDN w:val="0"/>
              <w:adjustRightInd w:val="0"/>
              <w:snapToGrid w:val="0"/>
              <w:spacing w:line="360" w:lineRule="auto"/>
              <w:ind w:firstLine="0" w:firstLineChars="0"/>
              <w:rPr>
                <w:rFonts w:asciiTheme="majorEastAsia" w:hAnsiTheme="majorEastAsia" w:eastAsiaTheme="majorEastAsia"/>
                <w:b/>
                <w:bCs/>
                <w:sz w:val="32"/>
                <w:szCs w:val="32"/>
                <w:highlight w:val="none"/>
              </w:rPr>
            </w:pPr>
            <w:r>
              <w:rPr>
                <w:rFonts w:hint="eastAsia" w:asciiTheme="majorEastAsia" w:hAnsiTheme="majorEastAsia" w:eastAsiaTheme="majorEastAsia"/>
                <w:szCs w:val="21"/>
                <w:highlight w:val="none"/>
              </w:rPr>
              <w:t>扣除10%</w:t>
            </w: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101E2A91">
            <w:pPr>
              <w:widowControl/>
              <w:spacing w:line="360" w:lineRule="auto"/>
              <w:jc w:val="left"/>
              <w:rPr>
                <w:rFonts w:asciiTheme="majorEastAsia" w:hAnsiTheme="majorEastAsia" w:eastAsiaTheme="majorEastAsia"/>
                <w:szCs w:val="21"/>
                <w:highlight w:val="none"/>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780B83C8">
            <w:pPr>
              <w:widowControl/>
              <w:spacing w:line="360" w:lineRule="auto"/>
              <w:jc w:val="left"/>
              <w:rPr>
                <w:rFonts w:asciiTheme="majorEastAsia" w:hAnsiTheme="majorEastAsia" w:eastAsiaTheme="majorEastAsia"/>
                <w:szCs w:val="21"/>
                <w:highlight w:val="none"/>
              </w:rPr>
            </w:pPr>
          </w:p>
        </w:tc>
      </w:tr>
      <w:tr w14:paraId="08E27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1140CED9">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855" w:type="dxa"/>
            <w:tcBorders>
              <w:top w:val="single" w:color="auto" w:sz="4" w:space="0"/>
              <w:left w:val="single" w:color="auto" w:sz="4" w:space="0"/>
              <w:bottom w:val="single" w:color="auto" w:sz="4" w:space="0"/>
              <w:right w:val="single" w:color="auto" w:sz="4" w:space="0"/>
            </w:tcBorders>
            <w:noWrap/>
            <w:vAlign w:val="center"/>
          </w:tcPr>
          <w:p w14:paraId="46A51097">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1CE419B5">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ign w:val="center"/>
          </w:tcPr>
          <w:p w14:paraId="2041BA0F">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ign w:val="center"/>
          </w:tcPr>
          <w:p w14:paraId="1E3C6A87">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ign w:val="center"/>
          </w:tcPr>
          <w:p w14:paraId="383C4E87">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ign w:val="center"/>
          </w:tcPr>
          <w:p w14:paraId="618E587D">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073CA401">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971" w:type="dxa"/>
            <w:tcBorders>
              <w:top w:val="single" w:color="auto" w:sz="4" w:space="0"/>
              <w:left w:val="single" w:color="auto" w:sz="4" w:space="0"/>
              <w:bottom w:val="single" w:color="auto" w:sz="4" w:space="0"/>
              <w:right w:val="single" w:color="auto" w:sz="4" w:space="0"/>
            </w:tcBorders>
            <w:noWrap/>
            <w:vAlign w:val="center"/>
          </w:tcPr>
          <w:p w14:paraId="46FCAEFE">
            <w:pPr>
              <w:pStyle w:val="6"/>
              <w:autoSpaceDN w:val="0"/>
              <w:adjustRightInd w:val="0"/>
              <w:snapToGrid w:val="0"/>
              <w:spacing w:line="360" w:lineRule="auto"/>
              <w:ind w:firstLine="420"/>
              <w:rPr>
                <w:rFonts w:asciiTheme="majorEastAsia" w:hAnsiTheme="majorEastAsia" w:eastAsiaTheme="majorEastAsia"/>
                <w:szCs w:val="21"/>
                <w:highlight w:val="none"/>
              </w:rPr>
            </w:pPr>
          </w:p>
        </w:tc>
      </w:tr>
      <w:tr w14:paraId="14AE6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7582F7F8">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855" w:type="dxa"/>
            <w:tcBorders>
              <w:top w:val="single" w:color="auto" w:sz="4" w:space="0"/>
              <w:left w:val="single" w:color="auto" w:sz="4" w:space="0"/>
              <w:bottom w:val="single" w:color="auto" w:sz="4" w:space="0"/>
              <w:right w:val="single" w:color="auto" w:sz="4" w:space="0"/>
            </w:tcBorders>
            <w:noWrap/>
            <w:vAlign w:val="center"/>
          </w:tcPr>
          <w:p w14:paraId="4580ABA7">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3DEBA418">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ign w:val="center"/>
          </w:tcPr>
          <w:p w14:paraId="634E7156">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ign w:val="center"/>
          </w:tcPr>
          <w:p w14:paraId="6AF4EC90">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ign w:val="center"/>
          </w:tcPr>
          <w:p w14:paraId="11A32795">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1207" w:type="dxa"/>
            <w:tcBorders>
              <w:top w:val="single" w:color="auto" w:sz="4" w:space="0"/>
              <w:left w:val="single" w:color="auto" w:sz="4" w:space="0"/>
              <w:bottom w:val="single" w:color="auto" w:sz="4" w:space="0"/>
              <w:right w:val="single" w:color="auto" w:sz="4" w:space="0"/>
            </w:tcBorders>
            <w:noWrap/>
          </w:tcPr>
          <w:p w14:paraId="6669EA88">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50040473">
            <w:pPr>
              <w:pStyle w:val="6"/>
              <w:autoSpaceDN w:val="0"/>
              <w:adjustRightInd w:val="0"/>
              <w:snapToGrid w:val="0"/>
              <w:spacing w:line="360" w:lineRule="auto"/>
              <w:ind w:firstLine="420"/>
              <w:rPr>
                <w:rFonts w:asciiTheme="majorEastAsia" w:hAnsiTheme="majorEastAsia" w:eastAsiaTheme="majorEastAsia"/>
                <w:szCs w:val="21"/>
                <w:highlight w:val="none"/>
              </w:rPr>
            </w:pPr>
          </w:p>
        </w:tc>
        <w:tc>
          <w:tcPr>
            <w:tcW w:w="971" w:type="dxa"/>
            <w:tcBorders>
              <w:top w:val="single" w:color="auto" w:sz="4" w:space="0"/>
              <w:left w:val="single" w:color="auto" w:sz="4" w:space="0"/>
              <w:bottom w:val="single" w:color="auto" w:sz="4" w:space="0"/>
              <w:right w:val="single" w:color="auto" w:sz="4" w:space="0"/>
            </w:tcBorders>
            <w:noWrap/>
            <w:vAlign w:val="center"/>
          </w:tcPr>
          <w:p w14:paraId="74E3D288">
            <w:pPr>
              <w:pStyle w:val="6"/>
              <w:autoSpaceDN w:val="0"/>
              <w:adjustRightInd w:val="0"/>
              <w:snapToGrid w:val="0"/>
              <w:spacing w:line="360" w:lineRule="auto"/>
              <w:ind w:firstLine="420"/>
              <w:rPr>
                <w:rFonts w:asciiTheme="majorEastAsia" w:hAnsiTheme="majorEastAsia" w:eastAsiaTheme="majorEastAsia"/>
                <w:szCs w:val="21"/>
                <w:highlight w:val="none"/>
              </w:rPr>
            </w:pPr>
          </w:p>
        </w:tc>
      </w:tr>
    </w:tbl>
    <w:p w14:paraId="1D6ED973">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投标报价有算术错误的，评标委员会按以下原则对投标报价进行修正，修正的价格经</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书面确认后具有约束力。</w:t>
      </w:r>
      <w:r>
        <w:rPr>
          <w:rFonts w:hint="eastAsia" w:asciiTheme="majorEastAsia" w:hAnsiTheme="majorEastAsia" w:eastAsiaTheme="majorEastAsia"/>
          <w:szCs w:val="21"/>
          <w:highlight w:val="none"/>
          <w:lang w:eastAsia="zh-CN"/>
        </w:rPr>
        <w:t>投标人</w:t>
      </w:r>
      <w:r>
        <w:rPr>
          <w:rFonts w:hint="eastAsia" w:asciiTheme="majorEastAsia" w:hAnsiTheme="majorEastAsia" w:eastAsiaTheme="majorEastAsia"/>
          <w:szCs w:val="21"/>
          <w:highlight w:val="none"/>
        </w:rPr>
        <w:t>不接受修正价格的，评标委员会应当否决其投标。</w:t>
      </w:r>
    </w:p>
    <w:p w14:paraId="2B6D678D">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（1）投标文件中的大写金额与小写金额不一致的，以大写金额为准；</w:t>
      </w:r>
    </w:p>
    <w:p w14:paraId="0E3111A7">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（2）总价金额与依据单价计算出的结果不一致的，以单价金额为准修正总价，但单价金额小数点有明显错误的除外。</w:t>
      </w:r>
    </w:p>
    <w:p w14:paraId="7178B0F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评标委员会在评审时，价格分加分：</w:t>
      </w:r>
    </w:p>
    <w:p w14:paraId="48C863E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（1）根据财库</w:t>
      </w:r>
      <w:r>
        <w:rPr>
          <w:rFonts w:hint="eastAsia" w:cs="宋体" w:asciiTheme="majorEastAsia" w:hAnsiTheme="majorEastAsia" w:eastAsiaTheme="majorEastAsia"/>
          <w:bCs/>
          <w:szCs w:val="21"/>
          <w:highlight w:val="none"/>
        </w:rPr>
        <w:t>[2020]46</w:t>
      </w:r>
      <w:r>
        <w:rPr>
          <w:rFonts w:hint="eastAsia" w:cs="宋体" w:asciiTheme="majorEastAsia" w:hAnsiTheme="majorEastAsia" w:eastAsiaTheme="majorEastAsia"/>
          <w:szCs w:val="21"/>
          <w:highlight w:val="none"/>
        </w:rPr>
        <w:t>号、财库〔2022〕19号文件规定，对小型和微型企业的投标报价给予10%的价格扣除，并按照扣除后的价格参加评审。</w:t>
      </w:r>
      <w:r>
        <w:rPr>
          <w:rFonts w:hint="eastAsia" w:cs="宋体" w:asciiTheme="majorEastAsia" w:hAnsiTheme="majorEastAsia" w:eastAsiaTheme="majorEastAsia"/>
          <w:szCs w:val="21"/>
          <w:highlight w:val="none"/>
          <w:lang w:val="zh-CN"/>
        </w:rPr>
        <w:t>但参加本次采购活动的中小企业应当提供本办法规定的《中小企业声明函》。小型、微型企业提供中型、</w:t>
      </w:r>
      <w:r>
        <w:rPr>
          <w:rFonts w:hint="eastAsia" w:cs="宋体" w:asciiTheme="majorEastAsia" w:hAnsiTheme="majorEastAsia" w:eastAsiaTheme="majorEastAsia"/>
          <w:szCs w:val="21"/>
          <w:highlight w:val="none"/>
        </w:rPr>
        <w:t>大型</w:t>
      </w:r>
      <w:r>
        <w:rPr>
          <w:rFonts w:hint="eastAsia" w:cs="宋体" w:asciiTheme="majorEastAsia" w:hAnsiTheme="majorEastAsia" w:eastAsiaTheme="majorEastAsia"/>
          <w:szCs w:val="21"/>
          <w:highlight w:val="none"/>
          <w:lang w:val="zh-CN"/>
        </w:rPr>
        <w:t>企业制造的货物的，视同为中型企业。</w:t>
      </w:r>
      <w:r>
        <w:rPr>
          <w:rFonts w:hint="eastAsia" w:cs="宋体" w:asciiTheme="majorEastAsia" w:hAnsiTheme="majorEastAsia" w:eastAsiaTheme="majorEastAsia"/>
          <w:szCs w:val="21"/>
          <w:highlight w:val="none"/>
        </w:rPr>
        <w:t>提供生成厂家中小企业声明函。</w:t>
      </w:r>
    </w:p>
    <w:p w14:paraId="23795E3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p>
    <w:p w14:paraId="5A2478C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10%的价格扣除，并按照扣除后的价格参加评审。</w:t>
      </w:r>
    </w:p>
    <w:p w14:paraId="6F6EF78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价格扣除的依据：第（1）条提供中小企业声明函原件，第（2）条应当提供由省级以上监狱管理局、戒毒管理局(含新疆生产建设兵团)出具的属于监狱企业的证明文件原件。第（1）条与第（2）条政策不能叠加扣除。</w:t>
      </w:r>
    </w:p>
    <w:p w14:paraId="6CF9E4EF">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（4）中小企业认定标准：工信部联企业【2011】300号</w:t>
      </w:r>
    </w:p>
    <w:p w14:paraId="121BBBDE">
      <w:pPr>
        <w:widowControl/>
        <w:jc w:val="left"/>
        <w:rPr>
          <w:rFonts w:asciiTheme="majorEastAsia" w:hAnsiTheme="majorEastAsia" w:eastAsiaTheme="majorEastAsia"/>
          <w:bCs/>
          <w:sz w:val="28"/>
          <w:szCs w:val="28"/>
          <w:highlight w:val="none"/>
        </w:rPr>
      </w:pPr>
      <w:r>
        <w:rPr>
          <w:rFonts w:asciiTheme="majorEastAsia" w:hAnsiTheme="majorEastAsia" w:eastAsiaTheme="majorEastAsia"/>
          <w:bCs/>
          <w:sz w:val="28"/>
          <w:szCs w:val="28"/>
          <w:highlight w:val="none"/>
        </w:rPr>
        <w:br w:type="page"/>
      </w:r>
    </w:p>
    <w:p w14:paraId="3826A625">
      <w:pPr>
        <w:autoSpaceDN w:val="0"/>
        <w:adjustRightInd w:val="0"/>
        <w:snapToGrid w:val="0"/>
        <w:spacing w:before="312" w:line="360" w:lineRule="auto"/>
        <w:jc w:val="center"/>
        <w:rPr>
          <w:rFonts w:asciiTheme="majorEastAsia" w:hAnsiTheme="majorEastAsia" w:eastAsiaTheme="majorEastAsia"/>
          <w:sz w:val="28"/>
          <w:szCs w:val="28"/>
          <w:highlight w:val="none"/>
        </w:rPr>
      </w:pPr>
      <w:r>
        <w:rPr>
          <w:rFonts w:hint="eastAsia" w:asciiTheme="majorEastAsia" w:hAnsiTheme="majorEastAsia" w:eastAsiaTheme="majorEastAsia"/>
          <w:bCs/>
          <w:sz w:val="28"/>
          <w:szCs w:val="28"/>
          <w:highlight w:val="none"/>
        </w:rPr>
        <w:t>附件：</w:t>
      </w:r>
      <w:bookmarkStart w:id="69" w:name="_Toc63327628"/>
      <w:r>
        <w:rPr>
          <w:rFonts w:hint="eastAsia" w:asciiTheme="majorEastAsia" w:hAnsiTheme="majorEastAsia" w:eastAsiaTheme="majorEastAsia"/>
          <w:sz w:val="28"/>
          <w:szCs w:val="28"/>
          <w:highlight w:val="none"/>
        </w:rPr>
        <w:t>关于印发《政府采购促进中小企业发展管理办法》的通知</w:t>
      </w:r>
      <w:bookmarkEnd w:id="69"/>
    </w:p>
    <w:p w14:paraId="28EE795F">
      <w:pPr>
        <w:autoSpaceDN w:val="0"/>
        <w:adjustRightInd w:val="0"/>
        <w:snapToGrid w:val="0"/>
        <w:spacing w:before="312" w:line="360" w:lineRule="auto"/>
        <w:jc w:val="center"/>
        <w:rPr>
          <w:rFonts w:cs="Arial" w:asciiTheme="majorEastAsia" w:hAnsiTheme="majorEastAsia" w:eastAsiaTheme="majorEastAsia"/>
          <w:sz w:val="28"/>
          <w:szCs w:val="28"/>
          <w:highlight w:val="none"/>
        </w:rPr>
      </w:pPr>
      <w:r>
        <w:rPr>
          <w:rFonts w:hint="eastAsia" w:asciiTheme="majorEastAsia" w:hAnsiTheme="majorEastAsia" w:eastAsiaTheme="majorEastAsia"/>
          <w:sz w:val="28"/>
          <w:szCs w:val="28"/>
          <w:highlight w:val="none"/>
        </w:rPr>
        <w:t>财库[2020]46号</w:t>
      </w:r>
    </w:p>
    <w:p w14:paraId="1AA2DBEB">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各中央预算单位办公厅（室），各省、自治区、直辖市、计划单列市财政厅（局）、工业和信息化主管部门，新疆生产建设兵团财政局、工业和信息化主管部门：</w:t>
      </w:r>
    </w:p>
    <w:p w14:paraId="76ADCAE7">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8BC09B7">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附件：政府采购促进中小企业发展管理办法。</w:t>
      </w:r>
    </w:p>
    <w:p w14:paraId="3829B12F">
      <w:pPr>
        <w:autoSpaceDN w:val="0"/>
        <w:adjustRightInd w:val="0"/>
        <w:snapToGrid w:val="0"/>
        <w:spacing w:before="312" w:line="360" w:lineRule="auto"/>
        <w:jc w:val="righ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财  政  部</w:t>
      </w:r>
    </w:p>
    <w:p w14:paraId="50CF5FD2">
      <w:pPr>
        <w:autoSpaceDN w:val="0"/>
        <w:adjustRightInd w:val="0"/>
        <w:snapToGrid w:val="0"/>
        <w:spacing w:before="312" w:line="360" w:lineRule="auto"/>
        <w:jc w:val="righ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工业和信息化部</w:t>
      </w:r>
    </w:p>
    <w:p w14:paraId="459D0DFF">
      <w:pPr>
        <w:autoSpaceDN w:val="0"/>
        <w:adjustRightInd w:val="0"/>
        <w:snapToGrid w:val="0"/>
        <w:spacing w:before="312" w:line="360" w:lineRule="auto"/>
        <w:jc w:val="righ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2020年12月18日</w:t>
      </w:r>
    </w:p>
    <w:p w14:paraId="6DEC05C2">
      <w:pPr>
        <w:pStyle w:val="6"/>
        <w:autoSpaceDN w:val="0"/>
        <w:adjustRightInd w:val="0"/>
        <w:snapToGrid w:val="0"/>
        <w:spacing w:line="360" w:lineRule="auto"/>
        <w:ind w:firstLine="560"/>
        <w:rPr>
          <w:rFonts w:cs="Arial" w:asciiTheme="majorEastAsia" w:hAnsiTheme="majorEastAsia" w:eastAsiaTheme="majorEastAsia"/>
          <w:bCs/>
          <w:sz w:val="28"/>
          <w:szCs w:val="28"/>
          <w:highlight w:val="none"/>
        </w:rPr>
      </w:pPr>
    </w:p>
    <w:p w14:paraId="29DEEDDC">
      <w:pPr>
        <w:pStyle w:val="6"/>
        <w:autoSpaceDN w:val="0"/>
        <w:adjustRightInd w:val="0"/>
        <w:snapToGrid w:val="0"/>
        <w:spacing w:line="360" w:lineRule="auto"/>
        <w:ind w:firstLine="560"/>
        <w:jc w:val="center"/>
        <w:rPr>
          <w:rFonts w:cs="宋体" w:asciiTheme="majorEastAsia" w:hAnsiTheme="majorEastAsia" w:eastAsiaTheme="majorEastAsia"/>
          <w:szCs w:val="21"/>
          <w:highlight w:val="none"/>
        </w:rPr>
      </w:pPr>
      <w:bookmarkStart w:id="70" w:name="_Toc63327629"/>
      <w:r>
        <w:rPr>
          <w:rFonts w:cs="Arial" w:asciiTheme="majorEastAsia" w:hAnsiTheme="majorEastAsia" w:eastAsiaTheme="majorEastAsia"/>
          <w:sz w:val="28"/>
          <w:szCs w:val="28"/>
          <w:highlight w:val="none"/>
        </w:rPr>
        <w:br w:type="page"/>
      </w:r>
      <w:r>
        <w:rPr>
          <w:rFonts w:hint="eastAsia" w:cs="宋体" w:asciiTheme="majorEastAsia" w:hAnsiTheme="majorEastAsia" w:eastAsiaTheme="majorEastAsia"/>
          <w:szCs w:val="21"/>
          <w:highlight w:val="none"/>
        </w:rPr>
        <w:t>政府采购促进中小企业发展管理办法</w:t>
      </w:r>
      <w:bookmarkEnd w:id="70"/>
    </w:p>
    <w:p w14:paraId="4105B5E4">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第一条　</w:t>
      </w:r>
      <w:r>
        <w:rPr>
          <w:rFonts w:hint="eastAsia" w:asciiTheme="majorEastAsia" w:hAnsiTheme="majorEastAsia" w:eastAsiaTheme="majorEastAsia"/>
          <w:spacing w:val="7"/>
          <w:sz w:val="21"/>
          <w:szCs w:val="21"/>
          <w:highlight w:val="none"/>
        </w:rPr>
        <w:t>为了发挥政府采购的政策功能，促进中小企业健康发展，根据《中华人民共和国政府采购法》、《中华人民共和国中小企业促进法》等有关法律法规，制定本办法。</w:t>
      </w:r>
    </w:p>
    <w:p w14:paraId="093439E1">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第二条　</w:t>
      </w:r>
      <w:r>
        <w:rPr>
          <w:rFonts w:hint="eastAsia" w:asciiTheme="majorEastAsia" w:hAnsiTheme="majorEastAsia" w:eastAsiaTheme="majorEastAsia"/>
          <w:spacing w:val="7"/>
          <w:sz w:val="21"/>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08434D3">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符合中小企业划分标准的个体工商户，在政府采购活动中视同中小企业。</w:t>
      </w:r>
    </w:p>
    <w:p w14:paraId="5FF926AA">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第三条　</w:t>
      </w:r>
      <w:r>
        <w:rPr>
          <w:rFonts w:hint="eastAsia" w:asciiTheme="majorEastAsia" w:hAnsiTheme="majorEastAsia" w:eastAsiaTheme="majorEastAsia"/>
          <w:spacing w:val="7"/>
          <w:sz w:val="21"/>
          <w:szCs w:val="21"/>
          <w:highlight w:val="none"/>
        </w:rPr>
        <w:t>采购人在政府采购活动中应当通过加强采购需求管理，落实预留采购份额、价格评审优惠、优先采购等措施，提高中小企业在政府采购中的份额，支持中小企业发展。</w:t>
      </w:r>
    </w:p>
    <w:p w14:paraId="08CF87F6">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第四条　</w:t>
      </w:r>
      <w:r>
        <w:rPr>
          <w:rFonts w:hint="eastAsia" w:asciiTheme="majorEastAsia" w:hAnsiTheme="majorEastAsia" w:eastAsiaTheme="majorEastAsia"/>
          <w:spacing w:val="7"/>
          <w:sz w:val="21"/>
          <w:szCs w:val="21"/>
          <w:highlight w:val="none"/>
        </w:rPr>
        <w:t>在政府采购活动中，</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提供的货物、工程或者服务符合下列情形的，享受本办法规定的中小企业扶持政策：</w:t>
      </w:r>
    </w:p>
    <w:p w14:paraId="51ED91C7">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pacing w:val="7"/>
          <w:sz w:val="21"/>
          <w:szCs w:val="21"/>
          <w:highlight w:val="none"/>
        </w:rPr>
      </w:pPr>
      <w:r>
        <w:rPr>
          <w:rFonts w:hint="eastAsia" w:asciiTheme="majorEastAsia" w:hAnsiTheme="majorEastAsia" w:eastAsiaTheme="majorEastAsia"/>
          <w:spacing w:val="7"/>
          <w:sz w:val="21"/>
          <w:szCs w:val="21"/>
          <w:highlight w:val="none"/>
        </w:rPr>
        <w:t>（一）在货物采购项目中，货物由中小企业制造，即货物由中小企业生产且使用该中小企业商号或者注册商标；</w:t>
      </w:r>
    </w:p>
    <w:p w14:paraId="27F98D5E">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pacing w:val="7"/>
          <w:sz w:val="21"/>
          <w:szCs w:val="21"/>
          <w:highlight w:val="none"/>
        </w:rPr>
      </w:pPr>
      <w:r>
        <w:rPr>
          <w:rFonts w:hint="eastAsia" w:asciiTheme="majorEastAsia" w:hAnsiTheme="majorEastAsia" w:eastAsiaTheme="majorEastAsia"/>
          <w:spacing w:val="7"/>
          <w:sz w:val="21"/>
          <w:szCs w:val="21"/>
          <w:highlight w:val="none"/>
        </w:rPr>
        <w:t>（二）在工程采购项目中，工程由中小企业承建，即工程施工单位为中小企业；</w:t>
      </w:r>
    </w:p>
    <w:p w14:paraId="25F91EA4">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pacing w:val="7"/>
          <w:sz w:val="21"/>
          <w:szCs w:val="21"/>
          <w:highlight w:val="none"/>
        </w:rPr>
      </w:pPr>
      <w:r>
        <w:rPr>
          <w:rFonts w:hint="eastAsia" w:asciiTheme="majorEastAsia" w:hAnsiTheme="majorEastAsia" w:eastAsiaTheme="majorEastAsia"/>
          <w:spacing w:val="7"/>
          <w:sz w:val="21"/>
          <w:szCs w:val="21"/>
          <w:highlight w:val="none"/>
        </w:rPr>
        <w:t>（三）在服务采购项目中，服务由中小企业承接，即提供服务的人员为中小企业依照《中华人民共和国劳动合同法》订立劳动合同的从业人员。</w:t>
      </w:r>
    </w:p>
    <w:p w14:paraId="7D8BFE25">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在货物采购项目中，</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提供的货物既有中小企业制造货物，也有大型企业制造货物的，不享受本办法规定的中小企业扶持政策。</w:t>
      </w:r>
    </w:p>
    <w:p w14:paraId="42764047">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以联合体形式参加政府采购活动，联合体各方均为中小企业的，联合体视同中小企业。其中，联合体各方均为小微企业的，联合体视同小微企业。</w:t>
      </w:r>
    </w:p>
    <w:p w14:paraId="157294BB">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第五条　</w:t>
      </w:r>
      <w:r>
        <w:rPr>
          <w:rFonts w:hint="eastAsia" w:asciiTheme="majorEastAsia" w:hAnsiTheme="majorEastAsia" w:eastAsiaTheme="majorEastAsia"/>
          <w:spacing w:val="7"/>
          <w:sz w:val="21"/>
          <w:szCs w:val="21"/>
          <w:highlight w:val="none"/>
        </w:rPr>
        <w:t>采购人在政府采购活动中应当合理确定采购项目的采购需求，不得以企业注册资本、资产总额、营业收入、从业人员、利润、纳税额等规模条件和财务指标作为</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的资格要求或者评审因素，不得在企业股权结构、经营年限等方面对中小企业实行差别待遇或者歧视待遇。</w:t>
      </w:r>
    </w:p>
    <w:p w14:paraId="6E16D6BA">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第六条</w:t>
      </w:r>
      <w:r>
        <w:rPr>
          <w:rFonts w:hint="eastAsia" w:asciiTheme="majorEastAsia" w:hAnsiTheme="majorEastAsia" w:eastAsiaTheme="majorEastAsia"/>
          <w:spacing w:val="7"/>
          <w:sz w:val="21"/>
          <w:szCs w:val="21"/>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69D1CFF">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pacing w:val="7"/>
          <w:sz w:val="21"/>
          <w:szCs w:val="21"/>
          <w:highlight w:val="none"/>
        </w:rPr>
      </w:pPr>
      <w:r>
        <w:rPr>
          <w:rFonts w:hint="eastAsia" w:asciiTheme="majorEastAsia" w:hAnsiTheme="majorEastAsia" w:eastAsiaTheme="majorEastAsia"/>
          <w:spacing w:val="7"/>
          <w:sz w:val="21"/>
          <w:szCs w:val="21"/>
          <w:highlight w:val="none"/>
        </w:rPr>
        <w:t>符合下列情形之一的，可不专门面向中小企业预留采购份额：</w:t>
      </w:r>
    </w:p>
    <w:p w14:paraId="2E498FF4">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pacing w:val="7"/>
          <w:sz w:val="21"/>
          <w:szCs w:val="21"/>
          <w:highlight w:val="none"/>
        </w:rPr>
      </w:pPr>
      <w:r>
        <w:rPr>
          <w:rFonts w:hint="eastAsia" w:asciiTheme="majorEastAsia" w:hAnsiTheme="majorEastAsia" w:eastAsiaTheme="majorEastAsia"/>
          <w:spacing w:val="7"/>
          <w:sz w:val="21"/>
          <w:szCs w:val="21"/>
          <w:highlight w:val="none"/>
        </w:rPr>
        <w:t>（一）法律法规和国家有关政策明确规定优先或者应当面向事业单位、社会组织等非企业主体采购的；</w:t>
      </w:r>
    </w:p>
    <w:p w14:paraId="5AB61522">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pacing w:val="7"/>
          <w:sz w:val="21"/>
          <w:szCs w:val="21"/>
          <w:highlight w:val="none"/>
        </w:rPr>
      </w:pPr>
      <w:r>
        <w:rPr>
          <w:rFonts w:hint="eastAsia" w:asciiTheme="majorEastAsia" w:hAnsiTheme="majorEastAsia" w:eastAsiaTheme="majorEastAsia"/>
          <w:spacing w:val="7"/>
          <w:sz w:val="21"/>
          <w:szCs w:val="21"/>
          <w:highlight w:val="none"/>
        </w:rPr>
        <w:t>（二）因确需使用不可替代的专利、专有技术，基础设施限制，或者提供特定公共服务等原因，只能从中小企业之外的</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处采购的；</w:t>
      </w:r>
    </w:p>
    <w:p w14:paraId="55DA2648">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pacing w:val="7"/>
          <w:sz w:val="21"/>
          <w:szCs w:val="21"/>
          <w:highlight w:val="none"/>
        </w:rPr>
      </w:pPr>
      <w:r>
        <w:rPr>
          <w:rFonts w:hint="eastAsia" w:asciiTheme="majorEastAsia" w:hAnsiTheme="majorEastAsia" w:eastAsiaTheme="majorEastAsia"/>
          <w:spacing w:val="7"/>
          <w:sz w:val="21"/>
          <w:szCs w:val="21"/>
          <w:highlight w:val="none"/>
        </w:rPr>
        <w:t>（三）按照本办法规定预留采购份额无法确保充分供应、充分竞争，或者存在可能影响政府采购目标实现的情形；</w:t>
      </w:r>
    </w:p>
    <w:p w14:paraId="3AE746D6">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pacing w:val="7"/>
          <w:sz w:val="21"/>
          <w:szCs w:val="21"/>
          <w:highlight w:val="none"/>
        </w:rPr>
      </w:pPr>
      <w:r>
        <w:rPr>
          <w:rFonts w:hint="eastAsia" w:asciiTheme="majorEastAsia" w:hAnsiTheme="majorEastAsia" w:eastAsiaTheme="majorEastAsia"/>
          <w:spacing w:val="7"/>
          <w:sz w:val="21"/>
          <w:szCs w:val="21"/>
          <w:highlight w:val="none"/>
        </w:rPr>
        <w:t>（四）框架协议采购项目；</w:t>
      </w:r>
    </w:p>
    <w:p w14:paraId="6CC5FDC7">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pacing w:val="7"/>
          <w:sz w:val="21"/>
          <w:szCs w:val="21"/>
          <w:highlight w:val="none"/>
        </w:rPr>
      </w:pPr>
      <w:r>
        <w:rPr>
          <w:rFonts w:hint="eastAsia" w:asciiTheme="majorEastAsia" w:hAnsiTheme="majorEastAsia" w:eastAsiaTheme="majorEastAsia"/>
          <w:spacing w:val="7"/>
          <w:sz w:val="21"/>
          <w:szCs w:val="21"/>
          <w:highlight w:val="none"/>
        </w:rPr>
        <w:t>（五）省级以上人民政府财政部门规定的其他情形。</w:t>
      </w:r>
    </w:p>
    <w:p w14:paraId="2BACA563">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除上述情形外，其他均为适宜由中小企业提供的情形。</w:t>
      </w:r>
    </w:p>
    <w:p w14:paraId="37C05913">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第七条　</w:t>
      </w:r>
      <w:r>
        <w:rPr>
          <w:rFonts w:hint="eastAsia" w:asciiTheme="majorEastAsia" w:hAnsiTheme="majorEastAsia" w:eastAsiaTheme="majorEastAsia"/>
          <w:spacing w:val="7"/>
          <w:sz w:val="21"/>
          <w:szCs w:val="21"/>
          <w:highlight w:val="none"/>
        </w:rPr>
        <w:t>采购限额标准以上，200万元以下的货物和服务采购项目、400万元以下的工程采购项目，适宜由中小企业提供的，采购人应当专门面向中小企业采购。</w:t>
      </w:r>
    </w:p>
    <w:p w14:paraId="5AC74F0B">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第八条</w:t>
      </w:r>
      <w:r>
        <w:rPr>
          <w:rFonts w:hint="eastAsia" w:asciiTheme="majorEastAsia" w:hAnsiTheme="majorEastAsia" w:eastAsiaTheme="majorEastAsia"/>
          <w:spacing w:val="7"/>
          <w:sz w:val="21"/>
          <w:szCs w:val="21"/>
          <w:highlight w:val="none"/>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07652E6">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pacing w:val="7"/>
          <w:sz w:val="21"/>
          <w:szCs w:val="21"/>
          <w:highlight w:val="none"/>
        </w:rPr>
      </w:pPr>
      <w:r>
        <w:rPr>
          <w:rFonts w:hint="eastAsia" w:asciiTheme="majorEastAsia" w:hAnsiTheme="majorEastAsia" w:eastAsiaTheme="majorEastAsia"/>
          <w:spacing w:val="7"/>
          <w:sz w:val="21"/>
          <w:szCs w:val="21"/>
          <w:highlight w:val="none"/>
        </w:rPr>
        <w:t>（一）将采购项目整体或者设置采购包专门面向中小企业采购；</w:t>
      </w:r>
    </w:p>
    <w:p w14:paraId="1CBA5893">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pacing w:val="7"/>
          <w:sz w:val="21"/>
          <w:szCs w:val="21"/>
          <w:highlight w:val="none"/>
        </w:rPr>
      </w:pPr>
      <w:r>
        <w:rPr>
          <w:rFonts w:hint="eastAsia" w:asciiTheme="majorEastAsia" w:hAnsiTheme="majorEastAsia" w:eastAsiaTheme="majorEastAsia"/>
          <w:spacing w:val="7"/>
          <w:sz w:val="21"/>
          <w:szCs w:val="21"/>
          <w:highlight w:val="none"/>
        </w:rPr>
        <w:t>（二）要求</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以联合体形式参加采购活动，且联合体中小企业承担的部分达到一定比例；</w:t>
      </w:r>
    </w:p>
    <w:p w14:paraId="6C1630B7">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pacing w:val="7"/>
          <w:sz w:val="21"/>
          <w:szCs w:val="21"/>
          <w:highlight w:val="none"/>
        </w:rPr>
      </w:pPr>
      <w:r>
        <w:rPr>
          <w:rFonts w:hint="eastAsia" w:asciiTheme="majorEastAsia" w:hAnsiTheme="majorEastAsia" w:eastAsiaTheme="majorEastAsia"/>
          <w:spacing w:val="7"/>
          <w:sz w:val="21"/>
          <w:szCs w:val="21"/>
          <w:highlight w:val="none"/>
        </w:rPr>
        <w:t>（三）要求获得采购合同的</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将采购项目中的一定比例分包给一家或者多家中小企业。</w:t>
      </w:r>
    </w:p>
    <w:p w14:paraId="67647D62">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组成联合体或者接受分包合同的中小企业与联合体内其他企业、分包企业之间不得存在直接控股、管理关系。</w:t>
      </w:r>
    </w:p>
    <w:p w14:paraId="61619729">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第九条　</w:t>
      </w:r>
      <w:r>
        <w:rPr>
          <w:rFonts w:hint="eastAsia" w:asciiTheme="majorEastAsia" w:hAnsiTheme="majorEastAsia" w:eastAsiaTheme="majorEastAsia"/>
          <w:spacing w:val="7"/>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D5F63BC">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4A9F77F">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A01015E">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第十条　</w:t>
      </w:r>
      <w:r>
        <w:rPr>
          <w:rFonts w:hint="eastAsia" w:asciiTheme="majorEastAsia" w:hAnsiTheme="majorEastAsia" w:eastAsiaTheme="majorEastAsia"/>
          <w:spacing w:val="7"/>
          <w:sz w:val="21"/>
          <w:szCs w:val="21"/>
          <w:highlight w:val="none"/>
        </w:rPr>
        <w:t>采购人应当严格按照本办法规定和主管预算单位制定的预留采购份额具体方案开展采购活动。预留份额的采购项目或者采购包，通过发布公告方式邀请</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后，符合资格条件的中小企业数量不足3家的，应当中止采购活动，视同未预留份额的采购项目或者采购包，按照本办法第九条有关规定重新组织采购活动。</w:t>
      </w:r>
    </w:p>
    <w:p w14:paraId="73683D6B">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第十一条　</w:t>
      </w:r>
      <w:r>
        <w:rPr>
          <w:rFonts w:hint="eastAsia" w:asciiTheme="majorEastAsia" w:hAnsiTheme="majorEastAsia" w:eastAsiaTheme="majorEastAsia"/>
          <w:spacing w:val="7"/>
          <w:sz w:val="21"/>
          <w:szCs w:val="21"/>
          <w:highlight w:val="none"/>
        </w:rPr>
        <w:t>中小企业参加政府采购活动，应当出具本办法规定的《中小企业声明函》（附1），否则不得享受相关中小企业扶持政策。任何单位和个人不得要求</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提供《中小企业声明函》之外的中小企业身份证明文件。</w:t>
      </w:r>
    </w:p>
    <w:p w14:paraId="5FB3AC65">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pacing w:val="7"/>
          <w:sz w:val="21"/>
          <w:szCs w:val="21"/>
          <w:highlight w:val="none"/>
        </w:rPr>
      </w:pPr>
      <w:r>
        <w:rPr>
          <w:rStyle w:val="25"/>
          <w:rFonts w:hint="eastAsia" w:cs="宋体" w:asciiTheme="majorEastAsia" w:hAnsiTheme="majorEastAsia" w:eastAsiaTheme="majorEastAsia"/>
          <w:spacing w:val="7"/>
          <w:sz w:val="21"/>
          <w:szCs w:val="21"/>
          <w:highlight w:val="none"/>
        </w:rPr>
        <w:t>第十二条　</w:t>
      </w:r>
      <w:r>
        <w:rPr>
          <w:rFonts w:hint="eastAsia" w:asciiTheme="majorEastAsia" w:hAnsiTheme="majorEastAsia" w:eastAsiaTheme="majorEastAsia"/>
          <w:spacing w:val="7"/>
          <w:sz w:val="21"/>
          <w:szCs w:val="21"/>
          <w:highlight w:val="none"/>
        </w:rPr>
        <w:t>采购项目涉及中小企业采购的，采购文件应当明确以下内容：</w:t>
      </w:r>
    </w:p>
    <w:p w14:paraId="588F2CA1">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pacing w:val="7"/>
          <w:sz w:val="21"/>
          <w:szCs w:val="21"/>
          <w:highlight w:val="none"/>
        </w:rPr>
      </w:pPr>
      <w:r>
        <w:rPr>
          <w:rFonts w:hint="eastAsia" w:asciiTheme="majorEastAsia" w:hAnsiTheme="majorEastAsia" w:eastAsiaTheme="majorEastAsia"/>
          <w:spacing w:val="7"/>
          <w:sz w:val="21"/>
          <w:szCs w:val="21"/>
          <w:highlight w:val="none"/>
        </w:rPr>
        <w:t>（一）预留份额的采购项目或者采购包，明确该项目或相关采购包专门面向中小企业采购，以及相关标的及预算金额；</w:t>
      </w:r>
    </w:p>
    <w:p w14:paraId="0489D718">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（二）要求以联合体形式参加或者合同分包的，明确联合协议或者分包意向协议中中小企业合同金额应当达到的比例，并作为</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资格条件；</w:t>
      </w:r>
    </w:p>
    <w:p w14:paraId="13F8E506">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（三）非预留份额的采购项目或者采购包，明确有关价格扣除比例或者价格分加分比例；</w:t>
      </w:r>
    </w:p>
    <w:p w14:paraId="0FEBD749">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（四）规定依据本办法规定享受扶持政策获得政府采购合同的，小微企业不得将合同分包给大中型企业，中型企业不得将合同分包给大型企业；</w:t>
      </w:r>
    </w:p>
    <w:p w14:paraId="3064A68E">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（五）采购人认为具备相关条件的，明确对中小企业在资金支付期限、预付款比例等方面的优惠措施；</w:t>
      </w:r>
    </w:p>
    <w:p w14:paraId="3C2E8E8B">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（六）明确采购标的对应的中小企业划分标准所属行业；</w:t>
      </w:r>
    </w:p>
    <w:p w14:paraId="50E67348">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（七）法律法规和省级以上人民政府财政部门规定的其他事项。</w:t>
      </w:r>
    </w:p>
    <w:p w14:paraId="09B38AB2">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第十三条　</w:t>
      </w:r>
      <w:r>
        <w:rPr>
          <w:rFonts w:hint="eastAsia" w:asciiTheme="majorEastAsia" w:hAnsiTheme="majorEastAsia" w:eastAsiaTheme="majorEastAsia"/>
          <w:spacing w:val="7"/>
          <w:sz w:val="21"/>
          <w:szCs w:val="21"/>
          <w:highlight w:val="none"/>
        </w:rPr>
        <w:t>中标、成交</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享受本办法规定的中小企业扶持政策的，采购人、采购代理机构应当随中标、成交结果公开中标、成交</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的《中小企业声明函》。</w:t>
      </w:r>
    </w:p>
    <w:p w14:paraId="2D884E34">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适用招标投标法的政府采购工程建设项目，应当在公示中标候选人时公开中标候选人的《中小企业声明函》。</w:t>
      </w:r>
    </w:p>
    <w:p w14:paraId="05AAC885">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第十四条</w:t>
      </w:r>
      <w:r>
        <w:rPr>
          <w:rFonts w:hint="eastAsia" w:asciiTheme="majorEastAsia" w:hAnsiTheme="majorEastAsia" w:eastAsiaTheme="majorEastAsia"/>
          <w:spacing w:val="7"/>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796EF84">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第十五条　</w:t>
      </w:r>
      <w:r>
        <w:rPr>
          <w:rFonts w:hint="eastAsia" w:asciiTheme="majorEastAsia" w:hAnsiTheme="majorEastAsia" w:eastAsiaTheme="majorEastAsia"/>
          <w:spacing w:val="7"/>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21E3C808">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第十六条　</w:t>
      </w:r>
      <w:r>
        <w:rPr>
          <w:rFonts w:hint="eastAsia" w:asciiTheme="majorEastAsia" w:hAnsiTheme="majorEastAsia" w:eastAsiaTheme="majorEastAsia"/>
          <w:spacing w:val="7"/>
          <w:sz w:val="21"/>
          <w:szCs w:val="21"/>
          <w:highlight w:val="none"/>
        </w:rPr>
        <w:t>政府采购监督检查、投诉处理及政府采购行政处罚中对中小企业的认定，由货物制造商或者工程、服务</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注册登记所在地的县级以上人民政府中小企业主管部门负责。</w:t>
      </w:r>
    </w:p>
    <w:p w14:paraId="292BEBDA">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中小企业主管部门应当在收到财政部门或者有关招标投标行政监督部门关于协助开展中小企业认定函后10个工作日内做出书面答复。</w:t>
      </w:r>
    </w:p>
    <w:p w14:paraId="5F15E984">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第十七条　</w:t>
      </w:r>
      <w:r>
        <w:rPr>
          <w:rFonts w:hint="eastAsia" w:asciiTheme="majorEastAsia" w:hAnsiTheme="majorEastAsia" w:eastAsiaTheme="majorEastAsia"/>
          <w:spacing w:val="7"/>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46583257">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第十八条　</w:t>
      </w:r>
      <w:r>
        <w:rPr>
          <w:rFonts w:hint="eastAsia" w:asciiTheme="majorEastAsia" w:hAnsiTheme="majorEastAsia" w:eastAsiaTheme="majorEastAsia"/>
          <w:spacing w:val="7"/>
          <w:sz w:val="21"/>
          <w:szCs w:val="21"/>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357943F">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第十九条</w:t>
      </w:r>
      <w:r>
        <w:rPr>
          <w:rFonts w:hint="eastAsia" w:asciiTheme="majorEastAsia" w:hAnsiTheme="majorEastAsia" w:eastAsiaTheme="majorEastAsia"/>
          <w:spacing w:val="7"/>
          <w:sz w:val="21"/>
          <w:szCs w:val="21"/>
          <w:highlight w:val="none"/>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0A03F30">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第二十条</w:t>
      </w:r>
      <w:r>
        <w:rPr>
          <w:rFonts w:hint="eastAsia" w:asciiTheme="majorEastAsia" w:hAnsiTheme="majorEastAsia" w:eastAsiaTheme="majorEastAsia"/>
          <w:spacing w:val="7"/>
          <w:sz w:val="21"/>
          <w:szCs w:val="21"/>
          <w:highlight w:val="none"/>
        </w:rPr>
        <w:t>　</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按照本办法规定提供声明函内容不实的，属于提供虚假材料谋取中标、成交，依照《中华人民共和国政府采购法》等国家有关规定追究相应责任。</w:t>
      </w:r>
    </w:p>
    <w:p w14:paraId="015F5867">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适用招标投标法的政府采购工程建设项目，</w:t>
      </w:r>
      <w:r>
        <w:rPr>
          <w:rFonts w:hint="eastAsia" w:asciiTheme="majorEastAsia" w:hAnsiTheme="majorEastAsia" w:eastAsiaTheme="majorEastAsia"/>
          <w:spacing w:val="7"/>
          <w:sz w:val="21"/>
          <w:szCs w:val="21"/>
          <w:highlight w:val="none"/>
          <w:lang w:eastAsia="zh-CN"/>
        </w:rPr>
        <w:t>投标人</w:t>
      </w:r>
      <w:r>
        <w:rPr>
          <w:rFonts w:hint="eastAsia" w:asciiTheme="majorEastAsia" w:hAnsiTheme="majorEastAsia" w:eastAsiaTheme="majorEastAsia"/>
          <w:spacing w:val="7"/>
          <w:sz w:val="21"/>
          <w:szCs w:val="21"/>
          <w:highlight w:val="none"/>
        </w:rPr>
        <w:t>按照本办法规定提供声明函内容不实的，属于弄虚作假骗取中标，依照《中华人民共和国招标投标法》等国家有关规定追究相应责任。</w:t>
      </w:r>
    </w:p>
    <w:p w14:paraId="263AA17B">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第二十一条　</w:t>
      </w:r>
      <w:r>
        <w:rPr>
          <w:rFonts w:hint="eastAsia" w:asciiTheme="majorEastAsia" w:hAnsiTheme="majorEastAsia" w:eastAsiaTheme="majorEastAsia"/>
          <w:spacing w:val="7"/>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A28871D">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第二十二条</w:t>
      </w:r>
      <w:r>
        <w:rPr>
          <w:rFonts w:hint="eastAsia" w:asciiTheme="majorEastAsia" w:hAnsiTheme="majorEastAsia" w:eastAsiaTheme="majorEastAsia"/>
          <w:spacing w:val="7"/>
          <w:sz w:val="21"/>
          <w:szCs w:val="21"/>
          <w:highlight w:val="none"/>
        </w:rPr>
        <w:t>　对外援助项目、国家相关资格或者资质管理制度另有规定的项目，不适用本办法。</w:t>
      </w:r>
    </w:p>
    <w:p w14:paraId="0747B9C2">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第二十三条　</w:t>
      </w:r>
      <w:r>
        <w:rPr>
          <w:rFonts w:hint="eastAsia" w:asciiTheme="majorEastAsia" w:hAnsiTheme="majorEastAsia" w:eastAsiaTheme="majorEastAsia"/>
          <w:spacing w:val="7"/>
          <w:sz w:val="21"/>
          <w:szCs w:val="21"/>
          <w:highlight w:val="none"/>
        </w:rPr>
        <w:t>关于视同中小企业的其他主体的政府采购扶持政策，由财政部会同有关部门另行规定。</w:t>
      </w:r>
    </w:p>
    <w:p w14:paraId="79D1C61E">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第二十四条</w:t>
      </w:r>
      <w:r>
        <w:rPr>
          <w:rFonts w:hint="eastAsia" w:asciiTheme="majorEastAsia" w:hAnsiTheme="majorEastAsia" w:eastAsiaTheme="majorEastAsia"/>
          <w:spacing w:val="7"/>
          <w:sz w:val="21"/>
          <w:szCs w:val="21"/>
          <w:highlight w:val="none"/>
        </w:rPr>
        <w:t>　省级财政部门可以会同中小企业主管部门根据本办法的规定制定具体实施办法。</w:t>
      </w:r>
    </w:p>
    <w:p w14:paraId="3FF59800">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第二十五条</w:t>
      </w:r>
      <w:r>
        <w:rPr>
          <w:rFonts w:hint="eastAsia" w:asciiTheme="majorEastAsia" w:hAnsiTheme="majorEastAsia" w:eastAsiaTheme="majorEastAsia"/>
          <w:spacing w:val="7"/>
          <w:sz w:val="21"/>
          <w:szCs w:val="21"/>
          <w:highlight w:val="none"/>
        </w:rPr>
        <w:t>　本办法自2021年1月1日起施行。《财政部工业和信息化部关于印发〈政府采购促进中小企业发展暂行办法〉的通知》（财库﹝2011﹞181号）同时废止。</w:t>
      </w:r>
    </w:p>
    <w:p w14:paraId="690A197E">
      <w:pPr>
        <w:pStyle w:val="18"/>
        <w:autoSpaceDN w:val="0"/>
        <w:adjustRightInd w:val="0"/>
        <w:snapToGrid w:val="0"/>
        <w:spacing w:before="0" w:beforeAutospacing="0" w:after="0" w:afterAutospacing="0" w:line="360" w:lineRule="auto"/>
        <w:jc w:val="both"/>
        <w:rPr>
          <w:rFonts w:asciiTheme="majorEastAsia" w:hAnsiTheme="majorEastAsia" w:eastAsiaTheme="majorEastAsia"/>
          <w:sz w:val="21"/>
          <w:szCs w:val="21"/>
          <w:highlight w:val="none"/>
        </w:rPr>
      </w:pPr>
      <w:r>
        <w:rPr>
          <w:rStyle w:val="25"/>
          <w:rFonts w:hint="eastAsia" w:cs="宋体" w:asciiTheme="majorEastAsia" w:hAnsiTheme="majorEastAsia" w:eastAsiaTheme="majorEastAsia"/>
          <w:spacing w:val="7"/>
          <w:sz w:val="21"/>
          <w:szCs w:val="21"/>
          <w:highlight w:val="none"/>
        </w:rPr>
        <w:t>附：</w:t>
      </w:r>
    </w:p>
    <w:p w14:paraId="23546088">
      <w:pPr>
        <w:pStyle w:val="18"/>
        <w:autoSpaceDN w:val="0"/>
        <w:adjustRightInd w:val="0"/>
        <w:snapToGrid w:val="0"/>
        <w:spacing w:before="0" w:beforeAutospacing="0" w:after="0" w:afterAutospacing="0" w:line="360" w:lineRule="auto"/>
        <w:jc w:val="both"/>
        <w:rPr>
          <w:rFonts w:asciiTheme="majorEastAsia" w:hAnsiTheme="majorEastAsia" w:eastAsiaTheme="majorEastAsia"/>
          <w:sz w:val="21"/>
          <w:szCs w:val="21"/>
          <w:highlight w:val="none"/>
        </w:rPr>
      </w:pPr>
      <w:r>
        <w:rPr>
          <w:rFonts w:hint="eastAsia" w:asciiTheme="majorEastAsia" w:hAnsiTheme="majorEastAsia" w:eastAsiaTheme="majorEastAsia"/>
          <w:spacing w:val="7"/>
          <w:sz w:val="21"/>
          <w:szCs w:val="21"/>
          <w:highlight w:val="none"/>
        </w:rPr>
        <w:t>1.中小企业声明函</w:t>
      </w:r>
    </w:p>
    <w:p w14:paraId="0A3A9A28">
      <w:pPr>
        <w:autoSpaceDN w:val="0"/>
        <w:adjustRightInd w:val="0"/>
        <w:snapToGrid w:val="0"/>
        <w:spacing w:line="360" w:lineRule="auto"/>
        <w:ind w:firstLine="448" w:firstLineChars="200"/>
        <w:rPr>
          <w:rFonts w:cs="宋体" w:asciiTheme="majorEastAsia" w:hAnsiTheme="majorEastAsia" w:eastAsiaTheme="majorEastAsia"/>
          <w:spacing w:val="7"/>
          <w:szCs w:val="21"/>
          <w:highlight w:val="none"/>
        </w:rPr>
      </w:pPr>
      <w:r>
        <w:rPr>
          <w:rFonts w:hint="eastAsia" w:cs="宋体" w:asciiTheme="majorEastAsia" w:hAnsiTheme="majorEastAsia" w:eastAsiaTheme="majorEastAsia"/>
          <w:spacing w:val="7"/>
          <w:szCs w:val="21"/>
          <w:highlight w:val="none"/>
        </w:rPr>
        <w:t>2.面向中小企业预留项目执行情况公告</w:t>
      </w:r>
    </w:p>
    <w:p w14:paraId="124A9796">
      <w:pPr>
        <w:pStyle w:val="20"/>
        <w:autoSpaceDN w:val="0"/>
        <w:adjustRightInd w:val="0"/>
        <w:snapToGrid w:val="0"/>
        <w:spacing w:line="360" w:lineRule="auto"/>
        <w:rPr>
          <w:rFonts w:cs="宋体" w:asciiTheme="majorEastAsia" w:hAnsiTheme="majorEastAsia" w:eastAsiaTheme="majorEastAsia"/>
          <w:szCs w:val="21"/>
          <w:highlight w:val="none"/>
        </w:rPr>
      </w:pPr>
    </w:p>
    <w:p w14:paraId="5E9718CE">
      <w:pPr>
        <w:pStyle w:val="20"/>
        <w:autoSpaceDN w:val="0"/>
        <w:adjustRightInd w:val="0"/>
        <w:snapToGrid w:val="0"/>
        <w:spacing w:line="360" w:lineRule="auto"/>
        <w:rPr>
          <w:rFonts w:cs="宋体" w:asciiTheme="majorEastAsia" w:hAnsiTheme="majorEastAsia" w:eastAsiaTheme="majorEastAsia"/>
          <w:szCs w:val="21"/>
          <w:highlight w:val="none"/>
        </w:rPr>
      </w:pPr>
    </w:p>
    <w:p w14:paraId="37036BA6">
      <w:pPr>
        <w:pStyle w:val="20"/>
        <w:autoSpaceDN w:val="0"/>
        <w:adjustRightInd w:val="0"/>
        <w:snapToGrid w:val="0"/>
        <w:spacing w:line="360" w:lineRule="auto"/>
        <w:rPr>
          <w:rFonts w:cs="宋体" w:asciiTheme="majorEastAsia" w:hAnsiTheme="majorEastAsia" w:eastAsiaTheme="majorEastAsia"/>
          <w:szCs w:val="21"/>
          <w:highlight w:val="none"/>
        </w:rPr>
      </w:pPr>
    </w:p>
    <w:p w14:paraId="219D24E9">
      <w:pPr>
        <w:pStyle w:val="20"/>
        <w:autoSpaceDN w:val="0"/>
        <w:adjustRightInd w:val="0"/>
        <w:snapToGrid w:val="0"/>
        <w:spacing w:line="360" w:lineRule="auto"/>
        <w:rPr>
          <w:rFonts w:cs="宋体" w:asciiTheme="majorEastAsia" w:hAnsiTheme="majorEastAsia" w:eastAsiaTheme="majorEastAsia"/>
          <w:szCs w:val="21"/>
          <w:highlight w:val="none"/>
        </w:rPr>
      </w:pPr>
    </w:p>
    <w:p w14:paraId="05129DEB">
      <w:pPr>
        <w:pStyle w:val="20"/>
        <w:autoSpaceDN w:val="0"/>
        <w:adjustRightInd w:val="0"/>
        <w:snapToGrid w:val="0"/>
        <w:spacing w:line="360" w:lineRule="auto"/>
        <w:rPr>
          <w:rFonts w:cs="宋体" w:asciiTheme="majorEastAsia" w:hAnsiTheme="majorEastAsia" w:eastAsiaTheme="majorEastAsia"/>
          <w:szCs w:val="21"/>
          <w:highlight w:val="none"/>
        </w:rPr>
      </w:pPr>
    </w:p>
    <w:p w14:paraId="0FBD17B9">
      <w:pPr>
        <w:pStyle w:val="20"/>
        <w:autoSpaceDN w:val="0"/>
        <w:adjustRightInd w:val="0"/>
        <w:snapToGrid w:val="0"/>
        <w:spacing w:line="360" w:lineRule="auto"/>
        <w:rPr>
          <w:rFonts w:cs="宋体" w:asciiTheme="majorEastAsia" w:hAnsiTheme="majorEastAsia" w:eastAsiaTheme="majorEastAsia"/>
          <w:szCs w:val="21"/>
          <w:highlight w:val="none"/>
        </w:rPr>
      </w:pPr>
    </w:p>
    <w:p w14:paraId="09755BD0">
      <w:pPr>
        <w:pStyle w:val="20"/>
        <w:autoSpaceDN w:val="0"/>
        <w:adjustRightInd w:val="0"/>
        <w:snapToGrid w:val="0"/>
        <w:spacing w:line="360" w:lineRule="auto"/>
        <w:rPr>
          <w:rFonts w:cs="宋体" w:asciiTheme="majorEastAsia" w:hAnsiTheme="majorEastAsia" w:eastAsiaTheme="majorEastAsia"/>
          <w:szCs w:val="21"/>
          <w:highlight w:val="none"/>
        </w:rPr>
      </w:pPr>
    </w:p>
    <w:p w14:paraId="73AE1D63">
      <w:pPr>
        <w:pStyle w:val="3"/>
        <w:keepNext w:val="0"/>
        <w:keepLines w:val="0"/>
        <w:autoSpaceDN w:val="0"/>
        <w:adjustRightInd w:val="0"/>
        <w:snapToGrid w:val="0"/>
        <w:spacing w:before="162" w:line="360" w:lineRule="auto"/>
        <w:rPr>
          <w:rFonts w:cs="宋体" w:asciiTheme="majorEastAsia" w:hAnsiTheme="majorEastAsia" w:eastAsiaTheme="majorEastAsia"/>
          <w:b w:val="0"/>
          <w:bCs w:val="0"/>
          <w:sz w:val="21"/>
          <w:szCs w:val="21"/>
          <w:highlight w:val="none"/>
        </w:rPr>
      </w:pPr>
      <w:bookmarkStart w:id="71" w:name="_Toc12886"/>
      <w:bookmarkStart w:id="72" w:name="_Toc77167164"/>
      <w:bookmarkStart w:id="73" w:name="_Toc63327630"/>
      <w:r>
        <w:rPr>
          <w:rFonts w:hint="eastAsia" w:cs="宋体" w:asciiTheme="majorEastAsia" w:hAnsiTheme="majorEastAsia" w:eastAsiaTheme="majorEastAsia"/>
          <w:b w:val="0"/>
          <w:bCs w:val="0"/>
          <w:sz w:val="21"/>
          <w:szCs w:val="21"/>
          <w:highlight w:val="none"/>
        </w:rPr>
        <w:t>附1</w:t>
      </w:r>
      <w:bookmarkEnd w:id="71"/>
      <w:bookmarkEnd w:id="72"/>
      <w:bookmarkEnd w:id="73"/>
    </w:p>
    <w:p w14:paraId="74F08478">
      <w:pPr>
        <w:autoSpaceDN w:val="0"/>
        <w:adjustRightInd w:val="0"/>
        <w:snapToGrid w:val="0"/>
        <w:spacing w:line="360" w:lineRule="auto"/>
        <w:jc w:val="center"/>
        <w:rPr>
          <w:rFonts w:cs="宋体" w:asciiTheme="majorEastAsia" w:hAnsiTheme="majorEastAsia" w:eastAsiaTheme="majorEastAsia"/>
          <w:b/>
          <w:bCs/>
          <w:szCs w:val="21"/>
          <w:highlight w:val="none"/>
        </w:rPr>
      </w:pPr>
      <w:r>
        <w:rPr>
          <w:rFonts w:hint="eastAsia" w:cs="宋体" w:asciiTheme="majorEastAsia" w:hAnsiTheme="majorEastAsia" w:eastAsiaTheme="majorEastAsia"/>
          <w:b/>
          <w:bCs/>
          <w:szCs w:val="21"/>
          <w:highlight w:val="none"/>
        </w:rPr>
        <w:t>中小企业声明函（货物）</w:t>
      </w:r>
    </w:p>
    <w:p w14:paraId="75713894">
      <w:pPr>
        <w:autoSpaceDN w:val="0"/>
        <w:adjustRightInd w:val="0"/>
        <w:snapToGrid w:val="0"/>
        <w:spacing w:line="360" w:lineRule="auto"/>
        <w:ind w:firstLine="630" w:firstLine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本公司（联合体）郑重声明，根据《政府采购促进中小 企业发展管理办法》（财库﹝2020﹞46 号）的规定，本公司 （联合体）参加</w:t>
      </w:r>
      <w:r>
        <w:rPr>
          <w:rFonts w:hint="eastAsia" w:cs="宋体" w:asciiTheme="majorEastAsia" w:hAnsiTheme="majorEastAsia" w:eastAsiaTheme="majorEastAsia"/>
          <w:szCs w:val="21"/>
          <w:highlight w:val="none"/>
          <w:u w:val="single"/>
        </w:rPr>
        <w:t>（单位名称）</w:t>
      </w:r>
      <w:r>
        <w:rPr>
          <w:rFonts w:hint="eastAsia" w:cs="宋体" w:asciiTheme="majorEastAsia" w:hAnsiTheme="majorEastAsia" w:eastAsiaTheme="majorEastAsia"/>
          <w:szCs w:val="21"/>
          <w:highlight w:val="none"/>
        </w:rPr>
        <w:t>的</w:t>
      </w:r>
      <w:r>
        <w:rPr>
          <w:rFonts w:hint="eastAsia" w:cs="宋体" w:asciiTheme="majorEastAsia" w:hAnsiTheme="majorEastAsia" w:eastAsiaTheme="majorEastAsia"/>
          <w:szCs w:val="21"/>
          <w:highlight w:val="none"/>
          <w:u w:val="single"/>
        </w:rPr>
        <w:t>（项目名称）</w:t>
      </w:r>
      <w:r>
        <w:rPr>
          <w:rFonts w:hint="eastAsia" w:cs="宋体" w:asciiTheme="majorEastAsia" w:hAnsiTheme="majorEastAsia" w:eastAsiaTheme="majorEastAsia"/>
          <w:szCs w:val="21"/>
          <w:highlight w:val="none"/>
        </w:rPr>
        <w:t>采购活动，提供的货物全部由符合政策要求的中小企业制造。相关企业 （含联合体中的中小企业、签订分包意向协议的中小企业） 的具体情况如下：</w:t>
      </w:r>
    </w:p>
    <w:p w14:paraId="723F5DAA">
      <w:pPr>
        <w:numPr>
          <w:ilvl w:val="0"/>
          <w:numId w:val="5"/>
        </w:numPr>
        <w:autoSpaceDN w:val="0"/>
        <w:adjustRightInd w:val="0"/>
        <w:snapToGrid w:val="0"/>
        <w:spacing w:line="360" w:lineRule="auto"/>
        <w:ind w:firstLine="630" w:firstLine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u w:val="single"/>
        </w:rPr>
        <w:t>（标的名称）</w:t>
      </w:r>
      <w:r>
        <w:rPr>
          <w:rFonts w:hint="eastAsia" w:cs="宋体" w:asciiTheme="majorEastAsia" w:hAnsiTheme="majorEastAsia" w:eastAsiaTheme="majorEastAsia"/>
          <w:szCs w:val="21"/>
          <w:highlight w:val="none"/>
        </w:rPr>
        <w:t xml:space="preserve"> ，属于</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行业；制造商为</w:t>
      </w:r>
      <w:r>
        <w:rPr>
          <w:rFonts w:hint="eastAsia" w:cs="宋体" w:asciiTheme="majorEastAsia" w:hAnsiTheme="majorEastAsia" w:eastAsiaTheme="majorEastAsia"/>
          <w:szCs w:val="21"/>
          <w:highlight w:val="none"/>
          <w:u w:val="single"/>
        </w:rPr>
        <w:t>（企业名称）</w:t>
      </w:r>
      <w:r>
        <w:rPr>
          <w:rFonts w:hint="eastAsia" w:cs="宋体" w:asciiTheme="majorEastAsia" w:hAnsiTheme="majorEastAsia" w:eastAsiaTheme="majorEastAsia"/>
          <w:szCs w:val="21"/>
          <w:highlight w:val="none"/>
        </w:rPr>
        <w:t>，从业人员</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人，营业收入为</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万元，资产总额为</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万元①，属于</w:t>
      </w:r>
      <w:r>
        <w:rPr>
          <w:rFonts w:hint="eastAsia" w:cs="宋体" w:asciiTheme="majorEastAsia" w:hAnsiTheme="majorEastAsia" w:eastAsiaTheme="majorEastAsia"/>
          <w:szCs w:val="21"/>
          <w:highlight w:val="none"/>
          <w:u w:val="single"/>
        </w:rPr>
        <w:t>（中型企业、小 型企业、微型企业）</w:t>
      </w:r>
      <w:r>
        <w:rPr>
          <w:rFonts w:hint="eastAsia" w:cs="宋体" w:asciiTheme="majorEastAsia" w:hAnsiTheme="majorEastAsia" w:eastAsiaTheme="majorEastAsia"/>
          <w:szCs w:val="21"/>
          <w:highlight w:val="none"/>
        </w:rPr>
        <w:t xml:space="preserve">； </w:t>
      </w:r>
    </w:p>
    <w:p w14:paraId="6BA0A543">
      <w:pPr>
        <w:numPr>
          <w:ilvl w:val="0"/>
          <w:numId w:val="5"/>
        </w:numPr>
        <w:autoSpaceDN w:val="0"/>
        <w:adjustRightInd w:val="0"/>
        <w:snapToGrid w:val="0"/>
        <w:spacing w:line="360" w:lineRule="auto"/>
        <w:ind w:firstLine="630" w:firstLine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u w:val="single"/>
        </w:rPr>
        <w:t>（标的名称）</w:t>
      </w:r>
      <w:r>
        <w:rPr>
          <w:rFonts w:hint="eastAsia" w:cs="宋体" w:asciiTheme="majorEastAsia" w:hAnsiTheme="majorEastAsia" w:eastAsiaTheme="majorEastAsia"/>
          <w:szCs w:val="21"/>
          <w:highlight w:val="none"/>
        </w:rPr>
        <w:t xml:space="preserve"> ，属于</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行业；制造商为</w:t>
      </w:r>
      <w:r>
        <w:rPr>
          <w:rFonts w:hint="eastAsia" w:cs="宋体" w:asciiTheme="majorEastAsia" w:hAnsiTheme="majorEastAsia" w:eastAsiaTheme="majorEastAsia"/>
          <w:szCs w:val="21"/>
          <w:highlight w:val="none"/>
          <w:u w:val="single"/>
        </w:rPr>
        <w:t>（企业名称）</w:t>
      </w:r>
      <w:r>
        <w:rPr>
          <w:rFonts w:hint="eastAsia" w:cs="宋体" w:asciiTheme="majorEastAsia" w:hAnsiTheme="majorEastAsia" w:eastAsiaTheme="majorEastAsia"/>
          <w:szCs w:val="21"/>
          <w:highlight w:val="none"/>
        </w:rPr>
        <w:t>，从业人员</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人，营业收入为</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万元，资产总额为</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万元，属于</w:t>
      </w:r>
      <w:r>
        <w:rPr>
          <w:rFonts w:hint="eastAsia" w:cs="宋体" w:asciiTheme="majorEastAsia" w:hAnsiTheme="majorEastAsia" w:eastAsiaTheme="majorEastAsia"/>
          <w:szCs w:val="21"/>
          <w:highlight w:val="none"/>
          <w:u w:val="single"/>
        </w:rPr>
        <w:t>（中型企业、小型 企业、微型企业）</w:t>
      </w:r>
      <w:r>
        <w:rPr>
          <w:rFonts w:hint="eastAsia" w:cs="宋体" w:asciiTheme="majorEastAsia" w:hAnsiTheme="majorEastAsia" w:eastAsiaTheme="majorEastAsia"/>
          <w:szCs w:val="21"/>
          <w:highlight w:val="none"/>
        </w:rPr>
        <w:t>；</w:t>
      </w:r>
    </w:p>
    <w:p w14:paraId="09A556A9">
      <w:pPr>
        <w:autoSpaceDN w:val="0"/>
        <w:adjustRightInd w:val="0"/>
        <w:snapToGrid w:val="0"/>
        <w:spacing w:line="360" w:lineRule="auto"/>
        <w:ind w:left="630" w:left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 </w:t>
      </w:r>
    </w:p>
    <w:p w14:paraId="2C995F0A">
      <w:pPr>
        <w:autoSpaceDN w:val="0"/>
        <w:adjustRightInd w:val="0"/>
        <w:snapToGrid w:val="0"/>
        <w:spacing w:line="360" w:lineRule="auto"/>
        <w:ind w:firstLine="630" w:firstLine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以上企业，不属于大企业的分支机构，不存在控股股东 为大企业的情形，也不存在与大企业的负责人为同一人的情形。 </w:t>
      </w:r>
    </w:p>
    <w:p w14:paraId="501BD4A2">
      <w:pPr>
        <w:autoSpaceDN w:val="0"/>
        <w:adjustRightInd w:val="0"/>
        <w:snapToGrid w:val="0"/>
        <w:spacing w:line="360" w:lineRule="auto"/>
        <w:ind w:firstLine="630" w:firstLine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本企业对上述声明内容的真实性负责。如有虚假，将依 法承担相应责任。 </w:t>
      </w:r>
    </w:p>
    <w:p w14:paraId="55C0ED3E">
      <w:pPr>
        <w:autoSpaceDN w:val="0"/>
        <w:adjustRightInd w:val="0"/>
        <w:snapToGrid w:val="0"/>
        <w:spacing w:line="360" w:lineRule="auto"/>
        <w:ind w:firstLine="630" w:firstLineChars="300"/>
        <w:jc w:val="center"/>
        <w:rPr>
          <w:rFonts w:cs="宋体" w:asciiTheme="majorEastAsia" w:hAnsiTheme="majorEastAsia" w:eastAsiaTheme="majorEastAsia"/>
          <w:szCs w:val="21"/>
          <w:highlight w:val="none"/>
        </w:rPr>
      </w:pPr>
    </w:p>
    <w:p w14:paraId="4C8E8BCC">
      <w:pPr>
        <w:autoSpaceDN w:val="0"/>
        <w:adjustRightInd w:val="0"/>
        <w:snapToGrid w:val="0"/>
        <w:spacing w:line="360" w:lineRule="auto"/>
        <w:ind w:firstLine="630" w:firstLineChars="30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企业名称（盖章）：</w:t>
      </w:r>
    </w:p>
    <w:p w14:paraId="56D7AD1F">
      <w:pPr>
        <w:pStyle w:val="20"/>
        <w:autoSpaceDN w:val="0"/>
        <w:adjustRightInd w:val="0"/>
        <w:snapToGrid w:val="0"/>
        <w:spacing w:line="360" w:lineRule="auto"/>
        <w:ind w:left="336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日 期：</w:t>
      </w:r>
    </w:p>
    <w:p w14:paraId="019CBC06">
      <w:pPr>
        <w:pStyle w:val="6"/>
        <w:autoSpaceDN w:val="0"/>
        <w:adjustRightInd w:val="0"/>
        <w:snapToGrid w:val="0"/>
        <w:spacing w:line="360" w:lineRule="auto"/>
        <w:ind w:firstLine="420"/>
        <w:jc w:val="left"/>
        <w:rPr>
          <w:rFonts w:cs="宋体" w:asciiTheme="majorEastAsia" w:hAnsiTheme="majorEastAsia" w:eastAsiaTheme="majorEastAsia"/>
          <w:bCs/>
          <w:szCs w:val="21"/>
          <w:highlight w:val="none"/>
        </w:rPr>
      </w:pPr>
    </w:p>
    <w:p w14:paraId="18268572">
      <w:pPr>
        <w:pStyle w:val="6"/>
        <w:autoSpaceDN w:val="0"/>
        <w:adjustRightInd w:val="0"/>
        <w:snapToGrid w:val="0"/>
        <w:spacing w:line="360" w:lineRule="auto"/>
        <w:ind w:firstLine="420"/>
        <w:jc w:val="left"/>
        <w:rPr>
          <w:rFonts w:cs="宋体" w:asciiTheme="majorEastAsia" w:hAnsiTheme="majorEastAsia" w:eastAsiaTheme="majorEastAsia"/>
          <w:bCs/>
          <w:szCs w:val="21"/>
          <w:highlight w:val="none"/>
        </w:rPr>
      </w:pPr>
    </w:p>
    <w:p w14:paraId="59C8E669">
      <w:pPr>
        <w:pStyle w:val="6"/>
        <w:autoSpaceDN w:val="0"/>
        <w:adjustRightInd w:val="0"/>
        <w:snapToGrid w:val="0"/>
        <w:spacing w:line="360" w:lineRule="auto"/>
        <w:ind w:firstLine="420"/>
        <w:jc w:val="left"/>
        <w:rPr>
          <w:rFonts w:cs="宋体" w:asciiTheme="majorEastAsia" w:hAnsiTheme="majorEastAsia" w:eastAsiaTheme="majorEastAsia"/>
          <w:bCs/>
          <w:szCs w:val="21"/>
          <w:highlight w:val="none"/>
        </w:rPr>
      </w:pPr>
    </w:p>
    <w:p w14:paraId="6CB414D1">
      <w:pPr>
        <w:pStyle w:val="6"/>
        <w:autoSpaceDN w:val="0"/>
        <w:adjustRightInd w:val="0"/>
        <w:snapToGrid w:val="0"/>
        <w:spacing w:line="360" w:lineRule="auto"/>
        <w:ind w:firstLine="420"/>
        <w:jc w:val="left"/>
        <w:rPr>
          <w:rFonts w:cs="宋体" w:asciiTheme="majorEastAsia" w:hAnsiTheme="majorEastAsia" w:eastAsiaTheme="majorEastAsia"/>
          <w:bCs/>
          <w:szCs w:val="21"/>
          <w:highlight w:val="none"/>
        </w:rPr>
      </w:pPr>
    </w:p>
    <w:p w14:paraId="705FA595">
      <w:pPr>
        <w:pStyle w:val="6"/>
        <w:autoSpaceDN w:val="0"/>
        <w:adjustRightInd w:val="0"/>
        <w:snapToGrid w:val="0"/>
        <w:spacing w:line="360" w:lineRule="auto"/>
        <w:ind w:firstLine="420"/>
        <w:jc w:val="left"/>
        <w:rPr>
          <w:rFonts w:cs="宋体" w:asciiTheme="majorEastAsia" w:hAnsiTheme="majorEastAsia" w:eastAsiaTheme="majorEastAsia"/>
          <w:bCs/>
          <w:szCs w:val="21"/>
          <w:highlight w:val="none"/>
        </w:rPr>
      </w:pPr>
    </w:p>
    <w:p w14:paraId="5A8582B6">
      <w:pPr>
        <w:pStyle w:val="6"/>
        <w:autoSpaceDN w:val="0"/>
        <w:adjustRightInd w:val="0"/>
        <w:snapToGrid w:val="0"/>
        <w:spacing w:line="360" w:lineRule="auto"/>
        <w:ind w:firstLine="420"/>
        <w:jc w:val="left"/>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br w:type="page"/>
      </w:r>
      <w:r>
        <w:rPr>
          <w:rFonts w:hint="eastAsia" w:cs="宋体" w:asciiTheme="majorEastAsia" w:hAnsiTheme="majorEastAsia" w:eastAsiaTheme="majorEastAsia"/>
          <w:bCs/>
          <w:szCs w:val="21"/>
          <w:highlight w:val="none"/>
        </w:rPr>
        <w:t>中小企业划型标准规定</w:t>
      </w:r>
    </w:p>
    <w:p w14:paraId="6064B63D">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一、根据《中华人民共和国中小企业促进法》和《国务院关于进一步促进中小企业发展的若干意见》(国发〔2009〕36号)，制定本规定。</w:t>
      </w:r>
    </w:p>
    <w:p w14:paraId="4660A8C9">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二、中小企业划分为中型、小型、微型三种类型，具体标准根据企业从业人员、营业收入、资产总额等指标，结合行业特点制定。</w:t>
      </w:r>
    </w:p>
    <w:p w14:paraId="2FF30CCF">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77616A0">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四、各行业划型标准为：</w:t>
      </w:r>
    </w:p>
    <w:p w14:paraId="13B85CC1">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3D97797A">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07C35F">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BB17D0">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D5DB8D">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8A5E67">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9312E1">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7E6472C">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E56981E">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554CBE">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B67746">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D8D052C">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55BE85">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C14353C">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E9183F">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93E1622">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0022274">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五、企业类型的划分以统计部门的统计数据为依据。</w:t>
      </w:r>
    </w:p>
    <w:p w14:paraId="72E339F3">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六、本规定适用于在中华人民共和国境内依法设立的各类所有制和各种组织形式的企业。个体工商户和本规定以外的行业，参照本规定进行划型。</w:t>
      </w:r>
    </w:p>
    <w:p w14:paraId="01E5637F">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32F46C1F">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八、本规定由工业和信息化部、国家统计局会同有关部门根据《国民经济行业分类》修订情况和企业发展变化情况适时修订。</w:t>
      </w:r>
    </w:p>
    <w:p w14:paraId="52E9CAD6">
      <w:pPr>
        <w:autoSpaceDN w:val="0"/>
        <w:adjustRightInd w:val="0"/>
        <w:snapToGrid w:val="0"/>
        <w:spacing w:line="360" w:lineRule="auto"/>
        <w:ind w:firstLine="420" w:firstLineChars="200"/>
        <w:rPr>
          <w:rFonts w:cs="宋体" w:asciiTheme="majorEastAsia" w:hAnsiTheme="majorEastAsia" w:eastAsiaTheme="majorEastAsia"/>
          <w:bCs/>
          <w:szCs w:val="21"/>
          <w:highlight w:val="none"/>
          <w:lang w:val="zh-CN"/>
        </w:rPr>
      </w:pPr>
      <w:r>
        <w:rPr>
          <w:rFonts w:hint="eastAsia" w:cs="宋体" w:asciiTheme="majorEastAsia" w:hAnsiTheme="majorEastAsia" w:eastAsiaTheme="majorEastAsia"/>
          <w:bCs/>
          <w:szCs w:val="21"/>
          <w:highlight w:val="none"/>
          <w:lang w:val="zh-CN"/>
        </w:rPr>
        <w:t>九、本规定由工业和信息化部、国家统计局会同有关部门负责解释。</w:t>
      </w:r>
    </w:p>
    <w:p w14:paraId="60B211A5">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bCs/>
          <w:szCs w:val="21"/>
          <w:highlight w:val="none"/>
          <w:lang w:val="zh-CN"/>
        </w:rPr>
        <w:t>十、本规定自发布之日起执行，原国家经贸委、原国家计委、财政部和国家统计局2003年颁布的《中小企业标准暂行规定》同时废止。</w:t>
      </w:r>
    </w:p>
    <w:p w14:paraId="39F62512">
      <w:pPr>
        <w:autoSpaceDN w:val="0"/>
        <w:adjustRightInd w:val="0"/>
        <w:snapToGrid w:val="0"/>
        <w:spacing w:line="360" w:lineRule="auto"/>
        <w:rPr>
          <w:rFonts w:cs="宋体" w:asciiTheme="majorEastAsia" w:hAnsiTheme="majorEastAsia" w:eastAsiaTheme="majorEastAsia"/>
          <w:szCs w:val="21"/>
          <w:highlight w:val="none"/>
        </w:rPr>
        <w:sectPr>
          <w:footerReference r:id="rId3" w:type="default"/>
          <w:pgSz w:w="11906" w:h="16838"/>
          <w:pgMar w:top="1418" w:right="1418" w:bottom="1418" w:left="1417" w:header="851" w:footer="851" w:gutter="0"/>
          <w:pgNumType w:start="1"/>
          <w:cols w:space="720" w:num="1"/>
          <w:docGrid w:linePitch="312" w:charSpace="0"/>
        </w:sectPr>
      </w:pPr>
      <w:r>
        <w:rPr>
          <w:rFonts w:hint="eastAsia" w:cs="宋体" w:asciiTheme="majorEastAsia" w:hAnsiTheme="majorEastAsia" w:eastAsiaTheme="majorEastAsia"/>
          <w:szCs w:val="21"/>
          <w:highlight w:val="none"/>
        </w:rPr>
        <w:br w:type="page"/>
      </w:r>
    </w:p>
    <w:p w14:paraId="059FC2BC">
      <w:pPr>
        <w:pStyle w:val="3"/>
        <w:autoSpaceDN w:val="0"/>
        <w:adjustRightInd w:val="0"/>
        <w:snapToGrid w:val="0"/>
        <w:spacing w:before="0" w:after="0" w:line="360" w:lineRule="auto"/>
        <w:jc w:val="center"/>
        <w:rPr>
          <w:rFonts w:asciiTheme="majorEastAsia" w:hAnsiTheme="majorEastAsia" w:eastAsiaTheme="majorEastAsia"/>
          <w:highlight w:val="none"/>
        </w:rPr>
      </w:pPr>
      <w:bookmarkStart w:id="74" w:name="_Toc30695"/>
      <w:bookmarkStart w:id="75" w:name="_Toc48760974"/>
      <w:r>
        <w:rPr>
          <w:rFonts w:hint="eastAsia" w:asciiTheme="majorEastAsia" w:hAnsiTheme="majorEastAsia" w:eastAsiaTheme="majorEastAsia"/>
          <w:highlight w:val="none"/>
        </w:rPr>
        <w:t>第四部分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采购需求</w:t>
      </w:r>
      <w:bookmarkEnd w:id="74"/>
      <w:bookmarkEnd w:id="75"/>
      <w:bookmarkStart w:id="76" w:name="_第五部分__"/>
      <w:bookmarkEnd w:id="76"/>
    </w:p>
    <w:bookmarkEnd w:id="1"/>
    <w:bookmarkEnd w:id="2"/>
    <w:bookmarkEnd w:id="3"/>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1216"/>
        <w:gridCol w:w="3825"/>
        <w:gridCol w:w="590"/>
        <w:gridCol w:w="685"/>
        <w:gridCol w:w="1016"/>
        <w:gridCol w:w="1055"/>
      </w:tblGrid>
      <w:tr w14:paraId="310A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317386F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bookmarkStart w:id="77" w:name="_Toc2135"/>
            <w:bookmarkStart w:id="78" w:name="_Toc502304490"/>
            <w:bookmarkStart w:id="79" w:name="_Toc247085855"/>
            <w:bookmarkStart w:id="80" w:name="_Toc144974834"/>
            <w:bookmarkStart w:id="81" w:name="_Toc179632789"/>
            <w:bookmarkStart w:id="82" w:name="_Toc152045772"/>
            <w:bookmarkStart w:id="83" w:name="_Toc246996340"/>
            <w:bookmarkStart w:id="84" w:name="_Toc152042554"/>
            <w:bookmarkStart w:id="85" w:name="_Toc246997083"/>
            <w:r>
              <w:rPr>
                <w:rFonts w:hint="eastAsia" w:ascii="宋体" w:hAnsi="宋体" w:eastAsia="宋体" w:cs="宋体"/>
                <w:b/>
                <w:bCs/>
                <w:i w:val="0"/>
                <w:iCs w:val="0"/>
                <w:color w:val="000000"/>
                <w:kern w:val="0"/>
                <w:sz w:val="24"/>
                <w:szCs w:val="24"/>
                <w:highlight w:val="none"/>
                <w:u w:val="none"/>
                <w:lang w:val="en-US" w:eastAsia="zh-CN" w:bidi="ar"/>
              </w:rPr>
              <w:t>2024-2025年新雪季--龙源山光影秀提升项目清单与计价表</w:t>
            </w:r>
          </w:p>
        </w:tc>
      </w:tr>
      <w:tr w14:paraId="5CB7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06F8">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序号</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725A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项目</w:t>
            </w:r>
            <w:r>
              <w:rPr>
                <w:rFonts w:hint="eastAsia" w:ascii="微软雅黑" w:hAnsi="微软雅黑" w:eastAsia="微软雅黑" w:cs="微软雅黑"/>
                <w:b/>
                <w:bCs/>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b/>
                <w:bCs/>
                <w:i w:val="0"/>
                <w:iCs w:val="0"/>
                <w:color w:val="000000"/>
                <w:kern w:val="0"/>
                <w:sz w:val="20"/>
                <w:szCs w:val="20"/>
                <w:highlight w:val="none"/>
                <w:u w:val="none"/>
                <w:lang w:val="en-US" w:eastAsia="zh-CN" w:bidi="ar"/>
              </w:rPr>
              <w:t>(产品名称)</w:t>
            </w:r>
          </w:p>
        </w:tc>
        <w:tc>
          <w:tcPr>
            <w:tcW w:w="214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1153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产品规格/参数</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E1CD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计量</w:t>
            </w:r>
            <w:r>
              <w:rPr>
                <w:rFonts w:hint="eastAsia" w:ascii="微软雅黑" w:hAnsi="微软雅黑" w:eastAsia="微软雅黑" w:cs="微软雅黑"/>
                <w:b/>
                <w:bCs/>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b/>
                <w:bCs/>
                <w:i w:val="0"/>
                <w:iCs w:val="0"/>
                <w:color w:val="000000"/>
                <w:kern w:val="0"/>
                <w:sz w:val="20"/>
                <w:szCs w:val="20"/>
                <w:highlight w:val="none"/>
                <w:u w:val="none"/>
                <w:lang w:val="en-US" w:eastAsia="zh-CN" w:bidi="ar"/>
              </w:rPr>
              <w:t>单位</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49F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采购</w:t>
            </w:r>
            <w:r>
              <w:rPr>
                <w:rFonts w:hint="eastAsia" w:ascii="微软雅黑" w:hAnsi="微软雅黑" w:eastAsia="微软雅黑" w:cs="微软雅黑"/>
                <w:b/>
                <w:bCs/>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b/>
                <w:bCs/>
                <w:i w:val="0"/>
                <w:iCs w:val="0"/>
                <w:color w:val="000000"/>
                <w:kern w:val="0"/>
                <w:sz w:val="20"/>
                <w:szCs w:val="20"/>
                <w:highlight w:val="none"/>
                <w:u w:val="none"/>
                <w:lang w:val="en-US" w:eastAsia="zh-CN" w:bidi="ar"/>
              </w:rPr>
              <w:t>数量</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6482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金额（元）</w:t>
            </w:r>
          </w:p>
        </w:tc>
      </w:tr>
      <w:tr w14:paraId="722C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A129">
            <w:pPr>
              <w:jc w:val="center"/>
              <w:rPr>
                <w:rFonts w:hint="eastAsia" w:ascii="微软雅黑" w:hAnsi="微软雅黑" w:eastAsia="微软雅黑" w:cs="微软雅黑"/>
                <w:b/>
                <w:bCs/>
                <w:i w:val="0"/>
                <w:iCs w:val="0"/>
                <w:color w:val="000000"/>
                <w:sz w:val="20"/>
                <w:szCs w:val="20"/>
                <w:highlight w:val="none"/>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5EA40">
            <w:pPr>
              <w:jc w:val="center"/>
              <w:rPr>
                <w:rFonts w:hint="eastAsia" w:ascii="微软雅黑" w:hAnsi="微软雅黑" w:eastAsia="微软雅黑" w:cs="微软雅黑"/>
                <w:b/>
                <w:bCs/>
                <w:i w:val="0"/>
                <w:iCs w:val="0"/>
                <w:color w:val="000000"/>
                <w:sz w:val="20"/>
                <w:szCs w:val="20"/>
                <w:highlight w:val="none"/>
                <w:u w:val="none"/>
              </w:rPr>
            </w:pPr>
          </w:p>
        </w:tc>
        <w:tc>
          <w:tcPr>
            <w:tcW w:w="21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4B05A">
            <w:pPr>
              <w:jc w:val="center"/>
              <w:rPr>
                <w:rFonts w:hint="eastAsia" w:ascii="微软雅黑" w:hAnsi="微软雅黑" w:eastAsia="微软雅黑" w:cs="微软雅黑"/>
                <w:b/>
                <w:bCs/>
                <w:i w:val="0"/>
                <w:iCs w:val="0"/>
                <w:color w:val="000000"/>
                <w:sz w:val="20"/>
                <w:szCs w:val="20"/>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411C8">
            <w:pPr>
              <w:jc w:val="center"/>
              <w:rPr>
                <w:rFonts w:hint="eastAsia" w:ascii="微软雅黑" w:hAnsi="微软雅黑" w:eastAsia="微软雅黑" w:cs="微软雅黑"/>
                <w:b/>
                <w:bCs/>
                <w:i w:val="0"/>
                <w:iCs w:val="0"/>
                <w:color w:val="000000"/>
                <w:sz w:val="20"/>
                <w:szCs w:val="20"/>
                <w:highlight w:val="none"/>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29D63">
            <w:pPr>
              <w:jc w:val="center"/>
              <w:rPr>
                <w:rFonts w:hint="eastAsia" w:ascii="微软雅黑" w:hAnsi="微软雅黑" w:eastAsia="微软雅黑" w:cs="微软雅黑"/>
                <w:b/>
                <w:bCs/>
                <w:i w:val="0"/>
                <w:iCs w:val="0"/>
                <w:color w:val="000000"/>
                <w:sz w:val="20"/>
                <w:szCs w:val="20"/>
                <w:highlight w:val="none"/>
                <w:u w:val="none"/>
              </w:rPr>
            </w:pP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A864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综合单价</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C677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合价</w:t>
            </w:r>
          </w:p>
        </w:tc>
      </w:tr>
      <w:tr w14:paraId="62D8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DF65">
            <w:pPr>
              <w:jc w:val="center"/>
              <w:rPr>
                <w:rFonts w:hint="eastAsia" w:ascii="微软雅黑" w:hAnsi="微软雅黑" w:eastAsia="微软雅黑" w:cs="微软雅黑"/>
                <w:b/>
                <w:bCs/>
                <w:i w:val="0"/>
                <w:iCs w:val="0"/>
                <w:color w:val="000000"/>
                <w:sz w:val="20"/>
                <w:szCs w:val="20"/>
                <w:highlight w:val="none"/>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6DD6D">
            <w:pPr>
              <w:jc w:val="center"/>
              <w:rPr>
                <w:rFonts w:hint="eastAsia" w:ascii="微软雅黑" w:hAnsi="微软雅黑" w:eastAsia="微软雅黑" w:cs="微软雅黑"/>
                <w:b/>
                <w:bCs/>
                <w:i w:val="0"/>
                <w:iCs w:val="0"/>
                <w:color w:val="000000"/>
                <w:sz w:val="20"/>
                <w:szCs w:val="20"/>
                <w:highlight w:val="none"/>
                <w:u w:val="none"/>
              </w:rPr>
            </w:pPr>
          </w:p>
        </w:tc>
        <w:tc>
          <w:tcPr>
            <w:tcW w:w="21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4C8B4">
            <w:pPr>
              <w:jc w:val="center"/>
              <w:rPr>
                <w:rFonts w:hint="eastAsia" w:ascii="微软雅黑" w:hAnsi="微软雅黑" w:eastAsia="微软雅黑" w:cs="微软雅黑"/>
                <w:b/>
                <w:bCs/>
                <w:i w:val="0"/>
                <w:iCs w:val="0"/>
                <w:color w:val="000000"/>
                <w:sz w:val="20"/>
                <w:szCs w:val="20"/>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C12C2">
            <w:pPr>
              <w:jc w:val="center"/>
              <w:rPr>
                <w:rFonts w:hint="eastAsia" w:ascii="微软雅黑" w:hAnsi="微软雅黑" w:eastAsia="微软雅黑" w:cs="微软雅黑"/>
                <w:b/>
                <w:bCs/>
                <w:i w:val="0"/>
                <w:iCs w:val="0"/>
                <w:color w:val="000000"/>
                <w:sz w:val="20"/>
                <w:szCs w:val="20"/>
                <w:highlight w:val="none"/>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2CD58">
            <w:pPr>
              <w:jc w:val="center"/>
              <w:rPr>
                <w:rFonts w:hint="eastAsia" w:ascii="微软雅黑" w:hAnsi="微软雅黑" w:eastAsia="微软雅黑" w:cs="微软雅黑"/>
                <w:b/>
                <w:bCs/>
                <w:i w:val="0"/>
                <w:iCs w:val="0"/>
                <w:color w:val="000000"/>
                <w:sz w:val="20"/>
                <w:szCs w:val="20"/>
                <w:highlight w:val="none"/>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2E9B6">
            <w:pPr>
              <w:jc w:val="center"/>
              <w:rPr>
                <w:rFonts w:hint="eastAsia" w:ascii="微软雅黑" w:hAnsi="微软雅黑" w:eastAsia="微软雅黑" w:cs="微软雅黑"/>
                <w:b/>
                <w:bCs/>
                <w:i w:val="0"/>
                <w:iCs w:val="0"/>
                <w:color w:val="000000"/>
                <w:sz w:val="20"/>
                <w:szCs w:val="20"/>
                <w:highlight w:val="none"/>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4972E">
            <w:pPr>
              <w:jc w:val="center"/>
              <w:rPr>
                <w:rFonts w:hint="eastAsia" w:ascii="微软雅黑" w:hAnsi="微软雅黑" w:eastAsia="微软雅黑" w:cs="微软雅黑"/>
                <w:b/>
                <w:bCs/>
                <w:i w:val="0"/>
                <w:iCs w:val="0"/>
                <w:color w:val="000000"/>
                <w:sz w:val="20"/>
                <w:szCs w:val="20"/>
                <w:highlight w:val="none"/>
                <w:u w:val="none"/>
              </w:rPr>
            </w:pPr>
          </w:p>
        </w:tc>
      </w:tr>
      <w:tr w14:paraId="56AD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B6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E789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户外防水激光灯</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9DE7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67"/>
                <w:highlight w:val="none"/>
                <w:lang w:val="en-US" w:eastAsia="zh-CN" w:bidi="ar"/>
              </w:rPr>
              <w:t>1、可通过手机APP智能控制</w:t>
            </w:r>
            <w:r>
              <w:rPr>
                <w:rStyle w:val="68"/>
                <w:highlight w:val="none"/>
                <w:lang w:val="en-US" w:eastAsia="zh-CN" w:bidi="ar"/>
              </w:rPr>
              <w:br w:type="textWrapping"/>
            </w:r>
            <w:r>
              <w:rPr>
                <w:rStyle w:val="68"/>
                <w:highlight w:val="none"/>
                <w:lang w:val="en-US" w:eastAsia="zh-CN" w:bidi="ar"/>
              </w:rPr>
              <w:t>2、激光机总亮度 ≥50W全彩</w:t>
            </w:r>
            <w:r>
              <w:rPr>
                <w:rStyle w:val="68"/>
                <w:highlight w:val="none"/>
                <w:lang w:val="en-US" w:eastAsia="zh-CN" w:bidi="ar"/>
              </w:rPr>
              <w:br w:type="textWrapping"/>
            </w:r>
            <w:r>
              <w:rPr>
                <w:rStyle w:val="68"/>
                <w:highlight w:val="none"/>
                <w:lang w:val="en-US" w:eastAsia="zh-CN" w:bidi="ar"/>
              </w:rPr>
              <w:t>红光波长-638nmopsl  二级器模块：15W                                                                                                                                                                                                  绿光波长-520nmopsl  二级器模块：15W                                                                                                                                                                                                     蓝光波长-445nmopsl  二级器模块：20w</w:t>
            </w:r>
            <w:r>
              <w:rPr>
                <w:rStyle w:val="68"/>
                <w:highlight w:val="none"/>
                <w:lang w:val="en-US" w:eastAsia="zh-CN" w:bidi="ar"/>
              </w:rPr>
              <w:br w:type="textWrapping"/>
            </w:r>
            <w:r>
              <w:rPr>
                <w:rStyle w:val="68"/>
                <w:highlight w:val="none"/>
                <w:lang w:val="en-US" w:eastAsia="zh-CN" w:bidi="ar"/>
              </w:rPr>
              <w:t>激光颜色 全彩</w:t>
            </w:r>
            <w:r>
              <w:rPr>
                <w:rStyle w:val="68"/>
                <w:highlight w:val="none"/>
                <w:lang w:val="en-US" w:eastAsia="zh-CN" w:bidi="ar"/>
              </w:rPr>
              <w:br w:type="textWrapping"/>
            </w:r>
            <w:r>
              <w:rPr>
                <w:rStyle w:val="68"/>
                <w:highlight w:val="none"/>
                <w:lang w:val="en-US" w:eastAsia="zh-CN" w:bidi="ar"/>
              </w:rPr>
              <w:t>激光光斑 直径小于5mm,发散角&lt;3mrad</w:t>
            </w:r>
            <w:r>
              <w:rPr>
                <w:rStyle w:val="68"/>
                <w:highlight w:val="none"/>
                <w:lang w:val="en-US" w:eastAsia="zh-CN" w:bidi="ar"/>
              </w:rPr>
              <w:br w:type="textWrapping"/>
            </w:r>
            <w:r>
              <w:rPr>
                <w:rStyle w:val="68"/>
                <w:highlight w:val="none"/>
                <w:lang w:val="en-US" w:eastAsia="zh-CN" w:bidi="ar"/>
              </w:rPr>
              <w:t>耗电功率 &lt;800W</w:t>
            </w:r>
            <w:r>
              <w:rPr>
                <w:rStyle w:val="68"/>
                <w:highlight w:val="none"/>
                <w:lang w:val="en-US" w:eastAsia="zh-CN" w:bidi="ar"/>
              </w:rPr>
              <w:br w:type="textWrapping"/>
            </w:r>
            <w:r>
              <w:rPr>
                <w:rStyle w:val="68"/>
                <w:highlight w:val="none"/>
                <w:lang w:val="en-US" w:eastAsia="zh-CN" w:bidi="ar"/>
              </w:rPr>
              <w:t>振镜速度 40K高速进口振镜</w:t>
            </w:r>
            <w:r>
              <w:rPr>
                <w:rStyle w:val="68"/>
                <w:highlight w:val="none"/>
                <w:lang w:val="en-US" w:eastAsia="zh-CN" w:bidi="ar"/>
              </w:rPr>
              <w:br w:type="textWrapping"/>
            </w:r>
            <w:r>
              <w:rPr>
                <w:rStyle w:val="68"/>
                <w:highlight w:val="none"/>
                <w:lang w:val="en-US" w:eastAsia="zh-CN" w:bidi="ar"/>
              </w:rPr>
              <w:t>扫描角度 最大角度60度</w:t>
            </w:r>
            <w:r>
              <w:rPr>
                <w:rStyle w:val="68"/>
                <w:highlight w:val="none"/>
                <w:lang w:val="en-US" w:eastAsia="zh-CN" w:bidi="ar"/>
              </w:rPr>
              <w:br w:type="textWrapping"/>
            </w:r>
            <w:r>
              <w:rPr>
                <w:rStyle w:val="68"/>
                <w:highlight w:val="none"/>
                <w:lang w:val="en-US" w:eastAsia="zh-CN" w:bidi="ar"/>
              </w:rPr>
              <w:t>工作电压 220V±20%  50/60HZ</w:t>
            </w:r>
            <w:r>
              <w:rPr>
                <w:rStyle w:val="68"/>
                <w:highlight w:val="none"/>
                <w:lang w:val="en-US" w:eastAsia="zh-CN" w:bidi="ar"/>
              </w:rPr>
              <w:br w:type="textWrapping"/>
            </w:r>
            <w:r>
              <w:rPr>
                <w:rStyle w:val="68"/>
                <w:highlight w:val="none"/>
                <w:lang w:val="en-US" w:eastAsia="zh-CN" w:bidi="ar"/>
              </w:rPr>
              <w:t>扫描系统 40kpps ,扫描角度±30°</w:t>
            </w:r>
            <w:r>
              <w:rPr>
                <w:rStyle w:val="68"/>
                <w:highlight w:val="none"/>
                <w:lang w:val="en-US" w:eastAsia="zh-CN" w:bidi="ar"/>
              </w:rPr>
              <w:br w:type="textWrapping"/>
            </w:r>
            <w:r>
              <w:rPr>
                <w:rStyle w:val="68"/>
                <w:highlight w:val="none"/>
                <w:lang w:val="en-US" w:eastAsia="zh-CN" w:bidi="ar"/>
              </w:rPr>
              <w:t>工作温度 -30度到35度</w:t>
            </w:r>
            <w:r>
              <w:rPr>
                <w:rStyle w:val="68"/>
                <w:highlight w:val="none"/>
                <w:lang w:val="en-US" w:eastAsia="zh-CN" w:bidi="ar"/>
              </w:rPr>
              <w:br w:type="textWrapping"/>
            </w:r>
            <w:r>
              <w:rPr>
                <w:rStyle w:val="68"/>
                <w:highlight w:val="none"/>
                <w:lang w:val="en-US" w:eastAsia="zh-CN" w:bidi="ar"/>
              </w:rPr>
              <w:t>温控系统 采用数字驱动，带有加热冷却功能，可以在高寒与高热环境使用</w:t>
            </w:r>
            <w:r>
              <w:rPr>
                <w:rStyle w:val="68"/>
                <w:highlight w:val="none"/>
                <w:lang w:val="en-US" w:eastAsia="zh-CN" w:bidi="ar"/>
              </w:rPr>
              <w:br w:type="textWrapping"/>
            </w:r>
            <w:r>
              <w:rPr>
                <w:rStyle w:val="68"/>
                <w:highlight w:val="none"/>
                <w:lang w:val="en-US" w:eastAsia="zh-CN" w:bidi="ar"/>
              </w:rPr>
              <w:t>激光安全等级 CLASS 4</w:t>
            </w:r>
            <w:r>
              <w:rPr>
                <w:rStyle w:val="68"/>
                <w:highlight w:val="none"/>
                <w:lang w:val="en-US" w:eastAsia="zh-CN" w:bidi="ar"/>
              </w:rPr>
              <w:br w:type="textWrapping"/>
            </w:r>
            <w:r>
              <w:rPr>
                <w:rStyle w:val="68"/>
                <w:highlight w:val="none"/>
                <w:lang w:val="en-US" w:eastAsia="zh-CN" w:bidi="ar"/>
              </w:rPr>
              <w:t>保护功能 过压保护,过流保护;漏电保护.</w:t>
            </w:r>
            <w:r>
              <w:rPr>
                <w:rStyle w:val="68"/>
                <w:highlight w:val="none"/>
                <w:lang w:val="en-US" w:eastAsia="zh-CN" w:bidi="ar"/>
              </w:rPr>
              <w:br w:type="textWrapping"/>
            </w:r>
            <w:r>
              <w:rPr>
                <w:rStyle w:val="68"/>
                <w:highlight w:val="none"/>
                <w:lang w:val="en-US" w:eastAsia="zh-CN" w:bidi="ar"/>
              </w:rPr>
              <w:t>IP等级 防水防尘达到IP55以上</w:t>
            </w:r>
            <w:r>
              <w:rPr>
                <w:rStyle w:val="68"/>
                <w:highlight w:val="none"/>
                <w:lang w:val="en-US" w:eastAsia="zh-CN" w:bidi="ar"/>
              </w:rPr>
              <w:br w:type="textWrapping"/>
            </w:r>
            <w:r>
              <w:rPr>
                <w:rStyle w:val="68"/>
                <w:highlight w:val="none"/>
                <w:lang w:val="en-US" w:eastAsia="zh-CN" w:bidi="ar"/>
              </w:rPr>
              <w:t>冷却方式 风冷</w:t>
            </w:r>
            <w:r>
              <w:rPr>
                <w:rStyle w:val="68"/>
                <w:highlight w:val="none"/>
                <w:lang w:val="en-US" w:eastAsia="zh-CN" w:bidi="ar"/>
              </w:rPr>
              <w:br w:type="textWrapping"/>
            </w:r>
            <w:r>
              <w:rPr>
                <w:rStyle w:val="68"/>
                <w:highlight w:val="none"/>
                <w:lang w:val="en-US" w:eastAsia="zh-CN" w:bidi="ar"/>
              </w:rPr>
              <w:t>控制接口 ILDA DB-25标准双差信号输入</w:t>
            </w:r>
            <w:r>
              <w:rPr>
                <w:rStyle w:val="68"/>
                <w:highlight w:val="none"/>
                <w:lang w:val="en-US" w:eastAsia="zh-CN" w:bidi="ar"/>
              </w:rPr>
              <w:br w:type="textWrapping"/>
            </w:r>
            <w:r>
              <w:rPr>
                <w:rStyle w:val="68"/>
                <w:highlight w:val="none"/>
                <w:lang w:val="en-US" w:eastAsia="zh-CN" w:bidi="ar"/>
              </w:rPr>
              <w:t>支持Pangolin中央控制系统 PANGOLIN激光软件控制系统包括：</w:t>
            </w:r>
            <w:r>
              <w:rPr>
                <w:rStyle w:val="68"/>
                <w:highlight w:val="none"/>
                <w:lang w:val="en-US" w:eastAsia="zh-CN" w:bidi="ar"/>
              </w:rPr>
              <w:br w:type="textWrapping"/>
            </w:r>
            <w:r>
              <w:rPr>
                <w:rStyle w:val="68"/>
                <w:highlight w:val="none"/>
                <w:lang w:val="en-US" w:eastAsia="zh-CN" w:bidi="ar"/>
              </w:rPr>
              <w:t>- FB4</w:t>
            </w:r>
            <w:r>
              <w:rPr>
                <w:rStyle w:val="68"/>
                <w:highlight w:val="none"/>
                <w:lang w:val="en-US" w:eastAsia="zh-CN" w:bidi="ar"/>
              </w:rPr>
              <w:br w:type="textWrapping"/>
            </w:r>
            <w:r>
              <w:rPr>
                <w:rStyle w:val="68"/>
                <w:highlight w:val="none"/>
                <w:lang w:val="en-US" w:eastAsia="zh-CN" w:bidi="ar"/>
              </w:rPr>
              <w:t>-quickshow图案编辑软件</w:t>
            </w:r>
            <w:r>
              <w:rPr>
                <w:rStyle w:val="68"/>
                <w:highlight w:val="none"/>
                <w:lang w:val="en-US" w:eastAsia="zh-CN" w:bidi="ar"/>
              </w:rPr>
              <w:br w:type="textWrapping"/>
            </w:r>
            <w:r>
              <w:rPr>
                <w:rStyle w:val="68"/>
                <w:highlight w:val="none"/>
                <w:lang w:val="en-US" w:eastAsia="zh-CN" w:bidi="ar"/>
              </w:rPr>
              <w:t>-专业级音频输出</w:t>
            </w:r>
            <w:r>
              <w:rPr>
                <w:rStyle w:val="68"/>
                <w:highlight w:val="none"/>
                <w:lang w:val="en-US" w:eastAsia="zh-CN" w:bidi="ar"/>
              </w:rPr>
              <w:br w:type="textWrapping"/>
            </w:r>
            <w:r>
              <w:rPr>
                <w:rStyle w:val="68"/>
                <w:highlight w:val="none"/>
                <w:lang w:val="en-US" w:eastAsia="zh-CN" w:bidi="ar"/>
              </w:rPr>
              <w:t>-多个激光音乐同步节目</w:t>
            </w:r>
            <w:r>
              <w:rPr>
                <w:rStyle w:val="68"/>
                <w:highlight w:val="none"/>
                <w:lang w:val="en-US" w:eastAsia="zh-CN" w:bidi="ar"/>
              </w:rPr>
              <w:br w:type="textWrapping"/>
            </w:r>
            <w:r>
              <w:rPr>
                <w:rStyle w:val="68"/>
                <w:highlight w:val="none"/>
                <w:lang w:val="en-US" w:eastAsia="zh-CN" w:bidi="ar"/>
              </w:rPr>
              <w:t>-3套实时控制节目</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F2B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FDD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410F0">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47F94">
            <w:pPr>
              <w:jc w:val="center"/>
              <w:rPr>
                <w:rFonts w:hint="eastAsia" w:ascii="宋体" w:hAnsi="宋体" w:eastAsia="宋体" w:cs="宋体"/>
                <w:i w:val="0"/>
                <w:iCs w:val="0"/>
                <w:color w:val="000000"/>
                <w:sz w:val="20"/>
                <w:szCs w:val="20"/>
                <w:highlight w:val="none"/>
                <w:u w:val="none"/>
              </w:rPr>
            </w:pPr>
          </w:p>
        </w:tc>
      </w:tr>
      <w:tr w14:paraId="1B4A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12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3838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FB4控制器</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7E01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高级专业版Pangolin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1）本产品采用12V/1.5A直流稳压电源为供电电源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2）硬件接口:网络、ILDA OUT、DMA输入、DMA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OUT、SD卡槽、电源口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3）显示按键:LED显示屏，按键（注:上下旋转，按下确认）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指示灯状态说明：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绿灯-电源和SD卡状态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关闭:无电源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Flash:无需SD卡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光大：带SD卡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黄灯-网络状态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关闭:网络未连接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Flash：获取IP地址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始终开启:连接QS或BEYOND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Orange红灯-DMX或Art NET状态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关：没有检测到DMA或Art NET信号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闪存：检测到DMA信号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始终开启:检测到Art NET或sACN信号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红光-激光使用状态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关闭：没有激光输出(也没有qs或更远的连接)慢闪：qs或更远连接，没有激光输出信号闪烁：qs或超过连接和激光输出信号闪烁。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特别地位：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4个指示灯闪烁：等待固件更新或SD卡未更新固件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所有指示灯保持亮起：固件更新正在进行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连接方式：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（1）BEYOND/QS软件模式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BEYOND/QS：运行模式-网络中的BEYOND/QS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设置-IP后，计算机打开BEYOND/QS软件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（二）艺术网络或DMA模式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a.艺术网：第一运营模式——先艺术后网络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设置-IP后的artnet设置-设置宇宙-开始地址</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023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423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3619E">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D5CFF">
            <w:pPr>
              <w:jc w:val="center"/>
              <w:rPr>
                <w:rFonts w:hint="eastAsia" w:ascii="宋体" w:hAnsi="宋体" w:eastAsia="宋体" w:cs="宋体"/>
                <w:i w:val="0"/>
                <w:iCs w:val="0"/>
                <w:color w:val="000000"/>
                <w:sz w:val="20"/>
                <w:szCs w:val="20"/>
                <w:highlight w:val="none"/>
                <w:u w:val="none"/>
              </w:rPr>
            </w:pPr>
          </w:p>
        </w:tc>
      </w:tr>
      <w:tr w14:paraId="25A66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5E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F2D4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激光控制</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C62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指定操控软件：配套激光软件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激光软件，作为当前激光表演领域的佼佼者，以其全面且专业的功能脱颖而出。它不仅融合了Quickshow和LD2000的所有优势，更在此基础上实现了技术突破，为激光表演带来了全新的编程与操作体验。BEYOND不仅支持基本的激光图案展示，还融入了视频、3D动画及绘图程序等多媒体元素，使得激光表演更加丰富多彩。同时，它兼容DMXArtNetOSC等主流照明协议，实现了激光显示与灯光控制系统的无缝对接。此外，BEYOND还提供了基本版、高级版和旗舰版三个版本，满足不同层次的需求，并为用户提供了便捷的升级路径。其先进的绘图与编辑程序、可视化程序以及文摘编辑功能，极大地提升了创作的自由度与效率。而自动播放与Kinect交互功能，则进一步拓展了激光表演的应用场景。总之，BEYOND激光软件以其卓越的性能与丰富的功能，引领着激光表演行业的未来发展</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528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E78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CB0DB">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CFE32">
            <w:pPr>
              <w:jc w:val="center"/>
              <w:rPr>
                <w:rFonts w:hint="eastAsia" w:ascii="宋体" w:hAnsi="宋体" w:eastAsia="宋体" w:cs="宋体"/>
                <w:i w:val="0"/>
                <w:iCs w:val="0"/>
                <w:color w:val="000000"/>
                <w:sz w:val="20"/>
                <w:szCs w:val="20"/>
                <w:highlight w:val="none"/>
                <w:u w:val="none"/>
              </w:rPr>
            </w:pPr>
          </w:p>
        </w:tc>
      </w:tr>
      <w:tr w14:paraId="5EA7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2D9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586F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914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·纤芯直径:OM3多模光纤，纤芯直径为50微米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包层直径:OM3多模光纤包层直径为125微米。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·波长:OM3多模光纤使用850nm波长进行传输。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·典型插入损耗:OM3多模光纤在850nm波长下，通常具有0.5dB/km的插入损耗最大插入损耗:OM3多模光纤在850nm波长下，最大插入损耗一般不超过0.75dB/km。</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82D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A78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313D4">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603AD">
            <w:pPr>
              <w:jc w:val="center"/>
              <w:rPr>
                <w:rFonts w:hint="eastAsia" w:ascii="宋体" w:hAnsi="宋体" w:eastAsia="宋体" w:cs="宋体"/>
                <w:i w:val="0"/>
                <w:iCs w:val="0"/>
                <w:color w:val="000000"/>
                <w:sz w:val="20"/>
                <w:szCs w:val="20"/>
                <w:highlight w:val="none"/>
                <w:u w:val="none"/>
              </w:rPr>
            </w:pPr>
          </w:p>
        </w:tc>
      </w:tr>
      <w:tr w14:paraId="304A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462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0A07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光端机</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588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1个RJ45 电口和1个SC/ST/FC 光口，实现双绞线和光纤之间的光电信号转换。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符合IEEE802.3 10Base-T和IEEE802.3u100Base-TX，100Base-FX标准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 10M/100M 自适应能力。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电口能自适应直通线/交叉线连接方式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支持全双工/半双工工作模式。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 IEEE802.3X 全双工流量控制和半双工背压流量控制。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支持最大 1916 Bytes 数据幀。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支持防止广播风暴功能。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内置防雷电路，可大大减少雷电感应造成的损坏。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双绞线最长 100 米，多模光纤最长 2或5公里(全双工),单模光纤最长 120 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有6个LED指示灯:Power，TX100，TXLink/Act，FX100，FXLink/Act ，FDX/Col;便于监测收发器的工作状态和判断故障原因。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有外置、内置电源两种类型:AC100~265V/DC5V 开关电源。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工作环境温度:0~50℃℃。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储存环境温度:-40 ~70'C。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收发器尺寸:电源外置式 70x26x93mm;内置式120x30x140mm。</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ABE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B4F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56972">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79799">
            <w:pPr>
              <w:jc w:val="center"/>
              <w:rPr>
                <w:rFonts w:hint="eastAsia" w:ascii="宋体" w:hAnsi="宋体" w:eastAsia="宋体" w:cs="宋体"/>
                <w:i w:val="0"/>
                <w:iCs w:val="0"/>
                <w:color w:val="000000"/>
                <w:sz w:val="20"/>
                <w:szCs w:val="20"/>
                <w:highlight w:val="none"/>
                <w:u w:val="none"/>
              </w:rPr>
            </w:pPr>
          </w:p>
        </w:tc>
      </w:tr>
      <w:tr w14:paraId="47B07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0A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1C95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千兆交换机</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C4187">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highlight w:val="none"/>
                <w:u w:val="none"/>
              </w:rPr>
            </w:pPr>
            <w:r>
              <w:rPr>
                <w:rStyle w:val="68"/>
                <w:highlight w:val="none"/>
                <w:lang w:val="en-US" w:eastAsia="zh-CN" w:bidi="ar"/>
              </w:rPr>
              <w:t>交换容量：</w:t>
            </w:r>
            <w:r>
              <w:rPr>
                <w:rStyle w:val="69"/>
                <w:rFonts w:eastAsia="宋体"/>
                <w:highlight w:val="none"/>
                <w:lang w:val="en-US" w:eastAsia="zh-CN" w:bidi="ar"/>
              </w:rPr>
              <w:t>≥</w:t>
            </w:r>
            <w:r>
              <w:rPr>
                <w:rStyle w:val="68"/>
                <w:highlight w:val="none"/>
                <w:lang w:val="en-US" w:eastAsia="zh-CN" w:bidi="ar"/>
              </w:rPr>
              <w:t>250GBPS</w:t>
            </w:r>
            <w:r>
              <w:rPr>
                <w:rStyle w:val="68"/>
                <w:highlight w:val="none"/>
                <w:lang w:val="en-US" w:eastAsia="zh-CN" w:bidi="ar"/>
              </w:rPr>
              <w:br w:type="textWrapping"/>
            </w:r>
            <w:r>
              <w:rPr>
                <w:rStyle w:val="68"/>
                <w:highlight w:val="none"/>
                <w:lang w:val="en-US" w:eastAsia="zh-CN" w:bidi="ar"/>
              </w:rPr>
              <w:t>转发性能≥50MPPS</w:t>
            </w:r>
            <w:r>
              <w:rPr>
                <w:rStyle w:val="68"/>
                <w:highlight w:val="none"/>
                <w:lang w:val="en-US" w:eastAsia="zh-CN" w:bidi="ar"/>
              </w:rPr>
              <w:br w:type="textWrapping"/>
            </w:r>
            <w:r>
              <w:rPr>
                <w:rStyle w:val="68"/>
                <w:highlight w:val="none"/>
                <w:lang w:val="en-US" w:eastAsia="zh-CN" w:bidi="ar"/>
              </w:rPr>
              <w:t>固化10/100/1000以太网端口≥24，千兆SMP光接口≥4个，同时可用千兆口≥28个</w:t>
            </w:r>
            <w:r>
              <w:rPr>
                <w:rStyle w:val="68"/>
                <w:highlight w:val="none"/>
                <w:lang w:val="en-US" w:eastAsia="zh-CN" w:bidi="ar"/>
              </w:rPr>
              <w:br w:type="textWrapping"/>
            </w:r>
            <w:r>
              <w:rPr>
                <w:rStyle w:val="68"/>
                <w:highlight w:val="none"/>
                <w:lang w:val="en-US" w:eastAsia="zh-CN" w:bidi="ar"/>
              </w:rPr>
              <w:t>配置及日志存储等简化维护功能，1个USB端口</w:t>
            </w:r>
            <w:r>
              <w:rPr>
                <w:rStyle w:val="68"/>
                <w:highlight w:val="none"/>
                <w:lang w:val="en-US" w:eastAsia="zh-CN" w:bidi="ar"/>
              </w:rPr>
              <w:br w:type="textWrapping"/>
            </w:r>
            <w:r>
              <w:rPr>
                <w:rStyle w:val="68"/>
                <w:highlight w:val="none"/>
                <w:lang w:val="en-US" w:eastAsia="zh-CN" w:bidi="ar"/>
              </w:rPr>
              <w:t>支持链路协议功能</w:t>
            </w:r>
            <w:r>
              <w:rPr>
                <w:rStyle w:val="68"/>
                <w:highlight w:val="none"/>
                <w:lang w:val="en-US" w:eastAsia="zh-CN" w:bidi="ar"/>
              </w:rPr>
              <w:br w:type="textWrapping"/>
            </w:r>
            <w:r>
              <w:rPr>
                <w:rStyle w:val="68"/>
                <w:highlight w:val="none"/>
                <w:lang w:val="en-US" w:eastAsia="zh-CN" w:bidi="ar"/>
              </w:rPr>
              <w:t>支持IPV4和IPV6三层路由功能</w:t>
            </w:r>
            <w:r>
              <w:rPr>
                <w:rStyle w:val="68"/>
                <w:highlight w:val="none"/>
                <w:lang w:val="en-US" w:eastAsia="zh-CN" w:bidi="ar"/>
              </w:rPr>
              <w:br w:type="textWrapping"/>
            </w:r>
            <w:r>
              <w:rPr>
                <w:rStyle w:val="68"/>
                <w:highlight w:val="none"/>
                <w:lang w:val="en-US" w:eastAsia="zh-CN" w:bidi="ar"/>
              </w:rPr>
              <w:t>支持流镜像功能</w:t>
            </w:r>
            <w:r>
              <w:rPr>
                <w:rStyle w:val="68"/>
                <w:highlight w:val="none"/>
                <w:lang w:val="en-US" w:eastAsia="zh-CN" w:bidi="ar"/>
              </w:rPr>
              <w:br w:type="textWrapping"/>
            </w:r>
            <w:r>
              <w:rPr>
                <w:rStyle w:val="68"/>
                <w:highlight w:val="none"/>
                <w:lang w:val="en-US" w:eastAsia="zh-CN" w:bidi="ar"/>
              </w:rPr>
              <w:t>支持IVPV组播，支持IPV6组播，防止虚假应标，保留测试权力。</w:t>
            </w:r>
            <w:r>
              <w:rPr>
                <w:rStyle w:val="68"/>
                <w:highlight w:val="none"/>
                <w:lang w:val="en-US" w:eastAsia="zh-CN" w:bidi="ar"/>
              </w:rPr>
              <w:br w:type="textWrapping"/>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2EA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F6E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16070">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C0F5A">
            <w:pPr>
              <w:jc w:val="center"/>
              <w:rPr>
                <w:rFonts w:hint="eastAsia" w:ascii="宋体" w:hAnsi="宋体" w:eastAsia="宋体" w:cs="宋体"/>
                <w:i w:val="0"/>
                <w:iCs w:val="0"/>
                <w:color w:val="000000"/>
                <w:sz w:val="20"/>
                <w:szCs w:val="20"/>
                <w:highlight w:val="none"/>
                <w:u w:val="none"/>
              </w:rPr>
            </w:pPr>
          </w:p>
        </w:tc>
      </w:tr>
      <w:tr w14:paraId="4F9C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65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4F55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控制电脑</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F42D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主频总和&gt;28.4GHz,最大可扩展CPU主频总和&gt;56.8GHz;即CPU 主频与CPU 核数的乘积;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缓存:每个多核封装的处理器板3级缓存容量&gt;24MB;内存:容量&gt;32GDDR3，且CPU核数与内存GB比1:4硬盘:配置要求3300GB10000RPMSAS热插拔硬盘，支持操作系统镜像实现数据保护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性能指标:TPC-C实配值&gt;92万;最大可扩展TPC-C值&gt;184万;(投标时提供官网链接及推算过程复印件)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 TPC-C 推算公式: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TPC-C 值以 www.tpc.org 网站为准，TPC-C 值仅同 CPU 数量和主频相关若需求配置的产品没有正式发布的值，则以同等或更高机型为准，系统性能按处理器的主频和个数做线性折算;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TPC-C 的计算办法: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基础值=测试机器的数值÷测试时的Core 个数÷测试机器的主频:投标机器的数值=基础值x投标机器配置的Core 数x投标机器的主频:光纤通道:至少配置2个8Gb双口光纤卡网络接口:标配2个千兆网络接口系统管理: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支持磁盘镜像、逻辑卷管理;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有图形界面的系统管理工具，有功能全面的系统管理工具;支持基于WEB的远程系统监控和故障诊断;支持内存出错和 CPU的动态自动隔离，支持高速缓存、内存的ECC 保护支持 N+1 热插拔电源、风扇;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操作系统:64位专用UNIX操作系统，三年支持，兼容32位应用，支持操作系统的故障诊断、在线修补和动态升级双机软件:HA软件支持双机热备，最大支持32个节点。</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02B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094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DE311">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3AEE4">
            <w:pPr>
              <w:jc w:val="center"/>
              <w:rPr>
                <w:rFonts w:hint="eastAsia" w:ascii="宋体" w:hAnsi="宋体" w:eastAsia="宋体" w:cs="宋体"/>
                <w:i w:val="0"/>
                <w:iCs w:val="0"/>
                <w:color w:val="000000"/>
                <w:sz w:val="20"/>
                <w:szCs w:val="20"/>
                <w:highlight w:val="none"/>
                <w:u w:val="none"/>
              </w:rPr>
            </w:pPr>
          </w:p>
        </w:tc>
      </w:tr>
      <w:tr w14:paraId="2A6E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04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A834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网线</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9DB0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六类室外网线 【工程级4*2*0.57mm无氧铜芯】国标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1)六类非屏蔽双绞线缆气(LSZH);各项性能指标达到YD/T 926.2或TIA/EIA-568B标准要求;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2)线缆采用信号的平衡技术(LCL)控制电磁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干扰和噪音的影响，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3)支持快速以太网100BaseTx、干兆以太网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1000Base-T应用，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4)要求中心带有十字骨架结构，能稳定线对位置，增强抗干扰能力。</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58B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5D8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27685">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03E8E">
            <w:pPr>
              <w:jc w:val="center"/>
              <w:rPr>
                <w:rFonts w:hint="eastAsia" w:ascii="宋体" w:hAnsi="宋体" w:eastAsia="宋体" w:cs="宋体"/>
                <w:i w:val="0"/>
                <w:iCs w:val="0"/>
                <w:color w:val="000000"/>
                <w:sz w:val="20"/>
                <w:szCs w:val="20"/>
                <w:highlight w:val="none"/>
                <w:u w:val="none"/>
              </w:rPr>
            </w:pPr>
          </w:p>
        </w:tc>
      </w:tr>
      <w:tr w14:paraId="1BFAD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06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8937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电源线</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E9D2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国标 3芯2.5MM2电源线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截面面积：0.12-2.5mm²，0.5、2.5—35mm²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绝缘电阻 200M欧姆×KM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使用温度 -30~+70℃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8D5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126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A122C">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7CEE8">
            <w:pPr>
              <w:jc w:val="center"/>
              <w:rPr>
                <w:rFonts w:hint="eastAsia" w:ascii="宋体" w:hAnsi="宋体" w:eastAsia="宋体" w:cs="宋体"/>
                <w:i w:val="0"/>
                <w:iCs w:val="0"/>
                <w:color w:val="000000"/>
                <w:sz w:val="20"/>
                <w:szCs w:val="20"/>
                <w:highlight w:val="none"/>
                <w:u w:val="none"/>
              </w:rPr>
            </w:pPr>
          </w:p>
        </w:tc>
      </w:tr>
      <w:tr w14:paraId="4173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EA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70D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可编程电源控制集成模块</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6BDC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1、I-ELEC-12 三相AC380V± P10%,频率50Hz± P5% 12路× 4KW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2、DMX512信号协议、Artnet灯光网络协议、智能控制定制协议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3、可通过手机APP智能控制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4、每个回路实现电流0-20A电流设定；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5、电压检测范围 0V~220V  检测精度 0.1V；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6、电流检测范围 0A~20A   检测精度 0.01A；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7、有功功率检测精度 0.1W；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8、电网频率检测精度 0.01HZ；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9、功率因素检测精度 0.01%；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10、电流电压电量实时反馈功能；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11、防雷击实验检测数据；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12、电击和能量危险的防护检测报告；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13、SELV 电路；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14、接地和连接保护措施；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15、电气绝缘检测报告；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16、电气间隙、爬电距离；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17、抗电强度检测报告；</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F10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7FD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64184">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F9069">
            <w:pPr>
              <w:jc w:val="center"/>
              <w:rPr>
                <w:rFonts w:hint="eastAsia" w:ascii="宋体" w:hAnsi="宋体" w:eastAsia="宋体" w:cs="宋体"/>
                <w:i w:val="0"/>
                <w:iCs w:val="0"/>
                <w:color w:val="000000"/>
                <w:sz w:val="20"/>
                <w:szCs w:val="20"/>
                <w:highlight w:val="none"/>
                <w:u w:val="none"/>
              </w:rPr>
            </w:pPr>
          </w:p>
        </w:tc>
      </w:tr>
      <w:tr w14:paraId="5C9D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86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FB8F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8FBF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户外防水电源箱（满足项目需求并恒温）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*额定电压:400V AC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*额定电流:63A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*防护等级:IP40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*绝缘等级:I</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*配电箱结构:深蓝色透明塑料门配透明底箱*零排(N)和地排(PE)由6x9mm2的黄铜做成，接线方便散热好零排和地排端子标示清晰*流线型深蓝色透明门设计，美观大方*预留敲落孔，配套附件齐全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*开门结构可实现左右随意更换，180?大角度开门*安装架可在箱体外完成模数化终端电器的安装和接线，最后移至底箱中*多排结构箱体的安装导轨间距为125mm导轨的安装深度为55-70mm</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3A8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6F7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B09F3">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68C0F">
            <w:pPr>
              <w:jc w:val="center"/>
              <w:rPr>
                <w:rFonts w:hint="eastAsia" w:ascii="宋体" w:hAnsi="宋体" w:eastAsia="宋体" w:cs="宋体"/>
                <w:i w:val="0"/>
                <w:iCs w:val="0"/>
                <w:color w:val="000000"/>
                <w:sz w:val="20"/>
                <w:szCs w:val="20"/>
                <w:highlight w:val="none"/>
                <w:u w:val="none"/>
              </w:rPr>
            </w:pPr>
          </w:p>
        </w:tc>
      </w:tr>
      <w:tr w14:paraId="0046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BA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12</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0350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自动运行脚本</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F4E2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脚本编程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1、触发定时任务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2、触发远程协议，协调服务器完成各区域任务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3、因事件触发响应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4、因关联触发调用内置程序</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BE4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8C4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050C1">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AE294">
            <w:pPr>
              <w:jc w:val="center"/>
              <w:rPr>
                <w:rFonts w:hint="eastAsia" w:ascii="宋体" w:hAnsi="宋体" w:eastAsia="宋体" w:cs="宋体"/>
                <w:i w:val="0"/>
                <w:iCs w:val="0"/>
                <w:color w:val="000000"/>
                <w:sz w:val="20"/>
                <w:szCs w:val="20"/>
                <w:highlight w:val="none"/>
                <w:u w:val="none"/>
              </w:rPr>
            </w:pPr>
          </w:p>
        </w:tc>
      </w:tr>
      <w:tr w14:paraId="4C8E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98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0832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程序制作</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71F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激光3D制作/全景区灯光秀制作 /智控编程（合计数量）</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699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82E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8C871">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D9000">
            <w:pPr>
              <w:jc w:val="center"/>
              <w:rPr>
                <w:rFonts w:hint="eastAsia" w:ascii="宋体" w:hAnsi="宋体" w:eastAsia="宋体" w:cs="宋体"/>
                <w:i w:val="0"/>
                <w:iCs w:val="0"/>
                <w:color w:val="000000"/>
                <w:sz w:val="20"/>
                <w:szCs w:val="20"/>
                <w:highlight w:val="none"/>
                <w:u w:val="none"/>
              </w:rPr>
            </w:pPr>
          </w:p>
        </w:tc>
      </w:tr>
      <w:tr w14:paraId="68F7B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37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A7FB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调试费</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DE8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设备拼接调试，专业检测</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C59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E98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4FB2E">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D9DD4">
            <w:pPr>
              <w:jc w:val="center"/>
              <w:rPr>
                <w:rFonts w:hint="eastAsia" w:ascii="宋体" w:hAnsi="宋体" w:eastAsia="宋体" w:cs="宋体"/>
                <w:i w:val="0"/>
                <w:iCs w:val="0"/>
                <w:color w:val="000000"/>
                <w:sz w:val="20"/>
                <w:szCs w:val="20"/>
                <w:highlight w:val="none"/>
                <w:u w:val="none"/>
              </w:rPr>
            </w:pPr>
          </w:p>
        </w:tc>
      </w:tr>
      <w:tr w14:paraId="64D9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EF0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23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防护波纹管</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A60D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1.名称:户外波纹管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2.规格:50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D4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E5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365ED">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EDE5F">
            <w:pPr>
              <w:jc w:val="center"/>
              <w:rPr>
                <w:rFonts w:hint="eastAsia" w:ascii="宋体" w:hAnsi="宋体" w:eastAsia="宋体" w:cs="宋体"/>
                <w:i w:val="0"/>
                <w:iCs w:val="0"/>
                <w:color w:val="000000"/>
                <w:sz w:val="20"/>
                <w:szCs w:val="20"/>
                <w:highlight w:val="none"/>
                <w:u w:val="none"/>
              </w:rPr>
            </w:pPr>
          </w:p>
        </w:tc>
      </w:tr>
      <w:tr w14:paraId="41942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B10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16</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DE7B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基础挖土方</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0EB0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1.5*1.5*1.5m</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7C3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527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E3E83">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77509">
            <w:pPr>
              <w:jc w:val="center"/>
              <w:rPr>
                <w:rFonts w:hint="eastAsia" w:ascii="宋体" w:hAnsi="宋体" w:eastAsia="宋体" w:cs="宋体"/>
                <w:i w:val="0"/>
                <w:iCs w:val="0"/>
                <w:color w:val="000000"/>
                <w:sz w:val="20"/>
                <w:szCs w:val="20"/>
                <w:highlight w:val="none"/>
                <w:u w:val="none"/>
              </w:rPr>
            </w:pPr>
          </w:p>
        </w:tc>
      </w:tr>
      <w:tr w14:paraId="7F00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8A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F0E1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基础预埋铁件</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1473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16#钢筋、20厚的铁板</w:t>
            </w:r>
          </w:p>
        </w:tc>
        <w:tc>
          <w:tcPr>
            <w:tcW w:w="34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3921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05A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0.18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B9172">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C31DB">
            <w:pPr>
              <w:jc w:val="center"/>
              <w:rPr>
                <w:rFonts w:hint="eastAsia" w:ascii="宋体" w:hAnsi="宋体" w:eastAsia="宋体" w:cs="宋体"/>
                <w:i w:val="0"/>
                <w:iCs w:val="0"/>
                <w:color w:val="000000"/>
                <w:sz w:val="20"/>
                <w:szCs w:val="20"/>
                <w:highlight w:val="none"/>
                <w:u w:val="none"/>
              </w:rPr>
            </w:pPr>
          </w:p>
        </w:tc>
      </w:tr>
      <w:tr w14:paraId="18A9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25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51FC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基础混凝土浇筑</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E0CA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C30混凝土 </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26D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663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13.5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7043E">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C81EC">
            <w:pPr>
              <w:jc w:val="center"/>
              <w:rPr>
                <w:rFonts w:hint="eastAsia" w:ascii="宋体" w:hAnsi="宋体" w:eastAsia="宋体" w:cs="宋体"/>
                <w:i w:val="0"/>
                <w:iCs w:val="0"/>
                <w:color w:val="000000"/>
                <w:sz w:val="20"/>
                <w:szCs w:val="20"/>
                <w:highlight w:val="none"/>
                <w:u w:val="none"/>
              </w:rPr>
            </w:pPr>
          </w:p>
        </w:tc>
      </w:tr>
      <w:tr w14:paraId="470C3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B5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19</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A4C3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支架</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F460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镀锌方管（国标）</w:t>
            </w:r>
          </w:p>
        </w:tc>
        <w:tc>
          <w:tcPr>
            <w:tcW w:w="34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5C61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D61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0.90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C2F41">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D2B9A">
            <w:pPr>
              <w:jc w:val="center"/>
              <w:rPr>
                <w:rFonts w:hint="eastAsia" w:ascii="宋体" w:hAnsi="宋体" w:eastAsia="宋体" w:cs="宋体"/>
                <w:i w:val="0"/>
                <w:iCs w:val="0"/>
                <w:color w:val="000000"/>
                <w:sz w:val="20"/>
                <w:szCs w:val="20"/>
                <w:highlight w:val="none"/>
                <w:u w:val="none"/>
              </w:rPr>
            </w:pPr>
          </w:p>
        </w:tc>
      </w:tr>
      <w:tr w14:paraId="6D6A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FB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20</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3949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支架制作安装</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186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铁艺焊接（无缝）</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BED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28A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CE3C9">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EDCC3">
            <w:pPr>
              <w:jc w:val="center"/>
              <w:rPr>
                <w:rFonts w:hint="eastAsia" w:ascii="宋体" w:hAnsi="宋体" w:eastAsia="宋体" w:cs="宋体"/>
                <w:i w:val="0"/>
                <w:iCs w:val="0"/>
                <w:color w:val="000000"/>
                <w:sz w:val="20"/>
                <w:szCs w:val="20"/>
                <w:highlight w:val="none"/>
                <w:u w:val="none"/>
              </w:rPr>
            </w:pPr>
          </w:p>
        </w:tc>
      </w:tr>
      <w:tr w14:paraId="2761E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A2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7F32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钢材运输</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C001D">
            <w:pPr>
              <w:jc w:val="left"/>
              <w:rPr>
                <w:rFonts w:hint="eastAsia" w:ascii="宋体" w:hAnsi="宋体" w:eastAsia="宋体" w:cs="宋体"/>
                <w:i w:val="0"/>
                <w:iCs w:val="0"/>
                <w:color w:val="000000"/>
                <w:sz w:val="20"/>
                <w:szCs w:val="20"/>
                <w:highlight w:val="none"/>
                <w:u w:val="none"/>
              </w:rPr>
            </w:pPr>
          </w:p>
        </w:tc>
        <w:tc>
          <w:tcPr>
            <w:tcW w:w="34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DEDE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5A4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4E790">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CEB3D">
            <w:pPr>
              <w:jc w:val="center"/>
              <w:rPr>
                <w:rFonts w:hint="eastAsia" w:ascii="宋体" w:hAnsi="宋体" w:eastAsia="宋体" w:cs="宋体"/>
                <w:i w:val="0"/>
                <w:iCs w:val="0"/>
                <w:color w:val="000000"/>
                <w:sz w:val="20"/>
                <w:szCs w:val="20"/>
                <w:highlight w:val="none"/>
                <w:u w:val="none"/>
              </w:rPr>
            </w:pPr>
          </w:p>
        </w:tc>
      </w:tr>
      <w:tr w14:paraId="53CC3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897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22</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D09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金属面油漆</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8FED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钢构氟碳漆</w:t>
            </w:r>
          </w:p>
        </w:tc>
        <w:tc>
          <w:tcPr>
            <w:tcW w:w="34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F019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346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0B8BE">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63C99">
            <w:pPr>
              <w:jc w:val="center"/>
              <w:rPr>
                <w:rFonts w:hint="eastAsia" w:ascii="宋体" w:hAnsi="宋体" w:eastAsia="宋体" w:cs="宋体"/>
                <w:i w:val="0"/>
                <w:iCs w:val="0"/>
                <w:color w:val="000000"/>
                <w:sz w:val="20"/>
                <w:szCs w:val="20"/>
                <w:highlight w:val="none"/>
                <w:u w:val="none"/>
              </w:rPr>
            </w:pPr>
          </w:p>
        </w:tc>
      </w:tr>
      <w:tr w14:paraId="656A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49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DE1E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施工（技术部分）</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D06A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具体施工：光纤铺设及焊接、网线铺设及焊接、设备安装及固定施工、信号调试、机柜架设及排线等工程。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含冬季施工补助。</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AB4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F7F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5BC20">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CF67F">
            <w:pPr>
              <w:jc w:val="center"/>
              <w:rPr>
                <w:rFonts w:hint="eastAsia" w:ascii="宋体" w:hAnsi="宋体" w:eastAsia="宋体" w:cs="宋体"/>
                <w:i w:val="0"/>
                <w:iCs w:val="0"/>
                <w:color w:val="000000"/>
                <w:sz w:val="20"/>
                <w:szCs w:val="20"/>
                <w:highlight w:val="none"/>
                <w:u w:val="none"/>
              </w:rPr>
            </w:pPr>
          </w:p>
        </w:tc>
      </w:tr>
      <w:tr w14:paraId="5A2E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7DF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CC9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特种车辆</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9BCB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升降车、勾机、施工工具等</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7C1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240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75F24">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2D1E8">
            <w:pPr>
              <w:jc w:val="center"/>
              <w:rPr>
                <w:rFonts w:hint="eastAsia" w:ascii="宋体" w:hAnsi="宋体" w:eastAsia="宋体" w:cs="宋体"/>
                <w:i w:val="0"/>
                <w:iCs w:val="0"/>
                <w:color w:val="000000"/>
                <w:sz w:val="20"/>
                <w:szCs w:val="20"/>
                <w:highlight w:val="none"/>
                <w:u w:val="none"/>
              </w:rPr>
            </w:pPr>
          </w:p>
        </w:tc>
      </w:tr>
      <w:tr w14:paraId="5D2F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6B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CA4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施工（工人部分）</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230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控制室至设备处，地埋工程（含跨道）。不含路面复原。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具体施工：挖沟、穿线、掩埋、路面切割、控制室处地面开槽铺设等工程。含冬季施工补助。</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806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82B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9F758">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312EC9">
            <w:pPr>
              <w:jc w:val="center"/>
              <w:rPr>
                <w:rFonts w:hint="eastAsia" w:ascii="宋体" w:hAnsi="宋体" w:eastAsia="宋体" w:cs="宋体"/>
                <w:i w:val="0"/>
                <w:iCs w:val="0"/>
                <w:color w:val="000000"/>
                <w:sz w:val="20"/>
                <w:szCs w:val="20"/>
                <w:highlight w:val="none"/>
                <w:u w:val="none"/>
              </w:rPr>
            </w:pPr>
          </w:p>
        </w:tc>
      </w:tr>
      <w:tr w14:paraId="6E42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D6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27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723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合计（含税）</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D736">
            <w:pPr>
              <w:rPr>
                <w:rFonts w:hint="eastAsia" w:ascii="宋体" w:hAnsi="宋体" w:eastAsia="宋体" w:cs="宋体"/>
                <w:i w:val="0"/>
                <w:iCs w:val="0"/>
                <w:color w:val="000000"/>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17E9">
            <w:pPr>
              <w:rPr>
                <w:rFonts w:hint="eastAsia" w:ascii="宋体" w:hAnsi="宋体" w:eastAsia="宋体" w:cs="宋体"/>
                <w:i w:val="0"/>
                <w:iCs w:val="0"/>
                <w:color w:val="000000"/>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6210B">
            <w:pPr>
              <w:rPr>
                <w:rFonts w:hint="eastAsia" w:ascii="宋体" w:hAnsi="宋体" w:eastAsia="宋体" w:cs="宋体"/>
                <w:i w:val="0"/>
                <w:iCs w:val="0"/>
                <w:color w:val="000000"/>
                <w:sz w:val="20"/>
                <w:szCs w:val="20"/>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69E2C">
            <w:pPr>
              <w:rPr>
                <w:rFonts w:hint="eastAsia" w:ascii="宋体" w:hAnsi="宋体" w:eastAsia="宋体" w:cs="宋体"/>
                <w:i w:val="0"/>
                <w:iCs w:val="0"/>
                <w:color w:val="000000"/>
                <w:sz w:val="20"/>
                <w:szCs w:val="20"/>
                <w:highlight w:val="none"/>
                <w:u w:val="none"/>
              </w:rPr>
            </w:pPr>
          </w:p>
        </w:tc>
      </w:tr>
    </w:tbl>
    <w:p w14:paraId="26E6E6BF">
      <w:pPr>
        <w:rPr>
          <w:rFonts w:cs="宋体" w:asciiTheme="majorEastAsia" w:hAnsiTheme="majorEastAsia" w:eastAsiaTheme="majorEastAsia"/>
          <w:highlight w:val="none"/>
        </w:rPr>
      </w:pPr>
      <w:r>
        <w:rPr>
          <w:rFonts w:hint="eastAsia" w:cs="宋体" w:asciiTheme="majorEastAsia" w:hAnsiTheme="majorEastAsia" w:eastAsiaTheme="majorEastAsia"/>
          <w:highlight w:val="none"/>
        </w:rPr>
        <w:br w:type="page"/>
      </w:r>
    </w:p>
    <w:p w14:paraId="7B99E404">
      <w:pPr>
        <w:pStyle w:val="3"/>
        <w:autoSpaceDN w:val="0"/>
        <w:adjustRightInd w:val="0"/>
        <w:snapToGrid w:val="0"/>
        <w:spacing w:line="360" w:lineRule="auto"/>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第五部分 合同条款及格式</w:t>
      </w:r>
      <w:bookmarkEnd w:id="77"/>
      <w:bookmarkEnd w:id="78"/>
    </w:p>
    <w:p w14:paraId="3EBE348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w:t>
      </w:r>
      <w:bookmarkEnd w:id="79"/>
      <w:bookmarkEnd w:id="80"/>
      <w:bookmarkEnd w:id="81"/>
      <w:bookmarkEnd w:id="82"/>
      <w:bookmarkEnd w:id="83"/>
      <w:bookmarkEnd w:id="84"/>
      <w:bookmarkEnd w:id="85"/>
      <w:bookmarkStart w:id="86" w:name="_Toc502304491"/>
    </w:p>
    <w:p w14:paraId="54FC8386">
      <w:pPr>
        <w:autoSpaceDN w:val="0"/>
        <w:adjustRightInd w:val="0"/>
        <w:snapToGrid w:val="0"/>
        <w:spacing w:line="360" w:lineRule="auto"/>
        <w:jc w:val="center"/>
        <w:rPr>
          <w:rFonts w:cs="宋体" w:asciiTheme="majorEastAsia" w:hAnsiTheme="majorEastAsia" w:eastAsiaTheme="majorEastAsia"/>
          <w:b/>
          <w:bCs/>
          <w:sz w:val="32"/>
          <w:szCs w:val="32"/>
          <w:highlight w:val="none"/>
        </w:rPr>
      </w:pPr>
    </w:p>
    <w:p w14:paraId="338B5C94">
      <w:pPr>
        <w:autoSpaceDN w:val="0"/>
        <w:adjustRightInd w:val="0"/>
        <w:snapToGrid w:val="0"/>
        <w:spacing w:line="360" w:lineRule="auto"/>
        <w:jc w:val="center"/>
        <w:rPr>
          <w:rFonts w:cs="宋体" w:asciiTheme="majorEastAsia" w:hAnsiTheme="majorEastAsia" w:eastAsiaTheme="majorEastAsia"/>
          <w:b/>
          <w:bCs/>
          <w:sz w:val="32"/>
          <w:szCs w:val="32"/>
          <w:highlight w:val="none"/>
        </w:rPr>
      </w:pPr>
    </w:p>
    <w:p w14:paraId="5C446353">
      <w:pPr>
        <w:autoSpaceDN w:val="0"/>
        <w:adjustRightInd w:val="0"/>
        <w:snapToGrid w:val="0"/>
        <w:spacing w:line="360" w:lineRule="auto"/>
        <w:jc w:val="center"/>
        <w:rPr>
          <w:rFonts w:cs="宋体" w:asciiTheme="majorEastAsia" w:hAnsiTheme="majorEastAsia" w:eastAsiaTheme="majorEastAsia"/>
          <w:b/>
          <w:bCs/>
          <w:sz w:val="32"/>
          <w:szCs w:val="32"/>
          <w:highlight w:val="none"/>
        </w:rPr>
      </w:pPr>
      <w:r>
        <w:rPr>
          <w:rFonts w:hint="eastAsia" w:cs="宋体" w:asciiTheme="majorEastAsia" w:hAnsiTheme="majorEastAsia" w:eastAsiaTheme="majorEastAsia"/>
          <w:b/>
          <w:bCs/>
          <w:sz w:val="32"/>
          <w:szCs w:val="32"/>
          <w:highlight w:val="none"/>
        </w:rPr>
        <w:t>政府采购合同</w:t>
      </w:r>
    </w:p>
    <w:p w14:paraId="764F70F6">
      <w:pPr>
        <w:autoSpaceDN w:val="0"/>
        <w:adjustRightInd w:val="0"/>
        <w:snapToGrid w:val="0"/>
        <w:spacing w:line="360" w:lineRule="auto"/>
        <w:jc w:val="center"/>
        <w:rPr>
          <w:rFonts w:cs="宋体" w:asciiTheme="majorEastAsia" w:hAnsiTheme="majorEastAsia" w:eastAsiaTheme="majorEastAsia"/>
          <w:b/>
          <w:bCs/>
          <w:szCs w:val="21"/>
          <w:highlight w:val="none"/>
        </w:rPr>
      </w:pPr>
    </w:p>
    <w:p w14:paraId="08D791E3">
      <w:pPr>
        <w:autoSpaceDN w:val="0"/>
        <w:adjustRightInd w:val="0"/>
        <w:snapToGrid w:val="0"/>
        <w:spacing w:line="360" w:lineRule="auto"/>
        <w:jc w:val="center"/>
        <w:rPr>
          <w:rFonts w:cs="宋体" w:asciiTheme="majorEastAsia" w:hAnsiTheme="majorEastAsia" w:eastAsiaTheme="majorEastAsia"/>
          <w:b/>
          <w:bCs/>
          <w:szCs w:val="21"/>
          <w:highlight w:val="none"/>
        </w:rPr>
      </w:pPr>
    </w:p>
    <w:p w14:paraId="3827EDC1">
      <w:pPr>
        <w:autoSpaceDN w:val="0"/>
        <w:adjustRightInd w:val="0"/>
        <w:snapToGrid w:val="0"/>
        <w:spacing w:line="360" w:lineRule="auto"/>
        <w:jc w:val="center"/>
        <w:rPr>
          <w:rFonts w:cs="宋体" w:asciiTheme="majorEastAsia" w:hAnsiTheme="majorEastAsia" w:eastAsiaTheme="majorEastAsia"/>
          <w:b/>
          <w:bCs/>
          <w:szCs w:val="21"/>
          <w:highlight w:val="none"/>
        </w:rPr>
      </w:pPr>
    </w:p>
    <w:p w14:paraId="37B5B58A">
      <w:pPr>
        <w:autoSpaceDN w:val="0"/>
        <w:adjustRightInd w:val="0"/>
        <w:snapToGrid w:val="0"/>
        <w:spacing w:line="360" w:lineRule="auto"/>
        <w:jc w:val="center"/>
        <w:rPr>
          <w:rFonts w:cs="宋体" w:asciiTheme="majorEastAsia" w:hAnsiTheme="majorEastAsia" w:eastAsiaTheme="majorEastAsia"/>
          <w:b/>
          <w:bCs/>
          <w:szCs w:val="21"/>
          <w:highlight w:val="none"/>
        </w:rPr>
      </w:pPr>
    </w:p>
    <w:p w14:paraId="16F5E379">
      <w:pPr>
        <w:autoSpaceDN w:val="0"/>
        <w:adjustRightInd w:val="0"/>
        <w:snapToGrid w:val="0"/>
        <w:spacing w:line="360" w:lineRule="auto"/>
        <w:jc w:val="center"/>
        <w:rPr>
          <w:rFonts w:cs="宋体" w:asciiTheme="majorEastAsia" w:hAnsiTheme="majorEastAsia" w:eastAsiaTheme="majorEastAsia"/>
          <w:b/>
          <w:bCs/>
          <w:szCs w:val="21"/>
          <w:highlight w:val="none"/>
        </w:rPr>
      </w:pPr>
    </w:p>
    <w:p w14:paraId="5C678B79">
      <w:pPr>
        <w:pStyle w:val="20"/>
        <w:autoSpaceDN w:val="0"/>
        <w:adjustRightInd w:val="0"/>
        <w:snapToGrid w:val="0"/>
        <w:spacing w:line="360" w:lineRule="auto"/>
        <w:rPr>
          <w:rFonts w:cs="宋体" w:asciiTheme="majorEastAsia" w:hAnsiTheme="majorEastAsia" w:eastAsiaTheme="majorEastAsia"/>
          <w:b/>
          <w:bCs/>
          <w:szCs w:val="21"/>
          <w:highlight w:val="none"/>
        </w:rPr>
      </w:pPr>
    </w:p>
    <w:p w14:paraId="126D147C">
      <w:pPr>
        <w:pStyle w:val="20"/>
        <w:autoSpaceDN w:val="0"/>
        <w:adjustRightInd w:val="0"/>
        <w:snapToGrid w:val="0"/>
        <w:spacing w:line="360" w:lineRule="auto"/>
        <w:rPr>
          <w:rFonts w:cs="宋体" w:asciiTheme="majorEastAsia" w:hAnsiTheme="majorEastAsia" w:eastAsiaTheme="majorEastAsia"/>
          <w:b/>
          <w:bCs/>
          <w:szCs w:val="21"/>
          <w:highlight w:val="none"/>
        </w:rPr>
      </w:pPr>
    </w:p>
    <w:p w14:paraId="5250078D">
      <w:pPr>
        <w:pStyle w:val="20"/>
        <w:autoSpaceDN w:val="0"/>
        <w:adjustRightInd w:val="0"/>
        <w:snapToGrid w:val="0"/>
        <w:spacing w:line="360" w:lineRule="auto"/>
        <w:rPr>
          <w:rFonts w:cs="宋体" w:asciiTheme="majorEastAsia" w:hAnsiTheme="majorEastAsia" w:eastAsiaTheme="majorEastAsia"/>
          <w:b/>
          <w:bCs/>
          <w:szCs w:val="21"/>
          <w:highlight w:val="none"/>
        </w:rPr>
      </w:pPr>
    </w:p>
    <w:p w14:paraId="2A369AB7">
      <w:pPr>
        <w:pStyle w:val="20"/>
        <w:autoSpaceDN w:val="0"/>
        <w:adjustRightInd w:val="0"/>
        <w:snapToGrid w:val="0"/>
        <w:spacing w:line="360" w:lineRule="auto"/>
        <w:rPr>
          <w:rFonts w:cs="宋体" w:asciiTheme="majorEastAsia" w:hAnsiTheme="majorEastAsia" w:eastAsiaTheme="majorEastAsia"/>
          <w:b/>
          <w:bCs/>
          <w:szCs w:val="21"/>
          <w:highlight w:val="none"/>
        </w:rPr>
      </w:pPr>
    </w:p>
    <w:p w14:paraId="5ED83EBE">
      <w:pPr>
        <w:pStyle w:val="20"/>
        <w:autoSpaceDN w:val="0"/>
        <w:adjustRightInd w:val="0"/>
        <w:snapToGrid w:val="0"/>
        <w:spacing w:line="360" w:lineRule="auto"/>
        <w:rPr>
          <w:rFonts w:cs="宋体" w:asciiTheme="majorEastAsia" w:hAnsiTheme="majorEastAsia" w:eastAsiaTheme="majorEastAsia"/>
          <w:b/>
          <w:bCs/>
          <w:szCs w:val="21"/>
          <w:highlight w:val="none"/>
        </w:rPr>
      </w:pPr>
    </w:p>
    <w:p w14:paraId="4B3D0AAD">
      <w:pPr>
        <w:pStyle w:val="20"/>
        <w:autoSpaceDN w:val="0"/>
        <w:adjustRightInd w:val="0"/>
        <w:snapToGrid w:val="0"/>
        <w:spacing w:line="360" w:lineRule="auto"/>
        <w:rPr>
          <w:rFonts w:cs="宋体" w:asciiTheme="majorEastAsia" w:hAnsiTheme="majorEastAsia" w:eastAsiaTheme="majorEastAsia"/>
          <w:b/>
          <w:bCs/>
          <w:szCs w:val="21"/>
          <w:highlight w:val="none"/>
        </w:rPr>
      </w:pPr>
    </w:p>
    <w:p w14:paraId="35D7D37B">
      <w:pPr>
        <w:pStyle w:val="20"/>
        <w:autoSpaceDN w:val="0"/>
        <w:adjustRightInd w:val="0"/>
        <w:snapToGrid w:val="0"/>
        <w:spacing w:line="360" w:lineRule="auto"/>
        <w:rPr>
          <w:rFonts w:cs="宋体" w:asciiTheme="majorEastAsia" w:hAnsiTheme="majorEastAsia" w:eastAsiaTheme="majorEastAsia"/>
          <w:b/>
          <w:bCs/>
          <w:szCs w:val="21"/>
          <w:highlight w:val="none"/>
        </w:rPr>
      </w:pPr>
    </w:p>
    <w:p w14:paraId="7C2EE3EC">
      <w:pPr>
        <w:autoSpaceDN w:val="0"/>
        <w:adjustRightInd w:val="0"/>
        <w:snapToGrid w:val="0"/>
        <w:spacing w:line="360" w:lineRule="auto"/>
        <w:ind w:firstLine="420" w:firstLineChars="200"/>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采购人：</w:t>
      </w:r>
      <w:r>
        <w:rPr>
          <w:rFonts w:hint="eastAsia" w:cs="宋体" w:asciiTheme="majorEastAsia" w:hAnsiTheme="majorEastAsia" w:eastAsiaTheme="majorEastAsia"/>
          <w:szCs w:val="21"/>
          <w:highlight w:val="none"/>
          <w:u w:val="single"/>
        </w:rPr>
        <w:t xml:space="preserve">                                       </w:t>
      </w:r>
    </w:p>
    <w:p w14:paraId="442BEB4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lang w:eastAsia="zh-CN"/>
        </w:rPr>
        <w:t>投标人</w:t>
      </w:r>
      <w:r>
        <w:rPr>
          <w:rFonts w:hint="eastAsia" w:cs="宋体" w:asciiTheme="majorEastAsia" w:hAnsiTheme="majorEastAsia" w:eastAsiaTheme="majorEastAsia"/>
          <w:szCs w:val="21"/>
          <w:highlight w:val="none"/>
        </w:rPr>
        <w:t>：</w:t>
      </w:r>
      <w:r>
        <w:rPr>
          <w:rFonts w:hint="eastAsia" w:cs="宋体" w:asciiTheme="majorEastAsia" w:hAnsiTheme="majorEastAsia" w:eastAsiaTheme="majorEastAsia"/>
          <w:szCs w:val="21"/>
          <w:highlight w:val="none"/>
          <w:u w:val="single"/>
        </w:rPr>
        <w:t xml:space="preserve">                                       </w:t>
      </w:r>
    </w:p>
    <w:p w14:paraId="0D22CC5A">
      <w:pPr>
        <w:autoSpaceDN w:val="0"/>
        <w:adjustRightInd w:val="0"/>
        <w:snapToGrid w:val="0"/>
        <w:spacing w:line="360" w:lineRule="auto"/>
        <w:rPr>
          <w:rFonts w:cs="宋体" w:asciiTheme="majorEastAsia" w:hAnsiTheme="majorEastAsia" w:eastAsiaTheme="majorEastAsia"/>
          <w:szCs w:val="21"/>
          <w:highlight w:val="none"/>
        </w:rPr>
      </w:pPr>
    </w:p>
    <w:p w14:paraId="4EFDEC9C">
      <w:pPr>
        <w:autoSpaceDN w:val="0"/>
        <w:adjustRightInd w:val="0"/>
        <w:snapToGrid w:val="0"/>
        <w:spacing w:line="360" w:lineRule="auto"/>
        <w:rPr>
          <w:rFonts w:cs="宋体" w:asciiTheme="majorEastAsia" w:hAnsiTheme="majorEastAsia" w:eastAsiaTheme="majorEastAsia"/>
          <w:szCs w:val="21"/>
          <w:highlight w:val="none"/>
        </w:rPr>
      </w:pPr>
    </w:p>
    <w:p w14:paraId="2786EC22">
      <w:pPr>
        <w:autoSpaceDN w:val="0"/>
        <w:adjustRightInd w:val="0"/>
        <w:snapToGrid w:val="0"/>
        <w:spacing w:line="360" w:lineRule="auto"/>
        <w:ind w:left="2100"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签订时间：      年    月    日</w:t>
      </w:r>
    </w:p>
    <w:p w14:paraId="6171E72E">
      <w:pPr>
        <w:pStyle w:val="20"/>
        <w:autoSpaceDN w:val="0"/>
        <w:adjustRightInd w:val="0"/>
        <w:snapToGrid w:val="0"/>
        <w:spacing w:line="360" w:lineRule="auto"/>
        <w:rPr>
          <w:rFonts w:cs="宋体" w:asciiTheme="majorEastAsia" w:hAnsiTheme="majorEastAsia" w:eastAsiaTheme="majorEastAsia"/>
          <w:szCs w:val="21"/>
          <w:highlight w:val="none"/>
        </w:rPr>
      </w:pPr>
    </w:p>
    <w:p w14:paraId="2F4B9047">
      <w:pPr>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br w:type="page"/>
      </w:r>
    </w:p>
    <w:p w14:paraId="5C129C65">
      <w:pPr>
        <w:autoSpaceDN w:val="0"/>
        <w:adjustRightInd w:val="0"/>
        <w:snapToGrid w:val="0"/>
        <w:spacing w:line="360" w:lineRule="auto"/>
        <w:ind w:firstLine="420" w:firstLineChars="20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甲方：</w:t>
      </w:r>
      <w:r>
        <w:rPr>
          <w:rFonts w:hint="eastAsia" w:cs="宋体" w:asciiTheme="majorEastAsia" w:hAnsiTheme="majorEastAsia" w:eastAsiaTheme="majorEastAsia"/>
          <w:bCs/>
          <w:szCs w:val="21"/>
          <w:highlight w:val="none"/>
          <w:u w:val="single"/>
        </w:rPr>
        <w:t xml:space="preserve">                            </w:t>
      </w:r>
      <w:r>
        <w:rPr>
          <w:rFonts w:hint="eastAsia" w:cs="宋体" w:asciiTheme="majorEastAsia" w:hAnsiTheme="majorEastAsia" w:eastAsiaTheme="majorEastAsia"/>
          <w:bCs/>
          <w:szCs w:val="21"/>
          <w:highlight w:val="none"/>
        </w:rPr>
        <w:t xml:space="preserve">  </w:t>
      </w:r>
    </w:p>
    <w:p w14:paraId="3BC9C0D0">
      <w:pPr>
        <w:autoSpaceDN w:val="0"/>
        <w:adjustRightInd w:val="0"/>
        <w:snapToGrid w:val="0"/>
        <w:spacing w:line="360" w:lineRule="auto"/>
        <w:ind w:firstLine="420" w:firstLineChars="20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乙方：</w:t>
      </w:r>
      <w:r>
        <w:rPr>
          <w:rFonts w:hint="eastAsia" w:cs="宋体" w:asciiTheme="majorEastAsia" w:hAnsiTheme="majorEastAsia" w:eastAsiaTheme="majorEastAsia"/>
          <w:bCs/>
          <w:szCs w:val="21"/>
          <w:highlight w:val="none"/>
          <w:u w:val="single"/>
        </w:rPr>
        <w:t xml:space="preserve">                             </w:t>
      </w:r>
    </w:p>
    <w:p w14:paraId="6DD73996">
      <w:pPr>
        <w:autoSpaceDN w:val="0"/>
        <w:adjustRightInd w:val="0"/>
        <w:snapToGrid w:val="0"/>
        <w:spacing w:line="360" w:lineRule="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项目经批准采用公开招标采购方式，确定将采购合同授予乙方。为进一步明确双方的责任，确保合同的顺利履行，根据《中华人民共和国民典法》之规定，经甲乙双方充分协商，就乙方为</w:t>
      </w:r>
      <w:r>
        <w:rPr>
          <w:rFonts w:hint="eastAsia" w:cs="宋体" w:asciiTheme="majorEastAsia" w:hAnsiTheme="majorEastAsia" w:eastAsiaTheme="majorEastAsia"/>
          <w:bCs/>
          <w:szCs w:val="21"/>
          <w:highlight w:val="none"/>
          <w:u w:val="single"/>
        </w:rPr>
        <w:t xml:space="preserve">                      </w:t>
      </w:r>
      <w:r>
        <w:rPr>
          <w:rFonts w:hint="eastAsia" w:cs="宋体" w:asciiTheme="majorEastAsia" w:hAnsiTheme="majorEastAsia" w:eastAsiaTheme="majorEastAsia"/>
          <w:bCs/>
          <w:szCs w:val="21"/>
          <w:highlight w:val="none"/>
        </w:rPr>
        <w:t>项目达成如下合同，以便共同遵守。</w:t>
      </w:r>
    </w:p>
    <w:p w14:paraId="0ECB27D2">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第一条  合同标的乙方根据甲方需求提供下列货物，货物名称、规格及数量，备件、易损件和专用工具等（详见《供货一览表》）。</w:t>
      </w:r>
    </w:p>
    <w:p w14:paraId="5E8B814B">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第二条  合同总金额</w:t>
      </w:r>
    </w:p>
    <w:p w14:paraId="6ADCBED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大写：</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元。</w:t>
      </w:r>
    </w:p>
    <w:p w14:paraId="6EE1ADF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本合同项下货物总金额：￥</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元。</w:t>
      </w:r>
    </w:p>
    <w:p w14:paraId="784D4AC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分项价款在《供货一览表》中有明确规定。</w:t>
      </w:r>
    </w:p>
    <w:p w14:paraId="51C6960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总价款包括货物、软件、标准附件、备品备件、专用工具、图纸资料、技术服务，包装、运输、装卸、保险、税金，货到就位以及安装、调试、培训、保修等验收合格之前和质保期内的售后服务一切税金和费用。</w:t>
      </w:r>
    </w:p>
    <w:p w14:paraId="55A3D05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本合同执行期间合同总价款不变。</w:t>
      </w:r>
    </w:p>
    <w:p w14:paraId="515B9F28">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第三条  权利和质量保证</w:t>
      </w:r>
    </w:p>
    <w:p w14:paraId="7B20C73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1.乙方应保证甲方在使用该货物或其任何一部分时不受第三方提出侵犯其专利权、版权、商标权或其他权利的起诉。一旦出现侵权，索赔或诉讼，乙方应承担全部责任。</w:t>
      </w:r>
    </w:p>
    <w:p w14:paraId="4463B51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2.乙方保证货物是全新的、未使用过的，完全符合国家规范及甲乙双方确认的投标文件、本合同关于货物数量、质量的要求。货物符合实行国家“三包”规定的，应执行“三包”规定。</w:t>
      </w:r>
    </w:p>
    <w:p w14:paraId="11B9C57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本项目质保期</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年，保修期</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年。</w:t>
      </w:r>
    </w:p>
    <w:p w14:paraId="1EDE577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3.乙方提交的货物应符合投标文件中所记载的详细配置、技术参数、参数及性能，并应附有此类货物完整、详细的技术资料和说明文件。</w:t>
      </w:r>
    </w:p>
    <w:p w14:paraId="58E80AA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00A65EB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5.乙方应保证将货物按照国家或专业标准包装、确保货物安全无损运抵合同规定的交货地点，并进行安装、试运行。</w:t>
      </w:r>
    </w:p>
    <w:p w14:paraId="022736C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6、乙方保证货物不存在危及人身及财产安全的产品缺陷，否则应承担全部法律责任。</w:t>
      </w:r>
    </w:p>
    <w:p w14:paraId="3FCA17B4">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第四条  付款方式</w:t>
      </w:r>
    </w:p>
    <w:p w14:paraId="038BE24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1.本合同项下所有款项均以人民币支付。</w:t>
      </w:r>
    </w:p>
    <w:p w14:paraId="670EA18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2.乙方向甲方提交下列文件材料，经甲方审核无误后支付采购资金：</w:t>
      </w:r>
    </w:p>
    <w:p w14:paraId="3F6AF9A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（1）经甲方确认的发票；</w:t>
      </w:r>
    </w:p>
    <w:p w14:paraId="37D0525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（2）经甲乙双方确认签署的《验收报告》（或按项目进度阶段性《验收报告》）；</w:t>
      </w:r>
    </w:p>
    <w:p w14:paraId="49D5495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（3）其他材料。</w:t>
      </w:r>
    </w:p>
    <w:p w14:paraId="75864D5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3.款项的支付进度以招标采购文件的有关规定为准。如招标采购文件未作特别规定，则付款进度应符合如下约定：</w:t>
      </w:r>
    </w:p>
    <w:p w14:paraId="705A1F5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货到初验合格后支付至合同总价的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％，货到安装调试合格后支付至合同总价的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％，运行正常后支付至合同总价的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％，余款</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％作为质量保证金于货物或系统运行满</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月（年）后，并经甲乙双方复验合格后的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个工作日内付清。</w:t>
      </w:r>
    </w:p>
    <w:p w14:paraId="572D0028">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第五条  履约保证金</w:t>
      </w:r>
    </w:p>
    <w:p w14:paraId="0AB9FFD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1.乙方在签订本合同之日，向甲方提交合同履约保证金</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元</w:t>
      </w:r>
    </w:p>
    <w:p w14:paraId="4B48A68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（履约保证金的数额不得超过政府采购合同金额的2%）。</w:t>
      </w:r>
    </w:p>
    <w:p w14:paraId="11C5444B">
      <w:pPr>
        <w:autoSpaceDN w:val="0"/>
        <w:adjustRightInd w:val="0"/>
        <w:snapToGrid w:val="0"/>
        <w:spacing w:line="360" w:lineRule="auto"/>
        <w:ind w:firstLine="420" w:firstLineChars="200"/>
        <w:rPr>
          <w:rFonts w:cs="宋体" w:asciiTheme="majorEastAsia" w:hAnsiTheme="majorEastAsia" w:eastAsiaTheme="majorEastAsia"/>
          <w:strike/>
          <w:szCs w:val="21"/>
          <w:highlight w:val="none"/>
        </w:rPr>
      </w:pPr>
      <w:r>
        <w:rPr>
          <w:rFonts w:hint="eastAsia" w:cs="宋体" w:asciiTheme="majorEastAsia" w:hAnsiTheme="majorEastAsia" w:eastAsiaTheme="majorEastAsia"/>
          <w:szCs w:val="21"/>
          <w:highlight w:val="none"/>
        </w:rPr>
        <w:t>2.履约保证金有效期为甲乙双方最终验收后1个月内。到期后，甲方向乙方无息退还。</w:t>
      </w:r>
    </w:p>
    <w:p w14:paraId="0A59132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3.如乙方未能履行、或未能完全履行合同规定的义务，甲方有权从履约保证金中取得补偿。履约保证金扣除甲方应得的补偿后的余额在合同期满后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天内无息退还乙方。</w:t>
      </w:r>
    </w:p>
    <w:p w14:paraId="2DFE5549">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第六条  交货和验收</w:t>
      </w:r>
    </w:p>
    <w:p w14:paraId="100A2A72">
      <w:pPr>
        <w:autoSpaceDN w:val="0"/>
        <w:adjustRightInd w:val="0"/>
        <w:snapToGrid w:val="0"/>
        <w:spacing w:line="360" w:lineRule="auto"/>
        <w:ind w:firstLine="420" w:firstLineChars="200"/>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 xml:space="preserve">1.交货时间：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6A592E21">
      <w:pPr>
        <w:autoSpaceDN w:val="0"/>
        <w:adjustRightInd w:val="0"/>
        <w:snapToGrid w:val="0"/>
        <w:spacing w:line="360" w:lineRule="auto"/>
        <w:ind w:firstLine="630" w:firstLine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交货地点：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41061574">
      <w:pPr>
        <w:autoSpaceDN w:val="0"/>
        <w:adjustRightInd w:val="0"/>
        <w:snapToGrid w:val="0"/>
        <w:spacing w:line="360" w:lineRule="auto"/>
        <w:ind w:firstLine="630" w:firstLine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安装调试时间：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6E25895E">
      <w:pPr>
        <w:pStyle w:val="12"/>
        <w:tabs>
          <w:tab w:val="left" w:pos="0"/>
        </w:tabs>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 乙方应对提供的货物作出全面自查和整理，并列出清单，作为甲方验收和使用的技术条件依据，清单应随提供的验收资料交给甲方。</w:t>
      </w:r>
    </w:p>
    <w:p w14:paraId="276E2A1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3.乙方提供的货物应包括本合同“第一条 合同文件”规定的全部货物及其附（辅）件、资料。</w:t>
      </w:r>
    </w:p>
    <w:p w14:paraId="30A0BCA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4.甲方应当在到货后的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1CA906B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5.需要乙方对货物（包括软件）或系统进行安装调试的，甲乙双方应在货物安装调试完毕后的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79665C5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a.重新调试直至合格为止；</w:t>
      </w:r>
    </w:p>
    <w:p w14:paraId="797E5CE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b.要求乙方对货物进行免费更换，然后重新调试直至合格为止。</w:t>
      </w:r>
    </w:p>
    <w:p w14:paraId="703CD4F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甲方因乙方原因所产生的所有费用均由乙方负担。</w:t>
      </w:r>
    </w:p>
    <w:p w14:paraId="5E3F061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6.验收合格的，由双方共同签署《验收报告》。</w:t>
      </w:r>
    </w:p>
    <w:p w14:paraId="0452F1E2">
      <w:pPr>
        <w:autoSpaceDN w:val="0"/>
        <w:adjustRightInd w:val="0"/>
        <w:snapToGrid w:val="0"/>
        <w:spacing w:line="360" w:lineRule="auto"/>
        <w:ind w:firstLine="482"/>
        <w:textAlignment w:val="baseline"/>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7.甲方可以视项目规模或复杂情况聘请专业人员参与验收，大型或复杂项目，以及特种货物应当邀请国家认可的第三方质量检测机构参与验收。</w:t>
      </w:r>
    </w:p>
    <w:p w14:paraId="5F148A5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099C080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9.货物达不到本合同“第一条合同文件”规定的数量、质量要求和运行效果，甲方有权拒收，并可以解除合同；由此引起甲方损失及赔偿责任由乙方承担。</w:t>
      </w:r>
    </w:p>
    <w:p w14:paraId="345F312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10.如果合同双方对《验收报告》有分歧，双方须于出现分歧后</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天内给对方书面声明，以陈述己方的理由及要求，并附有关证据。分歧应通过协商解决。</w:t>
      </w:r>
    </w:p>
    <w:p w14:paraId="298EB2E3">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第七条  项目管理服务</w:t>
      </w:r>
    </w:p>
    <w:p w14:paraId="57EEE44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乙方应指定不少于一人全权全程负责本项目的商务服务，以及货物安装、调试、咨询、培训和售后等技术服务工作。</w:t>
      </w:r>
    </w:p>
    <w:p w14:paraId="55272C54">
      <w:pPr>
        <w:autoSpaceDN w:val="0"/>
        <w:adjustRightInd w:val="0"/>
        <w:snapToGrid w:val="0"/>
        <w:spacing w:line="360" w:lineRule="auto"/>
        <w:ind w:firstLine="481"/>
        <w:textAlignment w:val="baseline"/>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项目负责人姓名： </w:t>
      </w:r>
      <w:r>
        <w:rPr>
          <w:rFonts w:hint="eastAsia" w:cs="宋体" w:asciiTheme="majorEastAsia" w:hAnsiTheme="majorEastAsia" w:eastAsiaTheme="majorEastAsia"/>
          <w:szCs w:val="21"/>
          <w:highlight w:val="none"/>
          <w:u w:val="single" w:color="000000"/>
        </w:rPr>
        <w:t xml:space="preserve">              </w:t>
      </w:r>
      <w:r>
        <w:rPr>
          <w:rFonts w:hint="eastAsia" w:cs="宋体" w:asciiTheme="majorEastAsia" w:hAnsiTheme="majorEastAsia" w:eastAsiaTheme="majorEastAsia"/>
          <w:szCs w:val="21"/>
          <w:highlight w:val="none"/>
        </w:rPr>
        <w:t>； 联系电话：</w:t>
      </w:r>
      <w:r>
        <w:rPr>
          <w:rFonts w:hint="eastAsia" w:cs="宋体" w:asciiTheme="majorEastAsia" w:hAnsiTheme="majorEastAsia" w:eastAsiaTheme="majorEastAsia"/>
          <w:szCs w:val="21"/>
          <w:highlight w:val="none"/>
          <w:u w:val="single" w:color="000000"/>
        </w:rPr>
        <w:t xml:space="preserve">                      </w:t>
      </w:r>
      <w:r>
        <w:rPr>
          <w:rFonts w:hint="eastAsia" w:cs="宋体" w:asciiTheme="majorEastAsia" w:hAnsiTheme="majorEastAsia" w:eastAsiaTheme="majorEastAsia"/>
          <w:szCs w:val="21"/>
          <w:highlight w:val="none"/>
        </w:rPr>
        <w:t>。</w:t>
      </w:r>
    </w:p>
    <w:p w14:paraId="1C15977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第八条  售后服务</w:t>
      </w:r>
    </w:p>
    <w:p w14:paraId="794D3E2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1.质量保证期为自货物通过最终验收之日起</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个月。若国家有明确规定的质量保证期高于此质量保证期的，执行国家规定。</w:t>
      </w:r>
    </w:p>
    <w:p w14:paraId="411A814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2.在货物质保期内，乙方应对由于设计、工艺、质量（含环保节能要求）、材料和的缺陷而发生的任何不足或故障负责，并解决存在的问题。</w:t>
      </w:r>
    </w:p>
    <w:p w14:paraId="061BCED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3.对不符合本合同第四条规定要求的货物应立即进行调换，调换本身并不影响甲方就其损失向乙方索赔的权利。</w:t>
      </w:r>
    </w:p>
    <w:p w14:paraId="0C6FCA5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4.货物安装调试完成后，乙方应继续向甲方提供良好的技术支持。应当由专门队伍从事此项工作，并提供全天候的热线技术支持服务，应当对甲方所反映的任何问题在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日（小时）之内做出及时响应，在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日（小时）之内赶到现场实地解决问题。若问题、故障在检修</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工作日（小时）后仍无法解决，乙方应在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日（小时）内免费提供不低于故障货物规格型号档次的备用货物供甲方使用，直至故障货物修复。</w:t>
      </w:r>
    </w:p>
    <w:p w14:paraId="4113268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5.乙方应当建立健全售后服务体系，确保货物正常运行。乙方应当遵守甲方的有关管理制度、操作规程。对于乙方违规操作造成甲方损失的，由乙方按照本合同第十二条的约定承担赔偿责任。</w:t>
      </w:r>
    </w:p>
    <w:p w14:paraId="2D14826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6.乙方应负责货物及主要部件、配件维修更换。质保期内，乙方对货物（人为故意损坏除外）提供全免费保修或免费更换；质保期后，收取维修成本费（备品备件乙方应以投标文件承诺的优惠价格提供）。</w:t>
      </w:r>
    </w:p>
    <w:p w14:paraId="66582DA9">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第九条  分包</w:t>
      </w:r>
    </w:p>
    <w:p w14:paraId="7589544F">
      <w:pPr>
        <w:autoSpaceDN w:val="0"/>
        <w:adjustRightInd w:val="0"/>
        <w:snapToGrid w:val="0"/>
        <w:spacing w:line="360" w:lineRule="auto"/>
        <w:ind w:firstLine="420" w:firstLineChars="200"/>
        <w:rPr>
          <w:rFonts w:cs="宋体" w:asciiTheme="majorEastAsia" w:hAnsiTheme="majorEastAsia" w:eastAsiaTheme="majorEastAsia"/>
          <w:strike/>
          <w:szCs w:val="21"/>
          <w:highlight w:val="none"/>
        </w:rPr>
      </w:pPr>
      <w:r>
        <w:rPr>
          <w:rFonts w:hint="eastAsia" w:cs="宋体" w:asciiTheme="majorEastAsia" w:hAnsiTheme="majorEastAsia" w:eastAsiaTheme="majorEastAsia"/>
          <w:szCs w:val="21"/>
          <w:highlight w:val="none"/>
        </w:rPr>
        <w:t>除招标采购文件事先说明、且经甲方事先书面同意外，乙方不得分包其应履行的合同义务。</w:t>
      </w:r>
    </w:p>
    <w:p w14:paraId="161F176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第十条  合同的生效</w:t>
      </w:r>
    </w:p>
    <w:p w14:paraId="6EF133F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1.本合同经甲乙双方授权代表签订并加盖公章或合同专用章后生效。</w:t>
      </w:r>
    </w:p>
    <w:p w14:paraId="246A5E24">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2.生效后，除《政府采购法》第49条、第50条第二款规定的情形外，甲乙双方不得擅自变更、中止或终止合同。</w:t>
      </w:r>
    </w:p>
    <w:p w14:paraId="1AF32782">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第十一条  违约责任</w:t>
      </w:r>
    </w:p>
    <w:p w14:paraId="51EA5A9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1.乙方所交付的货物不符合本合同规定的，甲方有权拒收，乙方在得到甲方通知之日起</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个工作日内采取补救措施，逾期仍未采取有效措施的，甲方有权要求乙方赔偿因此造成的损失或扣留履约保证金；同时乙方应向甲方支付合同总价</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％的违约金。</w:t>
      </w:r>
    </w:p>
    <w:p w14:paraId="5500016F">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2.甲方无正当理由拒收货物、拒付货款的，甲方应向乙方偿付拒付货款</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％的违约金。</w:t>
      </w:r>
    </w:p>
    <w:p w14:paraId="2B41513F">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3.乙方无正当理由逾期交付货物的，每逾期1天，乙方向甲方偿付逾期交货部分货款总额的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‰的违约金。如乙方逾期交货达</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天，甲方有权解除合同，甲方解除合同的通知自到达乙方时生效。在此情况下，乙方给甲方造成的实际损失高于违约金的，对高出违约金的部分乙方应予以赔偿。</w:t>
      </w:r>
    </w:p>
    <w:p w14:paraId="1F86066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4.甲方未按合同规定的期限向乙方支付货款的，每逾期1天甲方向乙方偿付欠款总额的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‰违约金，但累计违约金总额不超过欠款总额的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18E37B3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14:paraId="5902334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6.其它未尽事宜，以《合同法》和《政府采购法》等有关法律法规规定为准，无相关规定的，双方协商解决。</w:t>
      </w:r>
    </w:p>
    <w:p w14:paraId="7B694637">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第十二条  不可抗力</w:t>
      </w:r>
    </w:p>
    <w:p w14:paraId="518A79B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甲、乙方中任何一方，因不可抗力不能按时或完全履行合同的，应及时通知对方，并在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个工作日内提供相应证明。未履行完合同部分是否继续履行、如何履行等问题，可由双方初步协商，并向主管部门和政府采购管理部门报告。确定为不可抗力原因造成的损失，免予承担责任。</w:t>
      </w:r>
    </w:p>
    <w:p w14:paraId="3ACC9571">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第十三条  争议的解决方式</w:t>
      </w:r>
    </w:p>
    <w:p w14:paraId="67E11A3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1.因货物的质量问题发生争议的，应当邀请国家认可的质量检测机构对货物质量进行鉴定。货物符合标准的，鉴定费由甲方承担；货物不符合质量标准的，鉴定费由乙方承担。</w:t>
      </w:r>
    </w:p>
    <w:p w14:paraId="0E99C7F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2.在解释或者执行本合同的过程中发生争议时，双方应通过协商方式解决。</w:t>
      </w:r>
    </w:p>
    <w:p w14:paraId="2CB73EE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3.经协商不能解决的争议，双方可选择以下第</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种方式解决：</w:t>
      </w:r>
    </w:p>
    <w:p w14:paraId="628E1A4F">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①向长春市有管辖权的法院提起诉讼；</w:t>
      </w:r>
    </w:p>
    <w:p w14:paraId="7FBE6B5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②向长春市仲裁委员会提出仲裁。</w:t>
      </w:r>
    </w:p>
    <w:p w14:paraId="1C12245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4.在法院审理和仲裁期间，除有争议部分外，本合同其他部分可以履行的仍应按合同条款继续履行。</w:t>
      </w:r>
    </w:p>
    <w:p w14:paraId="495C9F16">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第十五条  其他</w:t>
      </w:r>
    </w:p>
    <w:p w14:paraId="3432323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符合《政府采购法》第49条规定的，经双方协商，办理政府采购手续后，可签订补充合同，所签订的补充合同与本合同具有同等法律效力。</w:t>
      </w:r>
    </w:p>
    <w:p w14:paraId="414C87D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本合同一式</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份，甲、乙双方各执</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份。</w:t>
      </w:r>
    </w:p>
    <w:p w14:paraId="2E2682F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p>
    <w:p w14:paraId="3BAACD03">
      <w:pPr>
        <w:pStyle w:val="20"/>
        <w:autoSpaceDN w:val="0"/>
        <w:spacing w:line="360" w:lineRule="auto"/>
        <w:rPr>
          <w:rFonts w:cs="宋体" w:asciiTheme="majorEastAsia" w:hAnsiTheme="majorEastAsia" w:eastAsiaTheme="majorEastAsia"/>
          <w:szCs w:val="21"/>
          <w:highlight w:val="none"/>
        </w:rPr>
      </w:pPr>
    </w:p>
    <w:p w14:paraId="5F86B827">
      <w:pPr>
        <w:pStyle w:val="20"/>
        <w:autoSpaceDN w:val="0"/>
        <w:spacing w:line="360" w:lineRule="auto"/>
        <w:rPr>
          <w:rFonts w:cs="宋体" w:asciiTheme="majorEastAsia" w:hAnsiTheme="majorEastAsia" w:eastAsiaTheme="majorEastAsia"/>
          <w:szCs w:val="21"/>
          <w:highlight w:val="none"/>
        </w:rPr>
      </w:pPr>
    </w:p>
    <w:p w14:paraId="48C4C20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   方：                        乙   方：</w:t>
      </w:r>
    </w:p>
    <w:p w14:paraId="07590B0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名称：（盖章）                    名称：（盖章）</w:t>
      </w:r>
    </w:p>
    <w:p w14:paraId="28C54C8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地址：                           地址：</w:t>
      </w:r>
    </w:p>
    <w:p w14:paraId="0A48947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法定代表人（签字）：              法定代表人（签字）：</w:t>
      </w:r>
    </w:p>
    <w:p w14:paraId="7F374AFA">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授权代表（签字）：                授权代表（签字）：</w:t>
      </w:r>
    </w:p>
    <w:p w14:paraId="4E1FA3F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开户银行：                       开户银行：</w:t>
      </w:r>
    </w:p>
    <w:p w14:paraId="7C8FF91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银行帐号：                       银行帐号：</w:t>
      </w:r>
    </w:p>
    <w:p w14:paraId="4238BFC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合同法律审核（盖章）：</w:t>
      </w:r>
    </w:p>
    <w:p w14:paraId="069AADF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时  间：         年     月     日</w:t>
      </w:r>
    </w:p>
    <w:p w14:paraId="093E311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bookmarkStart w:id="87" w:name="_Toc310580633"/>
    </w:p>
    <w:p w14:paraId="09B5AE2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p>
    <w:p w14:paraId="71D2C43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p>
    <w:p w14:paraId="276BD284">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特别说明：</w:t>
      </w:r>
    </w:p>
    <w:p w14:paraId="131BD4D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1.本范本根据《政府采购法》、《合同法》等法律法规制定。具体项目的采购合同条款，在本范本框架内由甲乙双方协商一致签订。空格处划横线。</w:t>
      </w:r>
    </w:p>
    <w:p w14:paraId="73BA752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2.收款单位名称应与本合同乙方单位名称、项目中标单位名称、开具发票单位名称相一致。</w:t>
      </w:r>
    </w:p>
    <w:p w14:paraId="2E6563B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3.甲方（采购单位）应盖本单位公章（不允许盖内设科室章），乙方应盖单位公章或合同专用章，合同双方应盖骑缝章。</w:t>
      </w:r>
    </w:p>
    <w:p w14:paraId="1087891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 除涉密项目外，根据《政府采购法实施条例》第50条规定：采购人应当自政府采购合同签订之日起2个工作日内，将政府采购合同在省级以上人民政府财政部门指定的媒体上公告。</w:t>
      </w:r>
    </w:p>
    <w:bookmarkEnd w:id="87"/>
    <w:p w14:paraId="6BE86D41">
      <w:pPr>
        <w:autoSpaceDN w:val="0"/>
        <w:adjustRightInd w:val="0"/>
        <w:snapToGrid w:val="0"/>
        <w:spacing w:line="360" w:lineRule="auto"/>
        <w:rPr>
          <w:rFonts w:cs="宋体" w:asciiTheme="majorEastAsia" w:hAnsiTheme="majorEastAsia" w:eastAsiaTheme="majorEastAsia"/>
          <w:szCs w:val="21"/>
          <w:highlight w:val="none"/>
        </w:rPr>
      </w:pPr>
    </w:p>
    <w:p w14:paraId="24651574">
      <w:pPr>
        <w:autoSpaceDN w:val="0"/>
        <w:adjustRightInd w:val="0"/>
        <w:snapToGrid w:val="0"/>
        <w:spacing w:line="360" w:lineRule="auto"/>
        <w:rPr>
          <w:rFonts w:asciiTheme="majorEastAsia" w:hAnsiTheme="majorEastAsia" w:eastAsiaTheme="majorEastAsia"/>
          <w:sz w:val="32"/>
          <w:szCs w:val="32"/>
          <w:highlight w:val="none"/>
        </w:rPr>
      </w:pPr>
    </w:p>
    <w:p w14:paraId="7FF01873">
      <w:pPr>
        <w:autoSpaceDN w:val="0"/>
        <w:adjustRightInd w:val="0"/>
        <w:snapToGrid w:val="0"/>
        <w:spacing w:line="360" w:lineRule="auto"/>
        <w:rPr>
          <w:rFonts w:asciiTheme="majorEastAsia" w:hAnsiTheme="majorEastAsia" w:eastAsiaTheme="majorEastAsia"/>
          <w:sz w:val="32"/>
          <w:szCs w:val="32"/>
          <w:highlight w:val="none"/>
        </w:rPr>
      </w:pPr>
    </w:p>
    <w:p w14:paraId="6A930AB5">
      <w:pPr>
        <w:pStyle w:val="39"/>
        <w:numPr>
          <w:ilvl w:val="0"/>
          <w:numId w:val="0"/>
        </w:numPr>
        <w:rPr>
          <w:rFonts w:asciiTheme="majorEastAsia" w:hAnsiTheme="majorEastAsia" w:eastAsiaTheme="majorEastAsia"/>
          <w:sz w:val="32"/>
          <w:szCs w:val="32"/>
          <w:highlight w:val="none"/>
        </w:rPr>
      </w:pPr>
    </w:p>
    <w:p w14:paraId="25735B8E">
      <w:pPr>
        <w:pStyle w:val="39"/>
        <w:numPr>
          <w:ilvl w:val="0"/>
          <w:numId w:val="0"/>
        </w:numPr>
        <w:rPr>
          <w:rFonts w:asciiTheme="majorEastAsia" w:hAnsiTheme="majorEastAsia" w:eastAsiaTheme="majorEastAsia"/>
          <w:sz w:val="32"/>
          <w:szCs w:val="32"/>
          <w:highlight w:val="none"/>
        </w:rPr>
      </w:pPr>
    </w:p>
    <w:p w14:paraId="186FD490">
      <w:pPr>
        <w:autoSpaceDN w:val="0"/>
        <w:adjustRightInd w:val="0"/>
        <w:snapToGrid w:val="0"/>
        <w:spacing w:line="360" w:lineRule="auto"/>
        <w:rPr>
          <w:rFonts w:cs="宋体" w:asciiTheme="majorEastAsia" w:hAnsiTheme="majorEastAsia" w:eastAsiaTheme="majorEastAsia"/>
          <w:b/>
          <w:bCs/>
          <w:szCs w:val="21"/>
          <w:highlight w:val="none"/>
        </w:rPr>
      </w:pPr>
      <w:r>
        <w:rPr>
          <w:rFonts w:hint="eastAsia" w:cs="宋体" w:asciiTheme="majorEastAsia" w:hAnsiTheme="majorEastAsia" w:eastAsiaTheme="majorEastAsia"/>
          <w:b/>
          <w:bCs/>
          <w:szCs w:val="21"/>
          <w:highlight w:val="none"/>
        </w:rPr>
        <w:t>附件</w:t>
      </w:r>
    </w:p>
    <w:p w14:paraId="7FF73331">
      <w:pPr>
        <w:autoSpaceDN w:val="0"/>
        <w:adjustRightInd w:val="0"/>
        <w:snapToGrid w:val="0"/>
        <w:spacing w:line="360" w:lineRule="auto"/>
        <w:jc w:val="center"/>
        <w:rPr>
          <w:rFonts w:cs="宋体" w:asciiTheme="majorEastAsia" w:hAnsiTheme="majorEastAsia" w:eastAsiaTheme="majorEastAsia"/>
          <w:b/>
          <w:bCs/>
          <w:sz w:val="32"/>
          <w:szCs w:val="32"/>
          <w:highlight w:val="none"/>
        </w:rPr>
      </w:pPr>
      <w:r>
        <w:rPr>
          <w:rFonts w:hint="eastAsia" w:cs="宋体" w:asciiTheme="majorEastAsia" w:hAnsiTheme="majorEastAsia" w:eastAsiaTheme="majorEastAsia"/>
          <w:b/>
          <w:bCs/>
          <w:sz w:val="32"/>
          <w:szCs w:val="32"/>
          <w:highlight w:val="none"/>
        </w:rPr>
        <w:t>供货明细项目一览表</w:t>
      </w:r>
    </w:p>
    <w:p w14:paraId="216C9C83">
      <w:pPr>
        <w:autoSpaceDN w:val="0"/>
        <w:adjustRightInd w:val="0"/>
        <w:snapToGrid w:val="0"/>
        <w:spacing w:line="360" w:lineRule="auto"/>
        <w:ind w:firstLine="315" w:firstLineChars="150"/>
        <w:jc w:val="center"/>
        <w:rPr>
          <w:rFonts w:cs="宋体" w:asciiTheme="majorEastAsia" w:hAnsiTheme="majorEastAsia" w:eastAsiaTheme="majorEastAsia"/>
          <w:szCs w:val="21"/>
          <w:highlight w:val="none"/>
        </w:rPr>
      </w:pPr>
    </w:p>
    <w:tbl>
      <w:tblPr>
        <w:tblStyle w:val="22"/>
        <w:tblW w:w="9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487"/>
        <w:gridCol w:w="3063"/>
        <w:gridCol w:w="548"/>
        <w:gridCol w:w="548"/>
        <w:gridCol w:w="986"/>
        <w:gridCol w:w="1043"/>
        <w:gridCol w:w="1440"/>
      </w:tblGrid>
      <w:tr w14:paraId="044DC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D8AD573">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序号</w:t>
            </w:r>
          </w:p>
        </w:tc>
        <w:tc>
          <w:tcPr>
            <w:tcW w:w="1487" w:type="dxa"/>
            <w:tcBorders>
              <w:top w:val="single" w:color="auto" w:sz="4" w:space="0"/>
              <w:left w:val="single" w:color="auto" w:sz="4" w:space="0"/>
              <w:bottom w:val="single" w:color="auto" w:sz="4" w:space="0"/>
              <w:right w:val="single" w:color="auto" w:sz="4" w:space="0"/>
            </w:tcBorders>
            <w:vAlign w:val="center"/>
          </w:tcPr>
          <w:p w14:paraId="408F1E27">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货物名称</w:t>
            </w:r>
          </w:p>
        </w:tc>
        <w:tc>
          <w:tcPr>
            <w:tcW w:w="3063" w:type="dxa"/>
            <w:tcBorders>
              <w:top w:val="single" w:color="auto" w:sz="4" w:space="0"/>
              <w:left w:val="single" w:color="auto" w:sz="4" w:space="0"/>
              <w:bottom w:val="single" w:color="auto" w:sz="4" w:space="0"/>
              <w:right w:val="single" w:color="auto" w:sz="4" w:space="0"/>
            </w:tcBorders>
            <w:vAlign w:val="center"/>
          </w:tcPr>
          <w:p w14:paraId="6C041180">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品牌型号规格及</w:t>
            </w:r>
          </w:p>
          <w:p w14:paraId="1EC4C821">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主要技术参数</w:t>
            </w:r>
          </w:p>
        </w:tc>
        <w:tc>
          <w:tcPr>
            <w:tcW w:w="548" w:type="dxa"/>
            <w:tcBorders>
              <w:top w:val="single" w:color="auto" w:sz="4" w:space="0"/>
              <w:left w:val="single" w:color="auto" w:sz="4" w:space="0"/>
              <w:bottom w:val="single" w:color="auto" w:sz="4" w:space="0"/>
              <w:right w:val="single" w:color="auto" w:sz="4" w:space="0"/>
            </w:tcBorders>
            <w:vAlign w:val="center"/>
          </w:tcPr>
          <w:p w14:paraId="567DA17B">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计量单 </w:t>
            </w:r>
          </w:p>
          <w:p w14:paraId="442BC603">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位</w:t>
            </w:r>
          </w:p>
        </w:tc>
        <w:tc>
          <w:tcPr>
            <w:tcW w:w="548" w:type="dxa"/>
            <w:tcBorders>
              <w:top w:val="single" w:color="auto" w:sz="4" w:space="0"/>
              <w:left w:val="single" w:color="auto" w:sz="4" w:space="0"/>
              <w:bottom w:val="single" w:color="auto" w:sz="4" w:space="0"/>
              <w:right w:val="single" w:color="auto" w:sz="4" w:space="0"/>
            </w:tcBorders>
            <w:vAlign w:val="center"/>
          </w:tcPr>
          <w:p w14:paraId="21B0FB47">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数 </w:t>
            </w:r>
          </w:p>
          <w:p w14:paraId="6F28EF76">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量</w:t>
            </w:r>
          </w:p>
        </w:tc>
        <w:tc>
          <w:tcPr>
            <w:tcW w:w="986" w:type="dxa"/>
            <w:tcBorders>
              <w:top w:val="single" w:color="auto" w:sz="4" w:space="0"/>
              <w:left w:val="single" w:color="auto" w:sz="4" w:space="0"/>
              <w:bottom w:val="single" w:color="auto" w:sz="4" w:space="0"/>
              <w:right w:val="single" w:color="auto" w:sz="4" w:space="0"/>
            </w:tcBorders>
            <w:vAlign w:val="center"/>
          </w:tcPr>
          <w:p w14:paraId="25D1D635">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单 价</w:t>
            </w:r>
          </w:p>
          <w:p w14:paraId="2DC608BB">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（元）</w:t>
            </w:r>
          </w:p>
        </w:tc>
        <w:tc>
          <w:tcPr>
            <w:tcW w:w="1043" w:type="dxa"/>
            <w:tcBorders>
              <w:top w:val="single" w:color="auto" w:sz="4" w:space="0"/>
              <w:left w:val="single" w:color="auto" w:sz="4" w:space="0"/>
              <w:bottom w:val="single" w:color="auto" w:sz="4" w:space="0"/>
              <w:right w:val="single" w:color="auto" w:sz="4" w:space="0"/>
            </w:tcBorders>
            <w:vAlign w:val="center"/>
          </w:tcPr>
          <w:p w14:paraId="08A55CBC">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总 价</w:t>
            </w:r>
          </w:p>
          <w:p w14:paraId="50DA6D2B">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（元）</w:t>
            </w:r>
          </w:p>
        </w:tc>
        <w:tc>
          <w:tcPr>
            <w:tcW w:w="1440" w:type="dxa"/>
            <w:tcBorders>
              <w:top w:val="single" w:color="auto" w:sz="4" w:space="0"/>
              <w:left w:val="single" w:color="auto" w:sz="4" w:space="0"/>
              <w:bottom w:val="single" w:color="auto" w:sz="4" w:space="0"/>
              <w:right w:val="single" w:color="auto" w:sz="4" w:space="0"/>
            </w:tcBorders>
            <w:vAlign w:val="center"/>
          </w:tcPr>
          <w:p w14:paraId="3401FDCC">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产地生产</w:t>
            </w:r>
          </w:p>
          <w:p w14:paraId="6190E7A4">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厂商名称</w:t>
            </w:r>
          </w:p>
        </w:tc>
      </w:tr>
      <w:tr w14:paraId="5C636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155B4D4E">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2F605C2D">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3063" w:type="dxa"/>
            <w:tcBorders>
              <w:top w:val="single" w:color="auto" w:sz="4" w:space="0"/>
              <w:left w:val="single" w:color="auto" w:sz="4" w:space="0"/>
              <w:bottom w:val="single" w:color="auto" w:sz="4" w:space="0"/>
              <w:right w:val="single" w:color="auto" w:sz="4" w:space="0"/>
            </w:tcBorders>
          </w:tcPr>
          <w:p w14:paraId="0512F1DA">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（视明细项目加行）</w:t>
            </w:r>
          </w:p>
        </w:tc>
        <w:tc>
          <w:tcPr>
            <w:tcW w:w="548" w:type="dxa"/>
            <w:tcBorders>
              <w:top w:val="single" w:color="auto" w:sz="4" w:space="0"/>
              <w:left w:val="single" w:color="auto" w:sz="4" w:space="0"/>
              <w:bottom w:val="single" w:color="auto" w:sz="4" w:space="0"/>
              <w:right w:val="single" w:color="auto" w:sz="4" w:space="0"/>
            </w:tcBorders>
          </w:tcPr>
          <w:p w14:paraId="46C29CBD">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7E31713E">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78B44EB9">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tcPr>
          <w:p w14:paraId="36818F21">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EFC54AB">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7AAE9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49EE9D69">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27CB7CB5">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3063" w:type="dxa"/>
            <w:tcBorders>
              <w:top w:val="single" w:color="auto" w:sz="4" w:space="0"/>
              <w:left w:val="single" w:color="auto" w:sz="4" w:space="0"/>
              <w:bottom w:val="single" w:color="auto" w:sz="4" w:space="0"/>
              <w:right w:val="single" w:color="auto" w:sz="4" w:space="0"/>
            </w:tcBorders>
          </w:tcPr>
          <w:p w14:paraId="77F1CF25">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3B81F22F">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14358EFF">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70C7E54D">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tcPr>
          <w:p w14:paraId="208778DF">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2598C8B">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08AF3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6ED4C335">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5BBD20E4">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3063" w:type="dxa"/>
            <w:tcBorders>
              <w:top w:val="single" w:color="auto" w:sz="4" w:space="0"/>
              <w:left w:val="single" w:color="auto" w:sz="4" w:space="0"/>
              <w:bottom w:val="single" w:color="auto" w:sz="4" w:space="0"/>
              <w:right w:val="single" w:color="auto" w:sz="4" w:space="0"/>
            </w:tcBorders>
          </w:tcPr>
          <w:p w14:paraId="736DF8F9">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4AD69DAE">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369C532B">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7A4ED05B">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tcPr>
          <w:p w14:paraId="67DFCD12">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A263801">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4FD88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4EDC82DE">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2D833522">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3063" w:type="dxa"/>
            <w:tcBorders>
              <w:top w:val="single" w:color="auto" w:sz="4" w:space="0"/>
              <w:left w:val="single" w:color="auto" w:sz="4" w:space="0"/>
              <w:bottom w:val="single" w:color="auto" w:sz="4" w:space="0"/>
              <w:right w:val="single" w:color="auto" w:sz="4" w:space="0"/>
            </w:tcBorders>
          </w:tcPr>
          <w:p w14:paraId="190F0311">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27AAD49A">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4C97AE64">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0296F3D2">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tcPr>
          <w:p w14:paraId="303320FE">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A2BDADE">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3CBF3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7F752E9F">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5922898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3063" w:type="dxa"/>
            <w:tcBorders>
              <w:top w:val="single" w:color="auto" w:sz="4" w:space="0"/>
              <w:left w:val="single" w:color="auto" w:sz="4" w:space="0"/>
              <w:bottom w:val="single" w:color="auto" w:sz="4" w:space="0"/>
              <w:right w:val="single" w:color="auto" w:sz="4" w:space="0"/>
            </w:tcBorders>
          </w:tcPr>
          <w:p w14:paraId="54C24175">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748F2228">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73C72683">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73810161">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tcPr>
          <w:p w14:paraId="2BF528DE">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5E79AD9">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194EE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324D18A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78F62D18">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3063" w:type="dxa"/>
            <w:tcBorders>
              <w:top w:val="single" w:color="auto" w:sz="4" w:space="0"/>
              <w:left w:val="single" w:color="auto" w:sz="4" w:space="0"/>
              <w:bottom w:val="single" w:color="auto" w:sz="4" w:space="0"/>
              <w:right w:val="single" w:color="auto" w:sz="4" w:space="0"/>
            </w:tcBorders>
          </w:tcPr>
          <w:p w14:paraId="7524A130">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7F44EEF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527D0CF8">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6383DD19">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tcPr>
          <w:p w14:paraId="0F8135F3">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43BE763">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1A7A2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662242FF">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5D02E097">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3063" w:type="dxa"/>
            <w:tcBorders>
              <w:top w:val="single" w:color="auto" w:sz="4" w:space="0"/>
              <w:left w:val="single" w:color="auto" w:sz="4" w:space="0"/>
              <w:bottom w:val="single" w:color="auto" w:sz="4" w:space="0"/>
              <w:right w:val="single" w:color="auto" w:sz="4" w:space="0"/>
            </w:tcBorders>
          </w:tcPr>
          <w:p w14:paraId="41D097FE">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0E2F8034">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73D0860F">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37EB0F7D">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tcPr>
          <w:p w14:paraId="3330AFFA">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9E6E614">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30CA4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1F02EBB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662C133F">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3063" w:type="dxa"/>
            <w:tcBorders>
              <w:top w:val="single" w:color="auto" w:sz="4" w:space="0"/>
              <w:left w:val="single" w:color="auto" w:sz="4" w:space="0"/>
              <w:bottom w:val="single" w:color="auto" w:sz="4" w:space="0"/>
              <w:right w:val="single" w:color="auto" w:sz="4" w:space="0"/>
            </w:tcBorders>
          </w:tcPr>
          <w:p w14:paraId="383FCA44">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24344E61">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601617AE">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76A36501">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tcPr>
          <w:p w14:paraId="74D91303">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F6B13CE">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32E74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653CB65A">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2A9BDEC0">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3063" w:type="dxa"/>
            <w:tcBorders>
              <w:top w:val="single" w:color="auto" w:sz="4" w:space="0"/>
              <w:left w:val="single" w:color="auto" w:sz="4" w:space="0"/>
              <w:bottom w:val="single" w:color="auto" w:sz="4" w:space="0"/>
              <w:right w:val="single" w:color="auto" w:sz="4" w:space="0"/>
            </w:tcBorders>
          </w:tcPr>
          <w:p w14:paraId="6C9A44D7">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56CCAD09">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7D8C755E">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4A6AE665">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tcPr>
          <w:p w14:paraId="52F0644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EAFD1C7">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24BAA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162F64BA">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69D36F75">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3063" w:type="dxa"/>
            <w:tcBorders>
              <w:top w:val="single" w:color="auto" w:sz="4" w:space="0"/>
              <w:left w:val="single" w:color="auto" w:sz="4" w:space="0"/>
              <w:bottom w:val="single" w:color="auto" w:sz="4" w:space="0"/>
              <w:right w:val="single" w:color="auto" w:sz="4" w:space="0"/>
            </w:tcBorders>
          </w:tcPr>
          <w:p w14:paraId="7D46125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249FE1C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3C232778">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4D209F40">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tcPr>
          <w:p w14:paraId="7B0AE13A">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C40BDE5">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04ED1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4C54C4E2">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70B458FB">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6CD9D0B0">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备品备件</w:t>
            </w:r>
          </w:p>
        </w:tc>
        <w:tc>
          <w:tcPr>
            <w:tcW w:w="1043" w:type="dxa"/>
            <w:tcBorders>
              <w:top w:val="single" w:color="auto" w:sz="4" w:space="0"/>
              <w:left w:val="single" w:color="auto" w:sz="4" w:space="0"/>
              <w:bottom w:val="single" w:color="auto" w:sz="4" w:space="0"/>
              <w:right w:val="single" w:color="auto" w:sz="4" w:space="0"/>
            </w:tcBorders>
          </w:tcPr>
          <w:p w14:paraId="282BE032">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93F7C0A">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43829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3B4E2BB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7EC4DC9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736441D5">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易损件</w:t>
            </w:r>
          </w:p>
        </w:tc>
        <w:tc>
          <w:tcPr>
            <w:tcW w:w="1043" w:type="dxa"/>
            <w:tcBorders>
              <w:top w:val="single" w:color="auto" w:sz="4" w:space="0"/>
              <w:left w:val="single" w:color="auto" w:sz="4" w:space="0"/>
              <w:bottom w:val="single" w:color="auto" w:sz="4" w:space="0"/>
              <w:right w:val="single" w:color="auto" w:sz="4" w:space="0"/>
            </w:tcBorders>
          </w:tcPr>
          <w:p w14:paraId="66D3E109">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A47914C">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76F25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43AA780B">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24DCD83D">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54CFC22E">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专用工具价</w:t>
            </w:r>
          </w:p>
        </w:tc>
        <w:tc>
          <w:tcPr>
            <w:tcW w:w="1043" w:type="dxa"/>
            <w:tcBorders>
              <w:top w:val="single" w:color="auto" w:sz="4" w:space="0"/>
              <w:left w:val="single" w:color="auto" w:sz="4" w:space="0"/>
              <w:bottom w:val="single" w:color="auto" w:sz="4" w:space="0"/>
              <w:right w:val="single" w:color="auto" w:sz="4" w:space="0"/>
            </w:tcBorders>
          </w:tcPr>
          <w:p w14:paraId="3CFD6612">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4482B3C">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740BA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0BB8400B">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2EAD1D0A">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5A3A3CD0">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安装调试费</w:t>
            </w:r>
          </w:p>
        </w:tc>
        <w:tc>
          <w:tcPr>
            <w:tcW w:w="1043" w:type="dxa"/>
            <w:tcBorders>
              <w:top w:val="single" w:color="auto" w:sz="4" w:space="0"/>
              <w:left w:val="single" w:color="auto" w:sz="4" w:space="0"/>
              <w:bottom w:val="single" w:color="auto" w:sz="4" w:space="0"/>
              <w:right w:val="single" w:color="auto" w:sz="4" w:space="0"/>
            </w:tcBorders>
          </w:tcPr>
          <w:p w14:paraId="3B56FF35">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ADA3F4E">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39D1C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39BDEF1A">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4A51E1EB">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0AAB96AD">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运输至最终目的运费及保险费等</w:t>
            </w:r>
          </w:p>
        </w:tc>
        <w:tc>
          <w:tcPr>
            <w:tcW w:w="1043" w:type="dxa"/>
            <w:tcBorders>
              <w:top w:val="single" w:color="auto" w:sz="4" w:space="0"/>
              <w:left w:val="single" w:color="auto" w:sz="4" w:space="0"/>
              <w:bottom w:val="single" w:color="auto" w:sz="4" w:space="0"/>
              <w:right w:val="single" w:color="auto" w:sz="4" w:space="0"/>
            </w:tcBorders>
          </w:tcPr>
          <w:p w14:paraId="38651279">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E5D69CC">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3329C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1E472C81">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1D49FC52">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52E4C6B9">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技术服务费（含培训等）费</w:t>
            </w:r>
          </w:p>
        </w:tc>
        <w:tc>
          <w:tcPr>
            <w:tcW w:w="1043" w:type="dxa"/>
            <w:tcBorders>
              <w:top w:val="single" w:color="auto" w:sz="4" w:space="0"/>
              <w:left w:val="single" w:color="auto" w:sz="4" w:space="0"/>
              <w:bottom w:val="single" w:color="auto" w:sz="4" w:space="0"/>
              <w:right w:val="single" w:color="auto" w:sz="4" w:space="0"/>
            </w:tcBorders>
          </w:tcPr>
          <w:p w14:paraId="62A9152A">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C035AF4">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590D5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505C3783">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33A8B661">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17B3BABC">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其他</w:t>
            </w:r>
          </w:p>
        </w:tc>
        <w:tc>
          <w:tcPr>
            <w:tcW w:w="1043" w:type="dxa"/>
            <w:tcBorders>
              <w:top w:val="single" w:color="auto" w:sz="4" w:space="0"/>
              <w:left w:val="single" w:color="auto" w:sz="4" w:space="0"/>
              <w:bottom w:val="single" w:color="auto" w:sz="4" w:space="0"/>
              <w:right w:val="single" w:color="auto" w:sz="4" w:space="0"/>
            </w:tcBorders>
          </w:tcPr>
          <w:p w14:paraId="1579B822">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5532817">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4AFC4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9911" w:type="dxa"/>
            <w:gridSpan w:val="8"/>
            <w:tcBorders>
              <w:top w:val="single" w:color="auto" w:sz="4" w:space="0"/>
              <w:left w:val="single" w:color="auto" w:sz="4" w:space="0"/>
              <w:bottom w:val="single" w:color="auto" w:sz="4" w:space="0"/>
              <w:right w:val="single" w:color="auto" w:sz="4" w:space="0"/>
            </w:tcBorders>
          </w:tcPr>
          <w:p w14:paraId="15BFCF2C">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大写：                                                合同价：                 元</w:t>
            </w:r>
          </w:p>
        </w:tc>
      </w:tr>
    </w:tbl>
    <w:p w14:paraId="184B9BB2">
      <w:pPr>
        <w:autoSpaceDN w:val="0"/>
        <w:adjustRightInd w:val="0"/>
        <w:snapToGrid w:val="0"/>
        <w:spacing w:line="360" w:lineRule="auto"/>
        <w:jc w:val="center"/>
        <w:rPr>
          <w:rFonts w:asciiTheme="majorEastAsia" w:hAnsiTheme="majorEastAsia" w:eastAsiaTheme="majorEastAsia"/>
          <w:sz w:val="44"/>
          <w:szCs w:val="44"/>
          <w:highlight w:val="none"/>
        </w:rPr>
      </w:pPr>
    </w:p>
    <w:p w14:paraId="5917D0F3">
      <w:pPr>
        <w:autoSpaceDN w:val="0"/>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rPr>
        <w:t>货物类项目验收报告</w:t>
      </w:r>
    </w:p>
    <w:p w14:paraId="747D75AE">
      <w:pPr>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（本样式适用于简单安装或无须安装即可使用的政府采购货物项目）</w:t>
      </w:r>
    </w:p>
    <w:p w14:paraId="44B151E4">
      <w:pPr>
        <w:autoSpaceDN w:val="0"/>
        <w:adjustRightInd w:val="0"/>
        <w:snapToGrid w:val="0"/>
        <w:spacing w:line="360" w:lineRule="auto"/>
        <w:rPr>
          <w:rFonts w:asciiTheme="majorEastAsia" w:hAnsiTheme="majorEastAsia" w:eastAsiaTheme="majorEastAsia"/>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54"/>
        <w:gridCol w:w="4466"/>
      </w:tblGrid>
      <w:tr w14:paraId="13772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20" w:type="dxa"/>
            <w:gridSpan w:val="2"/>
            <w:tcBorders>
              <w:top w:val="single" w:color="auto" w:sz="4" w:space="0"/>
              <w:left w:val="single" w:color="auto" w:sz="4" w:space="0"/>
              <w:bottom w:val="single" w:color="auto" w:sz="4" w:space="0"/>
              <w:right w:val="single" w:color="auto" w:sz="4" w:space="0"/>
            </w:tcBorders>
            <w:vAlign w:val="center"/>
          </w:tcPr>
          <w:p w14:paraId="43C1CAB3">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采购项目：</w:t>
            </w:r>
          </w:p>
        </w:tc>
      </w:tr>
      <w:tr w14:paraId="72A90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54" w:type="dxa"/>
            <w:tcBorders>
              <w:top w:val="single" w:color="auto" w:sz="4" w:space="0"/>
              <w:left w:val="single" w:color="auto" w:sz="4" w:space="0"/>
              <w:bottom w:val="single" w:color="auto" w:sz="4" w:space="0"/>
              <w:right w:val="single" w:color="auto" w:sz="4" w:space="0"/>
            </w:tcBorders>
            <w:vAlign w:val="center"/>
          </w:tcPr>
          <w:p w14:paraId="65642330">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到货时间         年    月    日</w:t>
            </w:r>
          </w:p>
        </w:tc>
        <w:tc>
          <w:tcPr>
            <w:tcW w:w="4466" w:type="dxa"/>
            <w:tcBorders>
              <w:top w:val="single" w:color="auto" w:sz="4" w:space="0"/>
              <w:left w:val="single" w:color="auto" w:sz="4" w:space="0"/>
              <w:bottom w:val="single" w:color="auto" w:sz="4" w:space="0"/>
              <w:right w:val="single" w:color="auto" w:sz="4" w:space="0"/>
            </w:tcBorders>
            <w:vAlign w:val="center"/>
          </w:tcPr>
          <w:p w14:paraId="0E9E9783">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开箱验货时间        年    月    日</w:t>
            </w:r>
          </w:p>
        </w:tc>
      </w:tr>
      <w:tr w14:paraId="18D59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7C70B4C1">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开箱随机资料  1.出厂合格证（  ）份       2.技术说明书（  ）份</w:t>
            </w:r>
          </w:p>
          <w:p w14:paraId="7F750DA0">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3.使用说明书（  ）份       4.电子文件  （  ）份</w:t>
            </w:r>
          </w:p>
          <w:p w14:paraId="0F88B233">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5.装箱单    （  ）份       6.其他      （  ）份</w:t>
            </w:r>
          </w:p>
        </w:tc>
      </w:tr>
      <w:tr w14:paraId="67BD8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2"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685CF193">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甲方意见（对货物数量、质量、安全等乙方履约情况的</w:t>
            </w:r>
            <w:r>
              <w:rPr>
                <w:rFonts w:hint="eastAsia" w:cs="宋体" w:asciiTheme="majorEastAsia" w:hAnsiTheme="majorEastAsia" w:eastAsiaTheme="majorEastAsia"/>
                <w:b/>
                <w:bCs/>
                <w:szCs w:val="21"/>
                <w:highlight w:val="none"/>
              </w:rPr>
              <w:t>逐项</w:t>
            </w:r>
            <w:r>
              <w:rPr>
                <w:rFonts w:hint="eastAsia" w:cs="宋体" w:asciiTheme="majorEastAsia" w:hAnsiTheme="majorEastAsia" w:eastAsiaTheme="majorEastAsia"/>
                <w:szCs w:val="21"/>
                <w:highlight w:val="none"/>
              </w:rPr>
              <w:t>评价，存在问题及解决问题的要求等）</w:t>
            </w:r>
          </w:p>
        </w:tc>
      </w:tr>
      <w:tr w14:paraId="15BB8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3"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13E1FFC4">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乙方针对存在问题及解决问题的采取措施的承诺：</w:t>
            </w:r>
          </w:p>
        </w:tc>
      </w:tr>
      <w:tr w14:paraId="7E8D6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9" w:hRule="atLeast"/>
          <w:jc w:val="center"/>
        </w:trPr>
        <w:tc>
          <w:tcPr>
            <w:tcW w:w="4254" w:type="dxa"/>
            <w:tcBorders>
              <w:top w:val="single" w:color="auto" w:sz="4" w:space="0"/>
              <w:left w:val="single" w:color="auto" w:sz="4" w:space="0"/>
              <w:bottom w:val="single" w:color="auto" w:sz="4" w:space="0"/>
              <w:right w:val="single" w:color="auto" w:sz="4" w:space="0"/>
            </w:tcBorders>
          </w:tcPr>
          <w:p w14:paraId="7056F458">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甲方名称（盖章）：</w:t>
            </w:r>
          </w:p>
          <w:p w14:paraId="5D62C888">
            <w:pPr>
              <w:autoSpaceDN w:val="0"/>
              <w:adjustRightInd w:val="0"/>
              <w:snapToGrid w:val="0"/>
              <w:spacing w:line="360" w:lineRule="auto"/>
              <w:rPr>
                <w:rFonts w:cs="宋体" w:asciiTheme="majorEastAsia" w:hAnsiTheme="majorEastAsia" w:eastAsiaTheme="majorEastAsia"/>
                <w:szCs w:val="21"/>
                <w:highlight w:val="none"/>
              </w:rPr>
            </w:pPr>
          </w:p>
          <w:p w14:paraId="441F6870">
            <w:pPr>
              <w:autoSpaceDN w:val="0"/>
              <w:adjustRightInd w:val="0"/>
              <w:snapToGrid w:val="0"/>
              <w:spacing w:line="360" w:lineRule="auto"/>
              <w:rPr>
                <w:rFonts w:cs="宋体" w:asciiTheme="majorEastAsia" w:hAnsiTheme="majorEastAsia" w:eastAsiaTheme="majorEastAsia"/>
                <w:szCs w:val="21"/>
                <w:highlight w:val="none"/>
              </w:rPr>
            </w:pPr>
          </w:p>
          <w:p w14:paraId="77B2BF8C">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甲方代表签字：</w:t>
            </w:r>
          </w:p>
          <w:p w14:paraId="4FBF2283">
            <w:pPr>
              <w:autoSpaceDN w:val="0"/>
              <w:adjustRightInd w:val="0"/>
              <w:snapToGrid w:val="0"/>
              <w:spacing w:line="360" w:lineRule="auto"/>
              <w:rPr>
                <w:rFonts w:cs="宋体" w:asciiTheme="majorEastAsia" w:hAnsiTheme="majorEastAsia" w:eastAsiaTheme="majorEastAsia"/>
                <w:szCs w:val="21"/>
                <w:highlight w:val="none"/>
              </w:rPr>
            </w:pPr>
          </w:p>
          <w:p w14:paraId="50734C1D">
            <w:pPr>
              <w:wordWrap w:val="0"/>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c>
          <w:tcPr>
            <w:tcW w:w="4466" w:type="dxa"/>
            <w:tcBorders>
              <w:top w:val="single" w:color="auto" w:sz="4" w:space="0"/>
              <w:left w:val="single" w:color="auto" w:sz="4" w:space="0"/>
              <w:bottom w:val="single" w:color="auto" w:sz="4" w:space="0"/>
              <w:right w:val="single" w:color="auto" w:sz="4" w:space="0"/>
            </w:tcBorders>
          </w:tcPr>
          <w:p w14:paraId="2749C7CA">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乙方名称（盖章）：</w:t>
            </w:r>
          </w:p>
          <w:p w14:paraId="23F4DA8A">
            <w:pPr>
              <w:autoSpaceDN w:val="0"/>
              <w:adjustRightInd w:val="0"/>
              <w:snapToGrid w:val="0"/>
              <w:spacing w:line="360" w:lineRule="auto"/>
              <w:rPr>
                <w:rFonts w:cs="宋体" w:asciiTheme="majorEastAsia" w:hAnsiTheme="majorEastAsia" w:eastAsiaTheme="majorEastAsia"/>
                <w:szCs w:val="21"/>
                <w:highlight w:val="none"/>
              </w:rPr>
            </w:pPr>
          </w:p>
          <w:p w14:paraId="71935BE8">
            <w:pPr>
              <w:autoSpaceDN w:val="0"/>
              <w:adjustRightInd w:val="0"/>
              <w:snapToGrid w:val="0"/>
              <w:spacing w:line="360" w:lineRule="auto"/>
              <w:rPr>
                <w:rFonts w:cs="宋体" w:asciiTheme="majorEastAsia" w:hAnsiTheme="majorEastAsia" w:eastAsiaTheme="majorEastAsia"/>
                <w:szCs w:val="21"/>
                <w:highlight w:val="none"/>
              </w:rPr>
            </w:pPr>
          </w:p>
          <w:p w14:paraId="5895C7C0">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乙方代表签字：</w:t>
            </w:r>
          </w:p>
          <w:p w14:paraId="7AC41E78">
            <w:pPr>
              <w:autoSpaceDN w:val="0"/>
              <w:adjustRightInd w:val="0"/>
              <w:snapToGrid w:val="0"/>
              <w:spacing w:line="360" w:lineRule="auto"/>
              <w:rPr>
                <w:rFonts w:cs="宋体" w:asciiTheme="majorEastAsia" w:hAnsiTheme="majorEastAsia" w:eastAsiaTheme="majorEastAsia"/>
                <w:szCs w:val="21"/>
                <w:highlight w:val="none"/>
              </w:rPr>
            </w:pPr>
          </w:p>
          <w:p w14:paraId="62365994">
            <w:pPr>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r>
    </w:tbl>
    <w:p w14:paraId="4A72F2AB">
      <w:pPr>
        <w:autoSpaceDN w:val="0"/>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说明：本报告一式两份，甲、乙方各</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份，内容较多的可另附详细验收报告。</w:t>
      </w:r>
    </w:p>
    <w:p w14:paraId="67D3A1C0">
      <w:pPr>
        <w:autoSpaceDN w:val="0"/>
        <w:adjustRightInd w:val="0"/>
        <w:snapToGrid w:val="0"/>
        <w:spacing w:line="360" w:lineRule="auto"/>
        <w:jc w:val="center"/>
        <w:rPr>
          <w:rFonts w:asciiTheme="majorEastAsia" w:hAnsiTheme="majorEastAsia" w:eastAsiaTheme="majorEastAsia"/>
          <w:sz w:val="44"/>
          <w:szCs w:val="44"/>
          <w:highlight w:val="none"/>
        </w:rPr>
      </w:pPr>
    </w:p>
    <w:p w14:paraId="2C1BCB12">
      <w:pPr>
        <w:autoSpaceDN w:val="0"/>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rPr>
        <w:t>货物类项目验收报告</w:t>
      </w:r>
    </w:p>
    <w:p w14:paraId="48914174">
      <w:pPr>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（本样式适用于需安装试运行方可验收的政府采购货物项目）</w:t>
      </w:r>
    </w:p>
    <w:p w14:paraId="5EB8AF7F">
      <w:pPr>
        <w:autoSpaceDN w:val="0"/>
        <w:adjustRightInd w:val="0"/>
        <w:snapToGrid w:val="0"/>
        <w:spacing w:line="360" w:lineRule="auto"/>
        <w:rPr>
          <w:rFonts w:asciiTheme="majorEastAsia" w:hAnsiTheme="majorEastAsia" w:eastAsiaTheme="majorEastAsia"/>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94"/>
        <w:gridCol w:w="4326"/>
      </w:tblGrid>
      <w:tr w14:paraId="653CE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20" w:type="dxa"/>
            <w:gridSpan w:val="2"/>
            <w:tcBorders>
              <w:top w:val="single" w:color="auto" w:sz="4" w:space="0"/>
              <w:left w:val="single" w:color="auto" w:sz="4" w:space="0"/>
              <w:bottom w:val="single" w:color="auto" w:sz="4" w:space="0"/>
              <w:right w:val="single" w:color="auto" w:sz="4" w:space="0"/>
            </w:tcBorders>
            <w:vAlign w:val="center"/>
          </w:tcPr>
          <w:p w14:paraId="094AB95C">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采购项目：</w:t>
            </w:r>
          </w:p>
        </w:tc>
      </w:tr>
      <w:tr w14:paraId="7738C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394" w:type="dxa"/>
            <w:tcBorders>
              <w:top w:val="single" w:color="auto" w:sz="4" w:space="0"/>
              <w:left w:val="single" w:color="auto" w:sz="4" w:space="0"/>
              <w:bottom w:val="single" w:color="auto" w:sz="4" w:space="0"/>
              <w:right w:val="single" w:color="auto" w:sz="4" w:space="0"/>
            </w:tcBorders>
            <w:vAlign w:val="center"/>
          </w:tcPr>
          <w:p w14:paraId="7528C72F">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到货时间           年    月    日</w:t>
            </w:r>
          </w:p>
        </w:tc>
        <w:tc>
          <w:tcPr>
            <w:tcW w:w="4326" w:type="dxa"/>
            <w:tcBorders>
              <w:top w:val="single" w:color="auto" w:sz="4" w:space="0"/>
              <w:left w:val="single" w:color="auto" w:sz="4" w:space="0"/>
              <w:bottom w:val="single" w:color="auto" w:sz="4" w:space="0"/>
              <w:right w:val="single" w:color="auto" w:sz="4" w:space="0"/>
            </w:tcBorders>
            <w:vAlign w:val="center"/>
          </w:tcPr>
          <w:p w14:paraId="165F3CF2">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初验时间           年    月    日</w:t>
            </w:r>
          </w:p>
        </w:tc>
      </w:tr>
      <w:tr w14:paraId="4B5A5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394" w:type="dxa"/>
            <w:tcBorders>
              <w:top w:val="single" w:color="auto" w:sz="4" w:space="0"/>
              <w:left w:val="single" w:color="auto" w:sz="4" w:space="0"/>
              <w:bottom w:val="single" w:color="auto" w:sz="4" w:space="0"/>
              <w:right w:val="single" w:color="auto" w:sz="4" w:space="0"/>
            </w:tcBorders>
            <w:vAlign w:val="center"/>
          </w:tcPr>
          <w:p w14:paraId="1FAF75ED">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中验时间           年    月    日</w:t>
            </w:r>
          </w:p>
        </w:tc>
        <w:tc>
          <w:tcPr>
            <w:tcW w:w="4326" w:type="dxa"/>
            <w:tcBorders>
              <w:top w:val="single" w:color="auto" w:sz="4" w:space="0"/>
              <w:left w:val="single" w:color="auto" w:sz="4" w:space="0"/>
              <w:bottom w:val="single" w:color="auto" w:sz="4" w:space="0"/>
              <w:right w:val="single" w:color="auto" w:sz="4" w:space="0"/>
            </w:tcBorders>
            <w:vAlign w:val="center"/>
          </w:tcPr>
          <w:p w14:paraId="10E14057">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终验时间           年    月    日</w:t>
            </w:r>
          </w:p>
        </w:tc>
      </w:tr>
      <w:tr w14:paraId="79EB6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215BD18F">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开箱随机资料  1.出厂合格证（  ）份       2.技术说明书（  ）份</w:t>
            </w:r>
          </w:p>
          <w:p w14:paraId="7D3F9EF8">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3.使用说明书（  ）份       4.电子文件  （  ）份</w:t>
            </w:r>
          </w:p>
          <w:p w14:paraId="00DC1CA9">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5.装箱单    （  ）份       6.其他      （  ）份</w:t>
            </w:r>
          </w:p>
        </w:tc>
      </w:tr>
      <w:tr w14:paraId="6E862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8"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4237E4BC">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甲方意见（对货物数量、质量、安装、运行、安全等履约情况的逐项评价，存在问题及解决问题的要求等）</w:t>
            </w:r>
          </w:p>
        </w:tc>
      </w:tr>
      <w:tr w14:paraId="3C5CA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604BAC3A">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乙方针对存在问题及解决问题的采取措施的承诺：</w:t>
            </w:r>
          </w:p>
        </w:tc>
      </w:tr>
      <w:tr w14:paraId="02CAC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7" w:hRule="atLeast"/>
          <w:jc w:val="center"/>
        </w:trPr>
        <w:tc>
          <w:tcPr>
            <w:tcW w:w="4394" w:type="dxa"/>
            <w:tcBorders>
              <w:top w:val="single" w:color="auto" w:sz="4" w:space="0"/>
              <w:left w:val="single" w:color="auto" w:sz="4" w:space="0"/>
              <w:bottom w:val="single" w:color="auto" w:sz="4" w:space="0"/>
              <w:right w:val="single" w:color="auto" w:sz="4" w:space="0"/>
            </w:tcBorders>
          </w:tcPr>
          <w:p w14:paraId="07702865">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甲方名称（盖章）：</w:t>
            </w:r>
          </w:p>
          <w:p w14:paraId="39AD2194">
            <w:pPr>
              <w:autoSpaceDN w:val="0"/>
              <w:adjustRightInd w:val="0"/>
              <w:snapToGrid w:val="0"/>
              <w:spacing w:line="360" w:lineRule="auto"/>
              <w:rPr>
                <w:rFonts w:cs="宋体" w:asciiTheme="majorEastAsia" w:hAnsiTheme="majorEastAsia" w:eastAsiaTheme="majorEastAsia"/>
                <w:szCs w:val="21"/>
                <w:highlight w:val="none"/>
              </w:rPr>
            </w:pPr>
          </w:p>
          <w:p w14:paraId="6B3E1D06">
            <w:pPr>
              <w:autoSpaceDN w:val="0"/>
              <w:adjustRightInd w:val="0"/>
              <w:snapToGrid w:val="0"/>
              <w:spacing w:line="360" w:lineRule="auto"/>
              <w:rPr>
                <w:rFonts w:cs="宋体" w:asciiTheme="majorEastAsia" w:hAnsiTheme="majorEastAsia" w:eastAsiaTheme="majorEastAsia"/>
                <w:szCs w:val="21"/>
                <w:highlight w:val="none"/>
              </w:rPr>
            </w:pPr>
          </w:p>
          <w:p w14:paraId="60B7C639">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甲方代表签字：</w:t>
            </w:r>
          </w:p>
          <w:p w14:paraId="2CCB3B9D">
            <w:pPr>
              <w:autoSpaceDN w:val="0"/>
              <w:adjustRightInd w:val="0"/>
              <w:snapToGrid w:val="0"/>
              <w:spacing w:line="360" w:lineRule="auto"/>
              <w:rPr>
                <w:rFonts w:cs="宋体" w:asciiTheme="majorEastAsia" w:hAnsiTheme="majorEastAsia" w:eastAsiaTheme="majorEastAsia"/>
                <w:szCs w:val="21"/>
                <w:highlight w:val="none"/>
              </w:rPr>
            </w:pPr>
          </w:p>
          <w:p w14:paraId="46AC8731">
            <w:pPr>
              <w:autoSpaceDN w:val="0"/>
              <w:adjustRightInd w:val="0"/>
              <w:snapToGrid w:val="0"/>
              <w:spacing w:line="360" w:lineRule="auto"/>
              <w:rPr>
                <w:rFonts w:cs="宋体" w:asciiTheme="majorEastAsia" w:hAnsiTheme="majorEastAsia" w:eastAsiaTheme="majorEastAsia"/>
                <w:szCs w:val="21"/>
                <w:highlight w:val="none"/>
              </w:rPr>
            </w:pPr>
          </w:p>
          <w:p w14:paraId="779001DE">
            <w:pPr>
              <w:autoSpaceDN w:val="0"/>
              <w:adjustRightInd w:val="0"/>
              <w:snapToGrid w:val="0"/>
              <w:spacing w:line="360" w:lineRule="auto"/>
              <w:rPr>
                <w:rFonts w:cs="宋体" w:asciiTheme="majorEastAsia" w:hAnsiTheme="majorEastAsia" w:eastAsiaTheme="majorEastAsia"/>
                <w:szCs w:val="21"/>
                <w:highlight w:val="none"/>
              </w:rPr>
            </w:pPr>
          </w:p>
          <w:p w14:paraId="154B479F">
            <w:pPr>
              <w:autoSpaceDN w:val="0"/>
              <w:adjustRightInd w:val="0"/>
              <w:snapToGrid w:val="0"/>
              <w:spacing w:line="360" w:lineRule="auto"/>
              <w:rPr>
                <w:rFonts w:cs="宋体" w:asciiTheme="majorEastAsia" w:hAnsiTheme="majorEastAsia" w:eastAsiaTheme="majorEastAsia"/>
                <w:szCs w:val="21"/>
                <w:highlight w:val="none"/>
              </w:rPr>
            </w:pPr>
          </w:p>
          <w:p w14:paraId="083214A9">
            <w:pPr>
              <w:autoSpaceDN w:val="0"/>
              <w:adjustRightInd w:val="0"/>
              <w:snapToGrid w:val="0"/>
              <w:spacing w:line="360" w:lineRule="auto"/>
              <w:rPr>
                <w:rFonts w:cs="宋体" w:asciiTheme="majorEastAsia" w:hAnsiTheme="majorEastAsia" w:eastAsiaTheme="majorEastAsia"/>
                <w:szCs w:val="21"/>
                <w:highlight w:val="none"/>
              </w:rPr>
            </w:pPr>
          </w:p>
          <w:p w14:paraId="6FF59526">
            <w:pPr>
              <w:wordWrap w:val="0"/>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c>
          <w:tcPr>
            <w:tcW w:w="4326" w:type="dxa"/>
            <w:tcBorders>
              <w:top w:val="single" w:color="auto" w:sz="4" w:space="0"/>
              <w:left w:val="single" w:color="auto" w:sz="4" w:space="0"/>
              <w:bottom w:val="single" w:color="auto" w:sz="4" w:space="0"/>
              <w:right w:val="single" w:color="auto" w:sz="4" w:space="0"/>
            </w:tcBorders>
          </w:tcPr>
          <w:p w14:paraId="5D1F1E91">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乙方名称（盖章）：</w:t>
            </w:r>
          </w:p>
          <w:p w14:paraId="7D9FD346">
            <w:pPr>
              <w:autoSpaceDN w:val="0"/>
              <w:adjustRightInd w:val="0"/>
              <w:snapToGrid w:val="0"/>
              <w:spacing w:line="360" w:lineRule="auto"/>
              <w:rPr>
                <w:rFonts w:cs="宋体" w:asciiTheme="majorEastAsia" w:hAnsiTheme="majorEastAsia" w:eastAsiaTheme="majorEastAsia"/>
                <w:szCs w:val="21"/>
                <w:highlight w:val="none"/>
              </w:rPr>
            </w:pPr>
          </w:p>
          <w:p w14:paraId="62CAE051">
            <w:pPr>
              <w:autoSpaceDN w:val="0"/>
              <w:adjustRightInd w:val="0"/>
              <w:snapToGrid w:val="0"/>
              <w:spacing w:line="360" w:lineRule="auto"/>
              <w:rPr>
                <w:rFonts w:cs="宋体" w:asciiTheme="majorEastAsia" w:hAnsiTheme="majorEastAsia" w:eastAsiaTheme="majorEastAsia"/>
                <w:szCs w:val="21"/>
                <w:highlight w:val="none"/>
              </w:rPr>
            </w:pPr>
          </w:p>
          <w:p w14:paraId="2AA89F58">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乙方代表签字：</w:t>
            </w:r>
          </w:p>
          <w:p w14:paraId="6CD4656C">
            <w:pPr>
              <w:autoSpaceDN w:val="0"/>
              <w:adjustRightInd w:val="0"/>
              <w:snapToGrid w:val="0"/>
              <w:spacing w:line="360" w:lineRule="auto"/>
              <w:rPr>
                <w:rFonts w:cs="宋体" w:asciiTheme="majorEastAsia" w:hAnsiTheme="majorEastAsia" w:eastAsiaTheme="majorEastAsia"/>
                <w:szCs w:val="21"/>
                <w:highlight w:val="none"/>
              </w:rPr>
            </w:pPr>
          </w:p>
          <w:p w14:paraId="7F34BF50">
            <w:pPr>
              <w:autoSpaceDN w:val="0"/>
              <w:adjustRightInd w:val="0"/>
              <w:snapToGrid w:val="0"/>
              <w:spacing w:line="360" w:lineRule="auto"/>
              <w:rPr>
                <w:rFonts w:cs="宋体" w:asciiTheme="majorEastAsia" w:hAnsiTheme="majorEastAsia" w:eastAsiaTheme="majorEastAsia"/>
                <w:szCs w:val="21"/>
                <w:highlight w:val="none"/>
              </w:rPr>
            </w:pPr>
          </w:p>
          <w:p w14:paraId="3F6555D7">
            <w:pPr>
              <w:autoSpaceDN w:val="0"/>
              <w:adjustRightInd w:val="0"/>
              <w:snapToGrid w:val="0"/>
              <w:spacing w:line="360" w:lineRule="auto"/>
              <w:rPr>
                <w:rFonts w:cs="宋体" w:asciiTheme="majorEastAsia" w:hAnsiTheme="majorEastAsia" w:eastAsiaTheme="majorEastAsia"/>
                <w:szCs w:val="21"/>
                <w:highlight w:val="none"/>
              </w:rPr>
            </w:pPr>
          </w:p>
          <w:p w14:paraId="6D3E5E7C">
            <w:pPr>
              <w:autoSpaceDN w:val="0"/>
              <w:adjustRightInd w:val="0"/>
              <w:snapToGrid w:val="0"/>
              <w:spacing w:line="360" w:lineRule="auto"/>
              <w:rPr>
                <w:rFonts w:cs="宋体" w:asciiTheme="majorEastAsia" w:hAnsiTheme="majorEastAsia" w:eastAsiaTheme="majorEastAsia"/>
                <w:szCs w:val="21"/>
                <w:highlight w:val="none"/>
              </w:rPr>
            </w:pPr>
          </w:p>
          <w:p w14:paraId="26C88335">
            <w:pPr>
              <w:autoSpaceDN w:val="0"/>
              <w:adjustRightInd w:val="0"/>
              <w:snapToGrid w:val="0"/>
              <w:spacing w:line="360" w:lineRule="auto"/>
              <w:rPr>
                <w:rFonts w:cs="宋体" w:asciiTheme="majorEastAsia" w:hAnsiTheme="majorEastAsia" w:eastAsiaTheme="majorEastAsia"/>
                <w:szCs w:val="21"/>
                <w:highlight w:val="none"/>
              </w:rPr>
            </w:pPr>
          </w:p>
          <w:p w14:paraId="158A024E">
            <w:pPr>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r>
    </w:tbl>
    <w:p w14:paraId="68719025">
      <w:pPr>
        <w:autoSpaceDN w:val="0"/>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说明：1.验收时使用的逐项评价清单，可参照合同范本的《供货明细项目一览表》；</w:t>
      </w:r>
    </w:p>
    <w:p w14:paraId="1CF1E513">
      <w:pPr>
        <w:autoSpaceDN w:val="0"/>
        <w:adjustRightInd w:val="0"/>
        <w:snapToGrid w:val="0"/>
        <w:spacing w:line="360" w:lineRule="auto"/>
        <w:ind w:firstLine="630" w:firstLineChars="3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2.本报告一式两份，甲、乙方各</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份，内容较多的可另附详细验收报告。</w:t>
      </w:r>
    </w:p>
    <w:p w14:paraId="3D4056CD">
      <w:pPr>
        <w:widowControl/>
        <w:spacing w:line="360" w:lineRule="auto"/>
        <w:jc w:val="left"/>
        <w:rPr>
          <w:rFonts w:cs="宋体" w:asciiTheme="majorEastAsia" w:hAnsiTheme="majorEastAsia" w:eastAsiaTheme="majorEastAsia"/>
          <w:kern w:val="0"/>
          <w:sz w:val="24"/>
          <w:highlight w:val="none"/>
        </w:rPr>
        <w:sectPr>
          <w:pgSz w:w="11906" w:h="16838"/>
          <w:pgMar w:top="1418" w:right="1418" w:bottom="1418" w:left="1701" w:header="851" w:footer="851" w:gutter="0"/>
          <w:cols w:space="720" w:num="1"/>
          <w:docGrid w:linePitch="312" w:charSpace="0"/>
        </w:sectPr>
      </w:pPr>
    </w:p>
    <w:p w14:paraId="522BCBFF">
      <w:pPr>
        <w:autoSpaceDN w:val="0"/>
        <w:adjustRightInd w:val="0"/>
        <w:snapToGrid w:val="0"/>
        <w:spacing w:line="360" w:lineRule="auto"/>
        <w:rPr>
          <w:rFonts w:asciiTheme="majorEastAsia" w:hAnsiTheme="majorEastAsia" w:eastAsiaTheme="majorEastAsia"/>
          <w:sz w:val="32"/>
          <w:szCs w:val="32"/>
          <w:highlight w:val="none"/>
        </w:rPr>
      </w:pPr>
      <w:r>
        <w:rPr>
          <w:rFonts w:hint="eastAsia" w:asciiTheme="majorEastAsia" w:hAnsiTheme="majorEastAsia" w:eastAsiaTheme="majorEastAsia"/>
          <w:sz w:val="32"/>
          <w:szCs w:val="32"/>
          <w:highlight w:val="none"/>
        </w:rPr>
        <w:t>附件</w:t>
      </w:r>
    </w:p>
    <w:p w14:paraId="268325B8">
      <w:pPr>
        <w:autoSpaceDN w:val="0"/>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rPr>
        <w:t>货物项目验收明细一览表</w:t>
      </w:r>
    </w:p>
    <w:tbl>
      <w:tblPr>
        <w:tblStyle w:val="22"/>
        <w:tblW w:w="134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487"/>
        <w:gridCol w:w="3063"/>
        <w:gridCol w:w="548"/>
        <w:gridCol w:w="548"/>
        <w:gridCol w:w="986"/>
        <w:gridCol w:w="1440"/>
        <w:gridCol w:w="908"/>
        <w:gridCol w:w="1041"/>
        <w:gridCol w:w="2634"/>
      </w:tblGrid>
      <w:tr w14:paraId="3CF45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3EEBD830">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序号</w:t>
            </w:r>
          </w:p>
        </w:tc>
        <w:tc>
          <w:tcPr>
            <w:tcW w:w="1487" w:type="dxa"/>
            <w:tcBorders>
              <w:top w:val="single" w:color="auto" w:sz="4" w:space="0"/>
              <w:left w:val="single" w:color="auto" w:sz="4" w:space="0"/>
              <w:bottom w:val="single" w:color="auto" w:sz="4" w:space="0"/>
              <w:right w:val="single" w:color="auto" w:sz="4" w:space="0"/>
            </w:tcBorders>
            <w:vAlign w:val="center"/>
          </w:tcPr>
          <w:p w14:paraId="1712B4D1">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货物名称</w:t>
            </w:r>
          </w:p>
        </w:tc>
        <w:tc>
          <w:tcPr>
            <w:tcW w:w="3063" w:type="dxa"/>
            <w:tcBorders>
              <w:top w:val="single" w:color="auto" w:sz="4" w:space="0"/>
              <w:left w:val="single" w:color="auto" w:sz="4" w:space="0"/>
              <w:bottom w:val="single" w:color="auto" w:sz="4" w:space="0"/>
              <w:right w:val="single" w:color="auto" w:sz="4" w:space="0"/>
            </w:tcBorders>
            <w:vAlign w:val="center"/>
          </w:tcPr>
          <w:p w14:paraId="064C256B">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品牌型号规格及</w:t>
            </w:r>
          </w:p>
          <w:p w14:paraId="5635D640">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主要技术参数</w:t>
            </w:r>
          </w:p>
        </w:tc>
        <w:tc>
          <w:tcPr>
            <w:tcW w:w="548" w:type="dxa"/>
            <w:tcBorders>
              <w:top w:val="single" w:color="auto" w:sz="4" w:space="0"/>
              <w:left w:val="single" w:color="auto" w:sz="4" w:space="0"/>
              <w:bottom w:val="single" w:color="auto" w:sz="4" w:space="0"/>
              <w:right w:val="single" w:color="auto" w:sz="4" w:space="0"/>
            </w:tcBorders>
            <w:vAlign w:val="center"/>
          </w:tcPr>
          <w:p w14:paraId="04B8A17C">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计量单 </w:t>
            </w:r>
          </w:p>
          <w:p w14:paraId="68FE12A1">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位</w:t>
            </w:r>
          </w:p>
        </w:tc>
        <w:tc>
          <w:tcPr>
            <w:tcW w:w="548" w:type="dxa"/>
            <w:tcBorders>
              <w:top w:val="single" w:color="auto" w:sz="4" w:space="0"/>
              <w:left w:val="single" w:color="auto" w:sz="4" w:space="0"/>
              <w:bottom w:val="single" w:color="auto" w:sz="4" w:space="0"/>
              <w:right w:val="single" w:color="auto" w:sz="4" w:space="0"/>
            </w:tcBorders>
            <w:vAlign w:val="center"/>
          </w:tcPr>
          <w:p w14:paraId="4B38B18B">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数 </w:t>
            </w:r>
          </w:p>
          <w:p w14:paraId="15D9CECC">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量</w:t>
            </w:r>
          </w:p>
        </w:tc>
        <w:tc>
          <w:tcPr>
            <w:tcW w:w="986" w:type="dxa"/>
            <w:tcBorders>
              <w:top w:val="single" w:color="auto" w:sz="4" w:space="0"/>
              <w:left w:val="single" w:color="auto" w:sz="4" w:space="0"/>
              <w:bottom w:val="single" w:color="auto" w:sz="4" w:space="0"/>
              <w:right w:val="single" w:color="auto" w:sz="4" w:space="0"/>
            </w:tcBorders>
            <w:vAlign w:val="center"/>
          </w:tcPr>
          <w:p w14:paraId="30682874">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金额</w:t>
            </w:r>
          </w:p>
          <w:p w14:paraId="2DCFE520">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（元）</w:t>
            </w:r>
          </w:p>
        </w:tc>
        <w:tc>
          <w:tcPr>
            <w:tcW w:w="1440" w:type="dxa"/>
            <w:tcBorders>
              <w:top w:val="single" w:color="auto" w:sz="4" w:space="0"/>
              <w:left w:val="single" w:color="auto" w:sz="4" w:space="0"/>
              <w:bottom w:val="single" w:color="auto" w:sz="4" w:space="0"/>
              <w:right w:val="single" w:color="auto" w:sz="4" w:space="0"/>
            </w:tcBorders>
            <w:vAlign w:val="center"/>
          </w:tcPr>
          <w:p w14:paraId="4B53DFDC">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产地生产</w:t>
            </w:r>
          </w:p>
          <w:p w14:paraId="071D0A1D">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厂商名称</w:t>
            </w:r>
          </w:p>
        </w:tc>
        <w:tc>
          <w:tcPr>
            <w:tcW w:w="908" w:type="dxa"/>
            <w:tcBorders>
              <w:top w:val="single" w:color="auto" w:sz="4" w:space="0"/>
              <w:left w:val="single" w:color="auto" w:sz="4" w:space="0"/>
              <w:bottom w:val="single" w:color="auto" w:sz="4" w:space="0"/>
              <w:right w:val="single" w:color="auto" w:sz="4" w:space="0"/>
            </w:tcBorders>
            <w:vAlign w:val="center"/>
          </w:tcPr>
          <w:p w14:paraId="31C38DB8">
            <w:pPr>
              <w:pStyle w:val="12"/>
              <w:autoSpaceDN w:val="0"/>
              <w:adjustRightInd w:val="0"/>
              <w:snapToGrid w:val="0"/>
              <w:spacing w:line="360" w:lineRule="auto"/>
              <w:jc w:val="center"/>
              <w:rPr>
                <w:rFonts w:hint="eastAsia" w:cs="宋体" w:asciiTheme="majorEastAsia" w:hAnsiTheme="majorEastAsia" w:eastAsiaTheme="majorEastAsia"/>
                <w:szCs w:val="21"/>
                <w:highlight w:val="none"/>
                <w:lang w:eastAsia="zh-CN"/>
              </w:rPr>
            </w:pPr>
            <w:r>
              <w:rPr>
                <w:rFonts w:hint="eastAsia" w:cs="宋体" w:asciiTheme="majorEastAsia" w:hAnsiTheme="majorEastAsia" w:eastAsiaTheme="majorEastAsia"/>
                <w:szCs w:val="21"/>
                <w:highlight w:val="none"/>
                <w:lang w:eastAsia="zh-CN"/>
              </w:rPr>
              <w:t>投标人</w:t>
            </w:r>
          </w:p>
          <w:p w14:paraId="6C40041A">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提交</w:t>
            </w:r>
          </w:p>
        </w:tc>
        <w:tc>
          <w:tcPr>
            <w:tcW w:w="1041" w:type="dxa"/>
            <w:tcBorders>
              <w:top w:val="single" w:color="auto" w:sz="4" w:space="0"/>
              <w:left w:val="single" w:color="auto" w:sz="4" w:space="0"/>
              <w:bottom w:val="single" w:color="auto" w:sz="4" w:space="0"/>
              <w:right w:val="single" w:color="auto" w:sz="4" w:space="0"/>
            </w:tcBorders>
            <w:vAlign w:val="center"/>
          </w:tcPr>
          <w:p w14:paraId="71DF1D6F">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采购单</w:t>
            </w:r>
          </w:p>
          <w:p w14:paraId="49A8BE92">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位确认</w:t>
            </w:r>
          </w:p>
        </w:tc>
        <w:tc>
          <w:tcPr>
            <w:tcW w:w="2634" w:type="dxa"/>
            <w:tcBorders>
              <w:top w:val="single" w:color="auto" w:sz="4" w:space="0"/>
              <w:left w:val="single" w:color="auto" w:sz="4" w:space="0"/>
              <w:bottom w:val="single" w:color="auto" w:sz="4" w:space="0"/>
              <w:right w:val="single" w:color="auto" w:sz="4" w:space="0"/>
            </w:tcBorders>
            <w:vAlign w:val="center"/>
          </w:tcPr>
          <w:p w14:paraId="6F5D0D32">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存在问题</w:t>
            </w:r>
          </w:p>
        </w:tc>
      </w:tr>
      <w:tr w14:paraId="63719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2180610D">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06ADEBB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3063" w:type="dxa"/>
            <w:tcBorders>
              <w:top w:val="single" w:color="auto" w:sz="4" w:space="0"/>
              <w:left w:val="single" w:color="auto" w:sz="4" w:space="0"/>
              <w:bottom w:val="single" w:color="auto" w:sz="4" w:space="0"/>
              <w:right w:val="single" w:color="auto" w:sz="4" w:space="0"/>
            </w:tcBorders>
          </w:tcPr>
          <w:p w14:paraId="061BC472">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（视明细项目增减行）</w:t>
            </w:r>
          </w:p>
        </w:tc>
        <w:tc>
          <w:tcPr>
            <w:tcW w:w="548" w:type="dxa"/>
            <w:tcBorders>
              <w:top w:val="single" w:color="auto" w:sz="4" w:space="0"/>
              <w:left w:val="single" w:color="auto" w:sz="4" w:space="0"/>
              <w:bottom w:val="single" w:color="auto" w:sz="4" w:space="0"/>
              <w:right w:val="single" w:color="auto" w:sz="4" w:space="0"/>
            </w:tcBorders>
          </w:tcPr>
          <w:p w14:paraId="60DD497B">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1C8C586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30120C56">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809B471">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tcPr>
          <w:p w14:paraId="4F3A2FC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14:paraId="02337065">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tcPr>
          <w:p w14:paraId="32795FF4">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24345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23F48909">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260F86D2">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3063" w:type="dxa"/>
            <w:tcBorders>
              <w:top w:val="single" w:color="auto" w:sz="4" w:space="0"/>
              <w:left w:val="single" w:color="auto" w:sz="4" w:space="0"/>
              <w:bottom w:val="single" w:color="auto" w:sz="4" w:space="0"/>
              <w:right w:val="single" w:color="auto" w:sz="4" w:space="0"/>
            </w:tcBorders>
          </w:tcPr>
          <w:p w14:paraId="0D4C653D">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5FEDDAA0">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73FC44D1">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0388185F">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43B2043">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tcPr>
          <w:p w14:paraId="57053760">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14:paraId="1C7D228B">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tcPr>
          <w:p w14:paraId="3B231C92">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50206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3B283952">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121C5D59">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3063" w:type="dxa"/>
            <w:tcBorders>
              <w:top w:val="single" w:color="auto" w:sz="4" w:space="0"/>
              <w:left w:val="single" w:color="auto" w:sz="4" w:space="0"/>
              <w:bottom w:val="single" w:color="auto" w:sz="4" w:space="0"/>
              <w:right w:val="single" w:color="auto" w:sz="4" w:space="0"/>
            </w:tcBorders>
          </w:tcPr>
          <w:p w14:paraId="1B5F54B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7883BEFF">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31A02C86">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tcPr>
          <w:p w14:paraId="18C2FC26">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FE41221">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tcPr>
          <w:p w14:paraId="333D2D67">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14:paraId="1B3117F1">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tcPr>
          <w:p w14:paraId="2136D5A1">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0CEE6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4DE577EA">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4207DE97">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2A48DC28">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备品备件</w:t>
            </w:r>
          </w:p>
        </w:tc>
        <w:tc>
          <w:tcPr>
            <w:tcW w:w="1440" w:type="dxa"/>
            <w:tcBorders>
              <w:top w:val="single" w:color="auto" w:sz="4" w:space="0"/>
              <w:left w:val="single" w:color="auto" w:sz="4" w:space="0"/>
              <w:bottom w:val="single" w:color="auto" w:sz="4" w:space="0"/>
              <w:right w:val="single" w:color="auto" w:sz="4" w:space="0"/>
            </w:tcBorders>
          </w:tcPr>
          <w:p w14:paraId="78AE04D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tcPr>
          <w:p w14:paraId="46F4F664">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14:paraId="6DF9CEE1">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tcPr>
          <w:p w14:paraId="5F3E867E">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7A92A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2786BC4D">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3721B41A">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7B3E5434">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易损件</w:t>
            </w:r>
          </w:p>
        </w:tc>
        <w:tc>
          <w:tcPr>
            <w:tcW w:w="1440" w:type="dxa"/>
            <w:tcBorders>
              <w:top w:val="single" w:color="auto" w:sz="4" w:space="0"/>
              <w:left w:val="single" w:color="auto" w:sz="4" w:space="0"/>
              <w:bottom w:val="single" w:color="auto" w:sz="4" w:space="0"/>
              <w:right w:val="single" w:color="auto" w:sz="4" w:space="0"/>
            </w:tcBorders>
          </w:tcPr>
          <w:p w14:paraId="2FEC078D">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tcPr>
          <w:p w14:paraId="08DD4B9A">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14:paraId="5C5EEB06">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tcPr>
          <w:p w14:paraId="08C15B0B">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774EA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76C59778">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6A8C2A84">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11C9B44D">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专用工具价</w:t>
            </w:r>
          </w:p>
        </w:tc>
        <w:tc>
          <w:tcPr>
            <w:tcW w:w="1440" w:type="dxa"/>
            <w:tcBorders>
              <w:top w:val="single" w:color="auto" w:sz="4" w:space="0"/>
              <w:left w:val="single" w:color="auto" w:sz="4" w:space="0"/>
              <w:bottom w:val="single" w:color="auto" w:sz="4" w:space="0"/>
              <w:right w:val="single" w:color="auto" w:sz="4" w:space="0"/>
            </w:tcBorders>
          </w:tcPr>
          <w:p w14:paraId="11FE684F">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tcPr>
          <w:p w14:paraId="37D7DCED">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14:paraId="070088F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tcPr>
          <w:p w14:paraId="4EBAD226">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62B3E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1B07A3D6">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15ABB9D1">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12A4515E">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安装调试费</w:t>
            </w:r>
          </w:p>
        </w:tc>
        <w:tc>
          <w:tcPr>
            <w:tcW w:w="1440" w:type="dxa"/>
            <w:tcBorders>
              <w:top w:val="single" w:color="auto" w:sz="4" w:space="0"/>
              <w:left w:val="single" w:color="auto" w:sz="4" w:space="0"/>
              <w:bottom w:val="single" w:color="auto" w:sz="4" w:space="0"/>
              <w:right w:val="single" w:color="auto" w:sz="4" w:space="0"/>
            </w:tcBorders>
          </w:tcPr>
          <w:p w14:paraId="50A1AB98">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tcPr>
          <w:p w14:paraId="18FB476A">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14:paraId="1DC5E8B3">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tcPr>
          <w:p w14:paraId="2AB90DA1">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70CE3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4B0BFA6E">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20F2CF04">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1B6CE7F1">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运输至最终目的运费及保险费等</w:t>
            </w:r>
          </w:p>
        </w:tc>
        <w:tc>
          <w:tcPr>
            <w:tcW w:w="1440" w:type="dxa"/>
            <w:tcBorders>
              <w:top w:val="single" w:color="auto" w:sz="4" w:space="0"/>
              <w:left w:val="single" w:color="auto" w:sz="4" w:space="0"/>
              <w:bottom w:val="single" w:color="auto" w:sz="4" w:space="0"/>
              <w:right w:val="single" w:color="auto" w:sz="4" w:space="0"/>
            </w:tcBorders>
          </w:tcPr>
          <w:p w14:paraId="3CBB9AA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tcPr>
          <w:p w14:paraId="35110BD0">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14:paraId="2CEB57DE">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tcPr>
          <w:p w14:paraId="7B3BF2F1">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31A88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76A02D10">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462D6548">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423CD157">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技术服务费（含培训等）费</w:t>
            </w:r>
          </w:p>
        </w:tc>
        <w:tc>
          <w:tcPr>
            <w:tcW w:w="1440" w:type="dxa"/>
            <w:tcBorders>
              <w:top w:val="single" w:color="auto" w:sz="4" w:space="0"/>
              <w:left w:val="single" w:color="auto" w:sz="4" w:space="0"/>
              <w:bottom w:val="single" w:color="auto" w:sz="4" w:space="0"/>
              <w:right w:val="single" w:color="auto" w:sz="4" w:space="0"/>
            </w:tcBorders>
          </w:tcPr>
          <w:p w14:paraId="6A3F6362">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tcPr>
          <w:p w14:paraId="444CD753">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14:paraId="17D75757">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tcPr>
          <w:p w14:paraId="00F045B1">
            <w:pPr>
              <w:pStyle w:val="12"/>
              <w:autoSpaceDN w:val="0"/>
              <w:adjustRightInd w:val="0"/>
              <w:snapToGrid w:val="0"/>
              <w:spacing w:line="360" w:lineRule="auto"/>
              <w:rPr>
                <w:rFonts w:cs="宋体" w:asciiTheme="majorEastAsia" w:hAnsiTheme="majorEastAsia" w:eastAsiaTheme="majorEastAsia"/>
                <w:szCs w:val="21"/>
                <w:highlight w:val="none"/>
              </w:rPr>
            </w:pPr>
          </w:p>
        </w:tc>
      </w:tr>
      <w:tr w14:paraId="62B81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tcPr>
          <w:p w14:paraId="4A8434D5">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tcPr>
          <w:p w14:paraId="61750B53">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tcPr>
          <w:p w14:paraId="2AA011BE">
            <w:pPr>
              <w:pStyle w:val="12"/>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其他</w:t>
            </w:r>
          </w:p>
        </w:tc>
        <w:tc>
          <w:tcPr>
            <w:tcW w:w="1440" w:type="dxa"/>
            <w:tcBorders>
              <w:top w:val="single" w:color="auto" w:sz="4" w:space="0"/>
              <w:left w:val="single" w:color="auto" w:sz="4" w:space="0"/>
              <w:bottom w:val="single" w:color="auto" w:sz="4" w:space="0"/>
              <w:right w:val="single" w:color="auto" w:sz="4" w:space="0"/>
            </w:tcBorders>
          </w:tcPr>
          <w:p w14:paraId="2CC2D246">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tcPr>
          <w:p w14:paraId="4589ADEC">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14:paraId="317F91C0">
            <w:pPr>
              <w:pStyle w:val="12"/>
              <w:autoSpaceDN w:val="0"/>
              <w:adjustRightInd w:val="0"/>
              <w:snapToGrid w:val="0"/>
              <w:spacing w:line="360" w:lineRule="auto"/>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tcPr>
          <w:p w14:paraId="6A5570B6">
            <w:pPr>
              <w:pStyle w:val="12"/>
              <w:autoSpaceDN w:val="0"/>
              <w:adjustRightInd w:val="0"/>
              <w:snapToGrid w:val="0"/>
              <w:spacing w:line="360" w:lineRule="auto"/>
              <w:rPr>
                <w:rFonts w:cs="宋体" w:asciiTheme="majorEastAsia" w:hAnsiTheme="majorEastAsia" w:eastAsiaTheme="majorEastAsia"/>
                <w:szCs w:val="21"/>
                <w:highlight w:val="none"/>
              </w:rPr>
            </w:pPr>
          </w:p>
        </w:tc>
      </w:tr>
    </w:tbl>
    <w:p w14:paraId="510CBEDC">
      <w:pPr>
        <w:widowControl/>
        <w:spacing w:line="360" w:lineRule="auto"/>
        <w:jc w:val="left"/>
        <w:rPr>
          <w:rFonts w:cs="宋体" w:asciiTheme="majorEastAsia" w:hAnsiTheme="majorEastAsia" w:eastAsiaTheme="majorEastAsia"/>
          <w:kern w:val="0"/>
          <w:sz w:val="24"/>
          <w:highlight w:val="none"/>
        </w:rPr>
        <w:sectPr>
          <w:pgSz w:w="16838" w:h="11906" w:orient="landscape"/>
          <w:pgMar w:top="1418" w:right="1418" w:bottom="1418" w:left="1701" w:header="851" w:footer="851" w:gutter="0"/>
          <w:cols w:space="720" w:num="1"/>
          <w:docGrid w:linePitch="312" w:charSpace="0"/>
        </w:sectPr>
      </w:pPr>
    </w:p>
    <w:p w14:paraId="7C44E124">
      <w:pPr>
        <w:autoSpaceDN w:val="0"/>
        <w:adjustRightInd w:val="0"/>
        <w:snapToGrid w:val="0"/>
        <w:spacing w:line="360" w:lineRule="auto"/>
        <w:jc w:val="center"/>
        <w:outlineLvl w:val="0"/>
        <w:rPr>
          <w:rFonts w:cs="宋体" w:asciiTheme="majorEastAsia" w:hAnsiTheme="majorEastAsia" w:eastAsiaTheme="majorEastAsia"/>
          <w:szCs w:val="21"/>
          <w:highlight w:val="none"/>
        </w:rPr>
      </w:pPr>
      <w:bookmarkStart w:id="88" w:name="_Toc9933"/>
      <w:r>
        <w:rPr>
          <w:rFonts w:hint="eastAsia" w:cs="宋体" w:asciiTheme="majorEastAsia" w:hAnsiTheme="majorEastAsia" w:eastAsiaTheme="majorEastAsia"/>
          <w:b/>
          <w:bCs/>
          <w:kern w:val="44"/>
          <w:sz w:val="44"/>
          <w:szCs w:val="44"/>
          <w:highlight w:val="none"/>
        </w:rPr>
        <w:t xml:space="preserve">第六部分  </w:t>
      </w:r>
      <w:bookmarkEnd w:id="86"/>
      <w:r>
        <w:rPr>
          <w:rFonts w:hint="eastAsia" w:cs="宋体" w:asciiTheme="majorEastAsia" w:hAnsiTheme="majorEastAsia" w:eastAsiaTheme="majorEastAsia"/>
          <w:b/>
          <w:bCs/>
          <w:kern w:val="44"/>
          <w:sz w:val="44"/>
          <w:szCs w:val="44"/>
          <w:highlight w:val="none"/>
        </w:rPr>
        <w:t>投标文件格式</w:t>
      </w:r>
      <w:bookmarkEnd w:id="88"/>
    </w:p>
    <w:p w14:paraId="12958CF4">
      <w:pPr>
        <w:autoSpaceDN w:val="0"/>
        <w:adjustRightInd w:val="0"/>
        <w:snapToGrid w:val="0"/>
        <w:spacing w:line="360" w:lineRule="auto"/>
        <w:rPr>
          <w:rFonts w:cs="宋体" w:asciiTheme="majorEastAsia" w:hAnsiTheme="majorEastAsia" w:eastAsiaTheme="majorEastAsia"/>
          <w:szCs w:val="21"/>
          <w:highlight w:val="none"/>
        </w:rPr>
      </w:pPr>
      <w:bookmarkStart w:id="89" w:name="_Toc247085872"/>
      <w:bookmarkStart w:id="90" w:name="_Toc179632806"/>
      <w:bookmarkStart w:id="91" w:name="_Toc246997097"/>
      <w:bookmarkStart w:id="92" w:name="_Toc152045786"/>
      <w:bookmarkStart w:id="93" w:name="_Toc152042575"/>
      <w:bookmarkStart w:id="94" w:name="_Toc246996354"/>
      <w:bookmarkStart w:id="95" w:name="_Toc144974855"/>
    </w:p>
    <w:p w14:paraId="28E76EA6">
      <w:pPr>
        <w:autoSpaceDN w:val="0"/>
        <w:adjustRightInd w:val="0"/>
        <w:snapToGrid w:val="0"/>
        <w:spacing w:line="360" w:lineRule="auto"/>
        <w:rPr>
          <w:rFonts w:cs="宋体" w:asciiTheme="majorEastAsia" w:hAnsiTheme="majorEastAsia" w:eastAsiaTheme="majorEastAsia"/>
          <w:sz w:val="24"/>
          <w:highlight w:val="none"/>
        </w:rPr>
      </w:pPr>
    </w:p>
    <w:p w14:paraId="06EE30BE">
      <w:pPr>
        <w:autoSpaceDN w:val="0"/>
        <w:adjustRightInd w:val="0"/>
        <w:snapToGrid w:val="0"/>
        <w:spacing w:line="360" w:lineRule="auto"/>
        <w:rPr>
          <w:rFonts w:cs="宋体" w:asciiTheme="majorEastAsia" w:hAnsiTheme="majorEastAsia" w:eastAsiaTheme="majorEastAsia"/>
          <w:sz w:val="24"/>
          <w:highlight w:val="none"/>
        </w:rPr>
      </w:pPr>
    </w:p>
    <w:p w14:paraId="34395061">
      <w:pPr>
        <w:autoSpaceDN w:val="0"/>
        <w:adjustRightInd w:val="0"/>
        <w:snapToGrid w:val="0"/>
        <w:spacing w:line="360" w:lineRule="auto"/>
        <w:rPr>
          <w:rFonts w:cs="宋体" w:asciiTheme="majorEastAsia" w:hAnsiTheme="majorEastAsia" w:eastAsiaTheme="majorEastAsia"/>
          <w:sz w:val="24"/>
          <w:highlight w:val="none"/>
        </w:rPr>
      </w:pPr>
    </w:p>
    <w:p w14:paraId="4E0E1B2D">
      <w:pPr>
        <w:spacing w:line="300" w:lineRule="auto"/>
        <w:jc w:val="center"/>
        <w:rPr>
          <w:rFonts w:ascii="宋体" w:hAnsi="宋体"/>
          <w:sz w:val="20"/>
          <w:szCs w:val="20"/>
          <w:highlight w:val="none"/>
        </w:rPr>
      </w:pPr>
      <w:r>
        <w:rPr>
          <w:rFonts w:hint="eastAsia" w:ascii="宋体" w:hAnsi="宋体"/>
          <w:sz w:val="28"/>
          <w:szCs w:val="28"/>
          <w:highlight w:val="none"/>
          <w:u w:val="single"/>
        </w:rPr>
        <w:t xml:space="preserve">                </w:t>
      </w:r>
      <w:r>
        <w:rPr>
          <w:rFonts w:ascii="宋体" w:hAnsi="宋体"/>
          <w:sz w:val="28"/>
          <w:szCs w:val="28"/>
          <w:highlight w:val="none"/>
        </w:rPr>
        <w:t>（项目名称）</w:t>
      </w:r>
    </w:p>
    <w:p w14:paraId="7BA980F8">
      <w:pPr>
        <w:spacing w:line="300" w:lineRule="auto"/>
        <w:rPr>
          <w:rFonts w:ascii="宋体" w:hAnsi="宋体"/>
          <w:sz w:val="20"/>
          <w:szCs w:val="20"/>
          <w:highlight w:val="none"/>
        </w:rPr>
      </w:pPr>
    </w:p>
    <w:p w14:paraId="7FD4C05C">
      <w:pPr>
        <w:spacing w:line="300" w:lineRule="auto"/>
        <w:rPr>
          <w:rFonts w:ascii="宋体" w:hAnsi="宋体"/>
          <w:sz w:val="20"/>
          <w:szCs w:val="20"/>
          <w:highlight w:val="none"/>
        </w:rPr>
      </w:pPr>
    </w:p>
    <w:p w14:paraId="24BB54F8">
      <w:pPr>
        <w:spacing w:line="300" w:lineRule="auto"/>
        <w:jc w:val="center"/>
        <w:rPr>
          <w:rFonts w:ascii="宋体" w:hAnsi="宋体"/>
          <w:sz w:val="44"/>
          <w:szCs w:val="44"/>
          <w:highlight w:val="none"/>
        </w:rPr>
      </w:pPr>
      <w:r>
        <w:rPr>
          <w:rFonts w:ascii="宋体" w:hAnsi="宋体"/>
          <w:sz w:val="44"/>
          <w:szCs w:val="44"/>
          <w:highlight w:val="none"/>
        </w:rPr>
        <w:t>投  标  文  件</w:t>
      </w:r>
    </w:p>
    <w:p w14:paraId="73155597">
      <w:pPr>
        <w:spacing w:line="300" w:lineRule="auto"/>
        <w:rPr>
          <w:rFonts w:ascii="宋体" w:hAnsi="宋体"/>
          <w:sz w:val="28"/>
          <w:szCs w:val="28"/>
          <w:highlight w:val="none"/>
        </w:rPr>
      </w:pPr>
    </w:p>
    <w:p w14:paraId="753244AC">
      <w:pPr>
        <w:spacing w:line="300" w:lineRule="auto"/>
        <w:rPr>
          <w:rFonts w:ascii="宋体" w:hAnsi="宋体"/>
          <w:sz w:val="28"/>
          <w:szCs w:val="28"/>
          <w:highlight w:val="none"/>
        </w:rPr>
      </w:pPr>
    </w:p>
    <w:p w14:paraId="7F015ECE">
      <w:pPr>
        <w:jc w:val="center"/>
        <w:rPr>
          <w:rFonts w:ascii="宋体" w:hAnsi="宋体"/>
          <w:sz w:val="28"/>
          <w:szCs w:val="28"/>
          <w:highlight w:val="none"/>
        </w:rPr>
      </w:pPr>
    </w:p>
    <w:p w14:paraId="050EE78A">
      <w:pPr>
        <w:jc w:val="center"/>
        <w:rPr>
          <w:rFonts w:ascii="宋体" w:hAnsi="宋体"/>
          <w:sz w:val="28"/>
          <w:szCs w:val="28"/>
          <w:highlight w:val="none"/>
        </w:rPr>
      </w:pPr>
      <w:r>
        <w:rPr>
          <w:rFonts w:hint="eastAsia" w:ascii="宋体" w:hAnsi="宋体"/>
          <w:sz w:val="28"/>
          <w:szCs w:val="28"/>
          <w:highlight w:val="none"/>
        </w:rPr>
        <w:t>项目编号：</w:t>
      </w:r>
    </w:p>
    <w:p w14:paraId="5EB05EDA">
      <w:pPr>
        <w:spacing w:line="300" w:lineRule="auto"/>
        <w:rPr>
          <w:rFonts w:ascii="宋体" w:hAnsi="宋体"/>
          <w:sz w:val="28"/>
          <w:szCs w:val="28"/>
          <w:highlight w:val="none"/>
        </w:rPr>
      </w:pPr>
    </w:p>
    <w:p w14:paraId="1B69DE10">
      <w:pPr>
        <w:spacing w:line="300" w:lineRule="auto"/>
        <w:rPr>
          <w:rFonts w:ascii="宋体" w:hAnsi="宋体"/>
          <w:sz w:val="28"/>
          <w:szCs w:val="28"/>
          <w:highlight w:val="none"/>
        </w:rPr>
      </w:pPr>
    </w:p>
    <w:p w14:paraId="3094EB45">
      <w:pPr>
        <w:spacing w:line="300" w:lineRule="auto"/>
        <w:rPr>
          <w:rFonts w:ascii="宋体" w:hAnsi="宋体"/>
          <w:sz w:val="28"/>
          <w:szCs w:val="28"/>
          <w:highlight w:val="none"/>
        </w:rPr>
      </w:pPr>
    </w:p>
    <w:p w14:paraId="09A17A81">
      <w:pPr>
        <w:pStyle w:val="39"/>
        <w:numPr>
          <w:ilvl w:val="0"/>
          <w:numId w:val="0"/>
        </w:numPr>
        <w:rPr>
          <w:rFonts w:ascii="宋体" w:hAnsi="宋体"/>
          <w:sz w:val="28"/>
          <w:szCs w:val="28"/>
          <w:highlight w:val="none"/>
        </w:rPr>
      </w:pPr>
    </w:p>
    <w:p w14:paraId="09C1EC93">
      <w:pPr>
        <w:pStyle w:val="39"/>
        <w:numPr>
          <w:ilvl w:val="0"/>
          <w:numId w:val="0"/>
        </w:numPr>
        <w:rPr>
          <w:rFonts w:ascii="宋体" w:hAnsi="宋体"/>
          <w:sz w:val="28"/>
          <w:szCs w:val="28"/>
          <w:highlight w:val="none"/>
        </w:rPr>
      </w:pPr>
    </w:p>
    <w:p w14:paraId="14F00D46">
      <w:pPr>
        <w:pStyle w:val="39"/>
        <w:numPr>
          <w:ilvl w:val="0"/>
          <w:numId w:val="0"/>
        </w:numPr>
        <w:rPr>
          <w:rFonts w:ascii="宋体" w:hAnsi="宋体"/>
          <w:sz w:val="28"/>
          <w:szCs w:val="28"/>
          <w:highlight w:val="none"/>
        </w:rPr>
      </w:pPr>
    </w:p>
    <w:p w14:paraId="593655CF">
      <w:pPr>
        <w:pStyle w:val="39"/>
        <w:numPr>
          <w:ilvl w:val="0"/>
          <w:numId w:val="0"/>
        </w:numPr>
        <w:rPr>
          <w:rFonts w:ascii="宋体" w:hAnsi="宋体"/>
          <w:sz w:val="28"/>
          <w:szCs w:val="28"/>
          <w:highlight w:val="none"/>
        </w:rPr>
      </w:pPr>
    </w:p>
    <w:p w14:paraId="72F3D9A1">
      <w:pPr>
        <w:spacing w:line="300" w:lineRule="auto"/>
        <w:jc w:val="center"/>
        <w:rPr>
          <w:rFonts w:ascii="宋体" w:hAnsi="宋体"/>
          <w:sz w:val="28"/>
          <w:szCs w:val="28"/>
          <w:highlight w:val="none"/>
          <w:u w:val="single"/>
        </w:rPr>
      </w:pPr>
      <w:r>
        <w:rPr>
          <w:rFonts w:hint="eastAsia" w:ascii="宋体" w:hAnsi="宋体"/>
          <w:sz w:val="28"/>
          <w:szCs w:val="28"/>
          <w:highlight w:val="none"/>
          <w:lang w:eastAsia="zh-CN"/>
        </w:rPr>
        <w:t>投标人</w:t>
      </w:r>
      <w:r>
        <w:rPr>
          <w:rFonts w:ascii="宋体" w:hAnsi="宋体"/>
          <w:sz w:val="28"/>
          <w:szCs w:val="28"/>
          <w:highlight w:val="none"/>
        </w:rPr>
        <w:t>：</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ascii="宋体" w:hAnsi="宋体"/>
          <w:sz w:val="28"/>
          <w:szCs w:val="28"/>
          <w:highlight w:val="none"/>
        </w:rPr>
        <w:t>（盖单位章）</w:t>
      </w:r>
    </w:p>
    <w:p w14:paraId="3372A9D2">
      <w:pPr>
        <w:spacing w:line="300" w:lineRule="auto"/>
        <w:jc w:val="center"/>
        <w:rPr>
          <w:rFonts w:ascii="宋体" w:hAnsi="宋体"/>
          <w:sz w:val="28"/>
          <w:szCs w:val="28"/>
          <w:highlight w:val="none"/>
        </w:rPr>
      </w:pPr>
      <w:r>
        <w:rPr>
          <w:rFonts w:ascii="宋体" w:hAnsi="宋体"/>
          <w:sz w:val="28"/>
          <w:szCs w:val="28"/>
          <w:highlight w:val="none"/>
        </w:rPr>
        <w:t>法定代表人或其委托代理人：</w:t>
      </w:r>
      <w:r>
        <w:rPr>
          <w:rFonts w:ascii="宋体" w:hAnsi="宋体"/>
          <w:sz w:val="28"/>
          <w:szCs w:val="28"/>
          <w:highlight w:val="none"/>
          <w:u w:val="single"/>
        </w:rPr>
        <w:t xml:space="preserve">                </w:t>
      </w:r>
      <w:r>
        <w:rPr>
          <w:rFonts w:ascii="宋体" w:hAnsi="宋体"/>
          <w:sz w:val="28"/>
          <w:szCs w:val="28"/>
          <w:highlight w:val="none"/>
        </w:rPr>
        <w:t>（签字</w:t>
      </w:r>
      <w:r>
        <w:rPr>
          <w:rFonts w:hint="eastAsia" w:ascii="宋体" w:hAnsi="宋体"/>
          <w:sz w:val="28"/>
          <w:szCs w:val="28"/>
          <w:highlight w:val="none"/>
        </w:rPr>
        <w:t>或盖章</w:t>
      </w:r>
      <w:r>
        <w:rPr>
          <w:rFonts w:ascii="宋体" w:hAnsi="宋体"/>
          <w:sz w:val="28"/>
          <w:szCs w:val="28"/>
          <w:highlight w:val="none"/>
        </w:rPr>
        <w:t>）</w:t>
      </w:r>
    </w:p>
    <w:p w14:paraId="3D1CE230">
      <w:pPr>
        <w:spacing w:line="300" w:lineRule="auto"/>
        <w:jc w:val="center"/>
        <w:rPr>
          <w:rFonts w:ascii="宋体" w:hAnsi="宋体"/>
          <w:sz w:val="28"/>
          <w:szCs w:val="28"/>
          <w:highlight w:val="none"/>
        </w:rPr>
      </w:pPr>
      <w:r>
        <w:rPr>
          <w:rFonts w:ascii="宋体" w:hAnsi="宋体"/>
          <w:sz w:val="28"/>
          <w:szCs w:val="28"/>
          <w:highlight w:val="none"/>
          <w:u w:val="single"/>
        </w:rPr>
        <w:t xml:space="preserve">        </w:t>
      </w:r>
      <w:r>
        <w:rPr>
          <w:rFonts w:ascii="宋体" w:hAnsi="宋体"/>
          <w:sz w:val="28"/>
          <w:szCs w:val="28"/>
          <w:highlight w:val="none"/>
        </w:rPr>
        <w:t>年</w:t>
      </w:r>
      <w:r>
        <w:rPr>
          <w:rFonts w:ascii="宋体" w:hAnsi="宋体"/>
          <w:sz w:val="28"/>
          <w:szCs w:val="28"/>
          <w:highlight w:val="none"/>
          <w:u w:val="single"/>
        </w:rPr>
        <w:t xml:space="preserve">        </w:t>
      </w:r>
      <w:r>
        <w:rPr>
          <w:rFonts w:ascii="宋体" w:hAnsi="宋体"/>
          <w:sz w:val="28"/>
          <w:szCs w:val="28"/>
          <w:highlight w:val="none"/>
        </w:rPr>
        <w:t>月</w:t>
      </w:r>
      <w:r>
        <w:rPr>
          <w:rFonts w:ascii="宋体" w:hAnsi="宋体"/>
          <w:sz w:val="28"/>
          <w:szCs w:val="28"/>
          <w:highlight w:val="none"/>
          <w:u w:val="single"/>
        </w:rPr>
        <w:t xml:space="preserve">        </w:t>
      </w:r>
      <w:r>
        <w:rPr>
          <w:rFonts w:ascii="宋体" w:hAnsi="宋体"/>
          <w:sz w:val="28"/>
          <w:szCs w:val="28"/>
          <w:highlight w:val="none"/>
        </w:rPr>
        <w:t>日</w:t>
      </w:r>
    </w:p>
    <w:p w14:paraId="252CED77">
      <w:pPr>
        <w:spacing w:line="300" w:lineRule="auto"/>
        <w:jc w:val="center"/>
        <w:rPr>
          <w:rFonts w:ascii="宋体" w:hAnsi="宋体"/>
          <w:highlight w:val="none"/>
        </w:rPr>
      </w:pPr>
      <w:r>
        <w:rPr>
          <w:rFonts w:ascii="宋体" w:hAnsi="宋体"/>
          <w:sz w:val="20"/>
          <w:szCs w:val="20"/>
          <w:highlight w:val="none"/>
        </w:rPr>
        <w:br w:type="page"/>
      </w:r>
      <w:bookmarkStart w:id="96" w:name="_Toc351644310"/>
      <w:bookmarkStart w:id="97" w:name="_Toc350070692"/>
    </w:p>
    <w:p w14:paraId="2BEAF456">
      <w:pPr>
        <w:pStyle w:val="2"/>
        <w:spacing w:before="0" w:after="0" w:line="300" w:lineRule="auto"/>
        <w:jc w:val="center"/>
        <w:rPr>
          <w:rFonts w:ascii="宋体" w:hAnsi="宋体" w:eastAsia="宋体"/>
          <w:highlight w:val="none"/>
        </w:rPr>
      </w:pPr>
      <w:bookmarkStart w:id="98" w:name="_Toc468267480"/>
      <w:bookmarkStart w:id="99" w:name="_Toc409424403"/>
      <w:bookmarkStart w:id="100" w:name="_Toc409424342"/>
      <w:r>
        <w:rPr>
          <w:rFonts w:hint="eastAsia" w:ascii="宋体" w:hAnsi="宋体" w:eastAsia="宋体"/>
          <w:highlight w:val="none"/>
        </w:rPr>
        <w:t>目    录</w:t>
      </w:r>
      <w:bookmarkEnd w:id="96"/>
      <w:bookmarkEnd w:id="97"/>
      <w:bookmarkEnd w:id="98"/>
      <w:bookmarkEnd w:id="99"/>
      <w:bookmarkEnd w:id="100"/>
    </w:p>
    <w:p w14:paraId="5C2CEA6C">
      <w:pPr>
        <w:spacing w:line="300" w:lineRule="auto"/>
        <w:rPr>
          <w:rFonts w:ascii="宋体" w:hAnsi="宋体"/>
          <w:highlight w:val="none"/>
        </w:rPr>
      </w:pPr>
    </w:p>
    <w:p w14:paraId="2018C231">
      <w:pPr>
        <w:snapToGrid w:val="0"/>
        <w:spacing w:line="360" w:lineRule="auto"/>
        <w:rPr>
          <w:rFonts w:ascii="宋体" w:hAnsi="宋体"/>
          <w:szCs w:val="21"/>
          <w:highlight w:val="none"/>
        </w:rPr>
      </w:pPr>
      <w:r>
        <w:rPr>
          <w:rFonts w:hint="eastAsia" w:ascii="宋体" w:hAnsi="宋体"/>
          <w:szCs w:val="21"/>
          <w:highlight w:val="none"/>
        </w:rPr>
        <w:t>格式自拟</w:t>
      </w:r>
    </w:p>
    <w:p w14:paraId="5A9ED96D">
      <w:pPr>
        <w:spacing w:line="360" w:lineRule="auto"/>
        <w:rPr>
          <w:rFonts w:ascii="宋体" w:hAnsi="宋体"/>
          <w:sz w:val="20"/>
          <w:szCs w:val="20"/>
          <w:highlight w:val="none"/>
        </w:rPr>
      </w:pPr>
      <w:r>
        <w:rPr>
          <w:rFonts w:ascii="宋体" w:hAnsi="宋体"/>
          <w:highlight w:val="none"/>
        </w:rPr>
        <w:br w:type="page"/>
      </w:r>
    </w:p>
    <w:p w14:paraId="314524E6">
      <w:pPr>
        <w:pStyle w:val="2"/>
        <w:spacing w:before="0" w:after="0" w:line="300" w:lineRule="auto"/>
        <w:jc w:val="center"/>
        <w:rPr>
          <w:rFonts w:ascii="宋体" w:hAnsi="宋体" w:eastAsia="宋体"/>
          <w:highlight w:val="none"/>
        </w:rPr>
      </w:pPr>
      <w:bookmarkStart w:id="101" w:name="_Toc409424343"/>
      <w:bookmarkStart w:id="102" w:name="_Toc468267481"/>
      <w:bookmarkStart w:id="103" w:name="_Toc351644311"/>
      <w:bookmarkStart w:id="104" w:name="_Toc409424404"/>
      <w:bookmarkStart w:id="105" w:name="_Toc350070693"/>
      <w:r>
        <w:rPr>
          <w:rFonts w:ascii="宋体" w:hAnsi="宋体" w:eastAsia="宋体"/>
          <w:highlight w:val="none"/>
        </w:rPr>
        <w:t>一、投标函及投标函附录</w:t>
      </w:r>
      <w:bookmarkEnd w:id="101"/>
      <w:bookmarkEnd w:id="102"/>
      <w:bookmarkEnd w:id="103"/>
      <w:bookmarkEnd w:id="104"/>
      <w:bookmarkEnd w:id="105"/>
    </w:p>
    <w:p w14:paraId="5A2045ED">
      <w:pPr>
        <w:pStyle w:val="4"/>
        <w:spacing w:before="0" w:after="0" w:line="300" w:lineRule="auto"/>
        <w:jc w:val="center"/>
        <w:rPr>
          <w:rFonts w:ascii="宋体" w:hAnsi="宋体"/>
          <w:highlight w:val="none"/>
        </w:rPr>
      </w:pPr>
      <w:bookmarkStart w:id="106" w:name="_Toc351644312"/>
      <w:bookmarkStart w:id="107" w:name="_Toc409424344"/>
      <w:bookmarkStart w:id="108" w:name="_Toc350070694"/>
      <w:bookmarkStart w:id="109" w:name="_Toc468267482"/>
      <w:bookmarkStart w:id="110" w:name="_Toc409424405"/>
      <w:bookmarkStart w:id="111" w:name="_Toc409424406"/>
      <w:bookmarkStart w:id="112" w:name="_Toc350070695"/>
      <w:bookmarkStart w:id="113" w:name="_Toc351644313"/>
      <w:bookmarkStart w:id="114" w:name="_Toc468267483"/>
      <w:bookmarkStart w:id="115" w:name="_Toc409424345"/>
      <w:r>
        <w:rPr>
          <w:rFonts w:ascii="宋体" w:hAnsi="宋体"/>
          <w:highlight w:val="none"/>
        </w:rPr>
        <w:t>（一）投标函</w:t>
      </w:r>
      <w:bookmarkEnd w:id="106"/>
      <w:bookmarkEnd w:id="107"/>
      <w:bookmarkEnd w:id="108"/>
      <w:bookmarkEnd w:id="109"/>
      <w:bookmarkEnd w:id="110"/>
    </w:p>
    <w:p w14:paraId="289076C5">
      <w:pPr>
        <w:spacing w:line="300" w:lineRule="auto"/>
        <w:rPr>
          <w:rFonts w:ascii="宋体" w:hAnsi="宋体"/>
          <w:szCs w:val="21"/>
          <w:highlight w:val="none"/>
        </w:rPr>
      </w:pPr>
      <w:r>
        <w:rPr>
          <w:rFonts w:ascii="宋体" w:hAnsi="宋体"/>
          <w:szCs w:val="21"/>
          <w:highlight w:val="none"/>
          <w:u w:val="single"/>
        </w:rPr>
        <w:t xml:space="preserve">                        </w:t>
      </w:r>
      <w:r>
        <w:rPr>
          <w:rFonts w:ascii="宋体" w:hAnsi="宋体"/>
          <w:szCs w:val="21"/>
          <w:highlight w:val="none"/>
        </w:rPr>
        <w:t>（采购人名称）：</w:t>
      </w:r>
    </w:p>
    <w:p w14:paraId="2F8B5AEF">
      <w:pPr>
        <w:spacing w:line="300" w:lineRule="auto"/>
        <w:rPr>
          <w:rFonts w:ascii="宋体" w:hAnsi="宋体"/>
          <w:szCs w:val="21"/>
          <w:highlight w:val="none"/>
        </w:rPr>
      </w:pPr>
    </w:p>
    <w:p w14:paraId="089DFA45">
      <w:pPr>
        <w:spacing w:line="300" w:lineRule="auto"/>
        <w:ind w:firstLine="420" w:firstLineChars="200"/>
        <w:rPr>
          <w:rFonts w:hint="eastAsia" w:ascii="宋体" w:hAnsi="宋体" w:eastAsia="宋体"/>
          <w:szCs w:val="21"/>
          <w:highlight w:val="none"/>
          <w:lang w:eastAsia="zh-CN"/>
        </w:rPr>
      </w:pPr>
      <w:r>
        <w:rPr>
          <w:rFonts w:ascii="宋体" w:hAnsi="宋体"/>
          <w:szCs w:val="21"/>
          <w:highlight w:val="none"/>
        </w:rPr>
        <w:t>1．我方已仔细研究了</w:t>
      </w:r>
      <w:r>
        <w:rPr>
          <w:rFonts w:ascii="宋体" w:hAnsi="宋体"/>
          <w:szCs w:val="21"/>
          <w:highlight w:val="none"/>
          <w:u w:val="single"/>
        </w:rPr>
        <w:t xml:space="preserve">    </w:t>
      </w:r>
      <w:r>
        <w:rPr>
          <w:rFonts w:hint="eastAsia" w:ascii="宋体" w:hAnsi="宋体"/>
          <w:szCs w:val="21"/>
          <w:highlight w:val="none"/>
          <w:u w:val="single"/>
        </w:rPr>
        <w:t xml:space="preserve">    项目</w:t>
      </w:r>
      <w:r>
        <w:rPr>
          <w:rFonts w:hint="eastAsia" w:ascii="宋体" w:hAnsi="宋体"/>
          <w:szCs w:val="21"/>
          <w:highlight w:val="none"/>
          <w:u w:val="single"/>
          <w:lang w:val="en-US" w:eastAsia="zh-CN"/>
        </w:rPr>
        <w:t>名称</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招标文件的全部内容，愿意以人民币（大写）</w:t>
      </w:r>
      <w:r>
        <w:rPr>
          <w:rFonts w:ascii="宋体" w:hAnsi="宋体"/>
          <w:szCs w:val="21"/>
          <w:highlight w:val="none"/>
          <w:u w:val="non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元</w:t>
      </w:r>
      <w:r>
        <w:rPr>
          <w:rFonts w:ascii="宋体" w:hAnsi="宋体"/>
          <w:szCs w:val="21"/>
          <w:highlight w:val="none"/>
        </w:rPr>
        <w:t>）的</w:t>
      </w:r>
      <w:r>
        <w:rPr>
          <w:rFonts w:hint="eastAsia" w:ascii="宋体" w:hAnsi="宋体"/>
          <w:szCs w:val="21"/>
          <w:highlight w:val="none"/>
        </w:rPr>
        <w:t>价格</w:t>
      </w:r>
      <w:r>
        <w:rPr>
          <w:rFonts w:ascii="宋体" w:hAnsi="宋体"/>
          <w:szCs w:val="21"/>
          <w:highlight w:val="none"/>
        </w:rPr>
        <w:t>投标，</w:t>
      </w:r>
      <w:r>
        <w:rPr>
          <w:rFonts w:hint="eastAsia" w:ascii="宋体" w:hAnsi="宋体"/>
          <w:szCs w:val="21"/>
          <w:highlight w:val="none"/>
        </w:rPr>
        <w:t>合同履行期限</w:t>
      </w:r>
      <w:r>
        <w:rPr>
          <w:rFonts w:hint="eastAsia" w:ascii="宋体" w:hAnsi="宋体"/>
          <w:szCs w:val="21"/>
          <w:highlight w:val="none"/>
          <w:lang w:eastAsia="zh-CN"/>
        </w:rPr>
        <w:t>：</w:t>
      </w:r>
      <w:r>
        <w:rPr>
          <w:rFonts w:hint="eastAsia"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按合同约定实施和完成承包</w:t>
      </w:r>
      <w:r>
        <w:rPr>
          <w:rFonts w:hint="eastAsia" w:ascii="宋体" w:hAnsi="宋体"/>
          <w:szCs w:val="21"/>
          <w:highlight w:val="none"/>
        </w:rPr>
        <w:t>项目</w:t>
      </w:r>
      <w:r>
        <w:rPr>
          <w:rFonts w:ascii="宋体" w:hAnsi="宋体"/>
          <w:szCs w:val="21"/>
          <w:highlight w:val="none"/>
        </w:rPr>
        <w:t>，质量达到</w:t>
      </w:r>
      <w:r>
        <w:rPr>
          <w:rFonts w:ascii="宋体" w:hAnsi="宋体"/>
          <w:szCs w:val="21"/>
          <w:highlight w:val="none"/>
          <w:u w:val="single"/>
        </w:rPr>
        <w:t xml:space="preserve">           </w:t>
      </w:r>
      <w:r>
        <w:rPr>
          <w:rFonts w:hint="eastAsia" w:ascii="宋体" w:hAnsi="宋体"/>
          <w:szCs w:val="21"/>
          <w:highlight w:val="none"/>
          <w:u w:val="single"/>
          <w:lang w:eastAsia="zh-CN"/>
        </w:rPr>
        <w:t>。</w:t>
      </w:r>
    </w:p>
    <w:p w14:paraId="4C699DF3">
      <w:pPr>
        <w:spacing w:line="300" w:lineRule="auto"/>
        <w:ind w:firstLine="420" w:firstLineChars="200"/>
        <w:rPr>
          <w:rFonts w:ascii="宋体" w:hAnsi="宋体"/>
          <w:szCs w:val="21"/>
          <w:highlight w:val="none"/>
        </w:rPr>
      </w:pPr>
      <w:r>
        <w:rPr>
          <w:rFonts w:ascii="宋体" w:hAnsi="宋体"/>
          <w:szCs w:val="21"/>
          <w:highlight w:val="none"/>
        </w:rPr>
        <w:t>2．我方承诺在</w:t>
      </w:r>
      <w:r>
        <w:rPr>
          <w:rFonts w:hint="eastAsia" w:ascii="宋体" w:hAnsi="宋体"/>
          <w:szCs w:val="21"/>
          <w:highlight w:val="none"/>
        </w:rPr>
        <w:t>招标文件规定的</w:t>
      </w:r>
      <w:r>
        <w:rPr>
          <w:rFonts w:ascii="宋体" w:hAnsi="宋体"/>
          <w:szCs w:val="21"/>
          <w:highlight w:val="none"/>
        </w:rPr>
        <w:t>投标有效期内不修改、撤销投标文件。</w:t>
      </w:r>
    </w:p>
    <w:p w14:paraId="77113BA4">
      <w:pPr>
        <w:spacing w:line="300" w:lineRule="auto"/>
        <w:ind w:firstLine="420" w:firstLineChars="200"/>
        <w:rPr>
          <w:rFonts w:ascii="宋体" w:hAnsi="宋体"/>
          <w:szCs w:val="21"/>
          <w:highlight w:val="none"/>
        </w:rPr>
      </w:pPr>
      <w:r>
        <w:rPr>
          <w:rFonts w:ascii="宋体" w:hAnsi="宋体"/>
          <w:szCs w:val="21"/>
          <w:highlight w:val="none"/>
        </w:rPr>
        <w:t>3．随同本投标函提交投标保证金一份，金额为人民币（大写）</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50364D29">
      <w:pPr>
        <w:spacing w:line="300" w:lineRule="auto"/>
        <w:ind w:firstLine="420" w:firstLineChars="200"/>
        <w:rPr>
          <w:rFonts w:ascii="宋体" w:hAnsi="宋体"/>
          <w:szCs w:val="21"/>
          <w:highlight w:val="none"/>
        </w:rPr>
      </w:pPr>
      <w:r>
        <w:rPr>
          <w:rFonts w:ascii="宋体" w:hAnsi="宋体"/>
          <w:szCs w:val="21"/>
          <w:highlight w:val="none"/>
        </w:rPr>
        <w:t>4．如我方中标：</w:t>
      </w:r>
    </w:p>
    <w:p w14:paraId="77441E13">
      <w:pPr>
        <w:spacing w:line="300" w:lineRule="auto"/>
        <w:ind w:firstLine="718" w:firstLineChars="342"/>
        <w:rPr>
          <w:rFonts w:ascii="宋体" w:hAnsi="宋体"/>
          <w:szCs w:val="21"/>
          <w:highlight w:val="none"/>
        </w:rPr>
      </w:pPr>
      <w:r>
        <w:rPr>
          <w:rFonts w:ascii="宋体" w:hAnsi="宋体"/>
          <w:szCs w:val="21"/>
          <w:highlight w:val="none"/>
        </w:rPr>
        <w:t>（1）我方承诺在收到中标通知书后，在中标通知书规定的期限内与你方签订合同。</w:t>
      </w:r>
    </w:p>
    <w:p w14:paraId="3E10C248">
      <w:pPr>
        <w:spacing w:line="300" w:lineRule="auto"/>
        <w:ind w:firstLine="718" w:firstLineChars="342"/>
        <w:rPr>
          <w:rFonts w:ascii="宋体" w:hAnsi="宋体"/>
          <w:szCs w:val="21"/>
          <w:highlight w:val="none"/>
        </w:rPr>
      </w:pPr>
      <w:r>
        <w:rPr>
          <w:rFonts w:ascii="宋体" w:hAnsi="宋体"/>
          <w:szCs w:val="21"/>
          <w:highlight w:val="none"/>
        </w:rPr>
        <w:t>（2）随同本投标函递交的投标函</w:t>
      </w:r>
      <w:r>
        <w:rPr>
          <w:rFonts w:hint="eastAsia" w:ascii="宋体" w:hAnsi="宋体"/>
          <w:szCs w:val="21"/>
          <w:highlight w:val="none"/>
        </w:rPr>
        <w:t xml:space="preserve"> </w:t>
      </w:r>
      <w:r>
        <w:rPr>
          <w:rFonts w:ascii="宋体" w:hAnsi="宋体"/>
          <w:szCs w:val="21"/>
          <w:highlight w:val="none"/>
        </w:rPr>
        <w:t>附录属于合同文件的组成部分。</w:t>
      </w:r>
    </w:p>
    <w:p w14:paraId="3AC2BA0E">
      <w:pPr>
        <w:spacing w:line="300" w:lineRule="auto"/>
        <w:ind w:firstLine="718" w:firstLineChars="342"/>
        <w:rPr>
          <w:rFonts w:ascii="宋体" w:hAnsi="宋体"/>
          <w:szCs w:val="21"/>
          <w:highlight w:val="none"/>
        </w:rPr>
      </w:pPr>
      <w:r>
        <w:rPr>
          <w:rFonts w:hint="eastAsia" w:ascii="宋体" w:hAnsi="宋体"/>
          <w:szCs w:val="21"/>
          <w:highlight w:val="none"/>
        </w:rPr>
        <w:t>（3）</w:t>
      </w:r>
      <w:r>
        <w:rPr>
          <w:rFonts w:ascii="宋体" w:hAnsi="宋体"/>
          <w:szCs w:val="21"/>
          <w:highlight w:val="none"/>
        </w:rPr>
        <w:t>我方承诺在合同约定的期限内完成并移交全部合同</w:t>
      </w:r>
      <w:r>
        <w:rPr>
          <w:rFonts w:hint="eastAsia" w:ascii="宋体" w:hAnsi="宋体"/>
          <w:szCs w:val="21"/>
          <w:highlight w:val="none"/>
        </w:rPr>
        <w:t>项目</w:t>
      </w:r>
      <w:r>
        <w:rPr>
          <w:rFonts w:ascii="宋体" w:hAnsi="宋体"/>
          <w:szCs w:val="21"/>
          <w:highlight w:val="none"/>
        </w:rPr>
        <w:t>。</w:t>
      </w:r>
    </w:p>
    <w:p w14:paraId="725C5B3E">
      <w:pPr>
        <w:spacing w:line="300" w:lineRule="auto"/>
        <w:ind w:firstLine="420" w:firstLineChars="200"/>
        <w:rPr>
          <w:rFonts w:hint="eastAsia" w:ascii="宋体" w:hAnsi="宋体" w:eastAsia="宋体"/>
          <w:szCs w:val="21"/>
          <w:highlight w:val="none"/>
          <w:lang w:eastAsia="zh-CN"/>
        </w:rPr>
      </w:pPr>
      <w:r>
        <w:rPr>
          <w:rFonts w:ascii="宋体" w:hAnsi="宋体"/>
          <w:szCs w:val="21"/>
          <w:highlight w:val="none"/>
        </w:rPr>
        <w:t>5．</w:t>
      </w:r>
      <w:r>
        <w:rPr>
          <w:rFonts w:hint="eastAsia" w:ascii="宋体" w:hAnsi="宋体"/>
          <w:highlight w:val="none"/>
        </w:rPr>
        <w:t>我方在此声明，所递交的投标文件及有关资料内容完整、真实和准确</w:t>
      </w:r>
      <w:r>
        <w:rPr>
          <w:rFonts w:hint="eastAsia" w:ascii="宋体" w:hAnsi="宋体"/>
          <w:highlight w:val="none"/>
          <w:lang w:eastAsia="zh-CN"/>
        </w:rPr>
        <w:t>。</w:t>
      </w:r>
    </w:p>
    <w:p w14:paraId="2D0F1CA6">
      <w:pPr>
        <w:spacing w:line="300" w:lineRule="auto"/>
        <w:ind w:firstLine="420" w:firstLineChars="200"/>
        <w:rPr>
          <w:rFonts w:ascii="宋体" w:hAnsi="宋体"/>
          <w:szCs w:val="21"/>
          <w:highlight w:val="none"/>
        </w:rPr>
      </w:pPr>
      <w:r>
        <w:rPr>
          <w:rFonts w:hint="eastAsia" w:ascii="宋体" w:hAnsi="宋体"/>
          <w:szCs w:val="21"/>
          <w:highlight w:val="none"/>
        </w:rPr>
        <w:t>6．</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其他</w:t>
      </w:r>
      <w:r>
        <w:rPr>
          <w:rFonts w:ascii="宋体" w:hAnsi="宋体"/>
          <w:szCs w:val="21"/>
          <w:highlight w:val="none"/>
        </w:rPr>
        <w:t>补充说明）。</w:t>
      </w:r>
    </w:p>
    <w:p w14:paraId="6988FA4A">
      <w:pPr>
        <w:spacing w:line="300" w:lineRule="auto"/>
        <w:rPr>
          <w:rFonts w:ascii="宋体" w:hAnsi="宋体"/>
          <w:szCs w:val="21"/>
          <w:highlight w:val="none"/>
        </w:rPr>
      </w:pPr>
    </w:p>
    <w:p w14:paraId="7C8B388F">
      <w:pPr>
        <w:spacing w:line="480" w:lineRule="auto"/>
        <w:ind w:firstLine="3675" w:firstLineChars="1750"/>
        <w:rPr>
          <w:rFonts w:ascii="宋体" w:hAnsi="宋体"/>
          <w:szCs w:val="21"/>
          <w:highlight w:val="none"/>
        </w:rPr>
      </w:pPr>
    </w:p>
    <w:p w14:paraId="7C93767A">
      <w:pPr>
        <w:spacing w:line="480" w:lineRule="auto"/>
        <w:ind w:firstLine="3675" w:firstLineChars="1750"/>
        <w:rPr>
          <w:rFonts w:ascii="宋体" w:hAnsi="宋体"/>
          <w:szCs w:val="21"/>
          <w:highlight w:val="none"/>
        </w:rPr>
      </w:pPr>
    </w:p>
    <w:p w14:paraId="39774964">
      <w:pPr>
        <w:spacing w:line="480" w:lineRule="auto"/>
        <w:ind w:firstLine="3675" w:firstLineChars="1750"/>
        <w:rPr>
          <w:rFonts w:ascii="宋体" w:hAnsi="宋体"/>
          <w:szCs w:val="21"/>
          <w:highlight w:val="none"/>
        </w:rPr>
      </w:pPr>
      <w:r>
        <w:rPr>
          <w:rFonts w:hint="eastAsia" w:ascii="宋体" w:hAnsi="宋体"/>
          <w:szCs w:val="21"/>
          <w:highlight w:val="none"/>
          <w:lang w:val="en-US" w:eastAsia="zh-CN"/>
        </w:rPr>
        <w:t>投标人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ascii="宋体" w:hAnsi="宋体"/>
          <w:szCs w:val="21"/>
          <w:highlight w:val="none"/>
        </w:rPr>
        <w:t>（盖单位章）</w:t>
      </w:r>
    </w:p>
    <w:p w14:paraId="2F261B4F">
      <w:pPr>
        <w:spacing w:line="480" w:lineRule="auto"/>
        <w:ind w:firstLine="3675" w:firstLineChars="1750"/>
        <w:rPr>
          <w:rFonts w:ascii="宋体" w:hAnsi="宋体"/>
          <w:szCs w:val="21"/>
          <w:highlight w:val="none"/>
        </w:rPr>
      </w:pPr>
      <w:r>
        <w:rPr>
          <w:rFonts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（签字）</w:t>
      </w:r>
    </w:p>
    <w:p w14:paraId="7589887E">
      <w:pPr>
        <w:spacing w:line="480" w:lineRule="auto"/>
        <w:ind w:firstLine="3675" w:firstLineChars="1750"/>
        <w:rPr>
          <w:rFonts w:ascii="宋体" w:hAnsi="宋体"/>
          <w:szCs w:val="21"/>
          <w:highlight w:val="none"/>
        </w:rPr>
      </w:pPr>
      <w:r>
        <w:rPr>
          <w:rFonts w:ascii="宋体" w:hAnsi="宋体"/>
          <w:szCs w:val="21"/>
          <w:highlight w:val="none"/>
        </w:rPr>
        <w:t>地址：</w:t>
      </w:r>
      <w:r>
        <w:rPr>
          <w:rFonts w:ascii="宋体" w:hAnsi="宋体"/>
          <w:szCs w:val="21"/>
          <w:highlight w:val="none"/>
          <w:u w:val="single"/>
        </w:rPr>
        <w:t xml:space="preserve">                                     </w:t>
      </w:r>
    </w:p>
    <w:p w14:paraId="57958420">
      <w:pPr>
        <w:spacing w:line="480" w:lineRule="auto"/>
        <w:ind w:firstLine="3675" w:firstLineChars="1750"/>
        <w:rPr>
          <w:rFonts w:ascii="宋体" w:hAnsi="宋体"/>
          <w:szCs w:val="21"/>
          <w:highlight w:val="none"/>
        </w:rPr>
      </w:pPr>
      <w:r>
        <w:rPr>
          <w:rFonts w:ascii="宋体" w:hAnsi="宋体"/>
          <w:szCs w:val="21"/>
          <w:highlight w:val="none"/>
        </w:rPr>
        <w:t>网址：</w:t>
      </w:r>
      <w:r>
        <w:rPr>
          <w:rFonts w:ascii="宋体" w:hAnsi="宋体"/>
          <w:szCs w:val="21"/>
          <w:highlight w:val="none"/>
          <w:u w:val="single"/>
        </w:rPr>
        <w:t xml:space="preserve">                                     </w:t>
      </w:r>
    </w:p>
    <w:p w14:paraId="67ED0878">
      <w:pPr>
        <w:spacing w:line="480" w:lineRule="auto"/>
        <w:ind w:firstLine="3675" w:firstLineChars="1750"/>
        <w:rPr>
          <w:rFonts w:ascii="宋体" w:hAnsi="宋体"/>
          <w:szCs w:val="21"/>
          <w:highlight w:val="none"/>
        </w:rPr>
      </w:pPr>
      <w:r>
        <w:rPr>
          <w:rFonts w:ascii="宋体" w:hAnsi="宋体"/>
          <w:szCs w:val="21"/>
          <w:highlight w:val="none"/>
        </w:rPr>
        <w:t>电话：</w:t>
      </w:r>
      <w:r>
        <w:rPr>
          <w:rFonts w:ascii="宋体" w:hAnsi="宋体"/>
          <w:szCs w:val="21"/>
          <w:highlight w:val="none"/>
          <w:u w:val="single"/>
        </w:rPr>
        <w:t xml:space="preserve">                                     </w:t>
      </w:r>
    </w:p>
    <w:p w14:paraId="57E276D6">
      <w:pPr>
        <w:spacing w:line="480" w:lineRule="auto"/>
        <w:ind w:firstLine="3675" w:firstLineChars="1750"/>
        <w:rPr>
          <w:rFonts w:ascii="宋体" w:hAnsi="宋体"/>
          <w:szCs w:val="21"/>
          <w:highlight w:val="none"/>
        </w:rPr>
      </w:pPr>
      <w:r>
        <w:rPr>
          <w:rFonts w:ascii="宋体" w:hAnsi="宋体"/>
          <w:szCs w:val="21"/>
          <w:highlight w:val="none"/>
        </w:rPr>
        <w:t>传真：</w:t>
      </w:r>
      <w:r>
        <w:rPr>
          <w:rFonts w:ascii="宋体" w:hAnsi="宋体"/>
          <w:szCs w:val="21"/>
          <w:highlight w:val="none"/>
          <w:u w:val="single"/>
        </w:rPr>
        <w:t xml:space="preserve">                                     </w:t>
      </w:r>
    </w:p>
    <w:p w14:paraId="5F299BB5">
      <w:pPr>
        <w:spacing w:line="480" w:lineRule="auto"/>
        <w:ind w:firstLine="3675" w:firstLineChars="1750"/>
        <w:rPr>
          <w:rFonts w:ascii="宋体" w:hAnsi="宋体"/>
          <w:szCs w:val="21"/>
          <w:highlight w:val="none"/>
        </w:rPr>
      </w:pPr>
      <w:r>
        <w:rPr>
          <w:rFonts w:ascii="宋体" w:hAnsi="宋体"/>
          <w:szCs w:val="21"/>
          <w:highlight w:val="none"/>
        </w:rPr>
        <w:t>邮政编码：</w:t>
      </w:r>
      <w:r>
        <w:rPr>
          <w:rFonts w:ascii="宋体" w:hAnsi="宋体"/>
          <w:szCs w:val="21"/>
          <w:highlight w:val="none"/>
          <w:u w:val="single"/>
        </w:rPr>
        <w:t xml:space="preserve">                                 </w:t>
      </w:r>
    </w:p>
    <w:p w14:paraId="19AFA443">
      <w:pPr>
        <w:spacing w:line="480" w:lineRule="auto"/>
        <w:ind w:firstLine="5040" w:firstLineChars="2400"/>
        <w:rPr>
          <w:rFonts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4F46791C">
      <w:pPr>
        <w:spacing w:line="480" w:lineRule="auto"/>
        <w:jc w:val="left"/>
        <w:rPr>
          <w:highlight w:val="none"/>
        </w:rPr>
      </w:pPr>
    </w:p>
    <w:p w14:paraId="2311B00C">
      <w:pPr>
        <w:rPr>
          <w:rFonts w:ascii="宋体" w:hAnsi="宋体"/>
          <w:highlight w:val="none"/>
        </w:rPr>
      </w:pPr>
      <w:r>
        <w:rPr>
          <w:rFonts w:ascii="宋体" w:hAnsi="宋体"/>
          <w:highlight w:val="none"/>
        </w:rPr>
        <w:br w:type="page"/>
      </w:r>
    </w:p>
    <w:p w14:paraId="152C977D">
      <w:pPr>
        <w:pStyle w:val="4"/>
        <w:spacing w:before="0" w:after="0" w:line="300" w:lineRule="auto"/>
        <w:jc w:val="center"/>
        <w:rPr>
          <w:rFonts w:ascii="宋体" w:hAnsi="宋体"/>
          <w:highlight w:val="none"/>
        </w:rPr>
      </w:pPr>
      <w:r>
        <w:rPr>
          <w:rFonts w:ascii="宋体" w:hAnsi="宋体"/>
          <w:highlight w:val="none"/>
        </w:rPr>
        <w:t>（二）投标函附录</w:t>
      </w:r>
      <w:bookmarkEnd w:id="111"/>
      <w:bookmarkEnd w:id="112"/>
      <w:bookmarkEnd w:id="113"/>
      <w:bookmarkEnd w:id="114"/>
      <w:bookmarkEnd w:id="115"/>
    </w:p>
    <w:p w14:paraId="39A04B59">
      <w:pPr>
        <w:spacing w:line="300" w:lineRule="auto"/>
        <w:rPr>
          <w:rFonts w:ascii="宋体" w:hAnsi="宋体"/>
          <w:sz w:val="20"/>
          <w:szCs w:val="20"/>
          <w:highlight w:val="none"/>
        </w:rPr>
      </w:pP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4681"/>
        <w:gridCol w:w="1620"/>
      </w:tblGrid>
      <w:tr w14:paraId="5A8A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7162B62">
            <w:pPr>
              <w:spacing w:line="300" w:lineRule="auto"/>
              <w:jc w:val="center"/>
              <w:rPr>
                <w:rFonts w:ascii="宋体" w:hAnsi="宋体"/>
                <w:b/>
                <w:szCs w:val="21"/>
                <w:highlight w:val="none"/>
              </w:rPr>
            </w:pPr>
            <w:r>
              <w:rPr>
                <w:rFonts w:ascii="宋体" w:hAnsi="宋体"/>
                <w:b/>
                <w:szCs w:val="21"/>
                <w:highlight w:val="none"/>
              </w:rPr>
              <w:t>序号</w:t>
            </w:r>
          </w:p>
        </w:tc>
        <w:tc>
          <w:tcPr>
            <w:tcW w:w="2337" w:type="dxa"/>
            <w:vAlign w:val="center"/>
          </w:tcPr>
          <w:p w14:paraId="415DD9F3">
            <w:pPr>
              <w:spacing w:line="300" w:lineRule="auto"/>
              <w:jc w:val="center"/>
              <w:rPr>
                <w:rFonts w:ascii="宋体" w:hAnsi="宋体"/>
                <w:b/>
                <w:szCs w:val="21"/>
                <w:highlight w:val="none"/>
              </w:rPr>
            </w:pPr>
            <w:r>
              <w:rPr>
                <w:rFonts w:hint="eastAsia" w:ascii="宋体" w:hAnsi="宋体"/>
                <w:b/>
                <w:szCs w:val="21"/>
                <w:highlight w:val="none"/>
              </w:rPr>
              <w:t>条款名称</w:t>
            </w:r>
          </w:p>
        </w:tc>
        <w:tc>
          <w:tcPr>
            <w:tcW w:w="4681" w:type="dxa"/>
            <w:vAlign w:val="center"/>
          </w:tcPr>
          <w:p w14:paraId="0ADEAE20">
            <w:pPr>
              <w:spacing w:line="300" w:lineRule="auto"/>
              <w:jc w:val="center"/>
              <w:rPr>
                <w:rFonts w:ascii="宋体" w:hAnsi="宋体"/>
                <w:b/>
                <w:szCs w:val="21"/>
                <w:highlight w:val="none"/>
              </w:rPr>
            </w:pPr>
            <w:r>
              <w:rPr>
                <w:rFonts w:hint="eastAsia" w:ascii="宋体" w:hAnsi="宋体"/>
                <w:b/>
                <w:szCs w:val="21"/>
                <w:highlight w:val="none"/>
              </w:rPr>
              <w:t>约定</w:t>
            </w:r>
            <w:r>
              <w:rPr>
                <w:rFonts w:ascii="宋体" w:hAnsi="宋体"/>
                <w:b/>
                <w:szCs w:val="21"/>
                <w:highlight w:val="none"/>
              </w:rPr>
              <w:t>内容</w:t>
            </w:r>
          </w:p>
        </w:tc>
        <w:tc>
          <w:tcPr>
            <w:tcW w:w="1620" w:type="dxa"/>
            <w:vAlign w:val="center"/>
          </w:tcPr>
          <w:p w14:paraId="6AA7C6F1">
            <w:pPr>
              <w:spacing w:line="300" w:lineRule="auto"/>
              <w:jc w:val="center"/>
              <w:rPr>
                <w:rFonts w:ascii="宋体" w:hAnsi="宋体"/>
                <w:b/>
                <w:szCs w:val="21"/>
                <w:highlight w:val="none"/>
              </w:rPr>
            </w:pPr>
            <w:r>
              <w:rPr>
                <w:rFonts w:hint="eastAsia" w:ascii="宋体" w:hAnsi="宋体"/>
                <w:b/>
                <w:highlight w:val="none"/>
              </w:rPr>
              <w:t>是否响应</w:t>
            </w:r>
          </w:p>
        </w:tc>
      </w:tr>
      <w:tr w14:paraId="03CD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693D205">
            <w:pPr>
              <w:spacing w:line="300" w:lineRule="auto"/>
              <w:jc w:val="center"/>
              <w:rPr>
                <w:rFonts w:ascii="宋体" w:hAnsi="宋体"/>
                <w:szCs w:val="21"/>
                <w:highlight w:val="none"/>
              </w:rPr>
            </w:pPr>
            <w:r>
              <w:rPr>
                <w:rFonts w:hint="eastAsia" w:ascii="宋体" w:hAnsi="宋体"/>
                <w:szCs w:val="21"/>
                <w:highlight w:val="none"/>
              </w:rPr>
              <w:t>1</w:t>
            </w:r>
          </w:p>
        </w:tc>
        <w:tc>
          <w:tcPr>
            <w:tcW w:w="2337" w:type="dxa"/>
            <w:vAlign w:val="center"/>
          </w:tcPr>
          <w:p w14:paraId="15A9030D">
            <w:pPr>
              <w:spacing w:line="300" w:lineRule="auto"/>
              <w:jc w:val="center"/>
              <w:rPr>
                <w:rFonts w:ascii="宋体" w:hAnsi="宋体"/>
                <w:szCs w:val="21"/>
                <w:highlight w:val="none"/>
              </w:rPr>
            </w:pPr>
            <w:r>
              <w:rPr>
                <w:rFonts w:hint="eastAsia" w:ascii="宋体" w:hAnsi="宋体"/>
                <w:szCs w:val="21"/>
                <w:highlight w:val="none"/>
              </w:rPr>
              <w:t>合同履行期限</w:t>
            </w:r>
          </w:p>
        </w:tc>
        <w:tc>
          <w:tcPr>
            <w:tcW w:w="4681" w:type="dxa"/>
            <w:vAlign w:val="center"/>
          </w:tcPr>
          <w:p w14:paraId="06D03AD9">
            <w:pPr>
              <w:spacing w:line="300" w:lineRule="auto"/>
              <w:rPr>
                <w:rFonts w:ascii="宋体" w:hAnsi="宋体"/>
                <w:szCs w:val="21"/>
                <w:highlight w:val="none"/>
                <w:u w:val="single"/>
              </w:rPr>
            </w:pPr>
          </w:p>
        </w:tc>
        <w:tc>
          <w:tcPr>
            <w:tcW w:w="1620" w:type="dxa"/>
            <w:vAlign w:val="center"/>
          </w:tcPr>
          <w:p w14:paraId="10BEF4A0">
            <w:pPr>
              <w:spacing w:line="300" w:lineRule="auto"/>
              <w:jc w:val="center"/>
              <w:rPr>
                <w:rFonts w:ascii="宋体" w:hAnsi="宋体"/>
                <w:szCs w:val="21"/>
                <w:highlight w:val="none"/>
              </w:rPr>
            </w:pPr>
          </w:p>
        </w:tc>
      </w:tr>
      <w:tr w14:paraId="13C4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4D6E45F">
            <w:pPr>
              <w:spacing w:line="30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2337" w:type="dxa"/>
            <w:vAlign w:val="center"/>
          </w:tcPr>
          <w:p w14:paraId="3F7D7140">
            <w:pPr>
              <w:autoSpaceDE w:val="0"/>
              <w:autoSpaceDN w:val="0"/>
              <w:adjustRightInd w:val="0"/>
              <w:spacing w:line="300" w:lineRule="auto"/>
              <w:jc w:val="center"/>
              <w:rPr>
                <w:rFonts w:ascii="宋体" w:hAnsi="宋体" w:cs="仿宋_GB2312"/>
                <w:kern w:val="0"/>
                <w:szCs w:val="21"/>
                <w:highlight w:val="none"/>
              </w:rPr>
            </w:pPr>
            <w:r>
              <w:rPr>
                <w:rFonts w:ascii="宋体" w:hAnsi="宋体"/>
                <w:szCs w:val="21"/>
                <w:highlight w:val="none"/>
              </w:rPr>
              <w:t>权利义务</w:t>
            </w:r>
          </w:p>
        </w:tc>
        <w:tc>
          <w:tcPr>
            <w:tcW w:w="4681" w:type="dxa"/>
            <w:vAlign w:val="center"/>
          </w:tcPr>
          <w:p w14:paraId="168239FB">
            <w:pPr>
              <w:autoSpaceDE w:val="0"/>
              <w:autoSpaceDN w:val="0"/>
              <w:adjustRightInd w:val="0"/>
              <w:spacing w:line="300" w:lineRule="auto"/>
              <w:jc w:val="center"/>
              <w:rPr>
                <w:rFonts w:ascii="宋体" w:hAnsi="宋体" w:cs="仿宋_GB2312"/>
                <w:kern w:val="0"/>
                <w:szCs w:val="21"/>
                <w:highlight w:val="none"/>
              </w:rPr>
            </w:pPr>
            <w:r>
              <w:rPr>
                <w:rFonts w:hint="eastAsia" w:ascii="宋体" w:hAnsi="宋体" w:cs="宋体"/>
                <w:bCs/>
                <w:szCs w:val="21"/>
                <w:highlight w:val="none"/>
                <w:lang w:val="zh-CN"/>
              </w:rPr>
              <w:t>符合</w:t>
            </w:r>
            <w:r>
              <w:rPr>
                <w:rFonts w:hint="eastAsia" w:ascii="宋体" w:hAnsi="宋体" w:cs="宋体"/>
                <w:bCs/>
                <w:szCs w:val="21"/>
                <w:highlight w:val="none"/>
                <w:lang w:val="en-US" w:eastAsia="zh-CN"/>
              </w:rPr>
              <w:t>招标文件</w:t>
            </w:r>
            <w:r>
              <w:rPr>
                <w:rFonts w:hint="eastAsia" w:ascii="宋体" w:hAnsi="宋体" w:cs="宋体"/>
                <w:bCs/>
                <w:szCs w:val="21"/>
                <w:highlight w:val="none"/>
                <w:lang w:val="zh-CN"/>
              </w:rPr>
              <w:t>“合同条款”规定</w:t>
            </w:r>
          </w:p>
        </w:tc>
        <w:tc>
          <w:tcPr>
            <w:tcW w:w="1620" w:type="dxa"/>
            <w:vAlign w:val="center"/>
          </w:tcPr>
          <w:p w14:paraId="4DE1E25E">
            <w:pPr>
              <w:spacing w:line="300" w:lineRule="auto"/>
              <w:jc w:val="center"/>
              <w:rPr>
                <w:rFonts w:ascii="宋体" w:hAnsi="宋体"/>
                <w:szCs w:val="21"/>
                <w:highlight w:val="none"/>
              </w:rPr>
            </w:pPr>
          </w:p>
        </w:tc>
      </w:tr>
      <w:tr w14:paraId="0337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6D561A5">
            <w:pPr>
              <w:spacing w:line="300" w:lineRule="auto"/>
              <w:jc w:val="center"/>
              <w:rPr>
                <w:rFonts w:ascii="宋体" w:hAnsi="宋体"/>
                <w:szCs w:val="21"/>
                <w:highlight w:val="none"/>
              </w:rPr>
            </w:pPr>
            <w:r>
              <w:rPr>
                <w:rFonts w:hint="eastAsia" w:ascii="宋体" w:hAnsi="宋体"/>
                <w:szCs w:val="21"/>
                <w:highlight w:val="none"/>
              </w:rPr>
              <w:t>3</w:t>
            </w:r>
          </w:p>
        </w:tc>
        <w:tc>
          <w:tcPr>
            <w:tcW w:w="2337" w:type="dxa"/>
            <w:vAlign w:val="center"/>
          </w:tcPr>
          <w:p w14:paraId="59E1F083">
            <w:pPr>
              <w:autoSpaceDE w:val="0"/>
              <w:autoSpaceDN w:val="0"/>
              <w:adjustRightInd w:val="0"/>
              <w:spacing w:line="300" w:lineRule="auto"/>
              <w:jc w:val="center"/>
              <w:rPr>
                <w:rFonts w:ascii="宋体" w:hAnsi="宋体" w:cs="仿宋_GB2312"/>
                <w:kern w:val="0"/>
                <w:szCs w:val="21"/>
                <w:highlight w:val="none"/>
              </w:rPr>
            </w:pPr>
            <w:r>
              <w:rPr>
                <w:rFonts w:hint="eastAsia" w:ascii="宋体" w:hAnsi="宋体"/>
                <w:szCs w:val="21"/>
                <w:highlight w:val="none"/>
              </w:rPr>
              <w:t>供货地点</w:t>
            </w:r>
          </w:p>
        </w:tc>
        <w:tc>
          <w:tcPr>
            <w:tcW w:w="4681" w:type="dxa"/>
            <w:vAlign w:val="center"/>
          </w:tcPr>
          <w:p w14:paraId="7F63BFFD">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6109BCDA">
            <w:pPr>
              <w:spacing w:line="300" w:lineRule="auto"/>
              <w:jc w:val="center"/>
              <w:rPr>
                <w:rFonts w:ascii="宋体" w:hAnsi="宋体"/>
                <w:szCs w:val="21"/>
                <w:highlight w:val="none"/>
              </w:rPr>
            </w:pPr>
          </w:p>
        </w:tc>
      </w:tr>
      <w:tr w14:paraId="585E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59C0173">
            <w:pPr>
              <w:spacing w:line="30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2337" w:type="dxa"/>
            <w:vAlign w:val="center"/>
          </w:tcPr>
          <w:p w14:paraId="6065B896">
            <w:pPr>
              <w:autoSpaceDE w:val="0"/>
              <w:autoSpaceDN w:val="0"/>
              <w:adjustRightInd w:val="0"/>
              <w:spacing w:line="300" w:lineRule="auto"/>
              <w:jc w:val="center"/>
              <w:rPr>
                <w:rFonts w:ascii="宋体" w:hAnsi="宋体"/>
                <w:szCs w:val="21"/>
                <w:highlight w:val="none"/>
              </w:rPr>
            </w:pPr>
            <w:r>
              <w:rPr>
                <w:rFonts w:hint="eastAsia" w:ascii="宋体" w:hAnsi="宋体"/>
                <w:szCs w:val="21"/>
                <w:highlight w:val="none"/>
              </w:rPr>
              <w:t>......</w:t>
            </w:r>
          </w:p>
        </w:tc>
        <w:tc>
          <w:tcPr>
            <w:tcW w:w="4681" w:type="dxa"/>
            <w:vAlign w:val="center"/>
          </w:tcPr>
          <w:p w14:paraId="0D9E25F8">
            <w:pPr>
              <w:autoSpaceDE w:val="0"/>
              <w:autoSpaceDN w:val="0"/>
              <w:adjustRightInd w:val="0"/>
              <w:spacing w:line="300" w:lineRule="auto"/>
              <w:jc w:val="center"/>
              <w:rPr>
                <w:rFonts w:ascii="宋体" w:hAnsi="宋体" w:cs="宋体"/>
                <w:bCs/>
                <w:szCs w:val="21"/>
                <w:highlight w:val="none"/>
                <w:lang w:val="zh-CN"/>
              </w:rPr>
            </w:pPr>
            <w:r>
              <w:rPr>
                <w:rFonts w:hint="eastAsia" w:ascii="宋体" w:hAnsi="宋体" w:cs="宋体"/>
                <w:bCs/>
                <w:szCs w:val="21"/>
                <w:highlight w:val="none"/>
              </w:rPr>
              <w:t>......</w:t>
            </w:r>
          </w:p>
        </w:tc>
        <w:tc>
          <w:tcPr>
            <w:tcW w:w="1620" w:type="dxa"/>
            <w:vAlign w:val="center"/>
          </w:tcPr>
          <w:p w14:paraId="6868C15E">
            <w:pPr>
              <w:spacing w:line="300" w:lineRule="auto"/>
              <w:jc w:val="center"/>
              <w:rPr>
                <w:rFonts w:ascii="宋体" w:hAnsi="宋体"/>
                <w:szCs w:val="21"/>
                <w:highlight w:val="none"/>
              </w:rPr>
            </w:pPr>
          </w:p>
        </w:tc>
      </w:tr>
    </w:tbl>
    <w:p w14:paraId="3CE6343F">
      <w:pPr>
        <w:spacing w:line="300" w:lineRule="auto"/>
        <w:ind w:left="840" w:leftChars="400" w:firstLine="2200" w:firstLineChars="1100"/>
        <w:rPr>
          <w:rFonts w:ascii="宋体" w:hAnsi="宋体"/>
          <w:sz w:val="20"/>
          <w:szCs w:val="20"/>
          <w:highlight w:val="none"/>
        </w:rPr>
      </w:pPr>
    </w:p>
    <w:p w14:paraId="799B2FDB">
      <w:pPr>
        <w:pStyle w:val="2"/>
        <w:spacing w:before="0" w:after="0" w:line="300" w:lineRule="auto"/>
        <w:jc w:val="center"/>
        <w:rPr>
          <w:rFonts w:ascii="宋体" w:hAnsi="宋体" w:eastAsia="宋体"/>
          <w:highlight w:val="none"/>
        </w:rPr>
      </w:pPr>
      <w:r>
        <w:rPr>
          <w:rFonts w:ascii="宋体" w:hAnsi="宋体" w:eastAsia="宋体"/>
          <w:sz w:val="20"/>
          <w:szCs w:val="20"/>
          <w:highlight w:val="none"/>
        </w:rPr>
        <w:br w:type="page"/>
      </w:r>
      <w:r>
        <w:rPr>
          <w:rFonts w:hint="eastAsia" w:ascii="宋体" w:hAnsi="宋体" w:eastAsia="宋体"/>
          <w:highlight w:val="none"/>
        </w:rPr>
        <w:t xml:space="preserve"> </w:t>
      </w:r>
      <w:bookmarkStart w:id="116" w:name="_Toc350070696"/>
      <w:bookmarkStart w:id="117" w:name="_Toc351644314"/>
      <w:bookmarkStart w:id="118" w:name="_Toc409424407"/>
      <w:bookmarkStart w:id="119" w:name="_Toc409424346"/>
      <w:bookmarkStart w:id="120" w:name="_Toc468267484"/>
      <w:r>
        <w:rPr>
          <w:rFonts w:hint="eastAsia" w:ascii="宋体" w:hAnsi="宋体" w:eastAsia="宋体"/>
          <w:highlight w:val="none"/>
        </w:rPr>
        <w:t>二</w:t>
      </w:r>
      <w:r>
        <w:rPr>
          <w:rFonts w:ascii="宋体" w:hAnsi="宋体" w:eastAsia="宋体"/>
          <w:highlight w:val="none"/>
        </w:rPr>
        <w:t>、</w:t>
      </w:r>
      <w:r>
        <w:rPr>
          <w:rFonts w:hint="eastAsia" w:ascii="宋体" w:hAnsi="宋体" w:eastAsia="宋体"/>
          <w:highlight w:val="none"/>
        </w:rPr>
        <w:t>开标一览表</w:t>
      </w:r>
      <w:bookmarkEnd w:id="116"/>
      <w:bookmarkEnd w:id="117"/>
      <w:bookmarkEnd w:id="118"/>
      <w:bookmarkEnd w:id="119"/>
      <w:bookmarkEnd w:id="120"/>
    </w:p>
    <w:p w14:paraId="7AF783D7">
      <w:pPr>
        <w:spacing w:line="300" w:lineRule="auto"/>
        <w:ind w:left="-2" w:leftChars="-51" w:hanging="105" w:hangingChars="50"/>
        <w:rPr>
          <w:rFonts w:ascii="宋体" w:hAnsi="宋体"/>
          <w:szCs w:val="21"/>
          <w:highlight w:val="none"/>
          <w:u w:val="single"/>
        </w:rPr>
      </w:pPr>
      <w:r>
        <w:rPr>
          <w:rFonts w:hint="eastAsia" w:ascii="宋体" w:hAnsi="宋体"/>
          <w:szCs w:val="21"/>
          <w:highlight w:val="none"/>
        </w:rPr>
        <w:t xml:space="preserve">项目名称：   </w:t>
      </w:r>
    </w:p>
    <w:p w14:paraId="13A19BAD">
      <w:pPr>
        <w:spacing w:line="300" w:lineRule="auto"/>
        <w:ind w:left="-2" w:leftChars="-51" w:hanging="105" w:hangingChars="50"/>
        <w:rPr>
          <w:rFonts w:ascii="宋体" w:hAnsi="宋体"/>
          <w:szCs w:val="21"/>
          <w:highlight w:val="none"/>
        </w:rPr>
      </w:pPr>
      <w:r>
        <w:rPr>
          <w:rFonts w:hint="eastAsia" w:ascii="宋体" w:hAnsi="宋体"/>
          <w:szCs w:val="21"/>
          <w:highlight w:val="none"/>
        </w:rPr>
        <w:t>项目编号：</w:t>
      </w:r>
    </w:p>
    <w:tbl>
      <w:tblPr>
        <w:tblStyle w:val="22"/>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8"/>
        <w:gridCol w:w="7952"/>
      </w:tblGrid>
      <w:tr w14:paraId="0C14A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4F4976FD">
            <w:pPr>
              <w:spacing w:line="30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投标人名称</w:t>
            </w:r>
          </w:p>
        </w:tc>
        <w:tc>
          <w:tcPr>
            <w:tcW w:w="7952" w:type="dxa"/>
            <w:tcBorders>
              <w:top w:val="single" w:color="auto" w:sz="4" w:space="0"/>
              <w:left w:val="single" w:color="auto" w:sz="4" w:space="0"/>
              <w:bottom w:val="single" w:color="auto" w:sz="4" w:space="0"/>
              <w:right w:val="single" w:color="auto" w:sz="4" w:space="0"/>
            </w:tcBorders>
            <w:vAlign w:val="center"/>
          </w:tcPr>
          <w:p w14:paraId="245A2577">
            <w:pPr>
              <w:spacing w:line="300" w:lineRule="auto"/>
              <w:jc w:val="center"/>
              <w:rPr>
                <w:rFonts w:ascii="宋体" w:hAnsi="宋体"/>
                <w:szCs w:val="21"/>
                <w:highlight w:val="none"/>
              </w:rPr>
            </w:pPr>
          </w:p>
        </w:tc>
      </w:tr>
      <w:tr w14:paraId="1728B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0CB109AC">
            <w:pPr>
              <w:spacing w:line="300" w:lineRule="auto"/>
              <w:jc w:val="center"/>
              <w:rPr>
                <w:rFonts w:hint="eastAsia" w:ascii="宋体" w:hAnsi="宋体" w:eastAsia="宋体"/>
                <w:szCs w:val="21"/>
                <w:highlight w:val="none"/>
                <w:lang w:eastAsia="zh-CN"/>
              </w:rPr>
            </w:pPr>
            <w:r>
              <w:rPr>
                <w:rFonts w:hint="eastAsia" w:ascii="宋体" w:hAnsi="宋体"/>
                <w:szCs w:val="21"/>
                <w:highlight w:val="none"/>
              </w:rPr>
              <w:t>投标报价</w:t>
            </w:r>
            <w:r>
              <w:rPr>
                <w:rFonts w:hint="eastAsia" w:ascii="宋体" w:hAnsi="宋体"/>
                <w:szCs w:val="21"/>
                <w:highlight w:val="none"/>
                <w:lang w:eastAsia="zh-CN"/>
              </w:rPr>
              <w:t>（</w:t>
            </w:r>
            <w:r>
              <w:rPr>
                <w:rFonts w:hint="eastAsia" w:ascii="宋体" w:hAnsi="宋体"/>
                <w:szCs w:val="21"/>
                <w:highlight w:val="none"/>
                <w:lang w:val="en-US" w:eastAsia="zh-CN"/>
              </w:rPr>
              <w:t>总价</w:t>
            </w:r>
            <w:r>
              <w:rPr>
                <w:rFonts w:hint="eastAsia" w:ascii="宋体" w:hAnsi="宋体"/>
                <w:szCs w:val="21"/>
                <w:highlight w:val="none"/>
                <w:lang w:eastAsia="zh-CN"/>
              </w:rPr>
              <w:t>）</w:t>
            </w:r>
          </w:p>
        </w:tc>
        <w:tc>
          <w:tcPr>
            <w:tcW w:w="7952" w:type="dxa"/>
            <w:tcBorders>
              <w:top w:val="single" w:color="auto" w:sz="4" w:space="0"/>
              <w:left w:val="single" w:color="auto" w:sz="4" w:space="0"/>
              <w:bottom w:val="single" w:color="auto" w:sz="4" w:space="0"/>
              <w:right w:val="single" w:color="auto" w:sz="4" w:space="0"/>
            </w:tcBorders>
            <w:vAlign w:val="center"/>
          </w:tcPr>
          <w:p w14:paraId="459B4DAF">
            <w:pPr>
              <w:spacing w:line="300" w:lineRule="auto"/>
              <w:jc w:val="center"/>
              <w:rPr>
                <w:rFonts w:ascii="宋体" w:hAnsi="宋体"/>
                <w:szCs w:val="21"/>
                <w:highlight w:val="none"/>
              </w:rPr>
            </w:pPr>
            <w:r>
              <w:rPr>
                <w:rFonts w:hint="eastAsia" w:ascii="宋体" w:hAnsi="宋体"/>
                <w:szCs w:val="21"/>
                <w:highlight w:val="none"/>
              </w:rPr>
              <w:t>大写：       元（小写：   元）</w:t>
            </w:r>
          </w:p>
        </w:tc>
      </w:tr>
      <w:tr w14:paraId="5E040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0CE90784">
            <w:pPr>
              <w:spacing w:line="300" w:lineRule="auto"/>
              <w:jc w:val="center"/>
              <w:rPr>
                <w:rFonts w:hint="eastAsia" w:ascii="宋体" w:hAnsi="宋体" w:eastAsia="宋体"/>
                <w:szCs w:val="21"/>
                <w:highlight w:val="none"/>
                <w:lang w:eastAsia="zh-CN"/>
              </w:rPr>
            </w:pPr>
            <w:r>
              <w:rPr>
                <w:rFonts w:hint="eastAsia" w:ascii="宋体" w:hAnsi="宋体"/>
                <w:szCs w:val="21"/>
                <w:highlight w:val="none"/>
              </w:rPr>
              <w:t>质量</w:t>
            </w:r>
            <w:r>
              <w:rPr>
                <w:rFonts w:hint="eastAsia" w:ascii="宋体" w:hAnsi="宋体"/>
                <w:szCs w:val="21"/>
                <w:highlight w:val="none"/>
                <w:lang w:val="en-US" w:eastAsia="zh-CN"/>
              </w:rPr>
              <w:t>要求</w:t>
            </w:r>
          </w:p>
        </w:tc>
        <w:tc>
          <w:tcPr>
            <w:tcW w:w="7952" w:type="dxa"/>
            <w:tcBorders>
              <w:top w:val="single" w:color="auto" w:sz="4" w:space="0"/>
              <w:left w:val="single" w:color="auto" w:sz="4" w:space="0"/>
              <w:bottom w:val="single" w:color="auto" w:sz="4" w:space="0"/>
              <w:right w:val="single" w:color="auto" w:sz="4" w:space="0"/>
            </w:tcBorders>
            <w:vAlign w:val="center"/>
          </w:tcPr>
          <w:p w14:paraId="5B8209A4">
            <w:pPr>
              <w:spacing w:line="300" w:lineRule="auto"/>
              <w:rPr>
                <w:rFonts w:hint="eastAsia" w:ascii="宋体" w:hAnsi="宋体"/>
                <w:szCs w:val="21"/>
                <w:highlight w:val="none"/>
              </w:rPr>
            </w:pPr>
          </w:p>
        </w:tc>
      </w:tr>
      <w:tr w14:paraId="371C8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6A9A89DA">
            <w:pPr>
              <w:spacing w:line="300" w:lineRule="auto"/>
              <w:jc w:val="center"/>
              <w:rPr>
                <w:rFonts w:ascii="宋体" w:hAnsi="宋体"/>
                <w:szCs w:val="21"/>
                <w:highlight w:val="none"/>
              </w:rPr>
            </w:pPr>
            <w:r>
              <w:rPr>
                <w:rFonts w:hint="eastAsia" w:ascii="宋体" w:hAnsi="宋体"/>
                <w:szCs w:val="21"/>
                <w:highlight w:val="none"/>
              </w:rPr>
              <w:t>合同履行期限</w:t>
            </w:r>
          </w:p>
        </w:tc>
        <w:tc>
          <w:tcPr>
            <w:tcW w:w="7952" w:type="dxa"/>
            <w:tcBorders>
              <w:top w:val="single" w:color="auto" w:sz="4" w:space="0"/>
              <w:left w:val="single" w:color="auto" w:sz="4" w:space="0"/>
              <w:bottom w:val="single" w:color="auto" w:sz="4" w:space="0"/>
              <w:right w:val="single" w:color="auto" w:sz="4" w:space="0"/>
            </w:tcBorders>
            <w:vAlign w:val="center"/>
          </w:tcPr>
          <w:p w14:paraId="1B785228">
            <w:pPr>
              <w:spacing w:line="300" w:lineRule="auto"/>
              <w:jc w:val="center"/>
              <w:rPr>
                <w:rFonts w:ascii="宋体" w:hAnsi="宋体"/>
                <w:szCs w:val="21"/>
                <w:highlight w:val="none"/>
              </w:rPr>
            </w:pPr>
            <w:r>
              <w:rPr>
                <w:rFonts w:hint="eastAsia" w:ascii="宋体" w:hAnsi="宋体"/>
                <w:szCs w:val="21"/>
                <w:highlight w:val="none"/>
              </w:rPr>
              <w:t xml:space="preserve">   </w:t>
            </w:r>
          </w:p>
        </w:tc>
      </w:tr>
      <w:tr w14:paraId="56465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3"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4594B58E">
            <w:pPr>
              <w:spacing w:line="30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投标保证金</w:t>
            </w:r>
          </w:p>
        </w:tc>
        <w:tc>
          <w:tcPr>
            <w:tcW w:w="7952" w:type="dxa"/>
            <w:tcBorders>
              <w:top w:val="single" w:color="auto" w:sz="4" w:space="0"/>
              <w:left w:val="single" w:color="auto" w:sz="4" w:space="0"/>
              <w:bottom w:val="single" w:color="auto" w:sz="4" w:space="0"/>
              <w:right w:val="single" w:color="auto" w:sz="4" w:space="0"/>
            </w:tcBorders>
            <w:vAlign w:val="center"/>
          </w:tcPr>
          <w:p w14:paraId="65717A80">
            <w:pPr>
              <w:spacing w:line="300" w:lineRule="auto"/>
              <w:jc w:val="center"/>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有/无</w:t>
            </w:r>
            <w:r>
              <w:rPr>
                <w:rFonts w:hint="eastAsia" w:ascii="宋体" w:hAnsi="宋体"/>
                <w:szCs w:val="21"/>
                <w:highlight w:val="none"/>
                <w:lang w:eastAsia="zh-CN"/>
              </w:rPr>
              <w:t>）</w:t>
            </w:r>
          </w:p>
        </w:tc>
      </w:tr>
      <w:tr w14:paraId="2B575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3"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17E3936F">
            <w:pPr>
              <w:spacing w:line="300" w:lineRule="auto"/>
              <w:jc w:val="center"/>
              <w:rPr>
                <w:rFonts w:hint="default" w:ascii="宋体" w:hAnsi="宋体"/>
                <w:szCs w:val="21"/>
                <w:highlight w:val="none"/>
                <w:lang w:val="en-US" w:eastAsia="zh-CN"/>
              </w:rPr>
            </w:pPr>
            <w:r>
              <w:rPr>
                <w:rFonts w:hint="eastAsia" w:ascii="宋体" w:hAnsi="宋体"/>
                <w:szCs w:val="21"/>
                <w:highlight w:val="none"/>
                <w:lang w:val="en-US" w:eastAsia="zh-CN"/>
              </w:rPr>
              <w:t>优惠条件</w:t>
            </w:r>
          </w:p>
        </w:tc>
        <w:tc>
          <w:tcPr>
            <w:tcW w:w="7952" w:type="dxa"/>
            <w:tcBorders>
              <w:top w:val="single" w:color="auto" w:sz="4" w:space="0"/>
              <w:left w:val="single" w:color="auto" w:sz="4" w:space="0"/>
              <w:bottom w:val="single" w:color="auto" w:sz="4" w:space="0"/>
              <w:right w:val="single" w:color="auto" w:sz="4" w:space="0"/>
            </w:tcBorders>
            <w:vAlign w:val="center"/>
          </w:tcPr>
          <w:p w14:paraId="1CF1D39D">
            <w:pPr>
              <w:spacing w:line="300" w:lineRule="auto"/>
              <w:jc w:val="center"/>
              <w:rPr>
                <w:rFonts w:hint="eastAsia" w:ascii="宋体" w:hAnsi="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有/无</w:t>
            </w:r>
            <w:r>
              <w:rPr>
                <w:rFonts w:hint="eastAsia" w:ascii="宋体" w:hAnsi="宋体"/>
                <w:szCs w:val="21"/>
                <w:highlight w:val="none"/>
                <w:lang w:eastAsia="zh-CN"/>
              </w:rPr>
              <w:t>）</w:t>
            </w:r>
          </w:p>
        </w:tc>
      </w:tr>
      <w:tr w14:paraId="490B8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3"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0EBDA6A3">
            <w:pPr>
              <w:spacing w:line="300" w:lineRule="auto"/>
              <w:jc w:val="center"/>
              <w:rPr>
                <w:rFonts w:hint="default" w:ascii="宋体" w:hAnsi="宋体"/>
                <w:szCs w:val="21"/>
                <w:highlight w:val="none"/>
                <w:lang w:val="en-US" w:eastAsia="zh-CN"/>
              </w:rPr>
            </w:pPr>
            <w:r>
              <w:rPr>
                <w:rFonts w:hint="eastAsia" w:ascii="宋体" w:hAnsi="宋体"/>
                <w:szCs w:val="21"/>
                <w:highlight w:val="none"/>
                <w:lang w:val="en-US" w:eastAsia="zh-CN"/>
              </w:rPr>
              <w:t>服务承诺</w:t>
            </w:r>
          </w:p>
        </w:tc>
        <w:tc>
          <w:tcPr>
            <w:tcW w:w="7952" w:type="dxa"/>
            <w:tcBorders>
              <w:top w:val="single" w:color="auto" w:sz="4" w:space="0"/>
              <w:left w:val="single" w:color="auto" w:sz="4" w:space="0"/>
              <w:bottom w:val="single" w:color="auto" w:sz="4" w:space="0"/>
              <w:right w:val="single" w:color="auto" w:sz="4" w:space="0"/>
            </w:tcBorders>
            <w:vAlign w:val="center"/>
          </w:tcPr>
          <w:p w14:paraId="4071990C">
            <w:pPr>
              <w:spacing w:line="300" w:lineRule="auto"/>
              <w:jc w:val="center"/>
              <w:rPr>
                <w:rFonts w:hint="eastAsia" w:ascii="宋体" w:hAnsi="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有/无</w:t>
            </w:r>
            <w:r>
              <w:rPr>
                <w:rFonts w:hint="eastAsia" w:ascii="宋体" w:hAnsi="宋体"/>
                <w:szCs w:val="21"/>
                <w:highlight w:val="none"/>
                <w:lang w:eastAsia="zh-CN"/>
              </w:rPr>
              <w:t>）</w:t>
            </w:r>
          </w:p>
        </w:tc>
      </w:tr>
      <w:tr w14:paraId="158EE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1E405D1A">
            <w:pPr>
              <w:spacing w:line="300" w:lineRule="auto"/>
              <w:jc w:val="center"/>
              <w:rPr>
                <w:rFonts w:ascii="宋体" w:hAnsi="宋体"/>
                <w:szCs w:val="21"/>
                <w:highlight w:val="none"/>
              </w:rPr>
            </w:pPr>
            <w:r>
              <w:rPr>
                <w:rFonts w:hint="eastAsia" w:ascii="宋体" w:hAnsi="宋体"/>
                <w:szCs w:val="21"/>
                <w:highlight w:val="none"/>
              </w:rPr>
              <w:t>备注</w:t>
            </w:r>
          </w:p>
        </w:tc>
        <w:tc>
          <w:tcPr>
            <w:tcW w:w="7952" w:type="dxa"/>
            <w:tcBorders>
              <w:top w:val="single" w:color="auto" w:sz="4" w:space="0"/>
              <w:left w:val="single" w:color="auto" w:sz="4" w:space="0"/>
              <w:bottom w:val="single" w:color="auto" w:sz="4" w:space="0"/>
              <w:right w:val="single" w:color="auto" w:sz="4" w:space="0"/>
            </w:tcBorders>
          </w:tcPr>
          <w:p w14:paraId="612D1066">
            <w:pPr>
              <w:numPr>
                <w:ilvl w:val="0"/>
                <w:numId w:val="6"/>
              </w:numPr>
              <w:spacing w:line="300" w:lineRule="auto"/>
              <w:rPr>
                <w:rFonts w:ascii="宋体" w:hAnsi="宋体"/>
                <w:szCs w:val="21"/>
                <w:highlight w:val="none"/>
              </w:rPr>
            </w:pPr>
            <w:r>
              <w:rPr>
                <w:rFonts w:hint="eastAsia" w:ascii="宋体" w:hAnsi="宋体"/>
                <w:szCs w:val="21"/>
                <w:highlight w:val="none"/>
              </w:rPr>
              <w:t>本表只做唱标时使用，但本表的一切内容均具有法律效力，不得更改。</w:t>
            </w:r>
          </w:p>
          <w:p w14:paraId="1965794F">
            <w:pPr>
              <w:numPr>
                <w:ilvl w:val="0"/>
                <w:numId w:val="6"/>
              </w:numPr>
              <w:spacing w:line="300" w:lineRule="auto"/>
              <w:rPr>
                <w:rFonts w:ascii="宋体" w:hAnsi="宋体"/>
                <w:szCs w:val="21"/>
                <w:highlight w:val="none"/>
              </w:rPr>
            </w:pPr>
            <w:r>
              <w:rPr>
                <w:rFonts w:hint="eastAsia" w:ascii="宋体" w:hAnsi="宋体"/>
                <w:szCs w:val="21"/>
                <w:highlight w:val="none"/>
              </w:rPr>
              <w:t>填报的内容必须和投标文件及投标函中的内容一致。</w:t>
            </w:r>
          </w:p>
          <w:p w14:paraId="428D66F3">
            <w:pPr>
              <w:numPr>
                <w:ilvl w:val="0"/>
                <w:numId w:val="6"/>
              </w:numPr>
              <w:spacing w:line="300" w:lineRule="auto"/>
              <w:rPr>
                <w:rFonts w:ascii="宋体" w:hAnsi="宋体"/>
                <w:szCs w:val="21"/>
                <w:highlight w:val="none"/>
              </w:rPr>
            </w:pPr>
            <w:r>
              <w:rPr>
                <w:rFonts w:hint="eastAsia" w:ascii="宋体" w:hAnsi="宋体"/>
                <w:szCs w:val="21"/>
                <w:highlight w:val="none"/>
              </w:rPr>
              <w:t>投标报价为采购货物、运输、税金、利润等一切报价的总和。</w:t>
            </w:r>
          </w:p>
          <w:p w14:paraId="580DE311">
            <w:pPr>
              <w:numPr>
                <w:ilvl w:val="0"/>
                <w:numId w:val="6"/>
              </w:numPr>
              <w:spacing w:line="300" w:lineRule="auto"/>
              <w:rPr>
                <w:rFonts w:ascii="宋体" w:hAnsi="宋体"/>
                <w:szCs w:val="21"/>
                <w:highlight w:val="none"/>
              </w:rPr>
            </w:pPr>
            <w:r>
              <w:rPr>
                <w:rFonts w:hint="eastAsia" w:ascii="宋体" w:hAnsi="宋体"/>
                <w:szCs w:val="21"/>
                <w:highlight w:val="none"/>
              </w:rPr>
              <w:t>优惠条件、服务承诺，详细内容必须在投标书中载明，如内容较多，本表只填写“有”“无”即可。</w:t>
            </w:r>
          </w:p>
          <w:p w14:paraId="6BE4D3F6">
            <w:pPr>
              <w:numPr>
                <w:ilvl w:val="0"/>
                <w:numId w:val="6"/>
              </w:numPr>
              <w:spacing w:line="300" w:lineRule="auto"/>
              <w:rPr>
                <w:rFonts w:ascii="宋体" w:hAnsi="宋体"/>
                <w:b/>
                <w:szCs w:val="21"/>
                <w:highlight w:val="none"/>
              </w:rPr>
            </w:pPr>
            <w:r>
              <w:rPr>
                <w:rFonts w:hint="eastAsia" w:ascii="宋体" w:hAnsi="宋体"/>
                <w:b/>
                <w:szCs w:val="21"/>
                <w:highlight w:val="none"/>
              </w:rPr>
              <w:t>投标报价以元为单位，最多保留小数点后两位有效数字。</w:t>
            </w:r>
          </w:p>
        </w:tc>
      </w:tr>
      <w:tr w14:paraId="7F1EF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650" w:type="dxa"/>
            <w:gridSpan w:val="2"/>
            <w:tcBorders>
              <w:top w:val="single" w:color="auto" w:sz="4" w:space="0"/>
              <w:left w:val="single" w:color="auto" w:sz="4" w:space="0"/>
              <w:bottom w:val="single" w:color="auto" w:sz="4" w:space="0"/>
              <w:right w:val="single" w:color="auto" w:sz="4" w:space="0"/>
            </w:tcBorders>
            <w:vAlign w:val="center"/>
          </w:tcPr>
          <w:p w14:paraId="11E5E71E">
            <w:pPr>
              <w:spacing w:line="300" w:lineRule="auto"/>
              <w:rPr>
                <w:rFonts w:ascii="宋体" w:hAnsi="宋体"/>
                <w:szCs w:val="21"/>
                <w:highlight w:val="none"/>
              </w:rPr>
            </w:pPr>
          </w:p>
          <w:p w14:paraId="45052BD6">
            <w:pPr>
              <w:spacing w:line="300" w:lineRule="auto"/>
              <w:rPr>
                <w:rFonts w:ascii="宋体" w:hAnsi="宋体"/>
                <w:szCs w:val="21"/>
                <w:highlight w:val="none"/>
              </w:rPr>
            </w:pPr>
            <w:r>
              <w:rPr>
                <w:rFonts w:hint="eastAsia" w:ascii="宋体" w:hAnsi="宋体"/>
                <w:szCs w:val="21"/>
                <w:highlight w:val="none"/>
                <w:lang w:eastAsia="zh-CN"/>
              </w:rPr>
              <w:t>投标人</w:t>
            </w: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（盖章）</w:t>
            </w:r>
            <w:r>
              <w:rPr>
                <w:rFonts w:ascii="宋体" w:hAnsi="宋体"/>
                <w:szCs w:val="21"/>
                <w:highlight w:val="none"/>
              </w:rPr>
              <w:t xml:space="preserve">                 </w:t>
            </w:r>
            <w:r>
              <w:rPr>
                <w:rFonts w:hint="eastAsia" w:ascii="宋体" w:hAnsi="宋体"/>
                <w:szCs w:val="21"/>
                <w:highlight w:val="none"/>
              </w:rPr>
              <w:t>法定代表人或被授权人：</w:t>
            </w:r>
            <w:r>
              <w:rPr>
                <w:rFonts w:ascii="宋体" w:hAnsi="宋体"/>
                <w:szCs w:val="21"/>
                <w:highlight w:val="none"/>
              </w:rPr>
              <w:t xml:space="preserve">          </w:t>
            </w:r>
            <w:r>
              <w:rPr>
                <w:rFonts w:hint="eastAsia" w:ascii="宋体" w:hAnsi="宋体"/>
                <w:szCs w:val="21"/>
                <w:highlight w:val="none"/>
              </w:rPr>
              <w:t>（签字或盖章）</w:t>
            </w:r>
          </w:p>
          <w:p w14:paraId="40C3756B">
            <w:pPr>
              <w:spacing w:line="300" w:lineRule="auto"/>
              <w:rPr>
                <w:rFonts w:ascii="宋体" w:hAnsi="宋体"/>
                <w:szCs w:val="21"/>
                <w:highlight w:val="none"/>
              </w:rPr>
            </w:pPr>
          </w:p>
        </w:tc>
      </w:tr>
    </w:tbl>
    <w:p w14:paraId="5870B782">
      <w:pPr>
        <w:spacing w:line="300" w:lineRule="auto"/>
        <w:jc w:val="center"/>
        <w:rPr>
          <w:rFonts w:ascii="宋体" w:hAnsi="宋体"/>
          <w:sz w:val="20"/>
          <w:szCs w:val="20"/>
          <w:highlight w:val="none"/>
        </w:rPr>
      </w:pPr>
      <w:r>
        <w:rPr>
          <w:rFonts w:ascii="宋体" w:hAnsi="宋体"/>
          <w:sz w:val="20"/>
          <w:szCs w:val="20"/>
          <w:highlight w:val="none"/>
        </w:rPr>
        <w:br w:type="page"/>
      </w:r>
    </w:p>
    <w:p w14:paraId="2763F5A6">
      <w:pPr>
        <w:pStyle w:val="2"/>
        <w:spacing w:before="0" w:after="0" w:line="300" w:lineRule="auto"/>
        <w:jc w:val="center"/>
        <w:rPr>
          <w:rFonts w:ascii="宋体" w:hAnsi="宋体" w:eastAsia="宋体"/>
          <w:sz w:val="28"/>
          <w:szCs w:val="28"/>
          <w:highlight w:val="none"/>
        </w:rPr>
      </w:pPr>
      <w:bookmarkStart w:id="121" w:name="_Toc468267485"/>
      <w:bookmarkStart w:id="122" w:name="_Toc409424347"/>
      <w:bookmarkStart w:id="123" w:name="_Toc409424408"/>
      <w:bookmarkStart w:id="124" w:name="_Toc351644315"/>
      <w:bookmarkStart w:id="125" w:name="_Toc350070697"/>
      <w:r>
        <w:rPr>
          <w:rFonts w:hint="eastAsia" w:ascii="宋体" w:hAnsi="宋体" w:eastAsia="宋体"/>
          <w:sz w:val="28"/>
          <w:szCs w:val="28"/>
          <w:highlight w:val="none"/>
        </w:rPr>
        <w:t>三</w:t>
      </w:r>
      <w:r>
        <w:rPr>
          <w:rFonts w:ascii="宋体" w:hAnsi="宋体" w:eastAsia="宋体"/>
          <w:sz w:val="28"/>
          <w:szCs w:val="28"/>
          <w:highlight w:val="none"/>
        </w:rPr>
        <w:t>、</w:t>
      </w:r>
      <w:r>
        <w:rPr>
          <w:rFonts w:hint="eastAsia" w:ascii="宋体" w:hAnsi="宋体" w:eastAsia="宋体"/>
          <w:sz w:val="28"/>
          <w:szCs w:val="28"/>
          <w:highlight w:val="none"/>
        </w:rPr>
        <w:t>法定代表人身份证明或附有法定代表人身份证明的授权委托书</w:t>
      </w:r>
      <w:bookmarkEnd w:id="121"/>
      <w:bookmarkEnd w:id="122"/>
      <w:bookmarkEnd w:id="123"/>
    </w:p>
    <w:p w14:paraId="19359A07">
      <w:pPr>
        <w:pStyle w:val="2"/>
        <w:spacing w:before="0" w:after="0" w:line="300" w:lineRule="auto"/>
        <w:jc w:val="center"/>
        <w:rPr>
          <w:rFonts w:ascii="宋体" w:hAnsi="宋体" w:eastAsia="宋体"/>
          <w:sz w:val="28"/>
          <w:szCs w:val="28"/>
          <w:highlight w:val="none"/>
        </w:rPr>
      </w:pPr>
      <w:bookmarkStart w:id="126" w:name="_Toc409424348"/>
      <w:bookmarkStart w:id="127" w:name="_Toc468267486"/>
      <w:bookmarkStart w:id="128" w:name="_Toc409424409"/>
      <w:r>
        <w:rPr>
          <w:rFonts w:hint="eastAsia" w:ascii="宋体" w:hAnsi="宋体" w:eastAsia="宋体"/>
          <w:sz w:val="28"/>
          <w:szCs w:val="28"/>
          <w:highlight w:val="none"/>
        </w:rPr>
        <w:t>（一）</w:t>
      </w:r>
      <w:r>
        <w:rPr>
          <w:rFonts w:ascii="宋体" w:hAnsi="宋体" w:eastAsia="宋体"/>
          <w:sz w:val="28"/>
          <w:szCs w:val="28"/>
          <w:highlight w:val="none"/>
        </w:rPr>
        <w:t>法定代表人身份证明</w:t>
      </w:r>
      <w:bookmarkEnd w:id="124"/>
      <w:bookmarkEnd w:id="125"/>
      <w:bookmarkEnd w:id="126"/>
      <w:bookmarkEnd w:id="127"/>
      <w:bookmarkEnd w:id="128"/>
    </w:p>
    <w:p w14:paraId="79B6C283">
      <w:pPr>
        <w:spacing w:line="300" w:lineRule="auto"/>
        <w:rPr>
          <w:rFonts w:ascii="宋体" w:hAnsi="宋体"/>
          <w:sz w:val="20"/>
          <w:szCs w:val="20"/>
          <w:highlight w:val="none"/>
        </w:rPr>
      </w:pPr>
    </w:p>
    <w:p w14:paraId="5AA148FD">
      <w:pPr>
        <w:spacing w:line="300" w:lineRule="auto"/>
        <w:rPr>
          <w:rFonts w:ascii="宋体" w:hAnsi="宋体"/>
          <w:szCs w:val="21"/>
          <w:highlight w:val="none"/>
        </w:rPr>
      </w:pPr>
    </w:p>
    <w:p w14:paraId="618B3F76">
      <w:pPr>
        <w:spacing w:line="300" w:lineRule="auto"/>
        <w:rPr>
          <w:rFonts w:ascii="宋体" w:hAnsi="宋体"/>
          <w:szCs w:val="21"/>
          <w:highlight w:val="none"/>
        </w:rPr>
      </w:pPr>
      <w:r>
        <w:rPr>
          <w:rFonts w:hint="eastAsia" w:ascii="宋体" w:hAnsi="宋体"/>
          <w:szCs w:val="21"/>
          <w:highlight w:val="none"/>
          <w:lang w:eastAsia="zh-CN"/>
        </w:rPr>
        <w:t>投标人</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 xml:space="preserve"> </w:t>
      </w:r>
    </w:p>
    <w:p w14:paraId="54B1287D">
      <w:pPr>
        <w:spacing w:line="300" w:lineRule="auto"/>
        <w:rPr>
          <w:rFonts w:ascii="宋体" w:hAnsi="宋体"/>
          <w:szCs w:val="21"/>
          <w:highlight w:val="none"/>
        </w:rPr>
      </w:pPr>
      <w:r>
        <w:rPr>
          <w:rFonts w:ascii="宋体" w:hAnsi="宋体"/>
          <w:szCs w:val="21"/>
          <w:highlight w:val="none"/>
        </w:rPr>
        <w:t>单位性质：</w:t>
      </w:r>
      <w:r>
        <w:rPr>
          <w:rFonts w:ascii="宋体" w:hAnsi="宋体"/>
          <w:szCs w:val="21"/>
          <w:highlight w:val="none"/>
          <w:u w:val="single"/>
        </w:rPr>
        <w:t xml:space="preserve">                               </w:t>
      </w:r>
      <w:r>
        <w:rPr>
          <w:rFonts w:ascii="宋体" w:hAnsi="宋体"/>
          <w:szCs w:val="21"/>
          <w:highlight w:val="none"/>
        </w:rPr>
        <w:t xml:space="preserve"> </w:t>
      </w:r>
    </w:p>
    <w:p w14:paraId="2483A355">
      <w:pPr>
        <w:spacing w:line="300" w:lineRule="auto"/>
        <w:rPr>
          <w:rFonts w:ascii="宋体" w:hAnsi="宋体"/>
          <w:szCs w:val="21"/>
          <w:highlight w:val="none"/>
        </w:rPr>
      </w:pPr>
      <w:r>
        <w:rPr>
          <w:rFonts w:ascii="宋体" w:hAnsi="宋体"/>
          <w:szCs w:val="21"/>
          <w:highlight w:val="none"/>
        </w:rPr>
        <w:t>地址：</w:t>
      </w:r>
      <w:r>
        <w:rPr>
          <w:rFonts w:ascii="宋体" w:hAnsi="宋体"/>
          <w:szCs w:val="21"/>
          <w:highlight w:val="none"/>
          <w:u w:val="single"/>
        </w:rPr>
        <w:t xml:space="preserve">                                   </w:t>
      </w:r>
    </w:p>
    <w:p w14:paraId="65D23EA4">
      <w:pPr>
        <w:spacing w:line="300" w:lineRule="auto"/>
        <w:rPr>
          <w:rFonts w:ascii="宋体" w:hAnsi="宋体"/>
          <w:szCs w:val="21"/>
          <w:highlight w:val="none"/>
        </w:rPr>
      </w:pPr>
      <w:r>
        <w:rPr>
          <w:rFonts w:ascii="宋体" w:hAnsi="宋体"/>
          <w:szCs w:val="21"/>
          <w:highlight w:val="none"/>
        </w:rPr>
        <w:t>成立时间：</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14:paraId="4992F504">
      <w:pPr>
        <w:spacing w:line="300" w:lineRule="auto"/>
        <w:rPr>
          <w:rFonts w:ascii="宋体" w:hAnsi="宋体"/>
          <w:szCs w:val="21"/>
          <w:highlight w:val="none"/>
        </w:rPr>
      </w:pPr>
      <w:r>
        <w:rPr>
          <w:rFonts w:ascii="宋体" w:hAnsi="宋体"/>
          <w:szCs w:val="21"/>
          <w:highlight w:val="none"/>
        </w:rPr>
        <w:t>经营期限：</w:t>
      </w:r>
      <w:r>
        <w:rPr>
          <w:rFonts w:ascii="宋体" w:hAnsi="宋体"/>
          <w:szCs w:val="21"/>
          <w:highlight w:val="none"/>
          <w:u w:val="single"/>
        </w:rPr>
        <w:t xml:space="preserve">                               </w:t>
      </w:r>
    </w:p>
    <w:p w14:paraId="1F7D2DD9">
      <w:pPr>
        <w:spacing w:line="300" w:lineRule="auto"/>
        <w:rPr>
          <w:rFonts w:ascii="宋体" w:hAnsi="宋体"/>
          <w:szCs w:val="21"/>
          <w:highlight w:val="none"/>
        </w:rPr>
      </w:pPr>
      <w:r>
        <w:rPr>
          <w:rFonts w:ascii="宋体" w:hAnsi="宋体"/>
          <w:szCs w:val="21"/>
          <w:highlight w:val="none"/>
        </w:rPr>
        <w:t>姓名：</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46C47738">
      <w:pPr>
        <w:spacing w:line="300" w:lineRule="auto"/>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投标人</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5A2220BA">
      <w:pPr>
        <w:spacing w:line="300" w:lineRule="auto"/>
        <w:ind w:firstLine="420" w:firstLineChars="200"/>
        <w:rPr>
          <w:rFonts w:ascii="宋体" w:hAnsi="宋体"/>
          <w:szCs w:val="21"/>
          <w:highlight w:val="none"/>
        </w:rPr>
      </w:pPr>
      <w:r>
        <w:rPr>
          <w:rFonts w:ascii="宋体" w:hAnsi="宋体"/>
          <w:szCs w:val="21"/>
          <w:highlight w:val="none"/>
        </w:rPr>
        <w:t>特此证明。</w:t>
      </w:r>
    </w:p>
    <w:p w14:paraId="712771C5">
      <w:pPr>
        <w:spacing w:line="300" w:lineRule="auto"/>
        <w:rPr>
          <w:rFonts w:ascii="宋体" w:hAnsi="宋体"/>
          <w:szCs w:val="21"/>
          <w:highlight w:val="none"/>
        </w:rPr>
      </w:pPr>
    </w:p>
    <w:p w14:paraId="79648E7F">
      <w:pPr>
        <w:spacing w:line="300" w:lineRule="auto"/>
        <w:rPr>
          <w:rFonts w:ascii="宋体" w:hAnsi="宋体"/>
          <w:szCs w:val="21"/>
          <w:highlight w:val="none"/>
        </w:rPr>
      </w:pPr>
    </w:p>
    <w:p w14:paraId="08018052">
      <w:pPr>
        <w:spacing w:line="300" w:lineRule="auto"/>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eastAsia="zh-CN"/>
        </w:rPr>
        <w:t>投标人</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34D310C2">
      <w:pPr>
        <w:spacing w:line="300" w:lineRule="auto"/>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599A7116">
      <w:pPr>
        <w:spacing w:line="300" w:lineRule="auto"/>
        <w:jc w:val="center"/>
        <w:rPr>
          <w:rFonts w:ascii="宋体" w:hAnsi="宋体"/>
          <w:sz w:val="20"/>
          <w:szCs w:val="20"/>
          <w:highlight w:val="none"/>
        </w:rPr>
      </w:pPr>
      <w:r>
        <w:rPr>
          <w:rFonts w:ascii="宋体" w:hAnsi="宋体"/>
          <w:sz w:val="20"/>
          <w:szCs w:val="20"/>
          <w:highlight w:val="none"/>
        </w:rPr>
        <w:br w:type="page"/>
      </w:r>
    </w:p>
    <w:p w14:paraId="0F686AAD">
      <w:pPr>
        <w:pStyle w:val="2"/>
        <w:spacing w:before="0" w:after="0" w:line="300" w:lineRule="auto"/>
        <w:jc w:val="center"/>
        <w:rPr>
          <w:rFonts w:ascii="宋体" w:hAnsi="宋体" w:eastAsia="宋体"/>
          <w:sz w:val="28"/>
          <w:szCs w:val="28"/>
          <w:highlight w:val="none"/>
        </w:rPr>
      </w:pPr>
      <w:bookmarkStart w:id="129" w:name="_Toc409424410"/>
      <w:bookmarkStart w:id="130" w:name="_Toc350070698"/>
      <w:bookmarkStart w:id="131" w:name="_Toc468267487"/>
      <w:bookmarkStart w:id="132" w:name="_Toc409424349"/>
      <w:bookmarkStart w:id="133" w:name="_Toc351644316"/>
      <w:r>
        <w:rPr>
          <w:rFonts w:hint="eastAsia" w:ascii="宋体" w:hAnsi="宋体" w:eastAsia="宋体"/>
          <w:sz w:val="28"/>
          <w:szCs w:val="28"/>
          <w:highlight w:val="none"/>
        </w:rPr>
        <w:t>（二）</w:t>
      </w:r>
      <w:r>
        <w:rPr>
          <w:rFonts w:ascii="宋体" w:hAnsi="宋体" w:eastAsia="宋体"/>
          <w:sz w:val="28"/>
          <w:szCs w:val="28"/>
          <w:highlight w:val="none"/>
        </w:rPr>
        <w:t>授权委托书</w:t>
      </w:r>
      <w:bookmarkEnd w:id="129"/>
      <w:bookmarkEnd w:id="130"/>
      <w:bookmarkEnd w:id="131"/>
      <w:bookmarkEnd w:id="132"/>
      <w:bookmarkEnd w:id="133"/>
    </w:p>
    <w:p w14:paraId="749CBA39">
      <w:pPr>
        <w:spacing w:line="300" w:lineRule="auto"/>
        <w:rPr>
          <w:rFonts w:ascii="宋体" w:hAnsi="宋体"/>
          <w:szCs w:val="21"/>
          <w:highlight w:val="none"/>
        </w:rPr>
      </w:pPr>
    </w:p>
    <w:p w14:paraId="7FABD871">
      <w:pPr>
        <w:topLinePunct/>
        <w:spacing w:line="300" w:lineRule="auto"/>
        <w:ind w:firstLine="420" w:firstLineChars="200"/>
        <w:rPr>
          <w:rFonts w:ascii="宋体" w:hAnsi="宋体"/>
          <w:szCs w:val="21"/>
          <w:highlight w:val="none"/>
        </w:rPr>
      </w:pPr>
      <w:r>
        <w:rPr>
          <w:rFonts w:ascii="宋体" w:hAnsi="宋体"/>
          <w:szCs w:val="21"/>
          <w:highlight w:val="none"/>
        </w:rPr>
        <w:t>本人</w:t>
      </w:r>
      <w:r>
        <w:rPr>
          <w:rFonts w:ascii="宋体" w:hAnsi="宋体"/>
          <w:szCs w:val="21"/>
          <w:highlight w:val="none"/>
          <w:u w:val="single"/>
        </w:rPr>
        <w:t xml:space="preserve">       </w:t>
      </w:r>
      <w:r>
        <w:rPr>
          <w:rFonts w:ascii="宋体" w:hAnsi="宋体"/>
          <w:szCs w:val="21"/>
          <w:highlight w:val="none"/>
        </w:rPr>
        <w:t>（姓名）系</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lang w:eastAsia="zh-CN"/>
        </w:rPr>
        <w:t>投标人</w:t>
      </w:r>
      <w:r>
        <w:rPr>
          <w:rFonts w:ascii="宋体" w:hAnsi="宋体"/>
          <w:szCs w:val="21"/>
          <w:highlight w:val="none"/>
        </w:rPr>
        <w:t>名称）的法定代表人，现委托</w:t>
      </w:r>
      <w:r>
        <w:rPr>
          <w:rFonts w:ascii="宋体" w:hAnsi="宋体"/>
          <w:szCs w:val="21"/>
          <w:highlight w:val="none"/>
          <w:u w:val="single"/>
        </w:rPr>
        <w:t xml:space="preserve">        </w:t>
      </w:r>
      <w:r>
        <w:rPr>
          <w:rFonts w:ascii="宋体" w:hAnsi="宋体"/>
          <w:szCs w:val="21"/>
          <w:highlight w:val="none"/>
        </w:rPr>
        <w:t>（姓名）为我方代理人。代理人根据授权，以我方名义签署、澄清</w:t>
      </w:r>
      <w:r>
        <w:rPr>
          <w:rFonts w:hint="eastAsia" w:ascii="宋体" w:hAnsi="宋体"/>
          <w:szCs w:val="21"/>
          <w:highlight w:val="none"/>
        </w:rPr>
        <w:t>、说明、补正</w:t>
      </w:r>
      <w:r>
        <w:rPr>
          <w:rFonts w:ascii="宋体" w:hAnsi="宋体"/>
          <w:szCs w:val="21"/>
          <w:highlight w:val="none"/>
        </w:rPr>
        <w:t>、递交、撤回、修改</w:t>
      </w:r>
      <w:r>
        <w:rPr>
          <w:rFonts w:ascii="宋体" w:hAnsi="宋体"/>
          <w:szCs w:val="21"/>
          <w:highlight w:val="none"/>
          <w:u w:val="single"/>
        </w:rPr>
        <w:t xml:space="preserve">           </w:t>
      </w:r>
      <w:r>
        <w:rPr>
          <w:rFonts w:ascii="宋体" w:hAnsi="宋体"/>
          <w:szCs w:val="21"/>
          <w:highlight w:val="none"/>
        </w:rPr>
        <w:t>（项目名称）投标文件、签订合同和处理有关事宜，其法律后果由我方承担。</w:t>
      </w:r>
    </w:p>
    <w:p w14:paraId="1444C8B3">
      <w:pPr>
        <w:spacing w:line="300" w:lineRule="auto"/>
        <w:rPr>
          <w:rFonts w:ascii="宋体" w:hAnsi="宋体"/>
          <w:szCs w:val="21"/>
          <w:highlight w:val="none"/>
        </w:rPr>
      </w:pPr>
      <w:r>
        <w:rPr>
          <w:rFonts w:ascii="宋体" w:hAnsi="宋体"/>
          <w:szCs w:val="21"/>
          <w:highlight w:val="none"/>
        </w:rPr>
        <w:t xml:space="preserve">    委托期限：</w:t>
      </w:r>
      <w:r>
        <w:rPr>
          <w:rFonts w:ascii="宋体" w:hAnsi="宋体"/>
          <w:szCs w:val="21"/>
          <w:highlight w:val="none"/>
          <w:u w:val="single"/>
        </w:rPr>
        <w:t xml:space="preserve">             </w:t>
      </w:r>
      <w:r>
        <w:rPr>
          <w:rFonts w:hint="eastAsia" w:ascii="宋体" w:hAnsi="宋体"/>
          <w:szCs w:val="21"/>
          <w:highlight w:val="none"/>
        </w:rPr>
        <w:t>。</w:t>
      </w:r>
    </w:p>
    <w:p w14:paraId="321E7037">
      <w:pPr>
        <w:spacing w:line="300" w:lineRule="auto"/>
        <w:ind w:firstLine="420" w:firstLineChars="200"/>
        <w:rPr>
          <w:rFonts w:ascii="宋体" w:hAnsi="宋体"/>
          <w:szCs w:val="21"/>
          <w:highlight w:val="none"/>
        </w:rPr>
      </w:pPr>
      <w:r>
        <w:rPr>
          <w:rFonts w:ascii="宋体" w:hAnsi="宋体"/>
          <w:szCs w:val="21"/>
          <w:highlight w:val="none"/>
        </w:rPr>
        <w:t>代理人无转委托权。</w:t>
      </w:r>
    </w:p>
    <w:p w14:paraId="6AB88571">
      <w:pPr>
        <w:spacing w:line="300" w:lineRule="auto"/>
        <w:ind w:firstLine="420" w:firstLineChars="200"/>
        <w:rPr>
          <w:rFonts w:ascii="宋体" w:hAnsi="宋体"/>
          <w:szCs w:val="21"/>
          <w:highlight w:val="none"/>
        </w:rPr>
      </w:pPr>
      <w:r>
        <w:rPr>
          <w:rFonts w:hint="eastAsia" w:ascii="宋体" w:hAnsi="宋体"/>
          <w:szCs w:val="21"/>
          <w:highlight w:val="none"/>
        </w:rPr>
        <w:t>附：法定代表人及授权代理人身份证复印件</w:t>
      </w:r>
    </w:p>
    <w:p w14:paraId="725E0321">
      <w:pPr>
        <w:spacing w:line="300" w:lineRule="auto"/>
        <w:rPr>
          <w:rFonts w:ascii="宋体" w:hAnsi="宋体"/>
          <w:szCs w:val="21"/>
          <w:highlight w:val="none"/>
        </w:rPr>
      </w:pPr>
    </w:p>
    <w:p w14:paraId="551F1237">
      <w:pPr>
        <w:spacing w:line="300" w:lineRule="auto"/>
        <w:rPr>
          <w:rFonts w:ascii="宋体" w:hAnsi="宋体"/>
          <w:szCs w:val="21"/>
          <w:highlight w:val="none"/>
        </w:rPr>
      </w:pPr>
    </w:p>
    <w:p w14:paraId="321E040C">
      <w:pPr>
        <w:spacing w:line="300" w:lineRule="auto"/>
        <w:rPr>
          <w:rFonts w:ascii="宋体" w:hAnsi="宋体"/>
          <w:szCs w:val="21"/>
          <w:highlight w:val="none"/>
        </w:rPr>
      </w:pPr>
      <w:r>
        <w:rPr>
          <w:rFonts w:hint="eastAsia" w:ascii="宋体" w:hAnsi="宋体"/>
          <w:szCs w:val="21"/>
          <w:highlight w:val="none"/>
          <w:lang w:eastAsia="zh-CN"/>
        </w:rPr>
        <w:t>投标人</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197D0C3F">
      <w:pPr>
        <w:spacing w:line="300" w:lineRule="auto"/>
        <w:rPr>
          <w:rFonts w:ascii="宋体" w:hAnsi="宋体"/>
          <w:szCs w:val="21"/>
          <w:highlight w:val="none"/>
        </w:rPr>
      </w:pPr>
    </w:p>
    <w:p w14:paraId="292CE3DC">
      <w:pPr>
        <w:spacing w:line="300" w:lineRule="auto"/>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color w:val="auto"/>
          <w:szCs w:val="21"/>
          <w:highlight w:val="none"/>
        </w:rPr>
        <w:t>（签字</w:t>
      </w:r>
      <w:r>
        <w:rPr>
          <w:rFonts w:hint="eastAsia" w:ascii="宋体" w:hAnsi="宋体"/>
          <w:color w:val="auto"/>
          <w:szCs w:val="21"/>
          <w:highlight w:val="none"/>
        </w:rPr>
        <w:t>、</w:t>
      </w:r>
      <w:r>
        <w:rPr>
          <w:rFonts w:ascii="宋体" w:hAnsi="宋体"/>
          <w:color w:val="auto"/>
          <w:szCs w:val="21"/>
          <w:highlight w:val="none"/>
        </w:rPr>
        <w:t>盖章）</w:t>
      </w:r>
    </w:p>
    <w:p w14:paraId="51854BA7">
      <w:pPr>
        <w:spacing w:line="300" w:lineRule="auto"/>
        <w:rPr>
          <w:rFonts w:ascii="宋体" w:hAnsi="宋体"/>
          <w:szCs w:val="21"/>
          <w:highlight w:val="none"/>
        </w:rPr>
      </w:pPr>
    </w:p>
    <w:p w14:paraId="5D84EB66">
      <w:pPr>
        <w:spacing w:line="300" w:lineRule="auto"/>
        <w:rPr>
          <w:rFonts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14:paraId="5D878D5B">
      <w:pPr>
        <w:spacing w:line="300" w:lineRule="auto"/>
        <w:rPr>
          <w:rFonts w:ascii="宋体" w:hAnsi="宋体"/>
          <w:szCs w:val="21"/>
          <w:highlight w:val="none"/>
        </w:rPr>
      </w:pPr>
    </w:p>
    <w:p w14:paraId="6079AF7E">
      <w:pPr>
        <w:spacing w:line="300" w:lineRule="auto"/>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14:paraId="57C4407F">
      <w:pPr>
        <w:spacing w:line="300" w:lineRule="auto"/>
        <w:rPr>
          <w:rFonts w:ascii="宋体" w:hAnsi="宋体"/>
          <w:szCs w:val="21"/>
          <w:highlight w:val="none"/>
        </w:rPr>
      </w:pPr>
    </w:p>
    <w:p w14:paraId="0AE2E656">
      <w:pPr>
        <w:spacing w:line="300" w:lineRule="auto"/>
        <w:rPr>
          <w:rFonts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14:paraId="4096F93B">
      <w:pPr>
        <w:spacing w:line="300" w:lineRule="auto"/>
        <w:rPr>
          <w:rFonts w:ascii="宋体" w:hAnsi="宋体"/>
          <w:szCs w:val="21"/>
          <w:highlight w:val="none"/>
        </w:rPr>
      </w:pPr>
    </w:p>
    <w:p w14:paraId="0E03316E">
      <w:pPr>
        <w:spacing w:line="300" w:lineRule="auto"/>
        <w:rPr>
          <w:rFonts w:ascii="宋体" w:hAnsi="宋体"/>
          <w:szCs w:val="21"/>
          <w:highlight w:val="none"/>
        </w:rPr>
      </w:pPr>
    </w:p>
    <w:p w14:paraId="06119E7F">
      <w:pPr>
        <w:spacing w:line="300" w:lineRule="auto"/>
        <w:ind w:firstLine="2310" w:firstLineChars="1100"/>
        <w:rPr>
          <w:rFonts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14:paraId="1C5A5EB9">
      <w:pPr>
        <w:spacing w:line="300" w:lineRule="auto"/>
        <w:rPr>
          <w:rFonts w:ascii="宋体" w:hAnsi="宋体"/>
          <w:highlight w:val="none"/>
        </w:rPr>
      </w:pPr>
      <w:r>
        <w:rPr>
          <w:rFonts w:ascii="宋体" w:hAnsi="宋体"/>
          <w:sz w:val="20"/>
          <w:szCs w:val="20"/>
          <w:highlight w:val="none"/>
        </w:rPr>
        <w:br w:type="page"/>
      </w:r>
    </w:p>
    <w:p w14:paraId="7E1E451D">
      <w:pPr>
        <w:pStyle w:val="2"/>
        <w:spacing w:before="0" w:after="0" w:line="300" w:lineRule="auto"/>
        <w:jc w:val="center"/>
        <w:rPr>
          <w:rFonts w:ascii="宋体" w:hAnsi="宋体" w:eastAsia="宋体"/>
          <w:highlight w:val="none"/>
        </w:rPr>
      </w:pPr>
      <w:bookmarkStart w:id="134" w:name="_Toc351644318"/>
      <w:bookmarkStart w:id="135" w:name="_Toc409424351"/>
      <w:bookmarkStart w:id="136" w:name="_Toc468267489"/>
      <w:bookmarkStart w:id="137" w:name="_Toc350070700"/>
      <w:bookmarkStart w:id="138" w:name="_Toc409424412"/>
      <w:r>
        <w:rPr>
          <w:rFonts w:hint="eastAsia" w:ascii="宋体" w:hAnsi="宋体" w:eastAsia="宋体"/>
          <w:highlight w:val="none"/>
          <w:lang w:val="en-US" w:eastAsia="zh-CN"/>
        </w:rPr>
        <w:t>四</w:t>
      </w:r>
      <w:r>
        <w:rPr>
          <w:rFonts w:ascii="宋体" w:hAnsi="宋体" w:eastAsia="宋体"/>
          <w:highlight w:val="none"/>
        </w:rPr>
        <w:t>、投标报价</w:t>
      </w:r>
      <w:r>
        <w:rPr>
          <w:rFonts w:hint="eastAsia" w:ascii="宋体" w:hAnsi="宋体" w:eastAsia="宋体"/>
          <w:highlight w:val="none"/>
          <w:lang w:val="en-US" w:eastAsia="zh-CN"/>
        </w:rPr>
        <w:t>明细</w:t>
      </w:r>
      <w:r>
        <w:rPr>
          <w:rFonts w:ascii="宋体" w:hAnsi="宋体" w:eastAsia="宋体"/>
          <w:highlight w:val="none"/>
        </w:rPr>
        <w:t>表</w:t>
      </w:r>
      <w:bookmarkEnd w:id="134"/>
      <w:bookmarkEnd w:id="135"/>
      <w:bookmarkEnd w:id="136"/>
      <w:bookmarkEnd w:id="137"/>
      <w:bookmarkEnd w:id="138"/>
    </w:p>
    <w:p w14:paraId="38DB2F3E">
      <w:pPr>
        <w:spacing w:line="300" w:lineRule="auto"/>
        <w:rPr>
          <w:rFonts w:ascii="宋体" w:hAnsi="宋体" w:cs="仿宋_GB2312"/>
          <w:kern w:val="0"/>
          <w:szCs w:val="21"/>
          <w:highlight w:val="none"/>
        </w:rPr>
      </w:pPr>
    </w:p>
    <w:p w14:paraId="60EBD20D">
      <w:pPr>
        <w:rPr>
          <w:rFonts w:ascii="宋体" w:hAnsi="宋体"/>
          <w:szCs w:val="21"/>
          <w:highlight w:val="none"/>
          <w:u w:val="single"/>
        </w:rPr>
      </w:pPr>
      <w:r>
        <w:rPr>
          <w:rFonts w:hint="eastAsia" w:ascii="宋体" w:hAnsi="宋体"/>
          <w:szCs w:val="21"/>
          <w:highlight w:val="none"/>
        </w:rPr>
        <w:t>项目名称</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5F1107CF">
      <w:pPr>
        <w:rPr>
          <w:rFonts w:ascii="宋体" w:hAnsi="宋体"/>
          <w:szCs w:val="21"/>
          <w:highlight w:val="none"/>
        </w:rPr>
      </w:pPr>
    </w:p>
    <w:p w14:paraId="587A266A">
      <w:pPr>
        <w:rPr>
          <w:rFonts w:ascii="宋体" w:hAnsi="宋体"/>
          <w:highlight w:val="none"/>
          <w:u w:val="single"/>
        </w:rPr>
      </w:pPr>
      <w:r>
        <w:rPr>
          <w:rFonts w:hint="eastAsia" w:ascii="宋体" w:hAnsi="宋体"/>
          <w:szCs w:val="21"/>
          <w:highlight w:val="none"/>
        </w:rPr>
        <w:t>项目</w:t>
      </w:r>
      <w:r>
        <w:rPr>
          <w:rFonts w:ascii="宋体" w:hAnsi="宋体"/>
          <w:szCs w:val="21"/>
          <w:highlight w:val="none"/>
        </w:rPr>
        <w:t>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1216"/>
        <w:gridCol w:w="3825"/>
        <w:gridCol w:w="590"/>
        <w:gridCol w:w="685"/>
        <w:gridCol w:w="1016"/>
        <w:gridCol w:w="1055"/>
      </w:tblGrid>
      <w:tr w14:paraId="2437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0D1E0A0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2024-2025年新雪季--龙源山光影秀提升项目清单与计价表</w:t>
            </w:r>
          </w:p>
        </w:tc>
      </w:tr>
      <w:tr w14:paraId="05C66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C403">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序号</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A51C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项目</w:t>
            </w:r>
            <w:r>
              <w:rPr>
                <w:rFonts w:hint="eastAsia" w:ascii="微软雅黑" w:hAnsi="微软雅黑" w:eastAsia="微软雅黑" w:cs="微软雅黑"/>
                <w:b/>
                <w:bCs/>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b/>
                <w:bCs/>
                <w:i w:val="0"/>
                <w:iCs w:val="0"/>
                <w:color w:val="000000"/>
                <w:kern w:val="0"/>
                <w:sz w:val="20"/>
                <w:szCs w:val="20"/>
                <w:highlight w:val="none"/>
                <w:u w:val="none"/>
                <w:lang w:val="en-US" w:eastAsia="zh-CN" w:bidi="ar"/>
              </w:rPr>
              <w:t>(产品名称)</w:t>
            </w:r>
          </w:p>
        </w:tc>
        <w:tc>
          <w:tcPr>
            <w:tcW w:w="214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1972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产品规格/参数</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2FD2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计量</w:t>
            </w:r>
            <w:r>
              <w:rPr>
                <w:rFonts w:hint="eastAsia" w:ascii="微软雅黑" w:hAnsi="微软雅黑" w:eastAsia="微软雅黑" w:cs="微软雅黑"/>
                <w:b/>
                <w:bCs/>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b/>
                <w:bCs/>
                <w:i w:val="0"/>
                <w:iCs w:val="0"/>
                <w:color w:val="000000"/>
                <w:kern w:val="0"/>
                <w:sz w:val="20"/>
                <w:szCs w:val="20"/>
                <w:highlight w:val="none"/>
                <w:u w:val="none"/>
                <w:lang w:val="en-US" w:eastAsia="zh-CN" w:bidi="ar"/>
              </w:rPr>
              <w:t>单位</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B77E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采购</w:t>
            </w:r>
            <w:r>
              <w:rPr>
                <w:rFonts w:hint="eastAsia" w:ascii="微软雅黑" w:hAnsi="微软雅黑" w:eastAsia="微软雅黑" w:cs="微软雅黑"/>
                <w:b/>
                <w:bCs/>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b/>
                <w:bCs/>
                <w:i w:val="0"/>
                <w:iCs w:val="0"/>
                <w:color w:val="000000"/>
                <w:kern w:val="0"/>
                <w:sz w:val="20"/>
                <w:szCs w:val="20"/>
                <w:highlight w:val="none"/>
                <w:u w:val="none"/>
                <w:lang w:val="en-US" w:eastAsia="zh-CN" w:bidi="ar"/>
              </w:rPr>
              <w:t>数量</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FE19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金额（元）</w:t>
            </w:r>
          </w:p>
        </w:tc>
      </w:tr>
      <w:tr w14:paraId="057D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A8B1">
            <w:pPr>
              <w:jc w:val="center"/>
              <w:rPr>
                <w:rFonts w:hint="eastAsia" w:ascii="微软雅黑" w:hAnsi="微软雅黑" w:eastAsia="微软雅黑" w:cs="微软雅黑"/>
                <w:b/>
                <w:bCs/>
                <w:i w:val="0"/>
                <w:iCs w:val="0"/>
                <w:color w:val="000000"/>
                <w:sz w:val="20"/>
                <w:szCs w:val="20"/>
                <w:highlight w:val="none"/>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C2687">
            <w:pPr>
              <w:jc w:val="center"/>
              <w:rPr>
                <w:rFonts w:hint="eastAsia" w:ascii="微软雅黑" w:hAnsi="微软雅黑" w:eastAsia="微软雅黑" w:cs="微软雅黑"/>
                <w:b/>
                <w:bCs/>
                <w:i w:val="0"/>
                <w:iCs w:val="0"/>
                <w:color w:val="000000"/>
                <w:sz w:val="20"/>
                <w:szCs w:val="20"/>
                <w:highlight w:val="none"/>
                <w:u w:val="none"/>
              </w:rPr>
            </w:pPr>
          </w:p>
        </w:tc>
        <w:tc>
          <w:tcPr>
            <w:tcW w:w="21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8F637">
            <w:pPr>
              <w:jc w:val="center"/>
              <w:rPr>
                <w:rFonts w:hint="eastAsia" w:ascii="微软雅黑" w:hAnsi="微软雅黑" w:eastAsia="微软雅黑" w:cs="微软雅黑"/>
                <w:b/>
                <w:bCs/>
                <w:i w:val="0"/>
                <w:iCs w:val="0"/>
                <w:color w:val="000000"/>
                <w:sz w:val="20"/>
                <w:szCs w:val="20"/>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43374">
            <w:pPr>
              <w:jc w:val="center"/>
              <w:rPr>
                <w:rFonts w:hint="eastAsia" w:ascii="微软雅黑" w:hAnsi="微软雅黑" w:eastAsia="微软雅黑" w:cs="微软雅黑"/>
                <w:b/>
                <w:bCs/>
                <w:i w:val="0"/>
                <w:iCs w:val="0"/>
                <w:color w:val="000000"/>
                <w:sz w:val="20"/>
                <w:szCs w:val="20"/>
                <w:highlight w:val="none"/>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18A15">
            <w:pPr>
              <w:jc w:val="center"/>
              <w:rPr>
                <w:rFonts w:hint="eastAsia" w:ascii="微软雅黑" w:hAnsi="微软雅黑" w:eastAsia="微软雅黑" w:cs="微软雅黑"/>
                <w:b/>
                <w:bCs/>
                <w:i w:val="0"/>
                <w:iCs w:val="0"/>
                <w:color w:val="000000"/>
                <w:sz w:val="20"/>
                <w:szCs w:val="20"/>
                <w:highlight w:val="none"/>
                <w:u w:val="none"/>
              </w:rPr>
            </w:pP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B8C3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综合单价</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EF96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合价</w:t>
            </w:r>
          </w:p>
        </w:tc>
      </w:tr>
      <w:tr w14:paraId="1B75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B83A">
            <w:pPr>
              <w:jc w:val="center"/>
              <w:rPr>
                <w:rFonts w:hint="eastAsia" w:ascii="微软雅黑" w:hAnsi="微软雅黑" w:eastAsia="微软雅黑" w:cs="微软雅黑"/>
                <w:b/>
                <w:bCs/>
                <w:i w:val="0"/>
                <w:iCs w:val="0"/>
                <w:color w:val="000000"/>
                <w:sz w:val="20"/>
                <w:szCs w:val="20"/>
                <w:highlight w:val="none"/>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5A5D0">
            <w:pPr>
              <w:jc w:val="center"/>
              <w:rPr>
                <w:rFonts w:hint="eastAsia" w:ascii="微软雅黑" w:hAnsi="微软雅黑" w:eastAsia="微软雅黑" w:cs="微软雅黑"/>
                <w:b/>
                <w:bCs/>
                <w:i w:val="0"/>
                <w:iCs w:val="0"/>
                <w:color w:val="000000"/>
                <w:sz w:val="20"/>
                <w:szCs w:val="20"/>
                <w:highlight w:val="none"/>
                <w:u w:val="none"/>
              </w:rPr>
            </w:pPr>
          </w:p>
        </w:tc>
        <w:tc>
          <w:tcPr>
            <w:tcW w:w="21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48236">
            <w:pPr>
              <w:jc w:val="center"/>
              <w:rPr>
                <w:rFonts w:hint="eastAsia" w:ascii="微软雅黑" w:hAnsi="微软雅黑" w:eastAsia="微软雅黑" w:cs="微软雅黑"/>
                <w:b/>
                <w:bCs/>
                <w:i w:val="0"/>
                <w:iCs w:val="0"/>
                <w:color w:val="000000"/>
                <w:sz w:val="20"/>
                <w:szCs w:val="20"/>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85A0B">
            <w:pPr>
              <w:jc w:val="center"/>
              <w:rPr>
                <w:rFonts w:hint="eastAsia" w:ascii="微软雅黑" w:hAnsi="微软雅黑" w:eastAsia="微软雅黑" w:cs="微软雅黑"/>
                <w:b/>
                <w:bCs/>
                <w:i w:val="0"/>
                <w:iCs w:val="0"/>
                <w:color w:val="000000"/>
                <w:sz w:val="20"/>
                <w:szCs w:val="20"/>
                <w:highlight w:val="none"/>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C4822">
            <w:pPr>
              <w:jc w:val="center"/>
              <w:rPr>
                <w:rFonts w:hint="eastAsia" w:ascii="微软雅黑" w:hAnsi="微软雅黑" w:eastAsia="微软雅黑" w:cs="微软雅黑"/>
                <w:b/>
                <w:bCs/>
                <w:i w:val="0"/>
                <w:iCs w:val="0"/>
                <w:color w:val="000000"/>
                <w:sz w:val="20"/>
                <w:szCs w:val="20"/>
                <w:highlight w:val="none"/>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466AE">
            <w:pPr>
              <w:jc w:val="center"/>
              <w:rPr>
                <w:rFonts w:hint="eastAsia" w:ascii="微软雅黑" w:hAnsi="微软雅黑" w:eastAsia="微软雅黑" w:cs="微软雅黑"/>
                <w:b/>
                <w:bCs/>
                <w:i w:val="0"/>
                <w:iCs w:val="0"/>
                <w:color w:val="000000"/>
                <w:sz w:val="20"/>
                <w:szCs w:val="20"/>
                <w:highlight w:val="none"/>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08430">
            <w:pPr>
              <w:jc w:val="center"/>
              <w:rPr>
                <w:rFonts w:hint="eastAsia" w:ascii="微软雅黑" w:hAnsi="微软雅黑" w:eastAsia="微软雅黑" w:cs="微软雅黑"/>
                <w:b/>
                <w:bCs/>
                <w:i w:val="0"/>
                <w:iCs w:val="0"/>
                <w:color w:val="000000"/>
                <w:sz w:val="20"/>
                <w:szCs w:val="20"/>
                <w:highlight w:val="none"/>
                <w:u w:val="none"/>
              </w:rPr>
            </w:pPr>
          </w:p>
        </w:tc>
      </w:tr>
      <w:tr w14:paraId="3940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7F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2BDA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户外防水激光灯</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CC5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67"/>
                <w:highlight w:val="none"/>
                <w:lang w:val="en-US" w:eastAsia="zh-CN" w:bidi="ar"/>
              </w:rPr>
              <w:t>1、可通过手机APP智能控制</w:t>
            </w:r>
            <w:r>
              <w:rPr>
                <w:rStyle w:val="68"/>
                <w:highlight w:val="none"/>
                <w:lang w:val="en-US" w:eastAsia="zh-CN" w:bidi="ar"/>
              </w:rPr>
              <w:br w:type="textWrapping"/>
            </w:r>
            <w:r>
              <w:rPr>
                <w:rStyle w:val="68"/>
                <w:highlight w:val="none"/>
                <w:lang w:val="en-US" w:eastAsia="zh-CN" w:bidi="ar"/>
              </w:rPr>
              <w:t>2、激光机总亮度 ≥50W全彩</w:t>
            </w:r>
            <w:r>
              <w:rPr>
                <w:rStyle w:val="68"/>
                <w:highlight w:val="none"/>
                <w:lang w:val="en-US" w:eastAsia="zh-CN" w:bidi="ar"/>
              </w:rPr>
              <w:br w:type="textWrapping"/>
            </w:r>
            <w:r>
              <w:rPr>
                <w:rStyle w:val="68"/>
                <w:highlight w:val="none"/>
                <w:lang w:val="en-US" w:eastAsia="zh-CN" w:bidi="ar"/>
              </w:rPr>
              <w:t>红光波长-638nmopsl  二级器模块：15W                                                                                                                                                                                                  绿光波长-520nmopsl  二级器模块：15W                                                                                                                                                                                                     蓝光波长-445nmopsl  二级器模块：20w</w:t>
            </w:r>
            <w:r>
              <w:rPr>
                <w:rStyle w:val="68"/>
                <w:highlight w:val="none"/>
                <w:lang w:val="en-US" w:eastAsia="zh-CN" w:bidi="ar"/>
              </w:rPr>
              <w:br w:type="textWrapping"/>
            </w:r>
            <w:r>
              <w:rPr>
                <w:rStyle w:val="68"/>
                <w:highlight w:val="none"/>
                <w:lang w:val="en-US" w:eastAsia="zh-CN" w:bidi="ar"/>
              </w:rPr>
              <w:t>激光颜色 全彩</w:t>
            </w:r>
            <w:r>
              <w:rPr>
                <w:rStyle w:val="68"/>
                <w:highlight w:val="none"/>
                <w:lang w:val="en-US" w:eastAsia="zh-CN" w:bidi="ar"/>
              </w:rPr>
              <w:br w:type="textWrapping"/>
            </w:r>
            <w:r>
              <w:rPr>
                <w:rStyle w:val="68"/>
                <w:highlight w:val="none"/>
                <w:lang w:val="en-US" w:eastAsia="zh-CN" w:bidi="ar"/>
              </w:rPr>
              <w:t>激光光斑 直径小于5mm,发散角&lt;3mrad</w:t>
            </w:r>
            <w:r>
              <w:rPr>
                <w:rStyle w:val="68"/>
                <w:highlight w:val="none"/>
                <w:lang w:val="en-US" w:eastAsia="zh-CN" w:bidi="ar"/>
              </w:rPr>
              <w:br w:type="textWrapping"/>
            </w:r>
            <w:r>
              <w:rPr>
                <w:rStyle w:val="68"/>
                <w:highlight w:val="none"/>
                <w:lang w:val="en-US" w:eastAsia="zh-CN" w:bidi="ar"/>
              </w:rPr>
              <w:t>耗电功率 &lt;800W</w:t>
            </w:r>
            <w:r>
              <w:rPr>
                <w:rStyle w:val="68"/>
                <w:highlight w:val="none"/>
                <w:lang w:val="en-US" w:eastAsia="zh-CN" w:bidi="ar"/>
              </w:rPr>
              <w:br w:type="textWrapping"/>
            </w:r>
            <w:r>
              <w:rPr>
                <w:rStyle w:val="68"/>
                <w:highlight w:val="none"/>
                <w:lang w:val="en-US" w:eastAsia="zh-CN" w:bidi="ar"/>
              </w:rPr>
              <w:t>振镜速度 40K高速进口振镜</w:t>
            </w:r>
            <w:r>
              <w:rPr>
                <w:rStyle w:val="68"/>
                <w:highlight w:val="none"/>
                <w:lang w:val="en-US" w:eastAsia="zh-CN" w:bidi="ar"/>
              </w:rPr>
              <w:br w:type="textWrapping"/>
            </w:r>
            <w:r>
              <w:rPr>
                <w:rStyle w:val="68"/>
                <w:highlight w:val="none"/>
                <w:lang w:val="en-US" w:eastAsia="zh-CN" w:bidi="ar"/>
              </w:rPr>
              <w:t>扫描角度 最大角度60度</w:t>
            </w:r>
            <w:r>
              <w:rPr>
                <w:rStyle w:val="68"/>
                <w:highlight w:val="none"/>
                <w:lang w:val="en-US" w:eastAsia="zh-CN" w:bidi="ar"/>
              </w:rPr>
              <w:br w:type="textWrapping"/>
            </w:r>
            <w:r>
              <w:rPr>
                <w:rStyle w:val="68"/>
                <w:highlight w:val="none"/>
                <w:lang w:val="en-US" w:eastAsia="zh-CN" w:bidi="ar"/>
              </w:rPr>
              <w:t>工作电压 220V±20%  50/60HZ</w:t>
            </w:r>
            <w:r>
              <w:rPr>
                <w:rStyle w:val="68"/>
                <w:highlight w:val="none"/>
                <w:lang w:val="en-US" w:eastAsia="zh-CN" w:bidi="ar"/>
              </w:rPr>
              <w:br w:type="textWrapping"/>
            </w:r>
            <w:r>
              <w:rPr>
                <w:rStyle w:val="68"/>
                <w:highlight w:val="none"/>
                <w:lang w:val="en-US" w:eastAsia="zh-CN" w:bidi="ar"/>
              </w:rPr>
              <w:t>扫描系统 40kpps ,扫描角度±30°</w:t>
            </w:r>
            <w:r>
              <w:rPr>
                <w:rStyle w:val="68"/>
                <w:highlight w:val="none"/>
                <w:lang w:val="en-US" w:eastAsia="zh-CN" w:bidi="ar"/>
              </w:rPr>
              <w:br w:type="textWrapping"/>
            </w:r>
            <w:r>
              <w:rPr>
                <w:rStyle w:val="68"/>
                <w:highlight w:val="none"/>
                <w:lang w:val="en-US" w:eastAsia="zh-CN" w:bidi="ar"/>
              </w:rPr>
              <w:t>工作温度 -30度到35度</w:t>
            </w:r>
            <w:r>
              <w:rPr>
                <w:rStyle w:val="68"/>
                <w:highlight w:val="none"/>
                <w:lang w:val="en-US" w:eastAsia="zh-CN" w:bidi="ar"/>
              </w:rPr>
              <w:br w:type="textWrapping"/>
            </w:r>
            <w:r>
              <w:rPr>
                <w:rStyle w:val="68"/>
                <w:highlight w:val="none"/>
                <w:lang w:val="en-US" w:eastAsia="zh-CN" w:bidi="ar"/>
              </w:rPr>
              <w:t>温控系统 采用数字驱动，带有加热冷却功能，可以在高寒与高热环境使用</w:t>
            </w:r>
            <w:r>
              <w:rPr>
                <w:rStyle w:val="68"/>
                <w:highlight w:val="none"/>
                <w:lang w:val="en-US" w:eastAsia="zh-CN" w:bidi="ar"/>
              </w:rPr>
              <w:br w:type="textWrapping"/>
            </w:r>
            <w:r>
              <w:rPr>
                <w:rStyle w:val="68"/>
                <w:highlight w:val="none"/>
                <w:lang w:val="en-US" w:eastAsia="zh-CN" w:bidi="ar"/>
              </w:rPr>
              <w:t>激光安全等级 CLASS 4</w:t>
            </w:r>
            <w:r>
              <w:rPr>
                <w:rStyle w:val="68"/>
                <w:highlight w:val="none"/>
                <w:lang w:val="en-US" w:eastAsia="zh-CN" w:bidi="ar"/>
              </w:rPr>
              <w:br w:type="textWrapping"/>
            </w:r>
            <w:r>
              <w:rPr>
                <w:rStyle w:val="68"/>
                <w:highlight w:val="none"/>
                <w:lang w:val="en-US" w:eastAsia="zh-CN" w:bidi="ar"/>
              </w:rPr>
              <w:t>保护功能 过压保护,过流保护;漏电保护.</w:t>
            </w:r>
            <w:r>
              <w:rPr>
                <w:rStyle w:val="68"/>
                <w:highlight w:val="none"/>
                <w:lang w:val="en-US" w:eastAsia="zh-CN" w:bidi="ar"/>
              </w:rPr>
              <w:br w:type="textWrapping"/>
            </w:r>
            <w:r>
              <w:rPr>
                <w:rStyle w:val="68"/>
                <w:highlight w:val="none"/>
                <w:lang w:val="en-US" w:eastAsia="zh-CN" w:bidi="ar"/>
              </w:rPr>
              <w:t>IP等级 防水防尘达到IP55以上</w:t>
            </w:r>
            <w:r>
              <w:rPr>
                <w:rStyle w:val="68"/>
                <w:highlight w:val="none"/>
                <w:lang w:val="en-US" w:eastAsia="zh-CN" w:bidi="ar"/>
              </w:rPr>
              <w:br w:type="textWrapping"/>
            </w:r>
            <w:r>
              <w:rPr>
                <w:rStyle w:val="68"/>
                <w:highlight w:val="none"/>
                <w:lang w:val="en-US" w:eastAsia="zh-CN" w:bidi="ar"/>
              </w:rPr>
              <w:t>冷却方式 风冷</w:t>
            </w:r>
            <w:r>
              <w:rPr>
                <w:rStyle w:val="68"/>
                <w:highlight w:val="none"/>
                <w:lang w:val="en-US" w:eastAsia="zh-CN" w:bidi="ar"/>
              </w:rPr>
              <w:br w:type="textWrapping"/>
            </w:r>
            <w:r>
              <w:rPr>
                <w:rStyle w:val="68"/>
                <w:highlight w:val="none"/>
                <w:lang w:val="en-US" w:eastAsia="zh-CN" w:bidi="ar"/>
              </w:rPr>
              <w:t>控制接口 ILDA DB-25标准双差信号输入</w:t>
            </w:r>
            <w:r>
              <w:rPr>
                <w:rStyle w:val="68"/>
                <w:highlight w:val="none"/>
                <w:lang w:val="en-US" w:eastAsia="zh-CN" w:bidi="ar"/>
              </w:rPr>
              <w:br w:type="textWrapping"/>
            </w:r>
            <w:r>
              <w:rPr>
                <w:rStyle w:val="68"/>
                <w:highlight w:val="none"/>
                <w:lang w:val="en-US" w:eastAsia="zh-CN" w:bidi="ar"/>
              </w:rPr>
              <w:t>支持Pangolin中央控制系统 PANGOLIN激光软件控制系统包括：</w:t>
            </w:r>
            <w:r>
              <w:rPr>
                <w:rStyle w:val="68"/>
                <w:highlight w:val="none"/>
                <w:lang w:val="en-US" w:eastAsia="zh-CN" w:bidi="ar"/>
              </w:rPr>
              <w:br w:type="textWrapping"/>
            </w:r>
            <w:r>
              <w:rPr>
                <w:rStyle w:val="68"/>
                <w:highlight w:val="none"/>
                <w:lang w:val="en-US" w:eastAsia="zh-CN" w:bidi="ar"/>
              </w:rPr>
              <w:t>- FB4</w:t>
            </w:r>
            <w:r>
              <w:rPr>
                <w:rStyle w:val="68"/>
                <w:highlight w:val="none"/>
                <w:lang w:val="en-US" w:eastAsia="zh-CN" w:bidi="ar"/>
              </w:rPr>
              <w:br w:type="textWrapping"/>
            </w:r>
            <w:r>
              <w:rPr>
                <w:rStyle w:val="68"/>
                <w:highlight w:val="none"/>
                <w:lang w:val="en-US" w:eastAsia="zh-CN" w:bidi="ar"/>
              </w:rPr>
              <w:t>-quickshow图案编辑软件</w:t>
            </w:r>
            <w:r>
              <w:rPr>
                <w:rStyle w:val="68"/>
                <w:highlight w:val="none"/>
                <w:lang w:val="en-US" w:eastAsia="zh-CN" w:bidi="ar"/>
              </w:rPr>
              <w:br w:type="textWrapping"/>
            </w:r>
            <w:r>
              <w:rPr>
                <w:rStyle w:val="68"/>
                <w:highlight w:val="none"/>
                <w:lang w:val="en-US" w:eastAsia="zh-CN" w:bidi="ar"/>
              </w:rPr>
              <w:t>-专业级音频输出</w:t>
            </w:r>
            <w:r>
              <w:rPr>
                <w:rStyle w:val="68"/>
                <w:highlight w:val="none"/>
                <w:lang w:val="en-US" w:eastAsia="zh-CN" w:bidi="ar"/>
              </w:rPr>
              <w:br w:type="textWrapping"/>
            </w:r>
            <w:r>
              <w:rPr>
                <w:rStyle w:val="68"/>
                <w:highlight w:val="none"/>
                <w:lang w:val="en-US" w:eastAsia="zh-CN" w:bidi="ar"/>
              </w:rPr>
              <w:t>-多个激光音乐同步节目</w:t>
            </w:r>
            <w:r>
              <w:rPr>
                <w:rStyle w:val="68"/>
                <w:highlight w:val="none"/>
                <w:lang w:val="en-US" w:eastAsia="zh-CN" w:bidi="ar"/>
              </w:rPr>
              <w:br w:type="textWrapping"/>
            </w:r>
            <w:r>
              <w:rPr>
                <w:rStyle w:val="68"/>
                <w:highlight w:val="none"/>
                <w:lang w:val="en-US" w:eastAsia="zh-CN" w:bidi="ar"/>
              </w:rPr>
              <w:t>-3套实时控制节目</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A0E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D72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63F59">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6CB34">
            <w:pPr>
              <w:jc w:val="center"/>
              <w:rPr>
                <w:rFonts w:hint="eastAsia" w:ascii="宋体" w:hAnsi="宋体" w:eastAsia="宋体" w:cs="宋体"/>
                <w:i w:val="0"/>
                <w:iCs w:val="0"/>
                <w:color w:val="000000"/>
                <w:sz w:val="20"/>
                <w:szCs w:val="20"/>
                <w:highlight w:val="none"/>
                <w:u w:val="none"/>
              </w:rPr>
            </w:pPr>
          </w:p>
        </w:tc>
      </w:tr>
      <w:tr w14:paraId="64CA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3E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3E9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FB4控制器</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3FD9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高级专业版Pangolin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1）本产品采用12V/1.5A直流稳压电源为供电电源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2）硬件接口:网络、ILDA OUT、DMA输入、DMA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OUT、SD卡槽、电源口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3）显示按键:LED显示屏，按键（注:上下旋转，按下确认）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指示灯状态说明：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绿灯-电源和SD卡状态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关闭:无电源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Flash:无需SD卡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光大：带SD卡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黄灯-网络状态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关闭:网络未连接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Flash：获取IP地址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始终开启:连接QS或BEYOND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Orange红灯-DMX或Art NET状态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关：没有检测到DMA或Art NET信号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闪存：检测到DMA信号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始终开启:检测到Art NET或sACN信号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红光-激光使用状态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关闭：没有激光输出(也没有qs或更远的连接)慢闪：qs或更远连接，没有激光输出信号闪烁：qs或超过连接和激光输出信号闪烁。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特别地位：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4个指示灯闪烁：等待固件更新或SD卡未更新固件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所有指示灯保持亮起：固件更新正在进行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连接方式：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（1）BEYOND/QS软件模式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BEYOND/QS：运行模式-网络中的BEYOND/QS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设置-IP后，计算机打开BEYOND/QS软件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（二）艺术网络或DMA模式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a.艺术网：第一运营模式——先艺术后网络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设置-IP后的artnet设置-设置宇宙-开始地址</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49E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4FE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0FBEA">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87125">
            <w:pPr>
              <w:jc w:val="center"/>
              <w:rPr>
                <w:rFonts w:hint="eastAsia" w:ascii="宋体" w:hAnsi="宋体" w:eastAsia="宋体" w:cs="宋体"/>
                <w:i w:val="0"/>
                <w:iCs w:val="0"/>
                <w:color w:val="000000"/>
                <w:sz w:val="20"/>
                <w:szCs w:val="20"/>
                <w:highlight w:val="none"/>
                <w:u w:val="none"/>
              </w:rPr>
            </w:pPr>
          </w:p>
        </w:tc>
      </w:tr>
      <w:tr w14:paraId="0E95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A36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D483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激光控制</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BB7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指定操控软件：配套激光软件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激光软件，作为当前激光表演领域的佼佼者，以其全面且专业的功能脱颖而出。它不仅融合了Quickshow和LD2000的所有优势，更在此基础上实现了技术突破，为激光表演带来了全新的编程与操作体验。BEYOND不仅支持基本的激光图案展示，还融入了视频、3D动画及绘图程序等多媒体元素，使得激光表演更加丰富多彩。同时，它兼容DMXArtNetOSC等主流照明协议，实现了激光显示与灯光控制系统的无缝对接。此外，BEYOND还提供了基本版、高级版和旗舰版三个版本，满足不同层次的需求，并为用户提供了便捷的升级路径。其先进的绘图与编辑程序、可视化程序以及文摘编辑功能，极大地提升了创作的自由度与效率。而自动播放与Kinect交互功能，则进一步拓展了激光表演的应用场景。总之，BEYOND激光软件以其卓越的性能与丰富的功能，引领着激光表演行业的未来发展</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469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8DE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436B4">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FDA77">
            <w:pPr>
              <w:jc w:val="center"/>
              <w:rPr>
                <w:rFonts w:hint="eastAsia" w:ascii="宋体" w:hAnsi="宋体" w:eastAsia="宋体" w:cs="宋体"/>
                <w:i w:val="0"/>
                <w:iCs w:val="0"/>
                <w:color w:val="000000"/>
                <w:sz w:val="20"/>
                <w:szCs w:val="20"/>
                <w:highlight w:val="none"/>
                <w:u w:val="none"/>
              </w:rPr>
            </w:pPr>
          </w:p>
        </w:tc>
      </w:tr>
      <w:tr w14:paraId="08EF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C4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C1E4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D84C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·纤芯直径:OM3多模光纤，纤芯直径为50微米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包层直径:OM3多模光纤包层直径为125微米。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·波长:OM3多模光纤使用850nm波长进行传输。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·典型插入损耗:OM3多模光纤在850nm波长下，通常具有0.5dB/km的插入损耗最大插入损耗:OM3多模光纤在850nm波长下，最大插入损耗一般不超过0.75dB/km。</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30D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622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BEB75">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00529">
            <w:pPr>
              <w:jc w:val="center"/>
              <w:rPr>
                <w:rFonts w:hint="eastAsia" w:ascii="宋体" w:hAnsi="宋体" w:eastAsia="宋体" w:cs="宋体"/>
                <w:i w:val="0"/>
                <w:iCs w:val="0"/>
                <w:color w:val="000000"/>
                <w:sz w:val="20"/>
                <w:szCs w:val="20"/>
                <w:highlight w:val="none"/>
                <w:u w:val="none"/>
              </w:rPr>
            </w:pPr>
          </w:p>
        </w:tc>
      </w:tr>
      <w:tr w14:paraId="21EF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87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071E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光端机</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248F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1个RJ45 电口和1个SC/ST/FC 光口，实现双绞线和光纤之间的光电信号转换。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符合IEEE802.3 10Base-T和IEEE802.3u100Base-TX，100Base-FX标准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 10M/100M 自适应能力。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电口能自适应直通线/交叉线连接方式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支持全双工/半双工工作模式。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 IEEE802.3X 全双工流量控制和半双工背压流量控制。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支持最大 1916 Bytes 数据幀。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支持防止广播风暴功能。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内置防雷电路，可大大减少雷电感应造成的损坏。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双绞线最长 100 米，多模光纤最长 2或5公里(全双工),单模光纤最长 120 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有6个LED指示灯:Power，TX100，TXLink/Act，FX100，FXLink/Act ，FDX/Col;便于监测收发器的工作状态和判断故障原因。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有外置、内置电源两种类型:AC100~265V/DC5V 开关电源。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工作环境温度:0~50℃℃。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储存环境温度:-40 ~70'C。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收发器尺寸:电源外置式 70x26x93mm;内置式120x30x140mm。</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743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4E8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8FDD6">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3F28A">
            <w:pPr>
              <w:jc w:val="center"/>
              <w:rPr>
                <w:rFonts w:hint="eastAsia" w:ascii="宋体" w:hAnsi="宋体" w:eastAsia="宋体" w:cs="宋体"/>
                <w:i w:val="0"/>
                <w:iCs w:val="0"/>
                <w:color w:val="000000"/>
                <w:sz w:val="20"/>
                <w:szCs w:val="20"/>
                <w:highlight w:val="none"/>
                <w:u w:val="none"/>
              </w:rPr>
            </w:pPr>
          </w:p>
        </w:tc>
      </w:tr>
      <w:tr w14:paraId="0522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B1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1856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千兆交换机</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65DD9">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highlight w:val="none"/>
                <w:u w:val="none"/>
              </w:rPr>
            </w:pPr>
            <w:r>
              <w:rPr>
                <w:rStyle w:val="68"/>
                <w:highlight w:val="none"/>
                <w:lang w:val="en-US" w:eastAsia="zh-CN" w:bidi="ar"/>
              </w:rPr>
              <w:t>交换容量：</w:t>
            </w:r>
            <w:r>
              <w:rPr>
                <w:rStyle w:val="69"/>
                <w:rFonts w:eastAsia="宋体"/>
                <w:highlight w:val="none"/>
                <w:lang w:val="en-US" w:eastAsia="zh-CN" w:bidi="ar"/>
              </w:rPr>
              <w:t>≥</w:t>
            </w:r>
            <w:r>
              <w:rPr>
                <w:rStyle w:val="68"/>
                <w:highlight w:val="none"/>
                <w:lang w:val="en-US" w:eastAsia="zh-CN" w:bidi="ar"/>
              </w:rPr>
              <w:t>250GBPS</w:t>
            </w:r>
            <w:r>
              <w:rPr>
                <w:rStyle w:val="68"/>
                <w:highlight w:val="none"/>
                <w:lang w:val="en-US" w:eastAsia="zh-CN" w:bidi="ar"/>
              </w:rPr>
              <w:br w:type="textWrapping"/>
            </w:r>
            <w:r>
              <w:rPr>
                <w:rStyle w:val="68"/>
                <w:highlight w:val="none"/>
                <w:lang w:val="en-US" w:eastAsia="zh-CN" w:bidi="ar"/>
              </w:rPr>
              <w:t>转发性能≥50MPPS</w:t>
            </w:r>
            <w:r>
              <w:rPr>
                <w:rStyle w:val="68"/>
                <w:highlight w:val="none"/>
                <w:lang w:val="en-US" w:eastAsia="zh-CN" w:bidi="ar"/>
              </w:rPr>
              <w:br w:type="textWrapping"/>
            </w:r>
            <w:r>
              <w:rPr>
                <w:rStyle w:val="68"/>
                <w:highlight w:val="none"/>
                <w:lang w:val="en-US" w:eastAsia="zh-CN" w:bidi="ar"/>
              </w:rPr>
              <w:t>固化10/100/1000以太网端口≥24，千兆SMP光接口≥4个，同时可用千兆口≥28个</w:t>
            </w:r>
            <w:r>
              <w:rPr>
                <w:rStyle w:val="68"/>
                <w:highlight w:val="none"/>
                <w:lang w:val="en-US" w:eastAsia="zh-CN" w:bidi="ar"/>
              </w:rPr>
              <w:br w:type="textWrapping"/>
            </w:r>
            <w:r>
              <w:rPr>
                <w:rStyle w:val="68"/>
                <w:highlight w:val="none"/>
                <w:lang w:val="en-US" w:eastAsia="zh-CN" w:bidi="ar"/>
              </w:rPr>
              <w:t>配置及日志存储等简化维护功能，1个USB端口</w:t>
            </w:r>
            <w:r>
              <w:rPr>
                <w:rStyle w:val="68"/>
                <w:highlight w:val="none"/>
                <w:lang w:val="en-US" w:eastAsia="zh-CN" w:bidi="ar"/>
              </w:rPr>
              <w:br w:type="textWrapping"/>
            </w:r>
            <w:r>
              <w:rPr>
                <w:rStyle w:val="68"/>
                <w:highlight w:val="none"/>
                <w:lang w:val="en-US" w:eastAsia="zh-CN" w:bidi="ar"/>
              </w:rPr>
              <w:t>支持链路协议功能</w:t>
            </w:r>
            <w:r>
              <w:rPr>
                <w:rStyle w:val="68"/>
                <w:highlight w:val="none"/>
                <w:lang w:val="en-US" w:eastAsia="zh-CN" w:bidi="ar"/>
              </w:rPr>
              <w:br w:type="textWrapping"/>
            </w:r>
            <w:r>
              <w:rPr>
                <w:rStyle w:val="68"/>
                <w:highlight w:val="none"/>
                <w:lang w:val="en-US" w:eastAsia="zh-CN" w:bidi="ar"/>
              </w:rPr>
              <w:t>支持IPV4和IPV6三层路由功能</w:t>
            </w:r>
            <w:r>
              <w:rPr>
                <w:rStyle w:val="68"/>
                <w:highlight w:val="none"/>
                <w:lang w:val="en-US" w:eastAsia="zh-CN" w:bidi="ar"/>
              </w:rPr>
              <w:br w:type="textWrapping"/>
            </w:r>
            <w:r>
              <w:rPr>
                <w:rStyle w:val="68"/>
                <w:highlight w:val="none"/>
                <w:lang w:val="en-US" w:eastAsia="zh-CN" w:bidi="ar"/>
              </w:rPr>
              <w:t>支持流镜像功能</w:t>
            </w:r>
            <w:r>
              <w:rPr>
                <w:rStyle w:val="68"/>
                <w:highlight w:val="none"/>
                <w:lang w:val="en-US" w:eastAsia="zh-CN" w:bidi="ar"/>
              </w:rPr>
              <w:br w:type="textWrapping"/>
            </w:r>
            <w:r>
              <w:rPr>
                <w:rStyle w:val="68"/>
                <w:highlight w:val="none"/>
                <w:lang w:val="en-US" w:eastAsia="zh-CN" w:bidi="ar"/>
              </w:rPr>
              <w:t>支持IVPV组播，支持IPV6组播，防止虚假应标，保留测试权力。</w:t>
            </w:r>
            <w:r>
              <w:rPr>
                <w:rStyle w:val="68"/>
                <w:highlight w:val="none"/>
                <w:lang w:val="en-US" w:eastAsia="zh-CN" w:bidi="ar"/>
              </w:rPr>
              <w:br w:type="textWrapping"/>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493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6CC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0E2BD">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D1735">
            <w:pPr>
              <w:jc w:val="center"/>
              <w:rPr>
                <w:rFonts w:hint="eastAsia" w:ascii="宋体" w:hAnsi="宋体" w:eastAsia="宋体" w:cs="宋体"/>
                <w:i w:val="0"/>
                <w:iCs w:val="0"/>
                <w:color w:val="000000"/>
                <w:sz w:val="20"/>
                <w:szCs w:val="20"/>
                <w:highlight w:val="none"/>
                <w:u w:val="none"/>
              </w:rPr>
            </w:pPr>
          </w:p>
        </w:tc>
      </w:tr>
      <w:tr w14:paraId="6425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B9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7E5F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控制电脑</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AF30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主频总和&gt;28.4GHz,最大可扩展CPU主频总和&gt;56.8GHz;即CPU 主频与CPU 核数的乘积;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缓存:每个多核封装的处理器板3级缓存容量&gt;24MB;内存:容量&gt;32GDDR3，且CPU核数与内存GB比1:4硬盘:配置要求3300GB10000RPMSAS热插拔硬盘，支持操作系统镜像实现数据保护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性能指标:TPC-C实配值&gt;92万;最大可扩展TPC-C值&gt;184万;(投标时提供官网链接及推算过程复印件)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 TPC-C 推算公式: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TPC-C 值以 www.tpc.org 网站为准，TPC-C 值仅同 CPU 数量和主频相关若需求配置的产品没有正式发布的值，则以同等或更高机型为准，系统性能按处理器的主频和个数做线性折算;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TPC-C 的计算办法: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基础值=测试机器的数值÷测试时的Core 个数÷测试机器的主频:投标机器的数值=基础值x投标机器配置的Core 数x投标机器的主频:光纤通道:至少配置2个8Gb双口光纤卡网络接口:标配2个千兆网络接口系统管理: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支持磁盘镜像、逻辑卷管理;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有图形界面的系统管理工具，有功能全面的系统管理工具;支持基于WEB的远程系统监控和故障诊断;支持内存出错和 CPU的动态自动隔离，支持高速缓存、内存的ECC 保护支持 N+1 热插拔电源、风扇;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操作系统:64位专用UNIX操作系统，三年支持，兼容32位应用，支持操作系统的故障诊断、在线修补和动态升级双机软件:HA软件支持双机热备，最大支持32个节点。</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FB3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BAD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FFB09">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050E0">
            <w:pPr>
              <w:jc w:val="center"/>
              <w:rPr>
                <w:rFonts w:hint="eastAsia" w:ascii="宋体" w:hAnsi="宋体" w:eastAsia="宋体" w:cs="宋体"/>
                <w:i w:val="0"/>
                <w:iCs w:val="0"/>
                <w:color w:val="000000"/>
                <w:sz w:val="20"/>
                <w:szCs w:val="20"/>
                <w:highlight w:val="none"/>
                <w:u w:val="none"/>
              </w:rPr>
            </w:pPr>
          </w:p>
        </w:tc>
      </w:tr>
      <w:tr w14:paraId="66A2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167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C5E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网线</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9639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六类室外网线 【工程级4*2*0.57mm无氧铜芯】国标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1)六类非屏蔽双绞线缆气(LSZH);各项性能指标达到YD/T 926.2或TIA/EIA-568B标准要求;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2)线缆采用信号的平衡技术(LCL)控制电磁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干扰和噪音的影响，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3)支持快速以太网100BaseTx、干兆以太网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1000Base-T应用，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4)要求中心带有十字骨架结构，能稳定线对位置，增强抗干扰能力。</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50E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7CB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9A4E2">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0B654">
            <w:pPr>
              <w:jc w:val="center"/>
              <w:rPr>
                <w:rFonts w:hint="eastAsia" w:ascii="宋体" w:hAnsi="宋体" w:eastAsia="宋体" w:cs="宋体"/>
                <w:i w:val="0"/>
                <w:iCs w:val="0"/>
                <w:color w:val="000000"/>
                <w:sz w:val="20"/>
                <w:szCs w:val="20"/>
                <w:highlight w:val="none"/>
                <w:u w:val="none"/>
              </w:rPr>
            </w:pPr>
          </w:p>
        </w:tc>
      </w:tr>
      <w:tr w14:paraId="0BEB4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27A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6FEE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电源线</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A1EA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国标 3芯2.5MM2电源线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截面面积：0.12-2.5mm²，0.5、2.5—35mm²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绝缘电阻 200M欧姆×KM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使用温度 -30~+70℃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801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900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AB1AD">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4F690">
            <w:pPr>
              <w:jc w:val="center"/>
              <w:rPr>
                <w:rFonts w:hint="eastAsia" w:ascii="宋体" w:hAnsi="宋体" w:eastAsia="宋体" w:cs="宋体"/>
                <w:i w:val="0"/>
                <w:iCs w:val="0"/>
                <w:color w:val="000000"/>
                <w:sz w:val="20"/>
                <w:szCs w:val="20"/>
                <w:highlight w:val="none"/>
                <w:u w:val="none"/>
              </w:rPr>
            </w:pPr>
          </w:p>
        </w:tc>
      </w:tr>
      <w:tr w14:paraId="685E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B3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EF5F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可编程电源控制集成模块</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25D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1、I-ELEC-12 三相AC380V± P10%,频率50Hz± P5% 12路× 4KW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2、DMX512信号协议、Artnet灯光网络协议、智能控制定制协议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3、可通过手机APP智能控制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4、每个回路实现电流0-20A电流设定；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5、电压检测范围 0V~220V  检测精度 0.1V；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6、电流检测范围 0A~20A   检测精度 0.01A；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7、有功功率检测精度 0.1W；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8、电网频率检测精度 0.01HZ；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9、功率因素检测精度 0.01%；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10、电流电压电量实时反馈功能；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11、防雷击实验检测数据；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12、电击和能量危险的防护检测报告；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13、SELV 电路；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14、接地和连接保护措施；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15、电气绝缘检测报告；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16、电气间隙、爬电距离；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17、抗电强度检测报告；</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79C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559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1AE22">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CD193">
            <w:pPr>
              <w:jc w:val="center"/>
              <w:rPr>
                <w:rFonts w:hint="eastAsia" w:ascii="宋体" w:hAnsi="宋体" w:eastAsia="宋体" w:cs="宋体"/>
                <w:i w:val="0"/>
                <w:iCs w:val="0"/>
                <w:color w:val="000000"/>
                <w:sz w:val="20"/>
                <w:szCs w:val="20"/>
                <w:highlight w:val="none"/>
                <w:u w:val="none"/>
              </w:rPr>
            </w:pPr>
          </w:p>
        </w:tc>
      </w:tr>
      <w:tr w14:paraId="53FA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932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83EF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43A5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户外防水电源箱（满足项目需求并恒温）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*额定电压:400V AC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*额定电流:63A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*防护等级:IP40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*绝缘等级:I</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*配电箱结构:深蓝色透明塑料门配透明底箱*零排(N)和地排(PE)由6x9mm2的黄铜做成，接线方便散热好零排和地排端子标示清晰*流线型深蓝色透明门设计，美观大方*预留敲落孔，配套附件齐全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*开门结构可实现左右随意更换，180?大角度开门*安装架可在箱体外完成模数化终端电器的安装和接线，最后移至底箱中*多排结构箱体的安装导轨间距为125mm导轨的安装深度为55-70mm</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962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AFC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7CB43">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5ED02">
            <w:pPr>
              <w:jc w:val="center"/>
              <w:rPr>
                <w:rFonts w:hint="eastAsia" w:ascii="宋体" w:hAnsi="宋体" w:eastAsia="宋体" w:cs="宋体"/>
                <w:i w:val="0"/>
                <w:iCs w:val="0"/>
                <w:color w:val="000000"/>
                <w:sz w:val="20"/>
                <w:szCs w:val="20"/>
                <w:highlight w:val="none"/>
                <w:u w:val="none"/>
              </w:rPr>
            </w:pPr>
          </w:p>
        </w:tc>
      </w:tr>
      <w:tr w14:paraId="7EB3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386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12</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5DE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自动运行脚本</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A0ED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脚本编程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1、触发定时任务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2、触发远程协议，协调服务器完成各区域任务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3、因事件触发响应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4、因关联触发调用内置程序</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4BC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EF6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DD7A7">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82A1E">
            <w:pPr>
              <w:jc w:val="center"/>
              <w:rPr>
                <w:rFonts w:hint="eastAsia" w:ascii="宋体" w:hAnsi="宋体" w:eastAsia="宋体" w:cs="宋体"/>
                <w:i w:val="0"/>
                <w:iCs w:val="0"/>
                <w:color w:val="000000"/>
                <w:sz w:val="20"/>
                <w:szCs w:val="20"/>
                <w:highlight w:val="none"/>
                <w:u w:val="none"/>
              </w:rPr>
            </w:pPr>
          </w:p>
        </w:tc>
      </w:tr>
      <w:tr w14:paraId="26FA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07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8D01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程序制作</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013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激光3D制作/全景区灯光秀制作 /智控编程（合计数量）</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E4E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F10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4A105">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1C504">
            <w:pPr>
              <w:jc w:val="center"/>
              <w:rPr>
                <w:rFonts w:hint="eastAsia" w:ascii="宋体" w:hAnsi="宋体" w:eastAsia="宋体" w:cs="宋体"/>
                <w:i w:val="0"/>
                <w:iCs w:val="0"/>
                <w:color w:val="000000"/>
                <w:sz w:val="20"/>
                <w:szCs w:val="20"/>
                <w:highlight w:val="none"/>
                <w:u w:val="none"/>
              </w:rPr>
            </w:pPr>
          </w:p>
        </w:tc>
      </w:tr>
      <w:tr w14:paraId="0F13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6A7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2B6F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调试费</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627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设备拼接调试，专业检测</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5AE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190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F65FF">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91DFE">
            <w:pPr>
              <w:jc w:val="center"/>
              <w:rPr>
                <w:rFonts w:hint="eastAsia" w:ascii="宋体" w:hAnsi="宋体" w:eastAsia="宋体" w:cs="宋体"/>
                <w:i w:val="0"/>
                <w:iCs w:val="0"/>
                <w:color w:val="000000"/>
                <w:sz w:val="20"/>
                <w:szCs w:val="20"/>
                <w:highlight w:val="none"/>
                <w:u w:val="none"/>
              </w:rPr>
            </w:pPr>
          </w:p>
        </w:tc>
      </w:tr>
      <w:tr w14:paraId="3DF8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7E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7F4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防护波纹管</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B9BE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1.名称:户外波纹管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2.规格:50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0A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32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4330A">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797F4">
            <w:pPr>
              <w:jc w:val="center"/>
              <w:rPr>
                <w:rFonts w:hint="eastAsia" w:ascii="宋体" w:hAnsi="宋体" w:eastAsia="宋体" w:cs="宋体"/>
                <w:i w:val="0"/>
                <w:iCs w:val="0"/>
                <w:color w:val="000000"/>
                <w:sz w:val="20"/>
                <w:szCs w:val="20"/>
                <w:highlight w:val="none"/>
                <w:u w:val="none"/>
              </w:rPr>
            </w:pPr>
          </w:p>
        </w:tc>
      </w:tr>
      <w:tr w14:paraId="5BC7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DF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16</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3420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基础挖土方</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387B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1.5*1.5*1.5m</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681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931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F811C">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ACEA3">
            <w:pPr>
              <w:jc w:val="center"/>
              <w:rPr>
                <w:rFonts w:hint="eastAsia" w:ascii="宋体" w:hAnsi="宋体" w:eastAsia="宋体" w:cs="宋体"/>
                <w:i w:val="0"/>
                <w:iCs w:val="0"/>
                <w:color w:val="000000"/>
                <w:sz w:val="20"/>
                <w:szCs w:val="20"/>
                <w:highlight w:val="none"/>
                <w:u w:val="none"/>
              </w:rPr>
            </w:pPr>
          </w:p>
        </w:tc>
      </w:tr>
      <w:tr w14:paraId="678D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05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42A4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基础预埋铁件</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C9D1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16#钢筋、20厚的铁板</w:t>
            </w:r>
          </w:p>
        </w:tc>
        <w:tc>
          <w:tcPr>
            <w:tcW w:w="34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3E81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BE0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0.18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A762F">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5B15A">
            <w:pPr>
              <w:jc w:val="center"/>
              <w:rPr>
                <w:rFonts w:hint="eastAsia" w:ascii="宋体" w:hAnsi="宋体" w:eastAsia="宋体" w:cs="宋体"/>
                <w:i w:val="0"/>
                <w:iCs w:val="0"/>
                <w:color w:val="000000"/>
                <w:sz w:val="20"/>
                <w:szCs w:val="20"/>
                <w:highlight w:val="none"/>
                <w:u w:val="none"/>
              </w:rPr>
            </w:pPr>
          </w:p>
        </w:tc>
      </w:tr>
      <w:tr w14:paraId="4316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72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6DBB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基础混凝土浇筑</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C9A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C30混凝土 </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9A0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4E5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13.5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BF3EB">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B1E1F">
            <w:pPr>
              <w:jc w:val="center"/>
              <w:rPr>
                <w:rFonts w:hint="eastAsia" w:ascii="宋体" w:hAnsi="宋体" w:eastAsia="宋体" w:cs="宋体"/>
                <w:i w:val="0"/>
                <w:iCs w:val="0"/>
                <w:color w:val="000000"/>
                <w:sz w:val="20"/>
                <w:szCs w:val="20"/>
                <w:highlight w:val="none"/>
                <w:u w:val="none"/>
              </w:rPr>
            </w:pPr>
          </w:p>
        </w:tc>
      </w:tr>
      <w:tr w14:paraId="5C42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CC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19</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274B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支架</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4480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镀锌方管（国标）</w:t>
            </w:r>
          </w:p>
        </w:tc>
        <w:tc>
          <w:tcPr>
            <w:tcW w:w="34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01B7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821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0.90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794AE">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E877A">
            <w:pPr>
              <w:jc w:val="center"/>
              <w:rPr>
                <w:rFonts w:hint="eastAsia" w:ascii="宋体" w:hAnsi="宋体" w:eastAsia="宋体" w:cs="宋体"/>
                <w:i w:val="0"/>
                <w:iCs w:val="0"/>
                <w:color w:val="000000"/>
                <w:sz w:val="20"/>
                <w:szCs w:val="20"/>
                <w:highlight w:val="none"/>
                <w:u w:val="none"/>
              </w:rPr>
            </w:pPr>
          </w:p>
        </w:tc>
      </w:tr>
      <w:tr w14:paraId="34A3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B3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20</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1CB6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支架制作安装</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E4FF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铁艺焊接（无缝）</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091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769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69BD1">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76200">
            <w:pPr>
              <w:jc w:val="center"/>
              <w:rPr>
                <w:rFonts w:hint="eastAsia" w:ascii="宋体" w:hAnsi="宋体" w:eastAsia="宋体" w:cs="宋体"/>
                <w:i w:val="0"/>
                <w:iCs w:val="0"/>
                <w:color w:val="000000"/>
                <w:sz w:val="20"/>
                <w:szCs w:val="20"/>
                <w:highlight w:val="none"/>
                <w:u w:val="none"/>
              </w:rPr>
            </w:pPr>
          </w:p>
        </w:tc>
      </w:tr>
      <w:tr w14:paraId="6F6E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F0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6DC2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钢材运输</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D8FF9">
            <w:pPr>
              <w:jc w:val="left"/>
              <w:rPr>
                <w:rFonts w:hint="eastAsia" w:ascii="宋体" w:hAnsi="宋体" w:eastAsia="宋体" w:cs="宋体"/>
                <w:i w:val="0"/>
                <w:iCs w:val="0"/>
                <w:color w:val="000000"/>
                <w:sz w:val="20"/>
                <w:szCs w:val="20"/>
                <w:highlight w:val="none"/>
                <w:u w:val="none"/>
              </w:rPr>
            </w:pPr>
          </w:p>
        </w:tc>
        <w:tc>
          <w:tcPr>
            <w:tcW w:w="34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8EDC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0BF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E9A93">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5AF11">
            <w:pPr>
              <w:jc w:val="center"/>
              <w:rPr>
                <w:rFonts w:hint="eastAsia" w:ascii="宋体" w:hAnsi="宋体" w:eastAsia="宋体" w:cs="宋体"/>
                <w:i w:val="0"/>
                <w:iCs w:val="0"/>
                <w:color w:val="000000"/>
                <w:sz w:val="20"/>
                <w:szCs w:val="20"/>
                <w:highlight w:val="none"/>
                <w:u w:val="none"/>
              </w:rPr>
            </w:pPr>
          </w:p>
        </w:tc>
      </w:tr>
      <w:tr w14:paraId="04EE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3F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22</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4A46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金属面油漆</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8396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钢构氟碳漆</w:t>
            </w:r>
          </w:p>
        </w:tc>
        <w:tc>
          <w:tcPr>
            <w:tcW w:w="34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9895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AE1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57E9B">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FDEC0">
            <w:pPr>
              <w:jc w:val="center"/>
              <w:rPr>
                <w:rFonts w:hint="eastAsia" w:ascii="宋体" w:hAnsi="宋体" w:eastAsia="宋体" w:cs="宋体"/>
                <w:i w:val="0"/>
                <w:iCs w:val="0"/>
                <w:color w:val="000000"/>
                <w:sz w:val="20"/>
                <w:szCs w:val="20"/>
                <w:highlight w:val="none"/>
                <w:u w:val="none"/>
              </w:rPr>
            </w:pPr>
          </w:p>
        </w:tc>
      </w:tr>
      <w:tr w14:paraId="7706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8FC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54E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施工（技术部分）</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AFE5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具体施工：光纤铺设及焊接、网线铺设及焊接、设备安装及固定施工、信号调试、机柜架设及排线等工程。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含冬季施工补助。</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C58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03A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DD355">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07650">
            <w:pPr>
              <w:jc w:val="center"/>
              <w:rPr>
                <w:rFonts w:hint="eastAsia" w:ascii="宋体" w:hAnsi="宋体" w:eastAsia="宋体" w:cs="宋体"/>
                <w:i w:val="0"/>
                <w:iCs w:val="0"/>
                <w:color w:val="000000"/>
                <w:sz w:val="20"/>
                <w:szCs w:val="20"/>
                <w:highlight w:val="none"/>
                <w:u w:val="none"/>
              </w:rPr>
            </w:pPr>
          </w:p>
        </w:tc>
      </w:tr>
      <w:tr w14:paraId="7843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75C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AF9F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特种车辆</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B114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升降车、勾机、施工工具等</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760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F49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C3DE3">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22CDF">
            <w:pPr>
              <w:jc w:val="center"/>
              <w:rPr>
                <w:rFonts w:hint="eastAsia" w:ascii="宋体" w:hAnsi="宋体" w:eastAsia="宋体" w:cs="宋体"/>
                <w:i w:val="0"/>
                <w:iCs w:val="0"/>
                <w:color w:val="000000"/>
                <w:sz w:val="20"/>
                <w:szCs w:val="20"/>
                <w:highlight w:val="none"/>
                <w:u w:val="none"/>
              </w:rPr>
            </w:pPr>
          </w:p>
        </w:tc>
      </w:tr>
      <w:tr w14:paraId="424B9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5C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E2E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施工（工人部分）</w:t>
            </w:r>
          </w:p>
        </w:tc>
        <w:tc>
          <w:tcPr>
            <w:tcW w:w="21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D82D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控制室至设备处，地埋工程（含跨道）。不含路面复原。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具体施工：挖沟、穿线、掩埋、路面切割、控制室处地面开槽铺设等工程。含冬季施工补助。</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B22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C54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3C5D2">
            <w:pPr>
              <w:jc w:val="center"/>
              <w:rPr>
                <w:rFonts w:hint="eastAsia" w:ascii="宋体" w:hAnsi="宋体" w:eastAsia="宋体" w:cs="宋体"/>
                <w:i w:val="0"/>
                <w:iCs w:val="0"/>
                <w:color w:val="000000"/>
                <w:sz w:val="16"/>
                <w:szCs w:val="16"/>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1516E">
            <w:pPr>
              <w:jc w:val="center"/>
              <w:rPr>
                <w:rFonts w:hint="eastAsia" w:ascii="宋体" w:hAnsi="宋体" w:eastAsia="宋体" w:cs="宋体"/>
                <w:i w:val="0"/>
                <w:iCs w:val="0"/>
                <w:color w:val="000000"/>
                <w:sz w:val="20"/>
                <w:szCs w:val="20"/>
                <w:highlight w:val="none"/>
                <w:u w:val="none"/>
              </w:rPr>
            </w:pPr>
          </w:p>
        </w:tc>
      </w:tr>
      <w:tr w14:paraId="095F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35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27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3AA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合计（含税）</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BFBA">
            <w:pPr>
              <w:rPr>
                <w:rFonts w:hint="eastAsia" w:ascii="宋体" w:hAnsi="宋体" w:eastAsia="宋体" w:cs="宋体"/>
                <w:i w:val="0"/>
                <w:iCs w:val="0"/>
                <w:color w:val="000000"/>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8B36">
            <w:pPr>
              <w:rPr>
                <w:rFonts w:hint="eastAsia" w:ascii="宋体" w:hAnsi="宋体" w:eastAsia="宋体" w:cs="宋体"/>
                <w:i w:val="0"/>
                <w:iCs w:val="0"/>
                <w:color w:val="000000"/>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653CE">
            <w:pPr>
              <w:rPr>
                <w:rFonts w:hint="eastAsia" w:ascii="宋体" w:hAnsi="宋体" w:eastAsia="宋体" w:cs="宋体"/>
                <w:i w:val="0"/>
                <w:iCs w:val="0"/>
                <w:color w:val="000000"/>
                <w:sz w:val="20"/>
                <w:szCs w:val="20"/>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04BF2">
            <w:pPr>
              <w:rPr>
                <w:rFonts w:hint="eastAsia" w:ascii="宋体" w:hAnsi="宋体" w:eastAsia="宋体" w:cs="宋体"/>
                <w:i w:val="0"/>
                <w:iCs w:val="0"/>
                <w:color w:val="000000"/>
                <w:sz w:val="20"/>
                <w:szCs w:val="20"/>
                <w:highlight w:val="none"/>
                <w:u w:val="none"/>
              </w:rPr>
            </w:pPr>
          </w:p>
        </w:tc>
      </w:tr>
    </w:tbl>
    <w:p w14:paraId="51F14235">
      <w:pPr>
        <w:rPr>
          <w:rFonts w:ascii="宋体" w:hAnsi="宋体"/>
          <w:highlight w:val="none"/>
          <w:u w:val="single"/>
        </w:rPr>
      </w:pPr>
    </w:p>
    <w:p w14:paraId="3869886B">
      <w:pPr>
        <w:rPr>
          <w:rFonts w:ascii="宋体" w:hAnsi="宋体"/>
          <w:b/>
          <w:highlight w:val="none"/>
        </w:rPr>
      </w:pPr>
    </w:p>
    <w:p w14:paraId="67D09321">
      <w:pPr>
        <w:rPr>
          <w:rFonts w:ascii="宋体" w:hAnsi="宋体"/>
          <w:b/>
          <w:highlight w:val="none"/>
        </w:rPr>
      </w:pPr>
    </w:p>
    <w:p w14:paraId="05DCAABC">
      <w:pPr>
        <w:pStyle w:val="12"/>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注:1.如果不提供详细分项报价表将视为没有实质性响应招标文件。</w:t>
      </w:r>
    </w:p>
    <w:p w14:paraId="6C26F22F">
      <w:pPr>
        <w:pStyle w:val="12"/>
        <w:tabs>
          <w:tab w:val="left" w:pos="0"/>
        </w:tabs>
        <w:autoSpaceDN w:val="0"/>
        <w:adjustRightInd w:val="0"/>
        <w:snapToGrid w:val="0"/>
        <w:spacing w:line="360" w:lineRule="auto"/>
        <w:ind w:left="630" w:leftChars="3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2.此表各项必须填写完整，不能以空格、斜杠等其它形式代替。</w:t>
      </w:r>
    </w:p>
    <w:p w14:paraId="28FB8553">
      <w:pPr>
        <w:pStyle w:val="12"/>
        <w:numPr>
          <w:ilvl w:val="0"/>
          <w:numId w:val="5"/>
        </w:numPr>
        <w:autoSpaceDN w:val="0"/>
        <w:adjustRightInd w:val="0"/>
        <w:snapToGrid w:val="0"/>
        <w:spacing w:line="360" w:lineRule="auto"/>
        <w:ind w:firstLine="630" w:firstLineChars="300"/>
        <w:rPr>
          <w:rFonts w:asciiTheme="majorEastAsia" w:hAnsiTheme="majorEastAsia" w:eastAsiaTheme="majorEastAsia"/>
          <w:szCs w:val="21"/>
          <w:highlight w:val="none"/>
        </w:rPr>
      </w:pPr>
      <w:r>
        <w:rPr>
          <w:rFonts w:hint="eastAsia" w:hAnsi="宋体" w:eastAsiaTheme="minorEastAsia"/>
          <w:szCs w:val="24"/>
          <w:highlight w:val="none"/>
        </w:rPr>
        <w:t>报价要有大小写</w:t>
      </w:r>
      <w:r>
        <w:rPr>
          <w:rFonts w:hAnsi="宋体" w:eastAsiaTheme="minorEastAsia"/>
          <w:szCs w:val="24"/>
          <w:highlight w:val="none"/>
        </w:rPr>
        <w:t>,</w:t>
      </w:r>
      <w:r>
        <w:rPr>
          <w:rFonts w:hint="eastAsia" w:hAnsi="宋体" w:eastAsiaTheme="minorEastAsia"/>
          <w:szCs w:val="24"/>
          <w:highlight w:val="none"/>
        </w:rPr>
        <w:t>以</w:t>
      </w:r>
      <w:r>
        <w:rPr>
          <w:rFonts w:hAnsi="宋体" w:eastAsiaTheme="minorEastAsia"/>
          <w:szCs w:val="24"/>
          <w:highlight w:val="none"/>
        </w:rPr>
        <w:t>元为单位</w:t>
      </w:r>
      <w:r>
        <w:rPr>
          <w:rFonts w:hint="eastAsia" w:hAnsi="宋体" w:eastAsiaTheme="minorEastAsia"/>
          <w:szCs w:val="24"/>
          <w:highlight w:val="none"/>
        </w:rPr>
        <w:t>,</w:t>
      </w:r>
      <w:r>
        <w:rPr>
          <w:rFonts w:ascii="宋体" w:hAnsi="宋体"/>
          <w:highlight w:val="none"/>
        </w:rPr>
        <w:t>如果按单价计算的结果与总价不一致，以单价为准修正总价</w:t>
      </w:r>
      <w:r>
        <w:rPr>
          <w:rFonts w:hint="eastAsia" w:ascii="宋体" w:hAnsi="宋体"/>
          <w:highlight w:val="none"/>
        </w:rPr>
        <w:t>。</w:t>
      </w:r>
    </w:p>
    <w:p w14:paraId="62EFF01C">
      <w:pPr>
        <w:rPr>
          <w:rFonts w:ascii="宋体" w:hAnsi="宋体"/>
          <w:highlight w:val="none"/>
        </w:rPr>
      </w:pPr>
    </w:p>
    <w:p w14:paraId="3773875B">
      <w:pPr>
        <w:rPr>
          <w:rFonts w:ascii="宋体" w:hAnsi="宋体"/>
          <w:highlight w:val="none"/>
        </w:rPr>
      </w:pPr>
    </w:p>
    <w:p w14:paraId="5413917A">
      <w:pPr>
        <w:rPr>
          <w:rFonts w:ascii="宋体" w:hAnsi="宋体"/>
          <w:highlight w:val="none"/>
        </w:rPr>
      </w:pPr>
      <w:r>
        <w:rPr>
          <w:rFonts w:hint="eastAsia" w:ascii="宋体" w:hAnsi="宋体"/>
          <w:szCs w:val="21"/>
          <w:highlight w:val="none"/>
          <w:lang w:eastAsia="zh-CN"/>
        </w:rPr>
        <w:t>投标人</w:t>
      </w:r>
      <w:r>
        <w:rPr>
          <w:rFonts w:ascii="宋体" w:hAnsi="宋体"/>
          <w:szCs w:val="21"/>
          <w:highlight w:val="none"/>
        </w:rPr>
        <w:t>名称：</w:t>
      </w:r>
      <w:r>
        <w:rPr>
          <w:rFonts w:ascii="宋体" w:hAnsi="宋体"/>
          <w:szCs w:val="21"/>
          <w:highlight w:val="none"/>
          <w:u w:val="single"/>
        </w:rPr>
        <w:t xml:space="preserve">    </w:t>
      </w:r>
      <w:r>
        <w:rPr>
          <w:rFonts w:hint="eastAsia" w:ascii="宋体" w:hAnsi="宋体"/>
          <w:highlight w:val="none"/>
          <w:u w:val="single"/>
        </w:rPr>
        <w:t>（盖公章）</w:t>
      </w:r>
    </w:p>
    <w:p w14:paraId="13BC21CF">
      <w:pPr>
        <w:rPr>
          <w:rFonts w:ascii="宋体" w:hAnsi="宋体"/>
          <w:highlight w:val="none"/>
        </w:rPr>
      </w:pPr>
    </w:p>
    <w:p w14:paraId="5B219953">
      <w:pPr>
        <w:rPr>
          <w:rFonts w:ascii="宋体" w:hAnsi="宋体"/>
          <w:highlight w:val="none"/>
        </w:rPr>
      </w:pPr>
    </w:p>
    <w:p w14:paraId="5959E61B">
      <w:pPr>
        <w:spacing w:line="300" w:lineRule="auto"/>
        <w:rPr>
          <w:rFonts w:ascii="宋体" w:hAnsi="宋体"/>
          <w:szCs w:val="21"/>
          <w:highlight w:val="none"/>
        </w:rPr>
      </w:pPr>
      <w:r>
        <w:rPr>
          <w:rFonts w:hint="eastAsia" w:ascii="宋体" w:hAnsi="宋体"/>
          <w:szCs w:val="21"/>
          <w:highlight w:val="none"/>
        </w:rPr>
        <w:t>法定代表人或被授权人</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（签字或盖章）</w:t>
      </w:r>
    </w:p>
    <w:p w14:paraId="108F89E0">
      <w:pPr>
        <w:spacing w:line="300" w:lineRule="auto"/>
        <w:rPr>
          <w:rFonts w:ascii="宋体" w:hAnsi="宋体"/>
          <w:sz w:val="20"/>
          <w:szCs w:val="20"/>
          <w:highlight w:val="none"/>
        </w:rPr>
      </w:pPr>
    </w:p>
    <w:p w14:paraId="7482DEEF">
      <w:pPr>
        <w:rPr>
          <w:rFonts w:ascii="宋体" w:hAnsi="宋体"/>
          <w:b/>
          <w:sz w:val="24"/>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r>
        <w:rPr>
          <w:rFonts w:ascii="宋体" w:hAnsi="宋体"/>
          <w:sz w:val="20"/>
          <w:szCs w:val="20"/>
          <w:highlight w:val="none"/>
        </w:rPr>
        <w:br w:type="page"/>
      </w:r>
    </w:p>
    <w:p w14:paraId="3B7E038F">
      <w:pPr>
        <w:pStyle w:val="2"/>
        <w:spacing w:before="0" w:after="0" w:line="300" w:lineRule="auto"/>
        <w:jc w:val="center"/>
        <w:rPr>
          <w:rFonts w:hint="eastAsia" w:ascii="宋体" w:hAnsi="宋体" w:eastAsia="宋体"/>
          <w:highlight w:val="none"/>
          <w:lang w:val="en-US" w:eastAsia="zh-CN"/>
        </w:rPr>
      </w:pPr>
      <w:bookmarkStart w:id="139" w:name="_Toc350070701"/>
      <w:bookmarkStart w:id="140" w:name="_Toc409424413"/>
      <w:bookmarkStart w:id="141" w:name="_Toc468267491"/>
      <w:bookmarkStart w:id="142" w:name="_Toc409424352"/>
      <w:bookmarkStart w:id="143" w:name="_Toc351644319"/>
      <w:r>
        <w:rPr>
          <w:rFonts w:hint="eastAsia" w:ascii="宋体" w:hAnsi="宋体" w:eastAsia="宋体"/>
          <w:highlight w:val="none"/>
          <w:lang w:val="en-US" w:eastAsia="zh-CN"/>
        </w:rPr>
        <w:t>五、</w:t>
      </w:r>
      <w:bookmarkEnd w:id="139"/>
      <w:bookmarkEnd w:id="140"/>
      <w:bookmarkEnd w:id="141"/>
      <w:bookmarkEnd w:id="142"/>
      <w:bookmarkEnd w:id="143"/>
      <w:r>
        <w:rPr>
          <w:rFonts w:hint="eastAsia" w:ascii="宋体" w:hAnsi="宋体" w:eastAsia="宋体"/>
          <w:highlight w:val="none"/>
          <w:lang w:val="en-US" w:eastAsia="zh-CN"/>
        </w:rPr>
        <w:t>商务条款偏离表</w:t>
      </w:r>
    </w:p>
    <w:p w14:paraId="681243EB">
      <w:pPr>
        <w:rPr>
          <w:rFonts w:hint="eastAsia" w:ascii="宋体" w:hAnsi="宋体"/>
          <w:spacing w:val="20"/>
          <w:sz w:val="24"/>
          <w:highlight w:val="none"/>
        </w:rPr>
      </w:pPr>
    </w:p>
    <w:p w14:paraId="45A6433F">
      <w:pPr>
        <w:rPr>
          <w:rFonts w:hint="eastAsia" w:ascii="宋体" w:hAnsi="宋体"/>
          <w:spacing w:val="20"/>
          <w:szCs w:val="21"/>
          <w:highlight w:val="none"/>
          <w:u w:val="single"/>
        </w:rPr>
      </w:pPr>
      <w:r>
        <w:rPr>
          <w:rFonts w:hint="eastAsia" w:ascii="宋体" w:hAnsi="宋体"/>
          <w:spacing w:val="20"/>
          <w:sz w:val="21"/>
          <w:szCs w:val="21"/>
          <w:highlight w:val="none"/>
          <w:lang w:val="en-US" w:eastAsia="zh-CN"/>
        </w:rPr>
        <w:t>项目名称</w:t>
      </w:r>
      <w:r>
        <w:rPr>
          <w:rFonts w:hint="eastAsia" w:ascii="宋体" w:hAnsi="宋体"/>
          <w:spacing w:val="20"/>
          <w:szCs w:val="21"/>
          <w:highlight w:val="none"/>
        </w:rPr>
        <w:t>：</w:t>
      </w:r>
      <w:r>
        <w:rPr>
          <w:rFonts w:hint="eastAsia" w:ascii="宋体" w:hAnsi="宋体"/>
          <w:spacing w:val="20"/>
          <w:szCs w:val="21"/>
          <w:highlight w:val="none"/>
          <w:u w:val="single"/>
        </w:rPr>
        <w:t xml:space="preserve">        </w:t>
      </w:r>
      <w:r>
        <w:rPr>
          <w:rFonts w:hint="eastAsia" w:ascii="宋体" w:hAnsi="宋体"/>
          <w:spacing w:val="20"/>
          <w:szCs w:val="21"/>
          <w:highlight w:val="none"/>
          <w:u w:val="single"/>
          <w:lang w:val="en-US" w:eastAsia="zh-CN"/>
        </w:rPr>
        <w:t xml:space="preserve">           </w:t>
      </w:r>
      <w:r>
        <w:rPr>
          <w:rFonts w:hint="eastAsia" w:ascii="宋体" w:hAnsi="宋体"/>
          <w:spacing w:val="20"/>
          <w:szCs w:val="21"/>
          <w:highlight w:val="none"/>
          <w:u w:val="single"/>
        </w:rPr>
        <w:t xml:space="preserve">  </w:t>
      </w:r>
    </w:p>
    <w:p w14:paraId="468E85E8">
      <w:pPr>
        <w:rPr>
          <w:rFonts w:hint="eastAsia" w:ascii="宋体" w:hAnsi="宋体"/>
          <w:spacing w:val="20"/>
          <w:szCs w:val="21"/>
          <w:highlight w:val="none"/>
        </w:rPr>
      </w:pPr>
      <w:r>
        <w:rPr>
          <w:rFonts w:hint="eastAsia" w:ascii="宋体" w:hAnsi="宋体"/>
          <w:spacing w:val="20"/>
          <w:szCs w:val="21"/>
          <w:highlight w:val="none"/>
        </w:rPr>
        <w:t>项目编号：</w:t>
      </w:r>
      <w:r>
        <w:rPr>
          <w:rFonts w:hint="eastAsia" w:ascii="宋体" w:hAnsi="宋体"/>
          <w:spacing w:val="20"/>
          <w:szCs w:val="21"/>
          <w:highlight w:val="none"/>
          <w:u w:val="single"/>
        </w:rPr>
        <w:t xml:space="preserve">                     </w:t>
      </w: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3"/>
        <w:gridCol w:w="4417"/>
        <w:gridCol w:w="2828"/>
        <w:gridCol w:w="1440"/>
      </w:tblGrid>
      <w:tr w14:paraId="5FEDDC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43" w:type="dxa"/>
            <w:tcBorders>
              <w:top w:val="double" w:color="auto" w:sz="4" w:space="0"/>
              <w:left w:val="double" w:color="auto" w:sz="4" w:space="0"/>
              <w:bottom w:val="single" w:color="auto" w:sz="6" w:space="0"/>
              <w:right w:val="single" w:color="auto" w:sz="6" w:space="0"/>
            </w:tcBorders>
            <w:noWrap w:val="0"/>
            <w:vAlign w:val="center"/>
          </w:tcPr>
          <w:p w14:paraId="54282E45">
            <w:pPr>
              <w:jc w:val="center"/>
              <w:rPr>
                <w:rFonts w:ascii="宋体" w:hAnsi="宋体"/>
                <w:spacing w:val="20"/>
                <w:sz w:val="24"/>
                <w:szCs w:val="24"/>
                <w:highlight w:val="none"/>
              </w:rPr>
            </w:pPr>
            <w:r>
              <w:rPr>
                <w:rFonts w:hint="eastAsia" w:ascii="宋体" w:hAnsi="宋体"/>
                <w:spacing w:val="20"/>
                <w:sz w:val="24"/>
                <w:szCs w:val="24"/>
                <w:highlight w:val="none"/>
              </w:rPr>
              <w:t>序号</w:t>
            </w:r>
          </w:p>
        </w:tc>
        <w:tc>
          <w:tcPr>
            <w:tcW w:w="4417" w:type="dxa"/>
            <w:tcBorders>
              <w:top w:val="double" w:color="auto" w:sz="4" w:space="0"/>
              <w:left w:val="single" w:color="auto" w:sz="6" w:space="0"/>
              <w:bottom w:val="single" w:color="auto" w:sz="6" w:space="0"/>
              <w:right w:val="single" w:color="auto" w:sz="6" w:space="0"/>
            </w:tcBorders>
            <w:noWrap w:val="0"/>
            <w:vAlign w:val="center"/>
          </w:tcPr>
          <w:p w14:paraId="6F946B41">
            <w:pPr>
              <w:jc w:val="center"/>
              <w:rPr>
                <w:rFonts w:ascii="宋体" w:hAnsi="宋体"/>
                <w:spacing w:val="20"/>
                <w:sz w:val="24"/>
                <w:szCs w:val="24"/>
                <w:highlight w:val="none"/>
              </w:rPr>
            </w:pPr>
            <w:r>
              <w:rPr>
                <w:rFonts w:hint="eastAsia" w:ascii="宋体" w:hAnsi="宋体"/>
                <w:spacing w:val="20"/>
                <w:sz w:val="24"/>
                <w:szCs w:val="24"/>
                <w:highlight w:val="none"/>
                <w:lang w:val="en-US" w:eastAsia="zh-CN"/>
              </w:rPr>
              <w:t>招标</w:t>
            </w:r>
            <w:r>
              <w:rPr>
                <w:rFonts w:hint="eastAsia" w:ascii="宋体" w:hAnsi="宋体"/>
                <w:spacing w:val="20"/>
                <w:sz w:val="24"/>
                <w:szCs w:val="24"/>
                <w:highlight w:val="none"/>
              </w:rPr>
              <w:t>文件的商务条款</w:t>
            </w:r>
          </w:p>
        </w:tc>
        <w:tc>
          <w:tcPr>
            <w:tcW w:w="2828" w:type="dxa"/>
            <w:tcBorders>
              <w:top w:val="double" w:color="auto" w:sz="4" w:space="0"/>
              <w:left w:val="single" w:color="auto" w:sz="6" w:space="0"/>
              <w:bottom w:val="single" w:color="auto" w:sz="6" w:space="0"/>
              <w:right w:val="single" w:color="auto" w:sz="6" w:space="0"/>
            </w:tcBorders>
            <w:noWrap w:val="0"/>
            <w:vAlign w:val="center"/>
          </w:tcPr>
          <w:p w14:paraId="795531EE">
            <w:pPr>
              <w:jc w:val="center"/>
              <w:rPr>
                <w:rFonts w:ascii="宋体" w:hAnsi="宋体"/>
                <w:spacing w:val="20"/>
                <w:sz w:val="24"/>
                <w:szCs w:val="24"/>
                <w:highlight w:val="none"/>
              </w:rPr>
            </w:pPr>
            <w:r>
              <w:rPr>
                <w:rFonts w:hint="eastAsia" w:ascii="宋体" w:hAnsi="宋体"/>
                <w:spacing w:val="20"/>
                <w:sz w:val="24"/>
                <w:szCs w:val="24"/>
                <w:highlight w:val="none"/>
                <w:lang w:val="en-US" w:eastAsia="zh-CN"/>
              </w:rPr>
              <w:t>投标</w:t>
            </w:r>
            <w:r>
              <w:rPr>
                <w:rFonts w:hint="eastAsia" w:ascii="宋体" w:hAnsi="宋体"/>
                <w:spacing w:val="20"/>
                <w:sz w:val="24"/>
                <w:szCs w:val="24"/>
                <w:highlight w:val="none"/>
              </w:rPr>
              <w:t>文件的商务条款</w:t>
            </w:r>
          </w:p>
        </w:tc>
        <w:tc>
          <w:tcPr>
            <w:tcW w:w="1440" w:type="dxa"/>
            <w:tcBorders>
              <w:top w:val="double" w:color="auto" w:sz="4" w:space="0"/>
              <w:left w:val="single" w:color="auto" w:sz="6" w:space="0"/>
              <w:bottom w:val="single" w:color="auto" w:sz="6" w:space="0"/>
              <w:right w:val="double" w:color="auto" w:sz="4" w:space="0"/>
            </w:tcBorders>
            <w:noWrap w:val="0"/>
            <w:vAlign w:val="center"/>
          </w:tcPr>
          <w:p w14:paraId="578AFE74">
            <w:pPr>
              <w:jc w:val="center"/>
              <w:rPr>
                <w:rFonts w:hint="eastAsia" w:ascii="宋体" w:hAnsi="宋体"/>
                <w:spacing w:val="20"/>
                <w:sz w:val="24"/>
                <w:szCs w:val="24"/>
                <w:highlight w:val="none"/>
              </w:rPr>
            </w:pPr>
            <w:r>
              <w:rPr>
                <w:rFonts w:hint="eastAsia" w:ascii="宋体" w:hAnsi="宋体"/>
                <w:spacing w:val="20"/>
                <w:sz w:val="24"/>
                <w:szCs w:val="24"/>
                <w:highlight w:val="none"/>
              </w:rPr>
              <w:t>偏离情况</w:t>
            </w:r>
          </w:p>
          <w:p w14:paraId="47801148">
            <w:pPr>
              <w:jc w:val="center"/>
              <w:rPr>
                <w:rFonts w:ascii="宋体" w:hAnsi="宋体"/>
                <w:spacing w:val="20"/>
                <w:sz w:val="24"/>
                <w:szCs w:val="24"/>
                <w:highlight w:val="none"/>
              </w:rPr>
            </w:pPr>
            <w:r>
              <w:rPr>
                <w:rFonts w:hint="eastAsia" w:ascii="宋体" w:hAnsi="宋体"/>
                <w:spacing w:val="20"/>
                <w:sz w:val="24"/>
                <w:szCs w:val="24"/>
                <w:highlight w:val="none"/>
              </w:rPr>
              <w:t>（是/否）</w:t>
            </w:r>
          </w:p>
        </w:tc>
      </w:tr>
      <w:tr w14:paraId="5DCB02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43" w:type="dxa"/>
            <w:tcBorders>
              <w:top w:val="single" w:color="auto" w:sz="6" w:space="0"/>
              <w:left w:val="double" w:color="auto" w:sz="4" w:space="0"/>
              <w:bottom w:val="single" w:color="auto" w:sz="6" w:space="0"/>
              <w:right w:val="single" w:color="auto" w:sz="6" w:space="0"/>
            </w:tcBorders>
            <w:noWrap w:val="0"/>
            <w:vAlign w:val="center"/>
          </w:tcPr>
          <w:p w14:paraId="0A7FE6D9">
            <w:pPr>
              <w:jc w:val="center"/>
              <w:rPr>
                <w:rFonts w:ascii="宋体" w:hAnsi="宋体" w:eastAsia="宋体" w:cs="Times New Roman"/>
                <w:spacing w:val="20"/>
                <w:sz w:val="24"/>
                <w:szCs w:val="24"/>
                <w:highlight w:val="none"/>
              </w:rPr>
            </w:pPr>
            <w:r>
              <w:rPr>
                <w:rFonts w:hint="eastAsia" w:ascii="宋体" w:hAnsi="宋体" w:eastAsia="宋体" w:cs="Times New Roman"/>
                <w:spacing w:val="20"/>
                <w:sz w:val="24"/>
                <w:szCs w:val="24"/>
                <w:highlight w:val="none"/>
                <w:lang w:val="en-US" w:eastAsia="zh-CN"/>
              </w:rPr>
              <w:t>1</w:t>
            </w:r>
          </w:p>
        </w:tc>
        <w:tc>
          <w:tcPr>
            <w:tcW w:w="4417" w:type="dxa"/>
            <w:tcBorders>
              <w:top w:val="single" w:color="auto" w:sz="6" w:space="0"/>
              <w:left w:val="single" w:color="auto" w:sz="6" w:space="0"/>
              <w:bottom w:val="single" w:color="auto" w:sz="6" w:space="0"/>
              <w:right w:val="single" w:color="auto" w:sz="6" w:space="0"/>
            </w:tcBorders>
            <w:noWrap w:val="0"/>
            <w:vAlign w:val="center"/>
          </w:tcPr>
          <w:p w14:paraId="7CB306BE">
            <w:pPr>
              <w:keepNext w:val="0"/>
              <w:keepLines w:val="0"/>
              <w:pageBreakBefore w:val="0"/>
              <w:kinsoku/>
              <w:wordWrap/>
              <w:overflowPunct/>
              <w:topLinePunct w:val="0"/>
              <w:bidi w:val="0"/>
              <w:jc w:val="both"/>
              <w:outlineLvl w:val="9"/>
              <w:rPr>
                <w:rFonts w:ascii="宋体" w:hAnsi="宋体"/>
                <w:spacing w:val="20"/>
                <w:sz w:val="24"/>
                <w:szCs w:val="24"/>
                <w:highlight w:val="none"/>
              </w:rPr>
            </w:pPr>
            <w:r>
              <w:rPr>
                <w:rFonts w:hint="eastAsia" w:ascii="宋体" w:hAnsi="宋体"/>
                <w:sz w:val="24"/>
                <w:szCs w:val="24"/>
                <w:highlight w:val="none"/>
                <w:lang w:val="en-US" w:eastAsia="zh-CN"/>
              </w:rPr>
              <w:t>付款方式：以签订合同为准</w:t>
            </w:r>
          </w:p>
        </w:tc>
        <w:tc>
          <w:tcPr>
            <w:tcW w:w="2828" w:type="dxa"/>
            <w:tcBorders>
              <w:top w:val="single" w:color="auto" w:sz="6" w:space="0"/>
              <w:left w:val="single" w:color="auto" w:sz="6" w:space="0"/>
              <w:bottom w:val="single" w:color="auto" w:sz="6" w:space="0"/>
              <w:right w:val="single" w:color="auto" w:sz="6" w:space="0"/>
            </w:tcBorders>
            <w:noWrap w:val="0"/>
            <w:vAlign w:val="center"/>
          </w:tcPr>
          <w:p w14:paraId="4C8EACDC">
            <w:pPr>
              <w:jc w:val="center"/>
              <w:rPr>
                <w:rFonts w:ascii="宋体" w:hAnsi="宋体"/>
                <w:spacing w:val="20"/>
                <w:sz w:val="24"/>
                <w:szCs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629EA021">
            <w:pPr>
              <w:jc w:val="center"/>
              <w:rPr>
                <w:rFonts w:ascii="宋体" w:hAnsi="宋体"/>
                <w:spacing w:val="20"/>
                <w:sz w:val="24"/>
                <w:szCs w:val="24"/>
                <w:highlight w:val="none"/>
              </w:rPr>
            </w:pPr>
          </w:p>
        </w:tc>
      </w:tr>
      <w:tr w14:paraId="14A5AB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43" w:type="dxa"/>
            <w:tcBorders>
              <w:top w:val="single" w:color="auto" w:sz="6" w:space="0"/>
              <w:left w:val="double" w:color="auto" w:sz="4" w:space="0"/>
              <w:bottom w:val="single" w:color="auto" w:sz="6" w:space="0"/>
              <w:right w:val="single" w:color="auto" w:sz="6" w:space="0"/>
            </w:tcBorders>
            <w:noWrap w:val="0"/>
            <w:vAlign w:val="center"/>
          </w:tcPr>
          <w:p w14:paraId="54ED0AD0">
            <w:pPr>
              <w:jc w:val="center"/>
              <w:rPr>
                <w:rFonts w:ascii="宋体" w:hAnsi="宋体" w:eastAsia="宋体" w:cs="Times New Roman"/>
                <w:spacing w:val="20"/>
                <w:sz w:val="24"/>
                <w:szCs w:val="24"/>
                <w:highlight w:val="none"/>
              </w:rPr>
            </w:pPr>
            <w:r>
              <w:rPr>
                <w:rFonts w:hint="eastAsia" w:ascii="宋体" w:hAnsi="宋体" w:eastAsia="宋体" w:cs="Times New Roman"/>
                <w:spacing w:val="20"/>
                <w:sz w:val="24"/>
                <w:szCs w:val="24"/>
                <w:highlight w:val="none"/>
                <w:lang w:val="en-US" w:eastAsia="zh-CN"/>
              </w:rPr>
              <w:t>2</w:t>
            </w:r>
          </w:p>
        </w:tc>
        <w:tc>
          <w:tcPr>
            <w:tcW w:w="4417" w:type="dxa"/>
            <w:tcBorders>
              <w:top w:val="single" w:color="auto" w:sz="6" w:space="0"/>
              <w:left w:val="single" w:color="auto" w:sz="6" w:space="0"/>
              <w:bottom w:val="single" w:color="auto" w:sz="6" w:space="0"/>
              <w:right w:val="single" w:color="auto" w:sz="6" w:space="0"/>
            </w:tcBorders>
            <w:noWrap w:val="0"/>
            <w:vAlign w:val="center"/>
          </w:tcPr>
          <w:p w14:paraId="396619C1">
            <w:pPr>
              <w:keepNext w:val="0"/>
              <w:keepLines w:val="0"/>
              <w:pageBreakBefore w:val="0"/>
              <w:kinsoku/>
              <w:wordWrap/>
              <w:overflowPunct/>
              <w:topLinePunct w:val="0"/>
              <w:bidi w:val="0"/>
              <w:jc w:val="both"/>
              <w:outlineLvl w:val="9"/>
              <w:rPr>
                <w:rFonts w:hint="eastAsia" w:ascii="宋体" w:hAnsi="宋体" w:eastAsia="宋体"/>
                <w:spacing w:val="20"/>
                <w:sz w:val="24"/>
                <w:szCs w:val="24"/>
                <w:highlight w:val="none"/>
                <w:lang w:val="en-US" w:eastAsia="zh-CN"/>
              </w:rPr>
            </w:pPr>
            <w:r>
              <w:rPr>
                <w:rFonts w:hint="default" w:ascii="宋体" w:hAnsi="宋体"/>
                <w:spacing w:val="20"/>
                <w:sz w:val="24"/>
                <w:szCs w:val="24"/>
                <w:highlight w:val="none"/>
                <w:lang w:val="en-US"/>
              </w:rPr>
              <w:t>合同履行期限：</w:t>
            </w:r>
            <w:r>
              <w:rPr>
                <w:rFonts w:hint="eastAsia" w:ascii="宋体" w:hAnsi="宋体"/>
                <w:spacing w:val="20"/>
                <w:sz w:val="24"/>
                <w:szCs w:val="24"/>
                <w:highlight w:val="none"/>
                <w:lang w:val="en-US" w:eastAsia="zh-CN"/>
              </w:rPr>
              <w:t>中标之日起7日内供货完毕</w:t>
            </w:r>
          </w:p>
        </w:tc>
        <w:tc>
          <w:tcPr>
            <w:tcW w:w="2828" w:type="dxa"/>
            <w:tcBorders>
              <w:top w:val="single" w:color="auto" w:sz="6" w:space="0"/>
              <w:left w:val="single" w:color="auto" w:sz="6" w:space="0"/>
              <w:bottom w:val="single" w:color="auto" w:sz="6" w:space="0"/>
              <w:right w:val="single" w:color="auto" w:sz="6" w:space="0"/>
            </w:tcBorders>
            <w:noWrap w:val="0"/>
            <w:vAlign w:val="center"/>
          </w:tcPr>
          <w:p w14:paraId="324E113E">
            <w:pPr>
              <w:jc w:val="center"/>
              <w:rPr>
                <w:rFonts w:ascii="宋体" w:hAnsi="宋体"/>
                <w:spacing w:val="20"/>
                <w:sz w:val="24"/>
                <w:szCs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7DCE6551">
            <w:pPr>
              <w:jc w:val="center"/>
              <w:rPr>
                <w:rFonts w:ascii="宋体" w:hAnsi="宋体"/>
                <w:spacing w:val="20"/>
                <w:sz w:val="24"/>
                <w:szCs w:val="24"/>
                <w:highlight w:val="none"/>
              </w:rPr>
            </w:pPr>
          </w:p>
        </w:tc>
      </w:tr>
      <w:tr w14:paraId="39C511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43" w:type="dxa"/>
            <w:tcBorders>
              <w:top w:val="single" w:color="auto" w:sz="6" w:space="0"/>
              <w:left w:val="double" w:color="auto" w:sz="4" w:space="0"/>
              <w:bottom w:val="single" w:color="auto" w:sz="6" w:space="0"/>
              <w:right w:val="single" w:color="auto" w:sz="6" w:space="0"/>
            </w:tcBorders>
            <w:noWrap w:val="0"/>
            <w:vAlign w:val="center"/>
          </w:tcPr>
          <w:p w14:paraId="1560C8BC">
            <w:pPr>
              <w:jc w:val="center"/>
              <w:rPr>
                <w:rFonts w:hint="eastAsia" w:ascii="宋体" w:hAnsi="宋体" w:eastAsia="宋体" w:cs="Times New Roman"/>
                <w:spacing w:val="20"/>
                <w:sz w:val="24"/>
                <w:szCs w:val="24"/>
                <w:highlight w:val="none"/>
                <w:lang w:val="en-US" w:eastAsia="zh-CN"/>
              </w:rPr>
            </w:pPr>
            <w:r>
              <w:rPr>
                <w:rFonts w:hint="eastAsia" w:ascii="宋体" w:hAnsi="宋体" w:eastAsia="宋体" w:cs="Times New Roman"/>
                <w:spacing w:val="20"/>
                <w:sz w:val="24"/>
                <w:szCs w:val="24"/>
                <w:highlight w:val="none"/>
                <w:lang w:val="en-US" w:eastAsia="zh-CN"/>
              </w:rPr>
              <w:t>3</w:t>
            </w:r>
          </w:p>
        </w:tc>
        <w:tc>
          <w:tcPr>
            <w:tcW w:w="4417" w:type="dxa"/>
            <w:tcBorders>
              <w:top w:val="single" w:color="auto" w:sz="6" w:space="0"/>
              <w:left w:val="single" w:color="auto" w:sz="6" w:space="0"/>
              <w:bottom w:val="single" w:color="auto" w:sz="6" w:space="0"/>
              <w:right w:val="single" w:color="auto" w:sz="6" w:space="0"/>
            </w:tcBorders>
            <w:noWrap w:val="0"/>
            <w:vAlign w:val="center"/>
          </w:tcPr>
          <w:p w14:paraId="799A828D">
            <w:pPr>
              <w:jc w:val="both"/>
              <w:rPr>
                <w:rFonts w:ascii="宋体" w:hAnsi="宋体" w:eastAsia="宋体" w:cs="Times New Roman"/>
                <w:spacing w:val="20"/>
                <w:sz w:val="24"/>
                <w:szCs w:val="24"/>
                <w:highlight w:val="none"/>
              </w:rPr>
            </w:pPr>
            <w:r>
              <w:rPr>
                <w:rFonts w:hint="eastAsia" w:ascii="宋体" w:hAnsi="宋体" w:eastAsia="宋体" w:cs="Times New Roman"/>
                <w:spacing w:val="20"/>
                <w:sz w:val="24"/>
                <w:szCs w:val="24"/>
                <w:highlight w:val="none"/>
                <w:lang w:val="en-US" w:eastAsia="zh-CN"/>
              </w:rPr>
              <w:t>合同方式：固定总价</w:t>
            </w:r>
          </w:p>
        </w:tc>
        <w:tc>
          <w:tcPr>
            <w:tcW w:w="2828" w:type="dxa"/>
            <w:tcBorders>
              <w:top w:val="single" w:color="auto" w:sz="6" w:space="0"/>
              <w:left w:val="single" w:color="auto" w:sz="6" w:space="0"/>
              <w:bottom w:val="single" w:color="auto" w:sz="6" w:space="0"/>
              <w:right w:val="single" w:color="auto" w:sz="6" w:space="0"/>
            </w:tcBorders>
            <w:noWrap w:val="0"/>
            <w:vAlign w:val="top"/>
          </w:tcPr>
          <w:p w14:paraId="6BEA7DB5">
            <w:pPr>
              <w:rPr>
                <w:rFonts w:ascii="宋体" w:hAnsi="宋体"/>
                <w:spacing w:val="20"/>
                <w:sz w:val="24"/>
                <w:szCs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1A0CF22D">
            <w:pPr>
              <w:rPr>
                <w:rFonts w:ascii="宋体" w:hAnsi="宋体"/>
                <w:spacing w:val="20"/>
                <w:sz w:val="24"/>
                <w:szCs w:val="24"/>
                <w:highlight w:val="none"/>
              </w:rPr>
            </w:pPr>
          </w:p>
        </w:tc>
      </w:tr>
      <w:tr w14:paraId="762D03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43" w:type="dxa"/>
            <w:tcBorders>
              <w:top w:val="single" w:color="auto" w:sz="6" w:space="0"/>
              <w:left w:val="double" w:color="auto" w:sz="4" w:space="0"/>
              <w:bottom w:val="single" w:color="auto" w:sz="6" w:space="0"/>
              <w:right w:val="single" w:color="auto" w:sz="6" w:space="0"/>
            </w:tcBorders>
            <w:noWrap w:val="0"/>
            <w:vAlign w:val="center"/>
          </w:tcPr>
          <w:p w14:paraId="34751FCE">
            <w:pPr>
              <w:jc w:val="center"/>
              <w:rPr>
                <w:rFonts w:ascii="宋体" w:hAnsi="宋体" w:eastAsia="宋体" w:cs="Times New Roman"/>
                <w:spacing w:val="20"/>
                <w:sz w:val="24"/>
                <w:szCs w:val="24"/>
                <w:highlight w:val="none"/>
              </w:rPr>
            </w:pPr>
            <w:r>
              <w:rPr>
                <w:rFonts w:hint="eastAsia" w:ascii="宋体" w:hAnsi="宋体" w:eastAsia="宋体" w:cs="Times New Roman"/>
                <w:spacing w:val="20"/>
                <w:sz w:val="24"/>
                <w:szCs w:val="24"/>
                <w:highlight w:val="none"/>
                <w:lang w:val="en-US" w:eastAsia="zh-CN"/>
              </w:rPr>
              <w:t>4</w:t>
            </w:r>
          </w:p>
        </w:tc>
        <w:tc>
          <w:tcPr>
            <w:tcW w:w="4417" w:type="dxa"/>
            <w:tcBorders>
              <w:top w:val="single" w:color="auto" w:sz="6" w:space="0"/>
              <w:left w:val="single" w:color="auto" w:sz="6" w:space="0"/>
              <w:bottom w:val="single" w:color="auto" w:sz="6" w:space="0"/>
              <w:right w:val="single" w:color="auto" w:sz="6" w:space="0"/>
            </w:tcBorders>
            <w:noWrap w:val="0"/>
            <w:vAlign w:val="center"/>
          </w:tcPr>
          <w:p w14:paraId="2D7A68CF">
            <w:pPr>
              <w:jc w:val="both"/>
              <w:rPr>
                <w:rFonts w:hint="eastAsia" w:ascii="宋体" w:hAnsi="宋体" w:eastAsia="宋体" w:cs="Times New Roman"/>
                <w:spacing w:val="20"/>
                <w:sz w:val="24"/>
                <w:szCs w:val="24"/>
                <w:highlight w:val="none"/>
                <w:lang w:eastAsia="zh-CN"/>
              </w:rPr>
            </w:pPr>
            <w:r>
              <w:rPr>
                <w:rFonts w:hint="eastAsia" w:ascii="宋体" w:hAnsi="宋体" w:eastAsia="宋体" w:cs="Times New Roman"/>
                <w:spacing w:val="20"/>
                <w:sz w:val="24"/>
                <w:szCs w:val="24"/>
                <w:highlight w:val="none"/>
              </w:rPr>
              <w:t>质量要求：</w:t>
            </w:r>
            <w:r>
              <w:rPr>
                <w:rFonts w:hint="eastAsia" w:ascii="宋体" w:hAnsi="宋体" w:cs="Times New Roman"/>
                <w:spacing w:val="20"/>
                <w:sz w:val="24"/>
                <w:szCs w:val="24"/>
                <w:highlight w:val="none"/>
                <w:lang w:eastAsia="zh-CN"/>
              </w:rPr>
              <w:t>符合国家现行质量验收统一标准及相关行业标准，满足甲方对项目的各项要求</w:t>
            </w:r>
          </w:p>
        </w:tc>
        <w:tc>
          <w:tcPr>
            <w:tcW w:w="2828" w:type="dxa"/>
            <w:tcBorders>
              <w:top w:val="single" w:color="auto" w:sz="6" w:space="0"/>
              <w:left w:val="single" w:color="auto" w:sz="6" w:space="0"/>
              <w:bottom w:val="single" w:color="auto" w:sz="6" w:space="0"/>
              <w:right w:val="single" w:color="auto" w:sz="6" w:space="0"/>
            </w:tcBorders>
            <w:noWrap w:val="0"/>
            <w:vAlign w:val="top"/>
          </w:tcPr>
          <w:p w14:paraId="7648D76C">
            <w:pPr>
              <w:rPr>
                <w:rFonts w:ascii="宋体" w:hAnsi="宋体"/>
                <w:spacing w:val="20"/>
                <w:sz w:val="24"/>
                <w:szCs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238F33C7">
            <w:pPr>
              <w:rPr>
                <w:rFonts w:ascii="宋体" w:hAnsi="宋体"/>
                <w:spacing w:val="20"/>
                <w:sz w:val="24"/>
                <w:szCs w:val="24"/>
                <w:highlight w:val="none"/>
              </w:rPr>
            </w:pPr>
          </w:p>
        </w:tc>
      </w:tr>
      <w:tr w14:paraId="7D7578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43" w:type="dxa"/>
            <w:tcBorders>
              <w:top w:val="single" w:color="auto" w:sz="6" w:space="0"/>
              <w:left w:val="double" w:color="auto" w:sz="4" w:space="0"/>
              <w:bottom w:val="single" w:color="auto" w:sz="6" w:space="0"/>
              <w:right w:val="single" w:color="auto" w:sz="6" w:space="0"/>
            </w:tcBorders>
            <w:noWrap w:val="0"/>
            <w:vAlign w:val="center"/>
          </w:tcPr>
          <w:p w14:paraId="209F8BCA">
            <w:pPr>
              <w:jc w:val="center"/>
              <w:rPr>
                <w:rFonts w:hint="eastAsia" w:ascii="宋体" w:hAnsi="宋体" w:eastAsia="宋体" w:cs="Times New Roman"/>
                <w:spacing w:val="20"/>
                <w:sz w:val="24"/>
                <w:szCs w:val="24"/>
                <w:highlight w:val="none"/>
                <w:lang w:val="en-US" w:eastAsia="zh-CN"/>
              </w:rPr>
            </w:pPr>
            <w:r>
              <w:rPr>
                <w:rFonts w:hint="eastAsia" w:ascii="宋体" w:hAnsi="宋体" w:eastAsia="宋体" w:cs="Times New Roman"/>
                <w:spacing w:val="20"/>
                <w:sz w:val="24"/>
                <w:szCs w:val="24"/>
                <w:highlight w:val="none"/>
                <w:lang w:val="en-US" w:eastAsia="zh-CN"/>
              </w:rPr>
              <w:t>5</w:t>
            </w:r>
          </w:p>
        </w:tc>
        <w:tc>
          <w:tcPr>
            <w:tcW w:w="4417" w:type="dxa"/>
            <w:tcBorders>
              <w:top w:val="single" w:color="auto" w:sz="6" w:space="0"/>
              <w:left w:val="single" w:color="auto" w:sz="6" w:space="0"/>
              <w:bottom w:val="single" w:color="auto" w:sz="6" w:space="0"/>
              <w:right w:val="single" w:color="auto" w:sz="6" w:space="0"/>
            </w:tcBorders>
            <w:noWrap w:val="0"/>
            <w:vAlign w:val="center"/>
          </w:tcPr>
          <w:p w14:paraId="061F4E61">
            <w:pPr>
              <w:jc w:val="both"/>
              <w:rPr>
                <w:rFonts w:ascii="宋体" w:hAnsi="宋体" w:eastAsia="宋体" w:cs="Times New Roman"/>
                <w:spacing w:val="20"/>
                <w:sz w:val="24"/>
                <w:szCs w:val="24"/>
                <w:highlight w:val="none"/>
              </w:rPr>
            </w:pPr>
            <w:r>
              <w:rPr>
                <w:rFonts w:hint="eastAsia" w:ascii="宋体" w:hAnsi="宋体" w:eastAsia="宋体" w:cs="Times New Roman"/>
                <w:spacing w:val="20"/>
                <w:sz w:val="24"/>
                <w:szCs w:val="24"/>
                <w:highlight w:val="none"/>
              </w:rPr>
              <w:t>投标有效期：90天</w:t>
            </w:r>
          </w:p>
        </w:tc>
        <w:tc>
          <w:tcPr>
            <w:tcW w:w="2828" w:type="dxa"/>
            <w:tcBorders>
              <w:top w:val="single" w:color="auto" w:sz="6" w:space="0"/>
              <w:left w:val="single" w:color="auto" w:sz="6" w:space="0"/>
              <w:bottom w:val="single" w:color="auto" w:sz="6" w:space="0"/>
              <w:right w:val="single" w:color="auto" w:sz="6" w:space="0"/>
            </w:tcBorders>
            <w:noWrap w:val="0"/>
            <w:vAlign w:val="top"/>
          </w:tcPr>
          <w:p w14:paraId="2DD45BE8">
            <w:pPr>
              <w:rPr>
                <w:rFonts w:ascii="宋体" w:hAnsi="宋体"/>
                <w:spacing w:val="20"/>
                <w:sz w:val="24"/>
                <w:szCs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0B1439C2">
            <w:pPr>
              <w:rPr>
                <w:rFonts w:ascii="宋体" w:hAnsi="宋体"/>
                <w:spacing w:val="20"/>
                <w:sz w:val="24"/>
                <w:szCs w:val="24"/>
                <w:highlight w:val="none"/>
              </w:rPr>
            </w:pPr>
          </w:p>
        </w:tc>
      </w:tr>
      <w:tr w14:paraId="21A032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843" w:type="dxa"/>
            <w:tcBorders>
              <w:top w:val="single" w:color="auto" w:sz="6" w:space="0"/>
              <w:left w:val="double" w:color="auto" w:sz="4" w:space="0"/>
              <w:bottom w:val="single" w:color="auto" w:sz="6" w:space="0"/>
              <w:right w:val="single" w:color="auto" w:sz="6" w:space="0"/>
            </w:tcBorders>
            <w:noWrap w:val="0"/>
            <w:vAlign w:val="center"/>
          </w:tcPr>
          <w:p w14:paraId="7CFD6DC5">
            <w:pPr>
              <w:jc w:val="center"/>
              <w:rPr>
                <w:rFonts w:hint="eastAsia" w:ascii="宋体" w:hAnsi="宋体" w:eastAsia="宋体" w:cs="Times New Roman"/>
                <w:spacing w:val="20"/>
                <w:sz w:val="24"/>
                <w:szCs w:val="24"/>
                <w:highlight w:val="none"/>
                <w:lang w:val="en-US" w:eastAsia="zh-CN"/>
              </w:rPr>
            </w:pPr>
            <w:r>
              <w:rPr>
                <w:rFonts w:hint="eastAsia" w:ascii="宋体" w:hAnsi="宋体" w:eastAsia="宋体" w:cs="Times New Roman"/>
                <w:spacing w:val="20"/>
                <w:sz w:val="24"/>
                <w:szCs w:val="24"/>
                <w:highlight w:val="none"/>
                <w:lang w:val="en-US" w:eastAsia="zh-CN"/>
              </w:rPr>
              <w:t>6</w:t>
            </w:r>
          </w:p>
        </w:tc>
        <w:tc>
          <w:tcPr>
            <w:tcW w:w="4417" w:type="dxa"/>
            <w:tcBorders>
              <w:top w:val="single" w:color="auto" w:sz="6" w:space="0"/>
              <w:left w:val="single" w:color="auto" w:sz="6" w:space="0"/>
              <w:bottom w:val="single" w:color="auto" w:sz="6" w:space="0"/>
              <w:right w:val="single" w:color="auto" w:sz="6" w:space="0"/>
            </w:tcBorders>
            <w:noWrap w:val="0"/>
            <w:vAlign w:val="center"/>
          </w:tcPr>
          <w:p w14:paraId="44475103">
            <w:pPr>
              <w:jc w:val="both"/>
              <w:rPr>
                <w:rFonts w:hint="eastAsia" w:ascii="宋体" w:hAnsi="宋体" w:eastAsia="宋体" w:cs="Times New Roman"/>
                <w:spacing w:val="20"/>
                <w:sz w:val="24"/>
                <w:szCs w:val="24"/>
                <w:highlight w:val="none"/>
                <w:lang w:eastAsia="zh-CN"/>
              </w:rPr>
            </w:pPr>
            <w:r>
              <w:rPr>
                <w:rFonts w:hint="eastAsia" w:ascii="宋体" w:hAnsi="宋体" w:eastAsia="宋体" w:cs="Times New Roman"/>
                <w:spacing w:val="20"/>
                <w:sz w:val="24"/>
                <w:szCs w:val="24"/>
                <w:highlight w:val="none"/>
              </w:rPr>
              <w:t>供货地点：</w:t>
            </w:r>
            <w:r>
              <w:rPr>
                <w:rFonts w:hint="eastAsia" w:ascii="宋体" w:hAnsi="宋体" w:cs="Times New Roman"/>
                <w:spacing w:val="20"/>
                <w:sz w:val="24"/>
                <w:szCs w:val="24"/>
                <w:highlight w:val="none"/>
                <w:lang w:eastAsia="zh-CN"/>
              </w:rPr>
              <w:t>长岭县</w:t>
            </w:r>
          </w:p>
        </w:tc>
        <w:tc>
          <w:tcPr>
            <w:tcW w:w="2828" w:type="dxa"/>
            <w:tcBorders>
              <w:top w:val="single" w:color="auto" w:sz="6" w:space="0"/>
              <w:left w:val="single" w:color="auto" w:sz="6" w:space="0"/>
              <w:bottom w:val="single" w:color="auto" w:sz="6" w:space="0"/>
              <w:right w:val="single" w:color="auto" w:sz="6" w:space="0"/>
            </w:tcBorders>
            <w:noWrap w:val="0"/>
            <w:vAlign w:val="top"/>
          </w:tcPr>
          <w:p w14:paraId="0A716396">
            <w:pPr>
              <w:rPr>
                <w:rFonts w:ascii="宋体" w:hAnsi="宋体"/>
                <w:spacing w:val="20"/>
                <w:sz w:val="24"/>
                <w:szCs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50CD7F34">
            <w:pPr>
              <w:rPr>
                <w:rFonts w:ascii="宋体" w:hAnsi="宋体"/>
                <w:spacing w:val="20"/>
                <w:sz w:val="24"/>
                <w:szCs w:val="24"/>
                <w:highlight w:val="none"/>
              </w:rPr>
            </w:pPr>
          </w:p>
        </w:tc>
      </w:tr>
      <w:tr w14:paraId="3494EC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43" w:type="dxa"/>
            <w:tcBorders>
              <w:top w:val="single" w:color="auto" w:sz="6" w:space="0"/>
              <w:left w:val="double" w:color="auto" w:sz="4" w:space="0"/>
              <w:bottom w:val="single" w:color="auto" w:sz="6" w:space="0"/>
              <w:right w:val="single" w:color="auto" w:sz="6" w:space="0"/>
            </w:tcBorders>
            <w:noWrap w:val="0"/>
            <w:vAlign w:val="center"/>
          </w:tcPr>
          <w:p w14:paraId="189099B5">
            <w:pPr>
              <w:jc w:val="center"/>
              <w:rPr>
                <w:rFonts w:hint="eastAsia" w:ascii="宋体" w:hAnsi="宋体" w:eastAsia="宋体" w:cs="Times New Roman"/>
                <w:spacing w:val="20"/>
                <w:sz w:val="24"/>
                <w:szCs w:val="24"/>
                <w:highlight w:val="none"/>
                <w:lang w:val="en-US" w:eastAsia="zh-CN"/>
              </w:rPr>
            </w:pPr>
            <w:r>
              <w:rPr>
                <w:rFonts w:hint="eastAsia" w:ascii="宋体" w:hAnsi="宋体" w:eastAsia="宋体" w:cs="Times New Roman"/>
                <w:spacing w:val="20"/>
                <w:sz w:val="24"/>
                <w:szCs w:val="24"/>
                <w:highlight w:val="none"/>
                <w:lang w:val="en-US" w:eastAsia="zh-CN"/>
              </w:rPr>
              <w:t>7</w:t>
            </w:r>
          </w:p>
        </w:tc>
        <w:tc>
          <w:tcPr>
            <w:tcW w:w="4417" w:type="dxa"/>
            <w:tcBorders>
              <w:top w:val="single" w:color="auto" w:sz="6" w:space="0"/>
              <w:left w:val="single" w:color="auto" w:sz="6" w:space="0"/>
              <w:bottom w:val="single" w:color="auto" w:sz="6" w:space="0"/>
              <w:right w:val="single" w:color="auto" w:sz="6" w:space="0"/>
            </w:tcBorders>
            <w:noWrap w:val="0"/>
            <w:vAlign w:val="center"/>
          </w:tcPr>
          <w:p w14:paraId="05F99D0D">
            <w:pPr>
              <w:jc w:val="both"/>
              <w:rPr>
                <w:rFonts w:hint="eastAsia" w:ascii="宋体" w:hAnsi="宋体" w:eastAsia="宋体" w:cs="Times New Roman"/>
                <w:spacing w:val="20"/>
                <w:sz w:val="24"/>
                <w:szCs w:val="24"/>
                <w:highlight w:val="none"/>
              </w:rPr>
            </w:pPr>
            <w:r>
              <w:rPr>
                <w:rFonts w:hint="eastAsia" w:ascii="宋体" w:hAnsi="宋体" w:cs="Times New Roman"/>
                <w:spacing w:val="20"/>
                <w:sz w:val="24"/>
                <w:szCs w:val="24"/>
                <w:highlight w:val="none"/>
                <w:lang w:val="en-US" w:eastAsia="zh-CN"/>
              </w:rPr>
              <w:t>采购内容</w:t>
            </w:r>
            <w:r>
              <w:rPr>
                <w:rFonts w:hint="eastAsia" w:ascii="宋体" w:hAnsi="宋体" w:eastAsia="宋体" w:cs="Times New Roman"/>
                <w:spacing w:val="20"/>
                <w:sz w:val="24"/>
                <w:szCs w:val="24"/>
                <w:highlight w:val="none"/>
              </w:rPr>
              <w:t>：符合第二章“</w:t>
            </w:r>
            <w:r>
              <w:rPr>
                <w:rFonts w:hint="eastAsia" w:ascii="宋体" w:hAnsi="宋体" w:cs="Times New Roman"/>
                <w:spacing w:val="20"/>
                <w:sz w:val="24"/>
                <w:szCs w:val="24"/>
                <w:highlight w:val="none"/>
                <w:lang w:eastAsia="zh-CN"/>
              </w:rPr>
              <w:t>投标人</w:t>
            </w:r>
            <w:r>
              <w:rPr>
                <w:rFonts w:hint="eastAsia" w:ascii="宋体" w:hAnsi="宋体" w:eastAsia="宋体" w:cs="Times New Roman"/>
                <w:spacing w:val="20"/>
                <w:sz w:val="24"/>
                <w:szCs w:val="24"/>
                <w:highlight w:val="none"/>
              </w:rPr>
              <w:t>须知”</w:t>
            </w:r>
            <w:r>
              <w:rPr>
                <w:rFonts w:hint="eastAsia" w:ascii="宋体" w:hAnsi="宋体" w:cs="Times New Roman"/>
                <w:spacing w:val="20"/>
                <w:sz w:val="24"/>
                <w:szCs w:val="24"/>
                <w:highlight w:val="none"/>
                <w:lang w:val="en-US" w:eastAsia="zh-CN"/>
              </w:rPr>
              <w:t>采购内容</w:t>
            </w:r>
            <w:r>
              <w:rPr>
                <w:rFonts w:hint="eastAsia" w:ascii="宋体" w:hAnsi="宋体" w:eastAsia="宋体" w:cs="Times New Roman"/>
                <w:spacing w:val="20"/>
                <w:sz w:val="24"/>
                <w:szCs w:val="24"/>
                <w:highlight w:val="none"/>
              </w:rPr>
              <w:t>规定</w:t>
            </w:r>
          </w:p>
        </w:tc>
        <w:tc>
          <w:tcPr>
            <w:tcW w:w="2828" w:type="dxa"/>
            <w:tcBorders>
              <w:top w:val="single" w:color="auto" w:sz="6" w:space="0"/>
              <w:left w:val="single" w:color="auto" w:sz="6" w:space="0"/>
              <w:bottom w:val="single" w:color="auto" w:sz="6" w:space="0"/>
              <w:right w:val="single" w:color="auto" w:sz="6" w:space="0"/>
            </w:tcBorders>
            <w:noWrap w:val="0"/>
            <w:vAlign w:val="top"/>
          </w:tcPr>
          <w:p w14:paraId="718B0A5A">
            <w:pPr>
              <w:rPr>
                <w:rFonts w:ascii="宋体" w:hAnsi="宋体"/>
                <w:spacing w:val="20"/>
                <w:sz w:val="24"/>
                <w:szCs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0A7C94D7">
            <w:pPr>
              <w:rPr>
                <w:rFonts w:ascii="宋体" w:hAnsi="宋体"/>
                <w:spacing w:val="20"/>
                <w:sz w:val="24"/>
                <w:szCs w:val="24"/>
                <w:highlight w:val="none"/>
              </w:rPr>
            </w:pPr>
          </w:p>
        </w:tc>
      </w:tr>
      <w:tr w14:paraId="0E7779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43" w:type="dxa"/>
            <w:tcBorders>
              <w:top w:val="single" w:color="auto" w:sz="6" w:space="0"/>
              <w:left w:val="double" w:color="auto" w:sz="4" w:space="0"/>
              <w:bottom w:val="single" w:color="auto" w:sz="6" w:space="0"/>
              <w:right w:val="single" w:color="auto" w:sz="6" w:space="0"/>
            </w:tcBorders>
            <w:noWrap w:val="0"/>
            <w:vAlign w:val="center"/>
          </w:tcPr>
          <w:p w14:paraId="08EB8B81">
            <w:pPr>
              <w:jc w:val="center"/>
              <w:rPr>
                <w:rFonts w:hint="default" w:ascii="宋体" w:hAnsi="宋体" w:eastAsia="宋体" w:cs="Times New Roman"/>
                <w:spacing w:val="20"/>
                <w:sz w:val="24"/>
                <w:szCs w:val="24"/>
                <w:highlight w:val="none"/>
                <w:lang w:val="en-US" w:eastAsia="zh-CN"/>
              </w:rPr>
            </w:pPr>
            <w:r>
              <w:rPr>
                <w:rFonts w:hint="eastAsia" w:ascii="宋体" w:hAnsi="宋体" w:eastAsia="宋体" w:cs="Times New Roman"/>
                <w:spacing w:val="20"/>
                <w:sz w:val="24"/>
                <w:szCs w:val="24"/>
                <w:highlight w:val="none"/>
                <w:lang w:val="en-US" w:eastAsia="zh-CN"/>
              </w:rPr>
              <w:t>8</w:t>
            </w:r>
          </w:p>
        </w:tc>
        <w:tc>
          <w:tcPr>
            <w:tcW w:w="4417" w:type="dxa"/>
            <w:tcBorders>
              <w:top w:val="single" w:color="auto" w:sz="6" w:space="0"/>
              <w:left w:val="single" w:color="auto" w:sz="6" w:space="0"/>
              <w:bottom w:val="single" w:color="auto" w:sz="6" w:space="0"/>
              <w:right w:val="single" w:color="auto" w:sz="6" w:space="0"/>
            </w:tcBorders>
            <w:noWrap w:val="0"/>
            <w:vAlign w:val="center"/>
          </w:tcPr>
          <w:p w14:paraId="6B29DC38">
            <w:pPr>
              <w:jc w:val="both"/>
              <w:rPr>
                <w:rFonts w:hint="eastAsia" w:ascii="宋体" w:hAnsi="宋体" w:eastAsia="宋体" w:cs="Times New Roman"/>
                <w:spacing w:val="20"/>
                <w:sz w:val="24"/>
                <w:szCs w:val="24"/>
                <w:highlight w:val="none"/>
              </w:rPr>
            </w:pPr>
            <w:r>
              <w:rPr>
                <w:rFonts w:hint="eastAsia" w:ascii="宋体" w:hAnsi="宋体" w:eastAsia="宋体" w:cs="Times New Roman"/>
                <w:spacing w:val="20"/>
                <w:sz w:val="24"/>
                <w:szCs w:val="24"/>
                <w:highlight w:val="none"/>
              </w:rPr>
              <w:t>技术规格及要求：满足招标文件要求并提供相关证明材料</w:t>
            </w:r>
          </w:p>
        </w:tc>
        <w:tc>
          <w:tcPr>
            <w:tcW w:w="2828" w:type="dxa"/>
            <w:tcBorders>
              <w:top w:val="single" w:color="auto" w:sz="6" w:space="0"/>
              <w:left w:val="single" w:color="auto" w:sz="6" w:space="0"/>
              <w:bottom w:val="single" w:color="auto" w:sz="6" w:space="0"/>
              <w:right w:val="single" w:color="auto" w:sz="6" w:space="0"/>
            </w:tcBorders>
            <w:noWrap w:val="0"/>
            <w:vAlign w:val="top"/>
          </w:tcPr>
          <w:p w14:paraId="7E77A973">
            <w:pPr>
              <w:rPr>
                <w:rFonts w:ascii="宋体" w:hAnsi="宋体"/>
                <w:spacing w:val="20"/>
                <w:sz w:val="24"/>
                <w:szCs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2958C2CE">
            <w:pPr>
              <w:rPr>
                <w:rFonts w:ascii="宋体" w:hAnsi="宋体"/>
                <w:spacing w:val="20"/>
                <w:sz w:val="24"/>
                <w:szCs w:val="24"/>
                <w:highlight w:val="none"/>
              </w:rPr>
            </w:pPr>
          </w:p>
        </w:tc>
      </w:tr>
      <w:tr w14:paraId="2A3373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43" w:type="dxa"/>
            <w:tcBorders>
              <w:top w:val="single" w:color="auto" w:sz="6" w:space="0"/>
              <w:left w:val="double" w:color="auto" w:sz="4" w:space="0"/>
              <w:bottom w:val="single" w:color="auto" w:sz="6" w:space="0"/>
              <w:right w:val="single" w:color="auto" w:sz="6" w:space="0"/>
            </w:tcBorders>
            <w:noWrap w:val="0"/>
            <w:vAlign w:val="center"/>
          </w:tcPr>
          <w:p w14:paraId="7B2C7734">
            <w:pPr>
              <w:jc w:val="center"/>
              <w:rPr>
                <w:rFonts w:hint="default" w:ascii="宋体" w:hAnsi="宋体" w:eastAsia="宋体" w:cs="Times New Roman"/>
                <w:spacing w:val="20"/>
                <w:sz w:val="24"/>
                <w:szCs w:val="24"/>
                <w:highlight w:val="none"/>
                <w:lang w:val="en-US" w:eastAsia="zh-CN"/>
              </w:rPr>
            </w:pPr>
            <w:r>
              <w:rPr>
                <w:rFonts w:hint="eastAsia" w:ascii="宋体" w:hAnsi="宋体" w:eastAsia="宋体" w:cs="Times New Roman"/>
                <w:spacing w:val="20"/>
                <w:sz w:val="24"/>
                <w:szCs w:val="24"/>
                <w:highlight w:val="none"/>
                <w:lang w:val="en-US" w:eastAsia="zh-CN"/>
              </w:rPr>
              <w:t>9</w:t>
            </w:r>
          </w:p>
        </w:tc>
        <w:tc>
          <w:tcPr>
            <w:tcW w:w="4417" w:type="dxa"/>
            <w:tcBorders>
              <w:top w:val="single" w:color="auto" w:sz="6" w:space="0"/>
              <w:left w:val="single" w:color="auto" w:sz="6" w:space="0"/>
              <w:bottom w:val="single" w:color="auto" w:sz="6" w:space="0"/>
              <w:right w:val="single" w:color="auto" w:sz="6" w:space="0"/>
            </w:tcBorders>
            <w:noWrap w:val="0"/>
            <w:vAlign w:val="center"/>
          </w:tcPr>
          <w:p w14:paraId="22B4045C">
            <w:pPr>
              <w:jc w:val="both"/>
              <w:rPr>
                <w:rFonts w:hint="eastAsia" w:ascii="宋体" w:hAnsi="宋体" w:eastAsia="宋体" w:cs="Times New Roman"/>
                <w:spacing w:val="20"/>
                <w:sz w:val="24"/>
                <w:szCs w:val="24"/>
                <w:highlight w:val="none"/>
              </w:rPr>
            </w:pPr>
            <w:r>
              <w:rPr>
                <w:rFonts w:hint="eastAsia" w:ascii="宋体" w:hAnsi="宋体" w:eastAsia="宋体" w:cs="Times New Roman"/>
                <w:spacing w:val="20"/>
                <w:sz w:val="24"/>
                <w:szCs w:val="24"/>
                <w:highlight w:val="none"/>
              </w:rPr>
              <w:t>权利义务：符合</w:t>
            </w:r>
            <w:r>
              <w:rPr>
                <w:rFonts w:hint="eastAsia" w:ascii="宋体" w:hAnsi="宋体" w:cs="Times New Roman"/>
                <w:spacing w:val="20"/>
                <w:sz w:val="24"/>
                <w:szCs w:val="24"/>
                <w:highlight w:val="none"/>
                <w:lang w:val="en-US" w:eastAsia="zh-CN"/>
              </w:rPr>
              <w:t>招标文件</w:t>
            </w:r>
            <w:r>
              <w:rPr>
                <w:rFonts w:hint="eastAsia" w:ascii="宋体" w:hAnsi="宋体" w:eastAsia="宋体" w:cs="Times New Roman"/>
                <w:spacing w:val="20"/>
                <w:sz w:val="24"/>
                <w:szCs w:val="24"/>
                <w:highlight w:val="none"/>
              </w:rPr>
              <w:t>“合同条款”规定</w:t>
            </w:r>
          </w:p>
        </w:tc>
        <w:tc>
          <w:tcPr>
            <w:tcW w:w="2828" w:type="dxa"/>
            <w:tcBorders>
              <w:top w:val="single" w:color="auto" w:sz="6" w:space="0"/>
              <w:left w:val="single" w:color="auto" w:sz="6" w:space="0"/>
              <w:bottom w:val="single" w:color="auto" w:sz="6" w:space="0"/>
              <w:right w:val="single" w:color="auto" w:sz="6" w:space="0"/>
            </w:tcBorders>
            <w:noWrap w:val="0"/>
            <w:vAlign w:val="top"/>
          </w:tcPr>
          <w:p w14:paraId="79B03359">
            <w:pPr>
              <w:rPr>
                <w:rFonts w:ascii="宋体" w:hAnsi="宋体"/>
                <w:spacing w:val="20"/>
                <w:sz w:val="24"/>
                <w:szCs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1798026A">
            <w:pPr>
              <w:rPr>
                <w:rFonts w:ascii="宋体" w:hAnsi="宋体"/>
                <w:spacing w:val="20"/>
                <w:sz w:val="24"/>
                <w:szCs w:val="24"/>
                <w:highlight w:val="none"/>
              </w:rPr>
            </w:pPr>
          </w:p>
        </w:tc>
      </w:tr>
      <w:tr w14:paraId="0B44B5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43" w:type="dxa"/>
            <w:tcBorders>
              <w:top w:val="single" w:color="auto" w:sz="6" w:space="0"/>
              <w:left w:val="double" w:color="auto" w:sz="4" w:space="0"/>
              <w:bottom w:val="double" w:color="auto" w:sz="4" w:space="0"/>
              <w:right w:val="single" w:color="auto" w:sz="6" w:space="0"/>
            </w:tcBorders>
            <w:noWrap w:val="0"/>
            <w:vAlign w:val="center"/>
          </w:tcPr>
          <w:p w14:paraId="37F2F6AD">
            <w:pPr>
              <w:jc w:val="center"/>
              <w:rPr>
                <w:rFonts w:hint="default" w:ascii="宋体" w:hAnsi="宋体" w:eastAsia="宋体" w:cs="Times New Roman"/>
                <w:spacing w:val="20"/>
                <w:sz w:val="24"/>
                <w:szCs w:val="24"/>
                <w:highlight w:val="none"/>
                <w:lang w:val="en-US" w:eastAsia="zh-CN"/>
              </w:rPr>
            </w:pPr>
            <w:r>
              <w:rPr>
                <w:rFonts w:hint="eastAsia" w:ascii="宋体" w:hAnsi="宋体" w:eastAsia="宋体" w:cs="Times New Roman"/>
                <w:spacing w:val="20"/>
                <w:sz w:val="24"/>
                <w:szCs w:val="24"/>
                <w:highlight w:val="none"/>
                <w:lang w:val="en-US" w:eastAsia="zh-CN"/>
              </w:rPr>
              <w:t>10</w:t>
            </w:r>
          </w:p>
        </w:tc>
        <w:tc>
          <w:tcPr>
            <w:tcW w:w="4417" w:type="dxa"/>
            <w:tcBorders>
              <w:top w:val="single" w:color="auto" w:sz="6" w:space="0"/>
              <w:left w:val="single" w:color="auto" w:sz="6" w:space="0"/>
              <w:bottom w:val="double" w:color="auto" w:sz="4" w:space="0"/>
              <w:right w:val="single" w:color="auto" w:sz="6" w:space="0"/>
            </w:tcBorders>
            <w:noWrap w:val="0"/>
            <w:vAlign w:val="center"/>
          </w:tcPr>
          <w:p w14:paraId="0CB4D674">
            <w:pPr>
              <w:jc w:val="both"/>
              <w:rPr>
                <w:rFonts w:hint="eastAsia" w:ascii="宋体" w:hAnsi="宋体" w:eastAsia="宋体" w:cs="Times New Roman"/>
                <w:spacing w:val="20"/>
                <w:sz w:val="24"/>
                <w:szCs w:val="24"/>
                <w:highlight w:val="none"/>
              </w:rPr>
            </w:pPr>
            <w:r>
              <w:rPr>
                <w:rFonts w:hint="eastAsia" w:ascii="宋体" w:hAnsi="宋体" w:eastAsia="宋体" w:cs="Times New Roman"/>
                <w:spacing w:val="20"/>
                <w:sz w:val="24"/>
                <w:szCs w:val="24"/>
                <w:highlight w:val="none"/>
              </w:rPr>
              <w:t>其他：法律法规及招标文件规定的其他要求</w:t>
            </w:r>
          </w:p>
        </w:tc>
        <w:tc>
          <w:tcPr>
            <w:tcW w:w="2828" w:type="dxa"/>
            <w:tcBorders>
              <w:top w:val="single" w:color="auto" w:sz="6" w:space="0"/>
              <w:left w:val="single" w:color="auto" w:sz="6" w:space="0"/>
              <w:bottom w:val="double" w:color="auto" w:sz="4" w:space="0"/>
              <w:right w:val="single" w:color="auto" w:sz="6" w:space="0"/>
            </w:tcBorders>
            <w:noWrap w:val="0"/>
            <w:vAlign w:val="top"/>
          </w:tcPr>
          <w:p w14:paraId="67B08A60">
            <w:pPr>
              <w:rPr>
                <w:rFonts w:ascii="宋体" w:hAnsi="宋体"/>
                <w:spacing w:val="20"/>
                <w:sz w:val="24"/>
                <w:szCs w:val="24"/>
                <w:highlight w:val="none"/>
              </w:rPr>
            </w:pPr>
          </w:p>
        </w:tc>
        <w:tc>
          <w:tcPr>
            <w:tcW w:w="1440" w:type="dxa"/>
            <w:tcBorders>
              <w:top w:val="single" w:color="auto" w:sz="6" w:space="0"/>
              <w:left w:val="single" w:color="auto" w:sz="6" w:space="0"/>
              <w:bottom w:val="double" w:color="auto" w:sz="4" w:space="0"/>
              <w:right w:val="double" w:color="auto" w:sz="4" w:space="0"/>
            </w:tcBorders>
            <w:noWrap w:val="0"/>
            <w:vAlign w:val="top"/>
          </w:tcPr>
          <w:p w14:paraId="7F4565D0">
            <w:pPr>
              <w:rPr>
                <w:rFonts w:ascii="宋体" w:hAnsi="宋体"/>
                <w:spacing w:val="20"/>
                <w:sz w:val="24"/>
                <w:szCs w:val="24"/>
                <w:highlight w:val="none"/>
              </w:rPr>
            </w:pPr>
          </w:p>
        </w:tc>
      </w:tr>
    </w:tbl>
    <w:p w14:paraId="25824FD8">
      <w:pPr>
        <w:rPr>
          <w:rFonts w:hint="eastAsia" w:ascii="宋体" w:hAnsi="宋体"/>
          <w:sz w:val="18"/>
          <w:szCs w:val="18"/>
          <w:highlight w:val="none"/>
        </w:rPr>
      </w:pPr>
      <w:r>
        <w:rPr>
          <w:rFonts w:hint="eastAsia" w:ascii="宋体" w:hAnsi="宋体"/>
          <w:sz w:val="18"/>
          <w:szCs w:val="18"/>
          <w:highlight w:val="none"/>
        </w:rPr>
        <w:t>备注：</w:t>
      </w:r>
    </w:p>
    <w:p w14:paraId="71146E65">
      <w:pPr>
        <w:rPr>
          <w:rFonts w:hint="eastAsia" w:ascii="宋体" w:hAnsi="宋体"/>
          <w:sz w:val="18"/>
          <w:szCs w:val="18"/>
          <w:highlight w:val="none"/>
        </w:rPr>
      </w:pPr>
      <w:r>
        <w:rPr>
          <w:rFonts w:hint="eastAsia" w:ascii="宋体" w:hAnsi="宋体"/>
          <w:sz w:val="18"/>
          <w:szCs w:val="18"/>
          <w:highlight w:val="none"/>
        </w:rPr>
        <w:t>1、商务条款内容主要是针对《</w:t>
      </w:r>
      <w:r>
        <w:rPr>
          <w:rFonts w:hint="eastAsia" w:ascii="宋体" w:hAnsi="宋体"/>
          <w:sz w:val="18"/>
          <w:szCs w:val="18"/>
          <w:highlight w:val="none"/>
          <w:lang w:val="en-US" w:eastAsia="zh-CN"/>
        </w:rPr>
        <w:t>竞争性磋商</w:t>
      </w:r>
      <w:r>
        <w:rPr>
          <w:rFonts w:hint="eastAsia" w:ascii="宋体" w:hAnsi="宋体"/>
          <w:sz w:val="18"/>
          <w:szCs w:val="18"/>
          <w:highlight w:val="none"/>
        </w:rPr>
        <w:t>文件》有关的包括付款</w:t>
      </w:r>
      <w:r>
        <w:rPr>
          <w:rFonts w:hint="eastAsia" w:ascii="宋体" w:hAnsi="宋体"/>
          <w:sz w:val="18"/>
          <w:szCs w:val="18"/>
          <w:highlight w:val="none"/>
          <w:lang w:val="en-US" w:eastAsia="zh-CN"/>
        </w:rPr>
        <w:t>方式</w:t>
      </w:r>
      <w:r>
        <w:rPr>
          <w:rFonts w:hint="eastAsia" w:ascii="宋体" w:hAnsi="宋体"/>
          <w:sz w:val="18"/>
          <w:szCs w:val="18"/>
          <w:highlight w:val="none"/>
        </w:rPr>
        <w:t>、</w:t>
      </w:r>
      <w:r>
        <w:rPr>
          <w:rFonts w:hint="eastAsia" w:ascii="宋体" w:hAnsi="宋体"/>
          <w:sz w:val="18"/>
          <w:szCs w:val="18"/>
          <w:highlight w:val="none"/>
          <w:lang w:eastAsia="zh-CN"/>
        </w:rPr>
        <w:t>服务期限</w:t>
      </w:r>
      <w:r>
        <w:rPr>
          <w:rFonts w:hint="eastAsia" w:ascii="宋体" w:hAnsi="宋体"/>
          <w:sz w:val="18"/>
          <w:szCs w:val="18"/>
          <w:highlight w:val="none"/>
        </w:rPr>
        <w:t>、</w:t>
      </w:r>
      <w:r>
        <w:rPr>
          <w:rFonts w:hint="eastAsia" w:ascii="宋体" w:hAnsi="宋体"/>
          <w:sz w:val="18"/>
          <w:szCs w:val="18"/>
          <w:highlight w:val="none"/>
          <w:lang w:val="en-US" w:eastAsia="zh-CN"/>
        </w:rPr>
        <w:t>投标有效期、合同方式、质量要求</w:t>
      </w:r>
      <w:r>
        <w:rPr>
          <w:rFonts w:hint="eastAsia" w:ascii="宋体" w:hAnsi="宋体"/>
          <w:sz w:val="18"/>
          <w:szCs w:val="18"/>
          <w:highlight w:val="none"/>
        </w:rPr>
        <w:t>等内容。</w:t>
      </w:r>
    </w:p>
    <w:p w14:paraId="0E00E325">
      <w:pPr>
        <w:rPr>
          <w:rFonts w:hint="eastAsia" w:ascii="宋体" w:hAnsi="宋体"/>
          <w:sz w:val="18"/>
          <w:szCs w:val="18"/>
          <w:highlight w:val="none"/>
        </w:rPr>
      </w:pPr>
      <w:r>
        <w:rPr>
          <w:rFonts w:hint="eastAsia" w:ascii="宋体" w:hAnsi="宋体"/>
          <w:sz w:val="18"/>
          <w:szCs w:val="18"/>
          <w:highlight w:val="none"/>
        </w:rPr>
        <w:t>2、无偏离应在本表空白处醒目地注明“无商务条款偏离”的字样。</w:t>
      </w:r>
    </w:p>
    <w:p w14:paraId="13A2B7FC">
      <w:pPr>
        <w:rPr>
          <w:rFonts w:hint="eastAsia" w:ascii="宋体" w:hAnsi="宋体"/>
          <w:sz w:val="24"/>
          <w:highlight w:val="none"/>
        </w:rPr>
      </w:pPr>
    </w:p>
    <w:p w14:paraId="3003A92C">
      <w:pPr>
        <w:jc w:val="center"/>
        <w:rPr>
          <w:rFonts w:hint="eastAsia" w:ascii="宋体" w:hAnsi="宋体"/>
          <w:szCs w:val="21"/>
          <w:highlight w:val="none"/>
        </w:rPr>
      </w:pPr>
    </w:p>
    <w:p w14:paraId="2D9A616D">
      <w:pPr>
        <w:spacing w:line="360" w:lineRule="auto"/>
        <w:ind w:firstLine="2400" w:firstLineChars="1000"/>
        <w:rPr>
          <w:rFonts w:hint="eastAsia" w:ascii="宋体" w:hAnsi="宋体"/>
          <w:sz w:val="24"/>
          <w:szCs w:val="24"/>
          <w:highlight w:val="none"/>
        </w:rPr>
      </w:pP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投标人</w:t>
      </w:r>
      <w:r>
        <w:rPr>
          <w:rFonts w:hint="eastAsia" w:ascii="宋体" w:hAnsi="宋体"/>
          <w:sz w:val="24"/>
          <w:szCs w:val="24"/>
          <w:highlight w:val="none"/>
        </w:rPr>
        <w:t xml:space="preserve">名称： </w:t>
      </w:r>
      <w:r>
        <w:rPr>
          <w:rFonts w:hint="eastAsia" w:ascii="宋体" w:hAnsi="宋体"/>
          <w:sz w:val="24"/>
          <w:szCs w:val="24"/>
          <w:highlight w:val="none"/>
          <w:u w:val="single"/>
        </w:rPr>
        <w:t xml:space="preserve">                           </w:t>
      </w:r>
      <w:r>
        <w:rPr>
          <w:rFonts w:hint="eastAsia" w:ascii="宋体" w:hAnsi="宋体"/>
          <w:sz w:val="24"/>
          <w:szCs w:val="24"/>
          <w:highlight w:val="none"/>
        </w:rPr>
        <w:t>（公章）</w:t>
      </w:r>
    </w:p>
    <w:p w14:paraId="4799BFF7">
      <w:pPr>
        <w:spacing w:line="360" w:lineRule="auto"/>
        <w:rPr>
          <w:rFonts w:hint="eastAsia" w:ascii="宋体" w:hAnsi="宋体"/>
          <w:b/>
          <w:sz w:val="24"/>
          <w:szCs w:val="24"/>
          <w:highlight w:val="none"/>
        </w:rPr>
      </w:pPr>
    </w:p>
    <w:p w14:paraId="4DE47C74">
      <w:pPr>
        <w:spacing w:line="480" w:lineRule="auto"/>
        <w:rPr>
          <w:rFonts w:hint="eastAsia"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ascii="宋体" w:hAnsi="宋体"/>
          <w:sz w:val="24"/>
          <w:szCs w:val="24"/>
          <w:highlight w:val="none"/>
        </w:rPr>
        <w:t>法定代表人或</w:t>
      </w:r>
      <w:r>
        <w:rPr>
          <w:rFonts w:hint="eastAsia" w:ascii="宋体" w:hAnsi="宋体"/>
          <w:sz w:val="24"/>
          <w:szCs w:val="24"/>
          <w:highlight w:val="none"/>
        </w:rPr>
        <w:t>其委托代理</w:t>
      </w:r>
      <w:r>
        <w:rPr>
          <w:rFonts w:ascii="宋体" w:hAnsi="宋体"/>
          <w:sz w:val="24"/>
          <w:szCs w:val="24"/>
          <w:highlight w:val="none"/>
        </w:rPr>
        <w:t>人</w:t>
      </w:r>
      <w:r>
        <w:rPr>
          <w:rFonts w:hint="eastAsia" w:ascii="宋体" w:hAnsi="宋体"/>
          <w:sz w:val="24"/>
          <w:szCs w:val="24"/>
          <w:highlight w:val="none"/>
        </w:rPr>
        <w:t>：</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ascii="宋体" w:hAnsi="宋体"/>
          <w:sz w:val="24"/>
          <w:szCs w:val="24"/>
          <w:highlight w:val="none"/>
        </w:rPr>
        <w:t>（签字</w:t>
      </w:r>
      <w:r>
        <w:rPr>
          <w:rFonts w:hint="eastAsia" w:ascii="宋体" w:hAnsi="宋体"/>
          <w:sz w:val="24"/>
          <w:szCs w:val="24"/>
          <w:highlight w:val="none"/>
        </w:rPr>
        <w:t>或盖章</w:t>
      </w:r>
      <w:r>
        <w:rPr>
          <w:rFonts w:ascii="宋体" w:hAnsi="宋体"/>
          <w:sz w:val="24"/>
          <w:szCs w:val="24"/>
          <w:highlight w:val="none"/>
        </w:rPr>
        <w:t>）</w:t>
      </w:r>
    </w:p>
    <w:p w14:paraId="24E729D3">
      <w:pPr>
        <w:spacing w:line="480" w:lineRule="auto"/>
        <w:rPr>
          <w:rFonts w:hint="eastAsia" w:ascii="宋体" w:hAnsi="宋体"/>
          <w:sz w:val="24"/>
          <w:szCs w:val="24"/>
          <w:highlight w:val="none"/>
        </w:rPr>
      </w:pPr>
    </w:p>
    <w:p w14:paraId="27669D08">
      <w:pPr>
        <w:ind w:firstLine="435"/>
        <w:rPr>
          <w:rFonts w:ascii="宋体" w:hAnsi="宋体"/>
          <w:szCs w:val="21"/>
          <w:highlight w:val="none"/>
          <w:u w:val="single"/>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w:t>
      </w:r>
      <w:r>
        <w:rPr>
          <w:rFonts w:hint="eastAsia"/>
          <w:sz w:val="24"/>
          <w:szCs w:val="24"/>
          <w:highlight w:val="none"/>
          <w:lang w:val="en-US" w:eastAsia="zh-CN"/>
        </w:rPr>
        <w:t xml:space="preserve">   </w:t>
      </w: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197BBC49">
      <w:pPr>
        <w:pStyle w:val="2"/>
        <w:spacing w:before="0" w:after="0" w:line="300" w:lineRule="auto"/>
        <w:jc w:val="center"/>
        <w:rPr>
          <w:rFonts w:ascii="宋体" w:hAnsi="宋体" w:eastAsia="宋体"/>
          <w:b w:val="0"/>
          <w:sz w:val="21"/>
          <w:szCs w:val="21"/>
          <w:highlight w:val="none"/>
        </w:rPr>
      </w:pPr>
      <w:bookmarkStart w:id="144" w:name="_Toc468267492"/>
      <w:r>
        <w:rPr>
          <w:rFonts w:hint="eastAsia" w:ascii="宋体" w:hAnsi="宋体" w:eastAsia="宋体"/>
          <w:szCs w:val="21"/>
          <w:highlight w:val="none"/>
          <w:u w:val="none"/>
          <w:lang w:val="en-US" w:eastAsia="zh-CN"/>
        </w:rPr>
        <w:t>六</w:t>
      </w:r>
      <w:r>
        <w:rPr>
          <w:rFonts w:hint="eastAsia" w:ascii="宋体" w:hAnsi="宋体" w:eastAsia="宋体"/>
          <w:szCs w:val="21"/>
          <w:highlight w:val="none"/>
        </w:rPr>
        <w:t>、</w:t>
      </w:r>
      <w:r>
        <w:rPr>
          <w:rFonts w:ascii="宋体" w:hAnsi="宋体" w:eastAsia="宋体"/>
          <w:highlight w:val="none"/>
        </w:rPr>
        <w:t>优惠条件和</w:t>
      </w:r>
      <w:r>
        <w:rPr>
          <w:rFonts w:hint="eastAsia" w:ascii="宋体" w:hAnsi="宋体" w:eastAsia="宋体"/>
          <w:highlight w:val="none"/>
        </w:rPr>
        <w:t>服务承诺</w:t>
      </w:r>
      <w:bookmarkEnd w:id="144"/>
    </w:p>
    <w:p w14:paraId="36747566">
      <w:pPr>
        <w:ind w:firstLine="435"/>
        <w:rPr>
          <w:rFonts w:ascii="宋体" w:hAnsi="宋体"/>
          <w:b/>
          <w:szCs w:val="21"/>
          <w:highlight w:val="none"/>
        </w:rPr>
      </w:pPr>
    </w:p>
    <w:p w14:paraId="633EDBD7">
      <w:pPr>
        <w:spacing w:line="360" w:lineRule="auto"/>
        <w:ind w:firstLine="420" w:firstLineChars="200"/>
        <w:rPr>
          <w:rFonts w:ascii="宋体" w:hAnsi="宋体"/>
          <w:szCs w:val="21"/>
          <w:highlight w:val="none"/>
        </w:rPr>
      </w:pPr>
    </w:p>
    <w:p w14:paraId="0131B1B2">
      <w:pPr>
        <w:ind w:firstLine="435"/>
        <w:rPr>
          <w:rFonts w:ascii="宋体" w:hAnsi="宋体"/>
          <w:szCs w:val="21"/>
          <w:highlight w:val="none"/>
        </w:rPr>
      </w:pPr>
      <w:r>
        <w:rPr>
          <w:rFonts w:hint="eastAsia" w:ascii="宋体" w:hAnsi="宋体"/>
          <w:highlight w:val="none"/>
          <w:lang w:eastAsia="zh-CN"/>
        </w:rPr>
        <w:t>投标人</w:t>
      </w:r>
      <w:r>
        <w:rPr>
          <w:rFonts w:ascii="宋体" w:hAnsi="宋体"/>
          <w:highlight w:val="none"/>
        </w:rPr>
        <w:t>需列出给买方的优惠条件和提供详细的服务承诺。</w:t>
      </w:r>
    </w:p>
    <w:p w14:paraId="0112B8E2">
      <w:pPr>
        <w:ind w:firstLine="435"/>
        <w:rPr>
          <w:rFonts w:ascii="宋体" w:hAnsi="宋体"/>
          <w:szCs w:val="21"/>
          <w:highlight w:val="none"/>
          <w:u w:val="single"/>
        </w:rPr>
      </w:pPr>
    </w:p>
    <w:p w14:paraId="1E057E0E">
      <w:pPr>
        <w:ind w:firstLine="435"/>
        <w:rPr>
          <w:rFonts w:ascii="宋体" w:hAnsi="宋体"/>
          <w:szCs w:val="21"/>
          <w:highlight w:val="none"/>
          <w:u w:val="single"/>
        </w:rPr>
      </w:pPr>
    </w:p>
    <w:p w14:paraId="4A5CA5E5">
      <w:pPr>
        <w:ind w:firstLine="435"/>
        <w:rPr>
          <w:rFonts w:ascii="宋体" w:hAnsi="宋体"/>
          <w:szCs w:val="21"/>
          <w:highlight w:val="none"/>
          <w:u w:val="single"/>
        </w:rPr>
      </w:pPr>
    </w:p>
    <w:p w14:paraId="7E53E124">
      <w:pPr>
        <w:ind w:firstLine="435"/>
        <w:rPr>
          <w:rFonts w:ascii="宋体" w:hAnsi="宋体"/>
          <w:szCs w:val="21"/>
          <w:highlight w:val="none"/>
          <w:u w:val="single"/>
        </w:rPr>
      </w:pPr>
    </w:p>
    <w:p w14:paraId="6EFBA813">
      <w:pPr>
        <w:ind w:firstLine="435"/>
        <w:rPr>
          <w:rFonts w:ascii="宋体" w:hAnsi="宋体"/>
          <w:szCs w:val="21"/>
          <w:highlight w:val="none"/>
          <w:u w:val="single"/>
        </w:rPr>
      </w:pPr>
    </w:p>
    <w:p w14:paraId="335312CB">
      <w:pPr>
        <w:ind w:firstLine="435"/>
        <w:rPr>
          <w:rFonts w:ascii="宋体" w:hAnsi="宋体"/>
          <w:szCs w:val="21"/>
          <w:highlight w:val="none"/>
          <w:u w:val="single"/>
        </w:rPr>
      </w:pPr>
    </w:p>
    <w:p w14:paraId="367F15B2">
      <w:pPr>
        <w:ind w:firstLine="435"/>
        <w:rPr>
          <w:rFonts w:ascii="宋体" w:hAnsi="宋体"/>
          <w:szCs w:val="21"/>
          <w:highlight w:val="none"/>
          <w:u w:val="single"/>
        </w:rPr>
      </w:pPr>
    </w:p>
    <w:p w14:paraId="29D6209E">
      <w:pPr>
        <w:ind w:firstLine="435"/>
        <w:rPr>
          <w:rFonts w:ascii="宋体" w:hAnsi="宋体"/>
          <w:szCs w:val="21"/>
          <w:highlight w:val="none"/>
        </w:rPr>
      </w:pPr>
    </w:p>
    <w:p w14:paraId="527FD897">
      <w:pPr>
        <w:ind w:firstLine="435"/>
        <w:rPr>
          <w:rFonts w:ascii="宋体" w:hAnsi="宋体"/>
          <w:szCs w:val="21"/>
          <w:highlight w:val="none"/>
        </w:rPr>
      </w:pPr>
    </w:p>
    <w:p w14:paraId="4211D433">
      <w:pPr>
        <w:ind w:firstLine="435"/>
        <w:rPr>
          <w:rFonts w:ascii="宋体" w:hAnsi="宋体"/>
          <w:szCs w:val="21"/>
          <w:highlight w:val="none"/>
        </w:rPr>
      </w:pPr>
    </w:p>
    <w:p w14:paraId="46800B81">
      <w:pPr>
        <w:ind w:firstLine="435"/>
        <w:rPr>
          <w:rFonts w:ascii="宋体" w:hAnsi="宋体"/>
          <w:szCs w:val="21"/>
          <w:highlight w:val="none"/>
        </w:rPr>
      </w:pPr>
    </w:p>
    <w:p w14:paraId="1D3794E2">
      <w:pPr>
        <w:ind w:firstLine="630" w:firstLineChars="300"/>
        <w:rPr>
          <w:rFonts w:ascii="宋体" w:hAnsi="宋体"/>
          <w:szCs w:val="21"/>
          <w:highlight w:val="none"/>
        </w:rPr>
      </w:pPr>
      <w:r>
        <w:rPr>
          <w:rFonts w:hint="eastAsia" w:ascii="宋体" w:hAnsi="宋体"/>
          <w:szCs w:val="21"/>
          <w:highlight w:val="none"/>
          <w:lang w:eastAsia="zh-CN"/>
        </w:rPr>
        <w:t>投标人</w:t>
      </w:r>
      <w:r>
        <w:rPr>
          <w:rFonts w:ascii="宋体" w:hAnsi="宋体"/>
          <w:szCs w:val="21"/>
          <w:highlight w:val="none"/>
        </w:rPr>
        <w:t>公章</w:t>
      </w:r>
      <w:r>
        <w:rPr>
          <w:rFonts w:hint="eastAsia" w:ascii="宋体" w:hAnsi="宋体"/>
          <w:szCs w:val="21"/>
          <w:highlight w:val="none"/>
        </w:rPr>
        <w:t>：</w:t>
      </w:r>
    </w:p>
    <w:p w14:paraId="7A000016">
      <w:pPr>
        <w:ind w:firstLine="435"/>
        <w:rPr>
          <w:rFonts w:ascii="宋体" w:hAnsi="宋体"/>
          <w:szCs w:val="21"/>
          <w:highlight w:val="none"/>
        </w:rPr>
      </w:pPr>
    </w:p>
    <w:p w14:paraId="620A5F6E">
      <w:pPr>
        <w:ind w:firstLine="435"/>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eastAsia="zh-CN"/>
        </w:rPr>
        <w:t>投标人</w:t>
      </w:r>
      <w:r>
        <w:rPr>
          <w:rFonts w:ascii="宋体" w:hAnsi="宋体"/>
          <w:szCs w:val="21"/>
          <w:highlight w:val="none"/>
        </w:rPr>
        <w:t>代表签字</w:t>
      </w:r>
      <w:r>
        <w:rPr>
          <w:rFonts w:hint="eastAsia" w:ascii="宋体" w:hAnsi="宋体"/>
          <w:szCs w:val="21"/>
          <w:highlight w:val="none"/>
        </w:rPr>
        <w:t>或盖章</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 xml:space="preserve"> </w:t>
      </w:r>
    </w:p>
    <w:p w14:paraId="48B1CEC8">
      <w:pPr>
        <w:ind w:firstLine="435"/>
        <w:rPr>
          <w:rFonts w:ascii="宋体" w:hAnsi="宋体"/>
          <w:szCs w:val="21"/>
          <w:highlight w:val="none"/>
        </w:rPr>
      </w:pPr>
    </w:p>
    <w:p w14:paraId="4AB7E529">
      <w:pPr>
        <w:ind w:firstLine="435"/>
        <w:rPr>
          <w:rFonts w:ascii="宋体" w:hAnsi="宋体"/>
          <w:szCs w:val="21"/>
          <w:highlight w:val="none"/>
        </w:rPr>
      </w:pPr>
      <w:r>
        <w:rPr>
          <w:rFonts w:hint="eastAsia" w:ascii="宋体" w:hAnsi="宋体"/>
          <w:szCs w:val="21"/>
          <w:highlight w:val="none"/>
        </w:rPr>
        <w:t xml:space="preserve">  日期：</w:t>
      </w:r>
    </w:p>
    <w:p w14:paraId="14813087">
      <w:pPr>
        <w:ind w:firstLine="435"/>
        <w:rPr>
          <w:rFonts w:ascii="宋体" w:hAnsi="宋体"/>
          <w:szCs w:val="21"/>
          <w:highlight w:val="none"/>
        </w:rPr>
      </w:pPr>
      <w:r>
        <w:rPr>
          <w:rFonts w:ascii="宋体" w:hAnsi="宋体"/>
          <w:szCs w:val="21"/>
          <w:highlight w:val="none"/>
        </w:rPr>
        <w:t xml:space="preserve">           </w:t>
      </w:r>
    </w:p>
    <w:p w14:paraId="0717A561">
      <w:pPr>
        <w:pStyle w:val="20"/>
        <w:rPr>
          <w:highlight w:val="none"/>
        </w:rPr>
      </w:pPr>
    </w:p>
    <w:p w14:paraId="14A63916">
      <w:pPr>
        <w:pStyle w:val="20"/>
        <w:rPr>
          <w:highlight w:val="none"/>
        </w:rPr>
      </w:pPr>
    </w:p>
    <w:p w14:paraId="4CC82213">
      <w:pPr>
        <w:pStyle w:val="20"/>
        <w:rPr>
          <w:highlight w:val="none"/>
        </w:rPr>
      </w:pPr>
    </w:p>
    <w:p w14:paraId="55E2CA99">
      <w:pPr>
        <w:pStyle w:val="20"/>
        <w:rPr>
          <w:highlight w:val="none"/>
        </w:rPr>
      </w:pPr>
    </w:p>
    <w:p w14:paraId="25EB3A15">
      <w:pPr>
        <w:pStyle w:val="20"/>
        <w:rPr>
          <w:highlight w:val="none"/>
        </w:rPr>
      </w:pPr>
    </w:p>
    <w:p w14:paraId="60F72274">
      <w:pPr>
        <w:pStyle w:val="20"/>
        <w:rPr>
          <w:highlight w:val="none"/>
        </w:rPr>
      </w:pPr>
    </w:p>
    <w:p w14:paraId="5CDCB991">
      <w:pPr>
        <w:pStyle w:val="20"/>
        <w:rPr>
          <w:highlight w:val="none"/>
        </w:rPr>
      </w:pPr>
    </w:p>
    <w:p w14:paraId="10E94C07">
      <w:pPr>
        <w:pStyle w:val="20"/>
        <w:rPr>
          <w:highlight w:val="none"/>
        </w:rPr>
      </w:pPr>
    </w:p>
    <w:p w14:paraId="4697743F">
      <w:pPr>
        <w:pStyle w:val="20"/>
        <w:rPr>
          <w:highlight w:val="none"/>
        </w:rPr>
      </w:pPr>
    </w:p>
    <w:p w14:paraId="6271D31E">
      <w:pPr>
        <w:pStyle w:val="20"/>
        <w:rPr>
          <w:highlight w:val="none"/>
        </w:rPr>
      </w:pPr>
    </w:p>
    <w:p w14:paraId="16DA12BF">
      <w:pPr>
        <w:pStyle w:val="20"/>
        <w:rPr>
          <w:highlight w:val="none"/>
        </w:rPr>
      </w:pPr>
    </w:p>
    <w:p w14:paraId="6D5904E1">
      <w:pPr>
        <w:pStyle w:val="20"/>
        <w:rPr>
          <w:highlight w:val="none"/>
        </w:rPr>
      </w:pPr>
    </w:p>
    <w:p w14:paraId="7292A758">
      <w:pPr>
        <w:pStyle w:val="20"/>
        <w:rPr>
          <w:highlight w:val="none"/>
        </w:rPr>
      </w:pPr>
    </w:p>
    <w:p w14:paraId="02D7563E">
      <w:pPr>
        <w:rPr>
          <w:rFonts w:hint="eastAsia"/>
          <w:b/>
          <w:sz w:val="28"/>
          <w:szCs w:val="28"/>
          <w:highlight w:val="none"/>
          <w:lang w:val="en-US" w:eastAsia="zh-CN"/>
        </w:rPr>
      </w:pPr>
      <w:r>
        <w:rPr>
          <w:rFonts w:hint="eastAsia"/>
          <w:b/>
          <w:sz w:val="28"/>
          <w:szCs w:val="28"/>
          <w:highlight w:val="none"/>
          <w:lang w:val="en-US" w:eastAsia="zh-CN"/>
        </w:rPr>
        <w:br w:type="page"/>
      </w:r>
    </w:p>
    <w:p w14:paraId="354B2859">
      <w:pPr>
        <w:numPr>
          <w:ilvl w:val="0"/>
          <w:numId w:val="0"/>
        </w:numPr>
        <w:autoSpaceDN w:val="0"/>
        <w:adjustRightInd w:val="0"/>
        <w:snapToGrid w:val="0"/>
        <w:spacing w:line="360" w:lineRule="auto"/>
        <w:jc w:val="center"/>
        <w:rPr>
          <w:rFonts w:hint="eastAsia"/>
          <w:b/>
          <w:sz w:val="28"/>
          <w:szCs w:val="28"/>
          <w:highlight w:val="none"/>
          <w:lang w:eastAsia="zh-CN"/>
        </w:rPr>
      </w:pPr>
      <w:r>
        <w:rPr>
          <w:rFonts w:hint="eastAsia"/>
          <w:b/>
          <w:sz w:val="28"/>
          <w:szCs w:val="28"/>
          <w:highlight w:val="none"/>
          <w:lang w:val="en-US" w:eastAsia="zh-CN"/>
        </w:rPr>
        <w:t>七、</w:t>
      </w:r>
      <w:r>
        <w:rPr>
          <w:rFonts w:hint="eastAsia"/>
          <w:b/>
          <w:sz w:val="28"/>
          <w:szCs w:val="28"/>
          <w:highlight w:val="none"/>
          <w:lang w:eastAsia="zh-CN"/>
        </w:rPr>
        <w:t>项目实施方案</w:t>
      </w:r>
    </w:p>
    <w:p w14:paraId="16BF83FD">
      <w:pPr>
        <w:autoSpaceDN w:val="0"/>
        <w:adjustRightInd w:val="0"/>
        <w:snapToGrid w:val="0"/>
        <w:spacing w:line="360" w:lineRule="auto"/>
        <w:rPr>
          <w:rFonts w:cs="宋体" w:asciiTheme="majorEastAsia" w:hAnsiTheme="majorEastAsia" w:eastAsiaTheme="majorEastAsia"/>
          <w:szCs w:val="21"/>
          <w:highlight w:val="none"/>
        </w:rPr>
      </w:pPr>
    </w:p>
    <w:p w14:paraId="2C9847F0">
      <w:pPr>
        <w:autoSpaceDN w:val="0"/>
        <w:adjustRightInd w:val="0"/>
        <w:snapToGrid w:val="0"/>
        <w:spacing w:line="360" w:lineRule="auto"/>
        <w:rPr>
          <w:rFonts w:cs="宋体" w:asciiTheme="majorEastAsia" w:hAnsiTheme="majorEastAsia" w:eastAsiaTheme="majorEastAsia"/>
          <w:szCs w:val="21"/>
          <w:highlight w:val="none"/>
        </w:rPr>
      </w:pPr>
    </w:p>
    <w:p w14:paraId="1A89B4F1">
      <w:pPr>
        <w:autoSpaceDN w:val="0"/>
        <w:adjustRightInd w:val="0"/>
        <w:snapToGrid w:val="0"/>
        <w:spacing w:line="360" w:lineRule="auto"/>
        <w:rPr>
          <w:rFonts w:cs="宋体" w:asciiTheme="majorEastAsia" w:hAnsiTheme="majorEastAsia" w:eastAsiaTheme="majorEastAsia"/>
          <w:szCs w:val="21"/>
          <w:highlight w:val="none"/>
        </w:rPr>
      </w:pPr>
    </w:p>
    <w:p w14:paraId="3E1D204E">
      <w:pPr>
        <w:autoSpaceDN w:val="0"/>
        <w:adjustRightInd w:val="0"/>
        <w:snapToGrid w:val="0"/>
        <w:spacing w:line="360" w:lineRule="auto"/>
        <w:rPr>
          <w:rFonts w:cs="宋体" w:asciiTheme="majorEastAsia" w:hAnsiTheme="majorEastAsia" w:eastAsiaTheme="majorEastAsia"/>
          <w:szCs w:val="21"/>
          <w:highlight w:val="none"/>
        </w:rPr>
      </w:pPr>
    </w:p>
    <w:p w14:paraId="440DDC6D">
      <w:pPr>
        <w:autoSpaceDN w:val="0"/>
        <w:adjustRightInd w:val="0"/>
        <w:snapToGrid w:val="0"/>
        <w:spacing w:line="360" w:lineRule="auto"/>
        <w:rPr>
          <w:rFonts w:cs="宋体" w:asciiTheme="majorEastAsia" w:hAnsiTheme="majorEastAsia" w:eastAsiaTheme="majorEastAsia"/>
          <w:szCs w:val="21"/>
          <w:highlight w:val="none"/>
        </w:rPr>
      </w:pPr>
    </w:p>
    <w:p w14:paraId="75B1E5B5">
      <w:pPr>
        <w:autoSpaceDN w:val="0"/>
        <w:adjustRightInd w:val="0"/>
        <w:snapToGrid w:val="0"/>
        <w:spacing w:line="360" w:lineRule="auto"/>
        <w:rPr>
          <w:rFonts w:cs="宋体" w:asciiTheme="majorEastAsia" w:hAnsiTheme="majorEastAsia" w:eastAsiaTheme="majorEastAsia"/>
          <w:szCs w:val="21"/>
          <w:highlight w:val="none"/>
        </w:rPr>
      </w:pPr>
    </w:p>
    <w:p w14:paraId="020B6D9F">
      <w:pPr>
        <w:autoSpaceDN w:val="0"/>
        <w:adjustRightInd w:val="0"/>
        <w:snapToGrid w:val="0"/>
        <w:spacing w:line="360" w:lineRule="auto"/>
        <w:rPr>
          <w:rFonts w:cs="宋体" w:asciiTheme="majorEastAsia" w:hAnsiTheme="majorEastAsia" w:eastAsiaTheme="majorEastAsia"/>
          <w:szCs w:val="21"/>
          <w:highlight w:val="none"/>
        </w:rPr>
      </w:pPr>
    </w:p>
    <w:p w14:paraId="34B125B7">
      <w:pPr>
        <w:autoSpaceDN w:val="0"/>
        <w:adjustRightInd w:val="0"/>
        <w:snapToGrid w:val="0"/>
        <w:spacing w:line="360" w:lineRule="auto"/>
        <w:rPr>
          <w:rFonts w:cs="宋体" w:asciiTheme="majorEastAsia" w:hAnsiTheme="majorEastAsia" w:eastAsiaTheme="majorEastAsia"/>
          <w:szCs w:val="21"/>
          <w:highlight w:val="none"/>
        </w:rPr>
      </w:pPr>
    </w:p>
    <w:p w14:paraId="1401AEEE">
      <w:pPr>
        <w:pStyle w:val="2"/>
        <w:spacing w:before="0" w:after="0" w:line="300" w:lineRule="auto"/>
        <w:jc w:val="center"/>
        <w:rPr>
          <w:rFonts w:ascii="宋体" w:hAnsi="宋体" w:eastAsia="宋体"/>
          <w:szCs w:val="21"/>
          <w:highlight w:val="none"/>
          <w:u w:val="single"/>
        </w:rPr>
      </w:pPr>
      <w:r>
        <w:rPr>
          <w:rFonts w:ascii="宋体" w:hAnsi="宋体" w:eastAsia="宋体"/>
          <w:szCs w:val="21"/>
          <w:highlight w:val="none"/>
          <w:u w:val="single"/>
        </w:rPr>
        <w:br w:type="page"/>
      </w:r>
      <w:bookmarkStart w:id="145" w:name="_Toc351644326"/>
      <w:bookmarkStart w:id="146" w:name="_Toc468267493"/>
      <w:bookmarkStart w:id="147" w:name="_Toc409424421"/>
      <w:bookmarkStart w:id="148" w:name="_Toc350070708"/>
      <w:bookmarkStart w:id="149" w:name="_Toc409424360"/>
    </w:p>
    <w:p w14:paraId="42F2F29D">
      <w:pPr>
        <w:pStyle w:val="2"/>
        <w:spacing w:before="0" w:after="0" w:line="300" w:lineRule="auto"/>
        <w:jc w:val="center"/>
        <w:rPr>
          <w:rFonts w:ascii="宋体" w:hAnsi="宋体" w:eastAsia="宋体"/>
          <w:szCs w:val="21"/>
          <w:highlight w:val="none"/>
          <w:u w:val="single"/>
        </w:rPr>
      </w:pPr>
      <w:r>
        <w:rPr>
          <w:rFonts w:hint="eastAsia" w:cs="宋体" w:asciiTheme="majorEastAsia" w:hAnsiTheme="majorEastAsia" w:eastAsiaTheme="majorEastAsia"/>
          <w:b/>
          <w:bCs/>
          <w:sz w:val="28"/>
          <w:szCs w:val="28"/>
          <w:highlight w:val="none"/>
          <w:lang w:val="en-US" w:eastAsia="zh-CN"/>
        </w:rPr>
        <w:t>八、</w:t>
      </w:r>
      <w:r>
        <w:rPr>
          <w:rFonts w:ascii="宋体" w:hAnsi="宋体" w:eastAsia="宋体"/>
          <w:highlight w:val="none"/>
        </w:rPr>
        <w:t>资格审查资料</w:t>
      </w:r>
      <w:bookmarkEnd w:id="145"/>
      <w:bookmarkEnd w:id="146"/>
      <w:bookmarkEnd w:id="147"/>
      <w:bookmarkEnd w:id="148"/>
      <w:bookmarkEnd w:id="149"/>
    </w:p>
    <w:p w14:paraId="5239BD2A">
      <w:pPr>
        <w:pStyle w:val="4"/>
        <w:spacing w:before="0" w:after="0" w:line="300" w:lineRule="auto"/>
        <w:jc w:val="center"/>
        <w:rPr>
          <w:rFonts w:ascii="宋体" w:hAnsi="宋体"/>
          <w:highlight w:val="none"/>
        </w:rPr>
      </w:pPr>
      <w:bookmarkStart w:id="150" w:name="_Toc468267494"/>
      <w:bookmarkStart w:id="151" w:name="_Toc409424361"/>
      <w:bookmarkStart w:id="152" w:name="_Toc409424422"/>
      <w:r>
        <w:rPr>
          <w:rFonts w:hint="eastAsia" w:ascii="宋体" w:hAnsi="宋体"/>
          <w:highlight w:val="none"/>
        </w:rPr>
        <w:t>（一）</w:t>
      </w:r>
      <w:bookmarkEnd w:id="150"/>
      <w:r>
        <w:rPr>
          <w:rFonts w:hint="eastAsia" w:ascii="宋体" w:hAnsi="宋体"/>
          <w:highlight w:val="none"/>
          <w:lang w:eastAsia="zh-CN"/>
        </w:rPr>
        <w:t>投标人</w:t>
      </w:r>
      <w:r>
        <w:rPr>
          <w:rFonts w:hint="eastAsia"/>
          <w:highlight w:val="none"/>
        </w:rPr>
        <w:t>基本情况表</w:t>
      </w:r>
    </w:p>
    <w:bookmarkEnd w:id="151"/>
    <w:bookmarkEnd w:id="152"/>
    <w:tbl>
      <w:tblPr>
        <w:tblStyle w:val="22"/>
        <w:tblW w:w="8925"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943"/>
        <w:gridCol w:w="2408"/>
        <w:gridCol w:w="1134"/>
        <w:gridCol w:w="2267"/>
      </w:tblGrid>
      <w:tr w14:paraId="0622E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Borders>
              <w:top w:val="single" w:color="000000" w:sz="4" w:space="0"/>
              <w:left w:val="single" w:color="000000" w:sz="4" w:space="0"/>
              <w:bottom w:val="single" w:color="000000" w:sz="4" w:space="0"/>
              <w:right w:val="single" w:color="000000" w:sz="4" w:space="0"/>
            </w:tcBorders>
          </w:tcPr>
          <w:p w14:paraId="3DBEE32F">
            <w:pPr>
              <w:pStyle w:val="61"/>
              <w:spacing w:before="107"/>
              <w:ind w:left="118" w:right="116"/>
              <w:jc w:val="center"/>
              <w:rPr>
                <w:highlight w:val="none"/>
                <w:lang w:eastAsia="en-US"/>
              </w:rPr>
            </w:pPr>
            <w:r>
              <w:rPr>
                <w:rFonts w:hint="eastAsia"/>
                <w:highlight w:val="none"/>
                <w:lang w:eastAsia="zh-CN"/>
              </w:rPr>
              <w:t>投标人</w:t>
            </w:r>
            <w:r>
              <w:rPr>
                <w:rFonts w:hint="eastAsia"/>
                <w:highlight w:val="none"/>
              </w:rPr>
              <w:t>名称</w:t>
            </w:r>
          </w:p>
        </w:tc>
        <w:tc>
          <w:tcPr>
            <w:tcW w:w="6758" w:type="dxa"/>
            <w:gridSpan w:val="4"/>
            <w:tcBorders>
              <w:top w:val="single" w:color="000000" w:sz="4" w:space="0"/>
              <w:left w:val="single" w:color="000000" w:sz="4" w:space="0"/>
              <w:bottom w:val="single" w:color="000000" w:sz="4" w:space="0"/>
              <w:right w:val="single" w:color="000000" w:sz="4" w:space="0"/>
            </w:tcBorders>
          </w:tcPr>
          <w:p w14:paraId="37D724EF">
            <w:pPr>
              <w:rPr>
                <w:rFonts w:ascii="宋体" w:hAnsi="宋体" w:cs="宋体"/>
                <w:sz w:val="22"/>
                <w:szCs w:val="22"/>
                <w:highlight w:val="none"/>
                <w:lang w:eastAsia="en-US"/>
              </w:rPr>
            </w:pPr>
          </w:p>
        </w:tc>
      </w:tr>
      <w:tr w14:paraId="01AE4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tcPr>
          <w:p w14:paraId="40D2537A">
            <w:pPr>
              <w:pStyle w:val="61"/>
              <w:spacing w:before="107"/>
              <w:ind w:left="116" w:right="116"/>
              <w:jc w:val="center"/>
              <w:rPr>
                <w:highlight w:val="none"/>
                <w:lang w:eastAsia="en-US"/>
              </w:rPr>
            </w:pPr>
            <w:r>
              <w:rPr>
                <w:rFonts w:hint="eastAsia"/>
                <w:highlight w:val="none"/>
              </w:rPr>
              <w:t>注册资金</w:t>
            </w:r>
          </w:p>
        </w:tc>
        <w:tc>
          <w:tcPr>
            <w:tcW w:w="3354" w:type="dxa"/>
            <w:gridSpan w:val="2"/>
            <w:tcBorders>
              <w:top w:val="single" w:color="000000" w:sz="4" w:space="0"/>
              <w:left w:val="single" w:color="000000" w:sz="4" w:space="0"/>
              <w:bottom w:val="single" w:color="000000" w:sz="4" w:space="0"/>
              <w:right w:val="single" w:color="000000" w:sz="4" w:space="0"/>
            </w:tcBorders>
          </w:tcPr>
          <w:p w14:paraId="172F71B6">
            <w:pPr>
              <w:rPr>
                <w:rFonts w:ascii="宋体" w:hAnsi="宋体" w:cs="宋体"/>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4E16A682">
            <w:pPr>
              <w:pStyle w:val="61"/>
              <w:spacing w:before="107"/>
              <w:ind w:left="122" w:right="122"/>
              <w:jc w:val="center"/>
              <w:rPr>
                <w:highlight w:val="none"/>
                <w:lang w:eastAsia="en-US"/>
              </w:rPr>
            </w:pPr>
            <w:r>
              <w:rPr>
                <w:rFonts w:hint="eastAsia"/>
                <w:highlight w:val="none"/>
              </w:rPr>
              <w:t>成立时间</w:t>
            </w:r>
          </w:p>
        </w:tc>
        <w:tc>
          <w:tcPr>
            <w:tcW w:w="2269" w:type="dxa"/>
            <w:tcBorders>
              <w:top w:val="single" w:color="000000" w:sz="4" w:space="0"/>
              <w:left w:val="single" w:color="000000" w:sz="4" w:space="0"/>
              <w:bottom w:val="single" w:color="000000" w:sz="4" w:space="0"/>
              <w:right w:val="single" w:color="000000" w:sz="4" w:space="0"/>
            </w:tcBorders>
          </w:tcPr>
          <w:p w14:paraId="19054CFD">
            <w:pPr>
              <w:rPr>
                <w:rFonts w:ascii="宋体" w:hAnsi="宋体" w:cs="宋体"/>
                <w:sz w:val="22"/>
                <w:szCs w:val="22"/>
                <w:highlight w:val="none"/>
                <w:lang w:eastAsia="en-US"/>
              </w:rPr>
            </w:pPr>
          </w:p>
        </w:tc>
      </w:tr>
      <w:tr w14:paraId="07270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Borders>
              <w:top w:val="single" w:color="000000" w:sz="4" w:space="0"/>
              <w:left w:val="single" w:color="000000" w:sz="4" w:space="0"/>
              <w:bottom w:val="single" w:color="000000" w:sz="4" w:space="0"/>
              <w:right w:val="single" w:color="000000" w:sz="4" w:space="0"/>
            </w:tcBorders>
          </w:tcPr>
          <w:p w14:paraId="53A9D117">
            <w:pPr>
              <w:pStyle w:val="61"/>
              <w:spacing w:before="107"/>
              <w:ind w:left="118" w:right="116"/>
              <w:jc w:val="center"/>
              <w:rPr>
                <w:highlight w:val="none"/>
                <w:lang w:eastAsia="en-US"/>
              </w:rPr>
            </w:pPr>
            <w:r>
              <w:rPr>
                <w:rFonts w:hint="eastAsia"/>
                <w:highlight w:val="none"/>
              </w:rPr>
              <w:t>注册地址</w:t>
            </w:r>
          </w:p>
        </w:tc>
        <w:tc>
          <w:tcPr>
            <w:tcW w:w="6758" w:type="dxa"/>
            <w:gridSpan w:val="4"/>
            <w:tcBorders>
              <w:top w:val="single" w:color="000000" w:sz="4" w:space="0"/>
              <w:left w:val="single" w:color="000000" w:sz="4" w:space="0"/>
              <w:bottom w:val="single" w:color="000000" w:sz="4" w:space="0"/>
              <w:right w:val="single" w:color="000000" w:sz="4" w:space="0"/>
            </w:tcBorders>
          </w:tcPr>
          <w:p w14:paraId="3397D0FB">
            <w:pPr>
              <w:rPr>
                <w:rFonts w:ascii="宋体" w:hAnsi="宋体" w:cs="宋体"/>
                <w:sz w:val="22"/>
                <w:szCs w:val="22"/>
                <w:highlight w:val="none"/>
                <w:lang w:eastAsia="en-US"/>
              </w:rPr>
            </w:pPr>
          </w:p>
        </w:tc>
      </w:tr>
      <w:tr w14:paraId="42F87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tcPr>
          <w:p w14:paraId="74316434">
            <w:pPr>
              <w:pStyle w:val="61"/>
              <w:spacing w:before="108"/>
              <w:ind w:left="118" w:right="116"/>
              <w:jc w:val="center"/>
              <w:rPr>
                <w:highlight w:val="none"/>
                <w:lang w:eastAsia="en-US"/>
              </w:rPr>
            </w:pPr>
            <w:r>
              <w:rPr>
                <w:rFonts w:hint="eastAsia"/>
                <w:highlight w:val="none"/>
              </w:rPr>
              <w:t>邮政编码</w:t>
            </w:r>
          </w:p>
        </w:tc>
        <w:tc>
          <w:tcPr>
            <w:tcW w:w="3354" w:type="dxa"/>
            <w:gridSpan w:val="2"/>
            <w:tcBorders>
              <w:top w:val="single" w:color="000000" w:sz="4" w:space="0"/>
              <w:left w:val="single" w:color="000000" w:sz="4" w:space="0"/>
              <w:bottom w:val="single" w:color="000000" w:sz="4" w:space="0"/>
              <w:right w:val="single" w:color="000000" w:sz="4" w:space="0"/>
            </w:tcBorders>
          </w:tcPr>
          <w:p w14:paraId="06D9E631">
            <w:pPr>
              <w:rPr>
                <w:rFonts w:ascii="宋体" w:hAnsi="宋体" w:cs="宋体"/>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27391C10">
            <w:pPr>
              <w:pStyle w:val="61"/>
              <w:spacing w:before="108"/>
              <w:ind w:left="122" w:right="122"/>
              <w:jc w:val="center"/>
              <w:rPr>
                <w:highlight w:val="none"/>
                <w:lang w:eastAsia="en-US"/>
              </w:rPr>
            </w:pPr>
            <w:r>
              <w:rPr>
                <w:rFonts w:hint="eastAsia"/>
                <w:highlight w:val="none"/>
              </w:rPr>
              <w:t>员工总数</w:t>
            </w:r>
          </w:p>
        </w:tc>
        <w:tc>
          <w:tcPr>
            <w:tcW w:w="2269" w:type="dxa"/>
            <w:tcBorders>
              <w:top w:val="single" w:color="000000" w:sz="4" w:space="0"/>
              <w:left w:val="single" w:color="000000" w:sz="4" w:space="0"/>
              <w:bottom w:val="single" w:color="000000" w:sz="4" w:space="0"/>
              <w:right w:val="single" w:color="000000" w:sz="4" w:space="0"/>
            </w:tcBorders>
          </w:tcPr>
          <w:p w14:paraId="2D22CEE3">
            <w:pPr>
              <w:rPr>
                <w:rFonts w:ascii="宋体" w:hAnsi="宋体" w:cs="宋体"/>
                <w:sz w:val="22"/>
                <w:szCs w:val="22"/>
                <w:highlight w:val="none"/>
                <w:lang w:eastAsia="en-US"/>
              </w:rPr>
            </w:pPr>
          </w:p>
        </w:tc>
      </w:tr>
      <w:tr w14:paraId="6AFDB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14:paraId="3C353F24">
            <w:pPr>
              <w:pStyle w:val="61"/>
              <w:spacing w:before="1"/>
              <w:ind w:left="662"/>
              <w:jc w:val="both"/>
              <w:rPr>
                <w:highlight w:val="none"/>
                <w:lang w:eastAsia="en-US"/>
              </w:rPr>
            </w:pPr>
            <w:r>
              <w:rPr>
                <w:rFonts w:hint="eastAsia"/>
                <w:highlight w:val="none"/>
              </w:rPr>
              <w:t>联系方式</w:t>
            </w:r>
          </w:p>
        </w:tc>
        <w:tc>
          <w:tcPr>
            <w:tcW w:w="944" w:type="dxa"/>
            <w:tcBorders>
              <w:top w:val="single" w:color="000000" w:sz="4" w:space="0"/>
              <w:left w:val="single" w:color="000000" w:sz="4" w:space="0"/>
              <w:bottom w:val="single" w:color="000000" w:sz="4" w:space="0"/>
              <w:right w:val="single" w:color="000000" w:sz="4" w:space="0"/>
            </w:tcBorders>
          </w:tcPr>
          <w:p w14:paraId="214D0C7B">
            <w:pPr>
              <w:pStyle w:val="61"/>
              <w:spacing w:before="107"/>
              <w:ind w:left="131" w:right="132"/>
              <w:jc w:val="center"/>
              <w:rPr>
                <w:highlight w:val="none"/>
                <w:lang w:eastAsia="en-US"/>
              </w:rPr>
            </w:pPr>
            <w:r>
              <w:rPr>
                <w:rFonts w:hint="eastAsia"/>
                <w:highlight w:val="none"/>
              </w:rPr>
              <w:t>联系人</w:t>
            </w:r>
          </w:p>
        </w:tc>
        <w:tc>
          <w:tcPr>
            <w:tcW w:w="2410" w:type="dxa"/>
            <w:tcBorders>
              <w:top w:val="single" w:color="000000" w:sz="4" w:space="0"/>
              <w:left w:val="single" w:color="000000" w:sz="4" w:space="0"/>
              <w:bottom w:val="single" w:color="000000" w:sz="4" w:space="0"/>
              <w:right w:val="single" w:color="000000" w:sz="4" w:space="0"/>
            </w:tcBorders>
          </w:tcPr>
          <w:p w14:paraId="0ADC5AA0">
            <w:pPr>
              <w:rPr>
                <w:rFonts w:ascii="宋体" w:hAnsi="宋体" w:cs="宋体"/>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0568BD4B">
            <w:pPr>
              <w:pStyle w:val="61"/>
              <w:spacing w:before="107"/>
              <w:ind w:left="122" w:right="120"/>
              <w:jc w:val="center"/>
              <w:rPr>
                <w:highlight w:val="none"/>
                <w:lang w:eastAsia="en-US"/>
              </w:rPr>
            </w:pPr>
            <w:r>
              <w:rPr>
                <w:rFonts w:hint="eastAsia"/>
                <w:highlight w:val="none"/>
              </w:rPr>
              <w:t>电话</w:t>
            </w:r>
          </w:p>
        </w:tc>
        <w:tc>
          <w:tcPr>
            <w:tcW w:w="2269" w:type="dxa"/>
            <w:tcBorders>
              <w:top w:val="single" w:color="000000" w:sz="4" w:space="0"/>
              <w:left w:val="single" w:color="000000" w:sz="4" w:space="0"/>
              <w:bottom w:val="single" w:color="000000" w:sz="4" w:space="0"/>
              <w:right w:val="single" w:color="000000" w:sz="4" w:space="0"/>
            </w:tcBorders>
          </w:tcPr>
          <w:p w14:paraId="2CD92334">
            <w:pPr>
              <w:rPr>
                <w:rFonts w:ascii="宋体" w:hAnsi="宋体" w:cs="宋体"/>
                <w:sz w:val="22"/>
                <w:szCs w:val="22"/>
                <w:highlight w:val="none"/>
                <w:lang w:eastAsia="en-US"/>
              </w:rPr>
            </w:pPr>
          </w:p>
        </w:tc>
      </w:tr>
      <w:tr w14:paraId="75AB7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14:paraId="077CFDCE">
            <w:pPr>
              <w:widowControl/>
              <w:rPr>
                <w:rFonts w:ascii="宋体" w:hAnsi="宋体" w:cs="宋体"/>
                <w:szCs w:val="22"/>
                <w:highlight w:val="none"/>
                <w:lang w:eastAsia="en-US"/>
              </w:rPr>
            </w:pPr>
          </w:p>
        </w:tc>
        <w:tc>
          <w:tcPr>
            <w:tcW w:w="944" w:type="dxa"/>
            <w:tcBorders>
              <w:top w:val="single" w:color="000000" w:sz="4" w:space="0"/>
              <w:left w:val="single" w:color="000000" w:sz="4" w:space="0"/>
              <w:bottom w:val="single" w:color="000000" w:sz="4" w:space="0"/>
              <w:right w:val="single" w:color="000000" w:sz="4" w:space="0"/>
            </w:tcBorders>
          </w:tcPr>
          <w:p w14:paraId="2D100F00">
            <w:pPr>
              <w:pStyle w:val="61"/>
              <w:spacing w:before="107"/>
              <w:ind w:left="131" w:right="132"/>
              <w:jc w:val="center"/>
              <w:rPr>
                <w:highlight w:val="none"/>
                <w:lang w:eastAsia="en-US"/>
              </w:rPr>
            </w:pPr>
            <w:r>
              <w:rPr>
                <w:rFonts w:hint="eastAsia"/>
                <w:highlight w:val="none"/>
              </w:rPr>
              <w:t>网址</w:t>
            </w:r>
          </w:p>
        </w:tc>
        <w:tc>
          <w:tcPr>
            <w:tcW w:w="2410" w:type="dxa"/>
            <w:tcBorders>
              <w:top w:val="single" w:color="000000" w:sz="4" w:space="0"/>
              <w:left w:val="single" w:color="000000" w:sz="4" w:space="0"/>
              <w:bottom w:val="single" w:color="000000" w:sz="4" w:space="0"/>
              <w:right w:val="single" w:color="000000" w:sz="4" w:space="0"/>
            </w:tcBorders>
          </w:tcPr>
          <w:p w14:paraId="26AC53A3">
            <w:pPr>
              <w:rPr>
                <w:rFonts w:ascii="宋体" w:hAnsi="宋体" w:cs="宋体"/>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76284FE8">
            <w:pPr>
              <w:pStyle w:val="61"/>
              <w:spacing w:before="107"/>
              <w:ind w:left="122" w:right="120"/>
              <w:jc w:val="center"/>
              <w:rPr>
                <w:highlight w:val="none"/>
                <w:lang w:eastAsia="en-US"/>
              </w:rPr>
            </w:pPr>
            <w:r>
              <w:rPr>
                <w:rFonts w:hint="eastAsia"/>
                <w:highlight w:val="none"/>
              </w:rPr>
              <w:t>传真</w:t>
            </w:r>
          </w:p>
        </w:tc>
        <w:tc>
          <w:tcPr>
            <w:tcW w:w="2269" w:type="dxa"/>
            <w:tcBorders>
              <w:top w:val="single" w:color="000000" w:sz="4" w:space="0"/>
              <w:left w:val="single" w:color="000000" w:sz="4" w:space="0"/>
              <w:bottom w:val="single" w:color="000000" w:sz="4" w:space="0"/>
              <w:right w:val="single" w:color="000000" w:sz="4" w:space="0"/>
            </w:tcBorders>
          </w:tcPr>
          <w:p w14:paraId="7F5EBFC8">
            <w:pPr>
              <w:rPr>
                <w:rFonts w:ascii="宋体" w:hAnsi="宋体" w:cs="宋体"/>
                <w:sz w:val="22"/>
                <w:szCs w:val="22"/>
                <w:highlight w:val="none"/>
                <w:lang w:eastAsia="en-US"/>
              </w:rPr>
            </w:pPr>
          </w:p>
        </w:tc>
      </w:tr>
      <w:tr w14:paraId="4833D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174" w:type="dxa"/>
            <w:tcBorders>
              <w:top w:val="single" w:color="000000" w:sz="4" w:space="0"/>
              <w:left w:val="single" w:color="000000" w:sz="4" w:space="0"/>
              <w:bottom w:val="single" w:color="000000" w:sz="4" w:space="0"/>
              <w:right w:val="single" w:color="000000" w:sz="4" w:space="0"/>
            </w:tcBorders>
          </w:tcPr>
          <w:p w14:paraId="4A1535BB">
            <w:pPr>
              <w:pStyle w:val="61"/>
              <w:spacing w:before="107"/>
              <w:ind w:left="118" w:right="116"/>
              <w:jc w:val="center"/>
              <w:rPr>
                <w:szCs w:val="22"/>
                <w:highlight w:val="none"/>
              </w:rPr>
            </w:pPr>
            <w:r>
              <w:rPr>
                <w:rFonts w:hint="eastAsia"/>
                <w:highlight w:val="none"/>
              </w:rPr>
              <w:t>法定代表人</w:t>
            </w:r>
          </w:p>
          <w:p w14:paraId="76DF20E7">
            <w:pPr>
              <w:pStyle w:val="61"/>
              <w:spacing w:before="166"/>
              <w:ind w:left="13" w:right="116"/>
              <w:jc w:val="center"/>
              <w:rPr>
                <w:highlight w:val="none"/>
              </w:rPr>
            </w:pPr>
            <w:r>
              <w:rPr>
                <w:rFonts w:hint="eastAsia"/>
                <w:highlight w:val="none"/>
              </w:rPr>
              <w:t>（单位负责人）</w:t>
            </w:r>
          </w:p>
        </w:tc>
        <w:tc>
          <w:tcPr>
            <w:tcW w:w="944" w:type="dxa"/>
            <w:tcBorders>
              <w:top w:val="single" w:color="000000" w:sz="4" w:space="0"/>
              <w:left w:val="single" w:color="000000" w:sz="4" w:space="0"/>
              <w:bottom w:val="single" w:color="000000" w:sz="4" w:space="0"/>
              <w:right w:val="single" w:color="000000" w:sz="4" w:space="0"/>
            </w:tcBorders>
          </w:tcPr>
          <w:p w14:paraId="4AC93F51">
            <w:pPr>
              <w:pStyle w:val="61"/>
              <w:spacing w:before="1"/>
              <w:rPr>
                <w:sz w:val="25"/>
                <w:szCs w:val="22"/>
                <w:highlight w:val="none"/>
              </w:rPr>
            </w:pPr>
          </w:p>
          <w:p w14:paraId="69ED02B6">
            <w:pPr>
              <w:pStyle w:val="61"/>
              <w:ind w:left="131" w:right="132"/>
              <w:jc w:val="center"/>
              <w:rPr>
                <w:highlight w:val="none"/>
                <w:lang w:eastAsia="en-US"/>
              </w:rPr>
            </w:pPr>
            <w:r>
              <w:rPr>
                <w:rFonts w:hint="eastAsia"/>
                <w:highlight w:val="none"/>
              </w:rPr>
              <w:t>姓名</w:t>
            </w:r>
          </w:p>
        </w:tc>
        <w:tc>
          <w:tcPr>
            <w:tcW w:w="2410" w:type="dxa"/>
            <w:tcBorders>
              <w:top w:val="single" w:color="000000" w:sz="4" w:space="0"/>
              <w:left w:val="single" w:color="000000" w:sz="4" w:space="0"/>
              <w:bottom w:val="single" w:color="000000" w:sz="4" w:space="0"/>
              <w:right w:val="single" w:color="000000" w:sz="4" w:space="0"/>
            </w:tcBorders>
          </w:tcPr>
          <w:p w14:paraId="5E3CF891">
            <w:pPr>
              <w:rPr>
                <w:rFonts w:ascii="宋体" w:hAnsi="宋体" w:cs="宋体"/>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4F66EDBD">
            <w:pPr>
              <w:pStyle w:val="61"/>
              <w:spacing w:before="1"/>
              <w:rPr>
                <w:sz w:val="25"/>
                <w:szCs w:val="22"/>
                <w:highlight w:val="none"/>
                <w:lang w:eastAsia="en-US"/>
              </w:rPr>
            </w:pPr>
          </w:p>
          <w:p w14:paraId="3E2E7B7B">
            <w:pPr>
              <w:pStyle w:val="61"/>
              <w:ind w:left="122" w:right="120"/>
              <w:jc w:val="center"/>
              <w:rPr>
                <w:highlight w:val="none"/>
                <w:lang w:eastAsia="en-US"/>
              </w:rPr>
            </w:pPr>
            <w:r>
              <w:rPr>
                <w:rFonts w:hint="eastAsia"/>
                <w:highlight w:val="none"/>
              </w:rPr>
              <w:t>电话</w:t>
            </w:r>
          </w:p>
        </w:tc>
        <w:tc>
          <w:tcPr>
            <w:tcW w:w="2269" w:type="dxa"/>
            <w:tcBorders>
              <w:top w:val="single" w:color="000000" w:sz="4" w:space="0"/>
              <w:left w:val="single" w:color="000000" w:sz="4" w:space="0"/>
              <w:bottom w:val="single" w:color="000000" w:sz="4" w:space="0"/>
              <w:right w:val="single" w:color="000000" w:sz="4" w:space="0"/>
            </w:tcBorders>
          </w:tcPr>
          <w:p w14:paraId="079E703F">
            <w:pPr>
              <w:rPr>
                <w:rFonts w:ascii="宋体" w:hAnsi="宋体" w:cs="宋体"/>
                <w:sz w:val="22"/>
                <w:szCs w:val="22"/>
                <w:highlight w:val="none"/>
                <w:lang w:eastAsia="en-US"/>
              </w:rPr>
            </w:pPr>
          </w:p>
        </w:tc>
      </w:tr>
      <w:tr w14:paraId="41464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Borders>
              <w:top w:val="single" w:color="000000" w:sz="4" w:space="0"/>
              <w:left w:val="single" w:color="000000" w:sz="4" w:space="0"/>
              <w:bottom w:val="single" w:color="000000" w:sz="4" w:space="0"/>
              <w:right w:val="single" w:color="000000" w:sz="4" w:space="0"/>
            </w:tcBorders>
          </w:tcPr>
          <w:p w14:paraId="6524F3EA">
            <w:pPr>
              <w:pStyle w:val="61"/>
              <w:spacing w:before="107"/>
              <w:ind w:left="118" w:right="116"/>
              <w:jc w:val="center"/>
              <w:rPr>
                <w:highlight w:val="none"/>
                <w:lang w:eastAsia="en-US"/>
              </w:rPr>
            </w:pPr>
            <w:r>
              <w:rPr>
                <w:rFonts w:hint="eastAsia"/>
                <w:highlight w:val="none"/>
              </w:rPr>
              <w:t>基本账户开户银行</w:t>
            </w:r>
          </w:p>
        </w:tc>
        <w:tc>
          <w:tcPr>
            <w:tcW w:w="6758" w:type="dxa"/>
            <w:gridSpan w:val="4"/>
            <w:tcBorders>
              <w:top w:val="single" w:color="000000" w:sz="4" w:space="0"/>
              <w:left w:val="single" w:color="000000" w:sz="4" w:space="0"/>
              <w:bottom w:val="single" w:color="000000" w:sz="4" w:space="0"/>
              <w:right w:val="single" w:color="000000" w:sz="4" w:space="0"/>
            </w:tcBorders>
          </w:tcPr>
          <w:p w14:paraId="3DA4E09A">
            <w:pPr>
              <w:rPr>
                <w:rFonts w:ascii="宋体" w:hAnsi="宋体" w:cs="宋体"/>
                <w:sz w:val="22"/>
                <w:szCs w:val="22"/>
                <w:highlight w:val="none"/>
                <w:lang w:eastAsia="en-US"/>
              </w:rPr>
            </w:pPr>
          </w:p>
        </w:tc>
      </w:tr>
      <w:tr w14:paraId="59632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tcPr>
          <w:p w14:paraId="607C1117">
            <w:pPr>
              <w:pStyle w:val="61"/>
              <w:spacing w:before="107"/>
              <w:ind w:left="118" w:right="116"/>
              <w:jc w:val="center"/>
              <w:rPr>
                <w:highlight w:val="none"/>
                <w:lang w:eastAsia="en-US"/>
              </w:rPr>
            </w:pPr>
            <w:r>
              <w:rPr>
                <w:rFonts w:hint="eastAsia"/>
                <w:highlight w:val="none"/>
              </w:rPr>
              <w:t>基本账户银行账号</w:t>
            </w:r>
          </w:p>
        </w:tc>
        <w:tc>
          <w:tcPr>
            <w:tcW w:w="6758" w:type="dxa"/>
            <w:gridSpan w:val="4"/>
            <w:tcBorders>
              <w:top w:val="single" w:color="000000" w:sz="4" w:space="0"/>
              <w:left w:val="single" w:color="000000" w:sz="4" w:space="0"/>
              <w:bottom w:val="single" w:color="000000" w:sz="4" w:space="0"/>
              <w:right w:val="single" w:color="000000" w:sz="4" w:space="0"/>
            </w:tcBorders>
          </w:tcPr>
          <w:p w14:paraId="229CF091">
            <w:pPr>
              <w:rPr>
                <w:rFonts w:ascii="宋体" w:hAnsi="宋体" w:cs="宋体"/>
                <w:sz w:val="22"/>
                <w:szCs w:val="22"/>
                <w:highlight w:val="none"/>
                <w:lang w:eastAsia="en-US"/>
              </w:rPr>
            </w:pPr>
          </w:p>
        </w:tc>
      </w:tr>
      <w:tr w14:paraId="1B883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exact"/>
        </w:trPr>
        <w:tc>
          <w:tcPr>
            <w:tcW w:w="2174" w:type="dxa"/>
            <w:tcBorders>
              <w:top w:val="single" w:color="000000" w:sz="4" w:space="0"/>
              <w:left w:val="single" w:color="000000" w:sz="4" w:space="0"/>
              <w:bottom w:val="single" w:color="000000" w:sz="4" w:space="0"/>
              <w:right w:val="single" w:color="000000" w:sz="4" w:space="0"/>
            </w:tcBorders>
            <w:vAlign w:val="center"/>
          </w:tcPr>
          <w:p w14:paraId="5276A3F8">
            <w:pPr>
              <w:pStyle w:val="61"/>
              <w:spacing w:before="38"/>
              <w:ind w:left="116" w:right="116"/>
              <w:jc w:val="center"/>
              <w:rPr>
                <w:highlight w:val="none"/>
                <w:lang w:eastAsia="en-US"/>
              </w:rPr>
            </w:pPr>
            <w:r>
              <w:rPr>
                <w:rFonts w:hint="eastAsia"/>
                <w:highlight w:val="none"/>
              </w:rPr>
              <w:t>经营范围</w:t>
            </w:r>
          </w:p>
        </w:tc>
        <w:tc>
          <w:tcPr>
            <w:tcW w:w="6758" w:type="dxa"/>
            <w:gridSpan w:val="4"/>
            <w:tcBorders>
              <w:top w:val="single" w:color="000000" w:sz="4" w:space="0"/>
              <w:left w:val="single" w:color="000000" w:sz="4" w:space="0"/>
              <w:bottom w:val="single" w:color="000000" w:sz="4" w:space="0"/>
              <w:right w:val="single" w:color="000000" w:sz="4" w:space="0"/>
            </w:tcBorders>
          </w:tcPr>
          <w:p w14:paraId="373FCA33">
            <w:pPr>
              <w:rPr>
                <w:rFonts w:ascii="宋体" w:hAnsi="宋体" w:cs="宋体"/>
                <w:sz w:val="22"/>
                <w:szCs w:val="22"/>
                <w:highlight w:val="none"/>
                <w:lang w:eastAsia="en-US"/>
              </w:rPr>
            </w:pPr>
          </w:p>
        </w:tc>
      </w:tr>
      <w:tr w14:paraId="2CD71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exact"/>
        </w:trPr>
        <w:tc>
          <w:tcPr>
            <w:tcW w:w="2174" w:type="dxa"/>
            <w:tcBorders>
              <w:top w:val="single" w:color="000000" w:sz="4" w:space="0"/>
              <w:left w:val="single" w:color="000000" w:sz="4" w:space="0"/>
              <w:bottom w:val="single" w:color="000000" w:sz="4" w:space="0"/>
              <w:right w:val="single" w:color="000000" w:sz="4" w:space="0"/>
            </w:tcBorders>
            <w:vAlign w:val="center"/>
          </w:tcPr>
          <w:p w14:paraId="17F2C49D">
            <w:pPr>
              <w:pStyle w:val="61"/>
              <w:spacing w:before="107"/>
              <w:ind w:left="116" w:right="116"/>
              <w:jc w:val="center"/>
              <w:rPr>
                <w:highlight w:val="none"/>
                <w:lang w:eastAsia="en-US"/>
              </w:rPr>
            </w:pPr>
            <w:r>
              <w:rPr>
                <w:rFonts w:hint="eastAsia"/>
                <w:highlight w:val="none"/>
              </w:rPr>
              <w:t>备注</w:t>
            </w:r>
          </w:p>
        </w:tc>
        <w:tc>
          <w:tcPr>
            <w:tcW w:w="6758" w:type="dxa"/>
            <w:gridSpan w:val="4"/>
            <w:tcBorders>
              <w:top w:val="single" w:color="000000" w:sz="4" w:space="0"/>
              <w:left w:val="single" w:color="000000" w:sz="4" w:space="0"/>
              <w:bottom w:val="single" w:color="000000" w:sz="4" w:space="0"/>
              <w:right w:val="single" w:color="000000" w:sz="4" w:space="0"/>
            </w:tcBorders>
          </w:tcPr>
          <w:p w14:paraId="10813021">
            <w:pPr>
              <w:rPr>
                <w:rFonts w:ascii="宋体" w:hAnsi="宋体" w:cs="宋体"/>
                <w:sz w:val="22"/>
                <w:szCs w:val="22"/>
                <w:highlight w:val="none"/>
                <w:lang w:eastAsia="en-US"/>
              </w:rPr>
            </w:pPr>
          </w:p>
        </w:tc>
      </w:tr>
    </w:tbl>
    <w:p w14:paraId="2D5D8F8D">
      <w:pPr>
        <w:pStyle w:val="62"/>
        <w:spacing w:line="363" w:lineRule="exact"/>
        <w:jc w:val="both"/>
        <w:rPr>
          <w:b/>
          <w:bCs/>
          <w:sz w:val="21"/>
          <w:szCs w:val="21"/>
          <w:highlight w:val="none"/>
          <w:lang w:eastAsia="zh-CN"/>
        </w:rPr>
      </w:pPr>
      <w:r>
        <w:rPr>
          <w:rFonts w:hint="eastAsia"/>
          <w:b/>
          <w:bCs/>
          <w:sz w:val="21"/>
          <w:szCs w:val="21"/>
          <w:highlight w:val="none"/>
          <w:lang w:eastAsia="zh-CN"/>
        </w:rPr>
        <w:t>注：1. 投标人应在本表后附相关证明材料。</w:t>
      </w:r>
      <w:bookmarkStart w:id="153" w:name="_bookmark165"/>
      <w:bookmarkEnd w:id="153"/>
    </w:p>
    <w:p w14:paraId="6C2F254D">
      <w:pPr>
        <w:spacing w:line="300" w:lineRule="auto"/>
        <w:rPr>
          <w:rFonts w:ascii="宋体" w:hAnsi="宋体"/>
          <w:sz w:val="20"/>
          <w:szCs w:val="20"/>
          <w:highlight w:val="none"/>
        </w:rPr>
      </w:pPr>
    </w:p>
    <w:p w14:paraId="763CFC7E">
      <w:pPr>
        <w:rPr>
          <w:rFonts w:ascii="宋体" w:hAnsi="宋体"/>
          <w:highlight w:val="none"/>
        </w:rPr>
      </w:pPr>
      <w:bookmarkStart w:id="154" w:name="_Toc468267496"/>
      <w:bookmarkStart w:id="155" w:name="_Toc409424423"/>
      <w:bookmarkStart w:id="156" w:name="_Toc409424362"/>
      <w:bookmarkStart w:id="157" w:name="_Toc350070710"/>
      <w:bookmarkStart w:id="158" w:name="_Toc351644328"/>
      <w:r>
        <w:rPr>
          <w:rFonts w:ascii="宋体" w:hAnsi="宋体"/>
          <w:highlight w:val="none"/>
        </w:rPr>
        <w:br w:type="page"/>
      </w:r>
    </w:p>
    <w:p w14:paraId="2DA5991A">
      <w:pPr>
        <w:pStyle w:val="4"/>
        <w:spacing w:before="0" w:after="0" w:line="300" w:lineRule="auto"/>
        <w:jc w:val="center"/>
        <w:rPr>
          <w:rFonts w:ascii="宋体" w:hAnsi="宋体"/>
          <w:highlight w:val="none"/>
        </w:rPr>
      </w:pPr>
      <w:r>
        <w:rPr>
          <w:rFonts w:ascii="宋体" w:hAnsi="宋体"/>
          <w:highlight w:val="none"/>
        </w:rPr>
        <w:t>（</w:t>
      </w:r>
      <w:r>
        <w:rPr>
          <w:rFonts w:hint="eastAsia" w:ascii="宋体" w:hAnsi="宋体"/>
          <w:highlight w:val="none"/>
        </w:rPr>
        <w:t>二</w:t>
      </w:r>
      <w:r>
        <w:rPr>
          <w:rFonts w:ascii="宋体" w:hAnsi="宋体"/>
          <w:highlight w:val="none"/>
        </w:rPr>
        <w:t>）近年财务状况</w:t>
      </w:r>
      <w:bookmarkEnd w:id="154"/>
      <w:bookmarkEnd w:id="155"/>
      <w:bookmarkEnd w:id="156"/>
      <w:bookmarkEnd w:id="157"/>
      <w:bookmarkEnd w:id="158"/>
    </w:p>
    <w:p w14:paraId="60A447C5">
      <w:pPr>
        <w:pStyle w:val="61"/>
        <w:spacing w:before="38"/>
        <w:ind w:left="116" w:right="116"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近一年（2023年）的财务审计报告或财务报表或投标前三个月内</w:t>
      </w:r>
      <w:r>
        <w:rPr>
          <w:rFonts w:hint="eastAsia" w:cs="宋体"/>
          <w:highlight w:val="none"/>
          <w:lang w:val="en-US" w:eastAsia="zh-CN"/>
        </w:rPr>
        <w:t>投标人</w:t>
      </w:r>
      <w:r>
        <w:rPr>
          <w:rFonts w:hint="eastAsia" w:ascii="宋体" w:hAnsi="宋体" w:eastAsia="宋体" w:cs="宋体"/>
          <w:highlight w:val="none"/>
          <w:lang w:val="en-US" w:eastAsia="zh-CN"/>
        </w:rPr>
        <w:t>开户银行出具的资信证明（除开具银行明确表示复印无效的，银行资信证明可以是复印件加盖本单位公章；资信证明要能证明</w:t>
      </w:r>
      <w:r>
        <w:rPr>
          <w:rFonts w:hint="eastAsia" w:cs="宋体"/>
          <w:highlight w:val="none"/>
          <w:lang w:val="en-US" w:eastAsia="zh-CN"/>
        </w:rPr>
        <w:t>投标人</w:t>
      </w:r>
      <w:r>
        <w:rPr>
          <w:rFonts w:hint="eastAsia" w:ascii="宋体" w:hAnsi="宋体" w:eastAsia="宋体" w:cs="宋体"/>
          <w:highlight w:val="none"/>
          <w:lang w:val="en-US" w:eastAsia="zh-CN"/>
        </w:rPr>
        <w:t>的资信状况良好，往来帐款正常，无透支行为，存款证明无效）。</w:t>
      </w:r>
    </w:p>
    <w:p w14:paraId="2A39F63A">
      <w:pPr>
        <w:pStyle w:val="61"/>
        <w:spacing w:before="38"/>
        <w:ind w:left="116" w:right="116"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并提供2024年1月至今任意一个月纳税及社保缴费证明；</w:t>
      </w:r>
    </w:p>
    <w:p w14:paraId="07C17CB2">
      <w:pPr>
        <w:pStyle w:val="61"/>
        <w:spacing w:before="38"/>
        <w:ind w:left="116" w:right="116"/>
        <w:jc w:val="left"/>
        <w:rPr>
          <w:rFonts w:hint="eastAsia" w:ascii="宋体" w:hAnsi="宋体" w:eastAsia="宋体" w:cs="宋体"/>
          <w:highlight w:val="none"/>
        </w:rPr>
      </w:pPr>
      <w:r>
        <w:rPr>
          <w:rFonts w:hint="eastAsia" w:ascii="宋体" w:hAnsi="宋体" w:eastAsia="宋体" w:cs="宋体"/>
          <w:highlight w:val="none"/>
        </w:rPr>
        <w:br w:type="page"/>
      </w:r>
    </w:p>
    <w:p w14:paraId="4A1EBFEF">
      <w:pPr>
        <w:spacing w:line="300" w:lineRule="auto"/>
        <w:rPr>
          <w:rFonts w:ascii="宋体" w:hAnsi="宋体"/>
          <w:b/>
          <w:szCs w:val="21"/>
          <w:highlight w:val="none"/>
        </w:rPr>
      </w:pPr>
    </w:p>
    <w:p w14:paraId="798442A6">
      <w:pPr>
        <w:pStyle w:val="4"/>
        <w:spacing w:before="0" w:after="0" w:line="300" w:lineRule="auto"/>
        <w:jc w:val="center"/>
        <w:rPr>
          <w:rFonts w:ascii="宋体" w:hAnsi="宋体"/>
          <w:highlight w:val="none"/>
        </w:rPr>
      </w:pPr>
      <w:bookmarkStart w:id="159" w:name="_Toc468267497"/>
      <w:bookmarkStart w:id="160" w:name="_Toc351644329"/>
      <w:bookmarkStart w:id="161" w:name="_Toc409424363"/>
      <w:bookmarkStart w:id="162" w:name="_Toc350070711"/>
      <w:bookmarkStart w:id="163" w:name="_Toc409424424"/>
      <w:r>
        <w:rPr>
          <w:rFonts w:ascii="宋体" w:hAnsi="宋体"/>
          <w:highlight w:val="none"/>
        </w:rPr>
        <w:t>（</w:t>
      </w:r>
      <w:r>
        <w:rPr>
          <w:rFonts w:hint="eastAsia" w:ascii="宋体" w:hAnsi="宋体"/>
          <w:highlight w:val="none"/>
        </w:rPr>
        <w:t>三</w:t>
      </w:r>
      <w:r>
        <w:rPr>
          <w:rFonts w:ascii="宋体" w:hAnsi="宋体"/>
          <w:highlight w:val="none"/>
        </w:rPr>
        <w:t>）近年完成的类似项目情况表</w:t>
      </w:r>
      <w:bookmarkEnd w:id="159"/>
      <w:bookmarkEnd w:id="160"/>
      <w:bookmarkEnd w:id="161"/>
      <w:bookmarkEnd w:id="162"/>
      <w:bookmarkEnd w:id="163"/>
    </w:p>
    <w:p w14:paraId="44CB9104">
      <w:pPr>
        <w:spacing w:line="300" w:lineRule="auto"/>
        <w:jc w:val="center"/>
        <w:rPr>
          <w:rFonts w:ascii="宋体" w:hAnsi="宋体"/>
          <w:sz w:val="23"/>
          <w:szCs w:val="23"/>
          <w:highlight w:val="none"/>
        </w:rPr>
      </w:pP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224"/>
        <w:gridCol w:w="1492"/>
        <w:gridCol w:w="1408"/>
        <w:gridCol w:w="1157"/>
        <w:gridCol w:w="777"/>
      </w:tblGrid>
      <w:tr w14:paraId="526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0" w:type="dxa"/>
            <w:vAlign w:val="center"/>
          </w:tcPr>
          <w:p w14:paraId="20E5F1C1">
            <w:pPr>
              <w:jc w:val="center"/>
              <w:rPr>
                <w:rFonts w:ascii="宋体" w:hAnsi="宋体" w:cs="宋体"/>
                <w:kern w:val="0"/>
                <w:szCs w:val="21"/>
                <w:highlight w:val="none"/>
              </w:rPr>
            </w:pPr>
            <w:r>
              <w:rPr>
                <w:rFonts w:hint="eastAsia" w:ascii="宋体" w:hAnsi="宋体" w:cs="宋体"/>
                <w:kern w:val="0"/>
                <w:szCs w:val="21"/>
                <w:highlight w:val="none"/>
              </w:rPr>
              <w:t>序号</w:t>
            </w:r>
          </w:p>
        </w:tc>
        <w:tc>
          <w:tcPr>
            <w:tcW w:w="1620" w:type="dxa"/>
            <w:vAlign w:val="center"/>
          </w:tcPr>
          <w:p w14:paraId="6719E47E">
            <w:pPr>
              <w:jc w:val="center"/>
              <w:rPr>
                <w:rFonts w:ascii="宋体" w:hAnsi="宋体" w:cs="宋体"/>
                <w:kern w:val="0"/>
                <w:szCs w:val="21"/>
                <w:highlight w:val="none"/>
              </w:rPr>
            </w:pPr>
            <w:r>
              <w:rPr>
                <w:rFonts w:hint="eastAsia" w:ascii="宋体" w:hAnsi="宋体" w:cs="宋体"/>
                <w:kern w:val="0"/>
                <w:szCs w:val="21"/>
                <w:highlight w:val="none"/>
                <w:lang w:val="en-US" w:eastAsia="zh-CN"/>
              </w:rPr>
              <w:t>起止</w:t>
            </w:r>
            <w:r>
              <w:rPr>
                <w:rFonts w:hint="eastAsia" w:ascii="宋体" w:hAnsi="宋体" w:cs="宋体"/>
                <w:kern w:val="0"/>
                <w:szCs w:val="21"/>
                <w:highlight w:val="none"/>
              </w:rPr>
              <w:t>时间</w:t>
            </w:r>
          </w:p>
        </w:tc>
        <w:tc>
          <w:tcPr>
            <w:tcW w:w="2224" w:type="dxa"/>
            <w:vAlign w:val="center"/>
          </w:tcPr>
          <w:p w14:paraId="75CF2D19">
            <w:pPr>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1492" w:type="dxa"/>
            <w:vAlign w:val="center"/>
          </w:tcPr>
          <w:p w14:paraId="6162AD70">
            <w:pPr>
              <w:jc w:val="center"/>
              <w:rPr>
                <w:rFonts w:ascii="宋体" w:hAnsi="宋体" w:cs="宋体"/>
                <w:kern w:val="0"/>
                <w:szCs w:val="21"/>
                <w:highlight w:val="none"/>
              </w:rPr>
            </w:pPr>
            <w:r>
              <w:rPr>
                <w:rFonts w:hint="eastAsia" w:ascii="宋体" w:hAnsi="宋体" w:cs="宋体"/>
                <w:kern w:val="0"/>
                <w:szCs w:val="21"/>
                <w:highlight w:val="none"/>
              </w:rPr>
              <w:t>项目金额</w:t>
            </w:r>
          </w:p>
        </w:tc>
        <w:tc>
          <w:tcPr>
            <w:tcW w:w="1408" w:type="dxa"/>
            <w:vAlign w:val="center"/>
          </w:tcPr>
          <w:p w14:paraId="71D37015">
            <w:pPr>
              <w:jc w:val="center"/>
              <w:rPr>
                <w:rFonts w:ascii="宋体" w:hAnsi="宋体" w:cs="宋体"/>
                <w:kern w:val="0"/>
                <w:szCs w:val="21"/>
                <w:highlight w:val="none"/>
              </w:rPr>
            </w:pPr>
            <w:r>
              <w:rPr>
                <w:rFonts w:hint="eastAsia" w:ascii="宋体" w:hAnsi="宋体" w:cs="宋体"/>
                <w:kern w:val="0"/>
                <w:szCs w:val="21"/>
                <w:highlight w:val="none"/>
                <w:lang w:val="en-US" w:eastAsia="zh-CN"/>
              </w:rPr>
              <w:t>采购</w:t>
            </w:r>
            <w:r>
              <w:rPr>
                <w:rFonts w:hint="eastAsia" w:ascii="宋体" w:hAnsi="宋体" w:cs="宋体"/>
                <w:kern w:val="0"/>
                <w:szCs w:val="21"/>
                <w:highlight w:val="none"/>
              </w:rPr>
              <w:t>单位</w:t>
            </w:r>
          </w:p>
        </w:tc>
        <w:tc>
          <w:tcPr>
            <w:tcW w:w="1157" w:type="dxa"/>
            <w:vAlign w:val="center"/>
          </w:tcPr>
          <w:p w14:paraId="4345BC4E">
            <w:pPr>
              <w:jc w:val="center"/>
              <w:rPr>
                <w:rFonts w:ascii="宋体" w:hAnsi="宋体" w:cs="宋体"/>
                <w:kern w:val="0"/>
                <w:szCs w:val="21"/>
                <w:highlight w:val="none"/>
              </w:rPr>
            </w:pPr>
            <w:r>
              <w:rPr>
                <w:rFonts w:hint="eastAsia" w:ascii="宋体" w:hAnsi="宋体" w:cs="宋体"/>
                <w:kern w:val="0"/>
                <w:szCs w:val="21"/>
                <w:highlight w:val="none"/>
              </w:rPr>
              <w:t>完成情况</w:t>
            </w:r>
          </w:p>
        </w:tc>
        <w:tc>
          <w:tcPr>
            <w:tcW w:w="777" w:type="dxa"/>
            <w:vAlign w:val="center"/>
          </w:tcPr>
          <w:p w14:paraId="0FC07597">
            <w:pPr>
              <w:jc w:val="center"/>
              <w:rPr>
                <w:rFonts w:ascii="宋体" w:hAnsi="宋体" w:cs="宋体"/>
                <w:szCs w:val="21"/>
                <w:highlight w:val="none"/>
              </w:rPr>
            </w:pPr>
            <w:r>
              <w:rPr>
                <w:rFonts w:hint="eastAsia" w:ascii="宋体" w:hAnsi="宋体" w:cs="宋体"/>
                <w:kern w:val="0"/>
                <w:szCs w:val="21"/>
                <w:highlight w:val="none"/>
              </w:rPr>
              <w:t>备注</w:t>
            </w:r>
          </w:p>
        </w:tc>
      </w:tr>
      <w:tr w14:paraId="1E74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25389294">
            <w:pPr>
              <w:jc w:val="center"/>
              <w:rPr>
                <w:rFonts w:ascii="宋体" w:hAnsi="宋体" w:cs="宋体"/>
                <w:szCs w:val="21"/>
                <w:highlight w:val="none"/>
              </w:rPr>
            </w:pPr>
          </w:p>
        </w:tc>
        <w:tc>
          <w:tcPr>
            <w:tcW w:w="1620" w:type="dxa"/>
            <w:vAlign w:val="center"/>
          </w:tcPr>
          <w:p w14:paraId="3B4838C5">
            <w:pPr>
              <w:jc w:val="center"/>
              <w:rPr>
                <w:rFonts w:ascii="宋体" w:hAnsi="宋体" w:cs="宋体"/>
                <w:szCs w:val="21"/>
                <w:highlight w:val="none"/>
              </w:rPr>
            </w:pPr>
          </w:p>
        </w:tc>
        <w:tc>
          <w:tcPr>
            <w:tcW w:w="2224" w:type="dxa"/>
            <w:vAlign w:val="center"/>
          </w:tcPr>
          <w:p w14:paraId="00C7C12B">
            <w:pPr>
              <w:jc w:val="center"/>
              <w:rPr>
                <w:rFonts w:ascii="宋体" w:hAnsi="宋体" w:cs="宋体"/>
                <w:szCs w:val="21"/>
                <w:highlight w:val="none"/>
              </w:rPr>
            </w:pPr>
          </w:p>
        </w:tc>
        <w:tc>
          <w:tcPr>
            <w:tcW w:w="1492" w:type="dxa"/>
            <w:vAlign w:val="center"/>
          </w:tcPr>
          <w:p w14:paraId="76BBF6F1">
            <w:pPr>
              <w:jc w:val="center"/>
              <w:rPr>
                <w:rFonts w:ascii="宋体" w:hAnsi="宋体" w:cs="宋体"/>
                <w:szCs w:val="21"/>
                <w:highlight w:val="none"/>
              </w:rPr>
            </w:pPr>
          </w:p>
        </w:tc>
        <w:tc>
          <w:tcPr>
            <w:tcW w:w="1408" w:type="dxa"/>
            <w:vAlign w:val="center"/>
          </w:tcPr>
          <w:p w14:paraId="47D6EDF7">
            <w:pPr>
              <w:jc w:val="center"/>
              <w:rPr>
                <w:rFonts w:ascii="宋体" w:hAnsi="宋体" w:cs="宋体"/>
                <w:szCs w:val="21"/>
                <w:highlight w:val="none"/>
              </w:rPr>
            </w:pPr>
          </w:p>
        </w:tc>
        <w:tc>
          <w:tcPr>
            <w:tcW w:w="1157" w:type="dxa"/>
            <w:vAlign w:val="center"/>
          </w:tcPr>
          <w:p w14:paraId="26FA6DC7">
            <w:pPr>
              <w:jc w:val="center"/>
              <w:rPr>
                <w:rFonts w:ascii="宋体" w:hAnsi="宋体" w:cs="宋体"/>
                <w:szCs w:val="21"/>
                <w:highlight w:val="none"/>
              </w:rPr>
            </w:pPr>
          </w:p>
        </w:tc>
        <w:tc>
          <w:tcPr>
            <w:tcW w:w="777" w:type="dxa"/>
            <w:vAlign w:val="center"/>
          </w:tcPr>
          <w:p w14:paraId="2A4E1660">
            <w:pPr>
              <w:jc w:val="center"/>
              <w:rPr>
                <w:rFonts w:ascii="宋体" w:hAnsi="宋体" w:cs="宋体"/>
                <w:szCs w:val="21"/>
                <w:highlight w:val="none"/>
              </w:rPr>
            </w:pPr>
          </w:p>
        </w:tc>
      </w:tr>
      <w:tr w14:paraId="692D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353A854F">
            <w:pPr>
              <w:jc w:val="center"/>
              <w:rPr>
                <w:rFonts w:ascii="宋体" w:hAnsi="宋体" w:cs="宋体"/>
                <w:sz w:val="24"/>
                <w:highlight w:val="none"/>
              </w:rPr>
            </w:pPr>
          </w:p>
        </w:tc>
        <w:tc>
          <w:tcPr>
            <w:tcW w:w="1620" w:type="dxa"/>
            <w:vAlign w:val="center"/>
          </w:tcPr>
          <w:p w14:paraId="16F65455">
            <w:pPr>
              <w:jc w:val="center"/>
              <w:rPr>
                <w:rFonts w:ascii="宋体" w:hAnsi="宋体" w:cs="宋体"/>
                <w:sz w:val="24"/>
                <w:highlight w:val="none"/>
              </w:rPr>
            </w:pPr>
          </w:p>
        </w:tc>
        <w:tc>
          <w:tcPr>
            <w:tcW w:w="2224" w:type="dxa"/>
            <w:vAlign w:val="center"/>
          </w:tcPr>
          <w:p w14:paraId="6DEEF052">
            <w:pPr>
              <w:jc w:val="center"/>
              <w:rPr>
                <w:rFonts w:ascii="宋体" w:hAnsi="宋体" w:cs="宋体"/>
                <w:sz w:val="24"/>
                <w:highlight w:val="none"/>
              </w:rPr>
            </w:pPr>
          </w:p>
        </w:tc>
        <w:tc>
          <w:tcPr>
            <w:tcW w:w="1492" w:type="dxa"/>
            <w:vAlign w:val="center"/>
          </w:tcPr>
          <w:p w14:paraId="3EE9B10D">
            <w:pPr>
              <w:jc w:val="center"/>
              <w:rPr>
                <w:rFonts w:ascii="宋体" w:hAnsi="宋体" w:cs="宋体"/>
                <w:sz w:val="24"/>
                <w:highlight w:val="none"/>
              </w:rPr>
            </w:pPr>
          </w:p>
        </w:tc>
        <w:tc>
          <w:tcPr>
            <w:tcW w:w="1408" w:type="dxa"/>
            <w:vAlign w:val="center"/>
          </w:tcPr>
          <w:p w14:paraId="54D45858">
            <w:pPr>
              <w:jc w:val="center"/>
              <w:rPr>
                <w:rFonts w:ascii="宋体" w:hAnsi="宋体" w:cs="宋体"/>
                <w:sz w:val="24"/>
                <w:highlight w:val="none"/>
              </w:rPr>
            </w:pPr>
          </w:p>
        </w:tc>
        <w:tc>
          <w:tcPr>
            <w:tcW w:w="1157" w:type="dxa"/>
            <w:vAlign w:val="center"/>
          </w:tcPr>
          <w:p w14:paraId="3877EB33">
            <w:pPr>
              <w:jc w:val="center"/>
              <w:rPr>
                <w:rFonts w:ascii="宋体" w:hAnsi="宋体" w:cs="宋体"/>
                <w:sz w:val="24"/>
                <w:highlight w:val="none"/>
              </w:rPr>
            </w:pPr>
          </w:p>
        </w:tc>
        <w:tc>
          <w:tcPr>
            <w:tcW w:w="777" w:type="dxa"/>
            <w:vAlign w:val="center"/>
          </w:tcPr>
          <w:p w14:paraId="0B86EC00">
            <w:pPr>
              <w:jc w:val="center"/>
              <w:rPr>
                <w:rFonts w:ascii="宋体" w:hAnsi="宋体" w:cs="宋体"/>
                <w:sz w:val="24"/>
                <w:highlight w:val="none"/>
              </w:rPr>
            </w:pPr>
          </w:p>
        </w:tc>
      </w:tr>
      <w:tr w14:paraId="4397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2AA776E5">
            <w:pPr>
              <w:jc w:val="center"/>
              <w:rPr>
                <w:rFonts w:ascii="宋体" w:hAnsi="宋体" w:cs="宋体"/>
                <w:sz w:val="24"/>
                <w:highlight w:val="none"/>
              </w:rPr>
            </w:pPr>
          </w:p>
        </w:tc>
        <w:tc>
          <w:tcPr>
            <w:tcW w:w="1620" w:type="dxa"/>
            <w:vAlign w:val="center"/>
          </w:tcPr>
          <w:p w14:paraId="0C3E0F74">
            <w:pPr>
              <w:jc w:val="center"/>
              <w:rPr>
                <w:rFonts w:ascii="宋体" w:hAnsi="宋体" w:cs="宋体"/>
                <w:sz w:val="24"/>
                <w:highlight w:val="none"/>
              </w:rPr>
            </w:pPr>
          </w:p>
        </w:tc>
        <w:tc>
          <w:tcPr>
            <w:tcW w:w="2224" w:type="dxa"/>
            <w:vAlign w:val="center"/>
          </w:tcPr>
          <w:p w14:paraId="113322D4">
            <w:pPr>
              <w:jc w:val="center"/>
              <w:rPr>
                <w:rFonts w:ascii="宋体" w:hAnsi="宋体" w:cs="宋体"/>
                <w:sz w:val="24"/>
                <w:highlight w:val="none"/>
              </w:rPr>
            </w:pPr>
          </w:p>
        </w:tc>
        <w:tc>
          <w:tcPr>
            <w:tcW w:w="1492" w:type="dxa"/>
            <w:vAlign w:val="center"/>
          </w:tcPr>
          <w:p w14:paraId="3DDA5B4C">
            <w:pPr>
              <w:jc w:val="center"/>
              <w:rPr>
                <w:rFonts w:ascii="宋体" w:hAnsi="宋体" w:cs="宋体"/>
                <w:sz w:val="24"/>
                <w:highlight w:val="none"/>
              </w:rPr>
            </w:pPr>
          </w:p>
        </w:tc>
        <w:tc>
          <w:tcPr>
            <w:tcW w:w="1408" w:type="dxa"/>
            <w:vAlign w:val="center"/>
          </w:tcPr>
          <w:p w14:paraId="17925822">
            <w:pPr>
              <w:jc w:val="center"/>
              <w:rPr>
                <w:rFonts w:ascii="宋体" w:hAnsi="宋体" w:cs="宋体"/>
                <w:sz w:val="24"/>
                <w:highlight w:val="none"/>
              </w:rPr>
            </w:pPr>
          </w:p>
        </w:tc>
        <w:tc>
          <w:tcPr>
            <w:tcW w:w="1157" w:type="dxa"/>
            <w:vAlign w:val="center"/>
          </w:tcPr>
          <w:p w14:paraId="4D9C14B0">
            <w:pPr>
              <w:jc w:val="center"/>
              <w:rPr>
                <w:rFonts w:ascii="宋体" w:hAnsi="宋体" w:cs="宋体"/>
                <w:sz w:val="24"/>
                <w:highlight w:val="none"/>
              </w:rPr>
            </w:pPr>
          </w:p>
        </w:tc>
        <w:tc>
          <w:tcPr>
            <w:tcW w:w="777" w:type="dxa"/>
            <w:vAlign w:val="center"/>
          </w:tcPr>
          <w:p w14:paraId="49E43C0D">
            <w:pPr>
              <w:jc w:val="center"/>
              <w:rPr>
                <w:rFonts w:ascii="宋体" w:hAnsi="宋体" w:cs="宋体"/>
                <w:sz w:val="24"/>
                <w:highlight w:val="none"/>
              </w:rPr>
            </w:pPr>
          </w:p>
        </w:tc>
      </w:tr>
      <w:tr w14:paraId="048E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5B5E86F3">
            <w:pPr>
              <w:jc w:val="center"/>
              <w:rPr>
                <w:rFonts w:ascii="宋体" w:hAnsi="宋体" w:cs="宋体"/>
                <w:sz w:val="24"/>
                <w:highlight w:val="none"/>
              </w:rPr>
            </w:pPr>
          </w:p>
        </w:tc>
        <w:tc>
          <w:tcPr>
            <w:tcW w:w="1620" w:type="dxa"/>
            <w:vAlign w:val="center"/>
          </w:tcPr>
          <w:p w14:paraId="63F7F61F">
            <w:pPr>
              <w:jc w:val="center"/>
              <w:rPr>
                <w:rFonts w:ascii="宋体" w:hAnsi="宋体" w:cs="宋体"/>
                <w:sz w:val="24"/>
                <w:highlight w:val="none"/>
              </w:rPr>
            </w:pPr>
          </w:p>
        </w:tc>
        <w:tc>
          <w:tcPr>
            <w:tcW w:w="2224" w:type="dxa"/>
            <w:vAlign w:val="center"/>
          </w:tcPr>
          <w:p w14:paraId="547F88F9">
            <w:pPr>
              <w:jc w:val="center"/>
              <w:rPr>
                <w:rFonts w:ascii="宋体" w:hAnsi="宋体" w:cs="宋体"/>
                <w:sz w:val="24"/>
                <w:highlight w:val="none"/>
              </w:rPr>
            </w:pPr>
          </w:p>
        </w:tc>
        <w:tc>
          <w:tcPr>
            <w:tcW w:w="1492" w:type="dxa"/>
            <w:vAlign w:val="center"/>
          </w:tcPr>
          <w:p w14:paraId="56558C12">
            <w:pPr>
              <w:jc w:val="center"/>
              <w:rPr>
                <w:rFonts w:ascii="宋体" w:hAnsi="宋体" w:cs="宋体"/>
                <w:sz w:val="24"/>
                <w:highlight w:val="none"/>
              </w:rPr>
            </w:pPr>
          </w:p>
        </w:tc>
        <w:tc>
          <w:tcPr>
            <w:tcW w:w="1408" w:type="dxa"/>
            <w:vAlign w:val="center"/>
          </w:tcPr>
          <w:p w14:paraId="1CE01168">
            <w:pPr>
              <w:jc w:val="center"/>
              <w:rPr>
                <w:rFonts w:ascii="宋体" w:hAnsi="宋体" w:cs="宋体"/>
                <w:sz w:val="24"/>
                <w:highlight w:val="none"/>
              </w:rPr>
            </w:pPr>
          </w:p>
        </w:tc>
        <w:tc>
          <w:tcPr>
            <w:tcW w:w="1157" w:type="dxa"/>
            <w:vAlign w:val="center"/>
          </w:tcPr>
          <w:p w14:paraId="344DCAD0">
            <w:pPr>
              <w:jc w:val="center"/>
              <w:rPr>
                <w:rFonts w:ascii="宋体" w:hAnsi="宋体" w:cs="宋体"/>
                <w:sz w:val="24"/>
                <w:highlight w:val="none"/>
              </w:rPr>
            </w:pPr>
          </w:p>
        </w:tc>
        <w:tc>
          <w:tcPr>
            <w:tcW w:w="777" w:type="dxa"/>
            <w:vAlign w:val="center"/>
          </w:tcPr>
          <w:p w14:paraId="0CDDD1DE">
            <w:pPr>
              <w:jc w:val="center"/>
              <w:rPr>
                <w:rFonts w:ascii="宋体" w:hAnsi="宋体" w:cs="宋体"/>
                <w:sz w:val="24"/>
                <w:highlight w:val="none"/>
              </w:rPr>
            </w:pPr>
          </w:p>
        </w:tc>
      </w:tr>
      <w:tr w14:paraId="5927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02617C0E">
            <w:pPr>
              <w:jc w:val="center"/>
              <w:rPr>
                <w:rFonts w:ascii="宋体" w:hAnsi="宋体" w:cs="宋体"/>
                <w:sz w:val="24"/>
                <w:highlight w:val="none"/>
              </w:rPr>
            </w:pPr>
          </w:p>
        </w:tc>
        <w:tc>
          <w:tcPr>
            <w:tcW w:w="1620" w:type="dxa"/>
            <w:vAlign w:val="center"/>
          </w:tcPr>
          <w:p w14:paraId="075538DA">
            <w:pPr>
              <w:jc w:val="center"/>
              <w:rPr>
                <w:rFonts w:ascii="宋体" w:hAnsi="宋体" w:cs="宋体"/>
                <w:sz w:val="24"/>
                <w:highlight w:val="none"/>
              </w:rPr>
            </w:pPr>
          </w:p>
        </w:tc>
        <w:tc>
          <w:tcPr>
            <w:tcW w:w="2224" w:type="dxa"/>
            <w:vAlign w:val="center"/>
          </w:tcPr>
          <w:p w14:paraId="5A82CDA4">
            <w:pPr>
              <w:jc w:val="center"/>
              <w:rPr>
                <w:rFonts w:ascii="宋体" w:hAnsi="宋体" w:cs="宋体"/>
                <w:sz w:val="24"/>
                <w:highlight w:val="none"/>
              </w:rPr>
            </w:pPr>
          </w:p>
        </w:tc>
        <w:tc>
          <w:tcPr>
            <w:tcW w:w="1492" w:type="dxa"/>
            <w:vAlign w:val="center"/>
          </w:tcPr>
          <w:p w14:paraId="165B4308">
            <w:pPr>
              <w:jc w:val="center"/>
              <w:rPr>
                <w:rFonts w:ascii="宋体" w:hAnsi="宋体" w:cs="宋体"/>
                <w:sz w:val="24"/>
                <w:highlight w:val="none"/>
              </w:rPr>
            </w:pPr>
          </w:p>
        </w:tc>
        <w:tc>
          <w:tcPr>
            <w:tcW w:w="1408" w:type="dxa"/>
            <w:vAlign w:val="center"/>
          </w:tcPr>
          <w:p w14:paraId="7A675CF4">
            <w:pPr>
              <w:jc w:val="center"/>
              <w:rPr>
                <w:rFonts w:ascii="宋体" w:hAnsi="宋体" w:cs="宋体"/>
                <w:sz w:val="24"/>
                <w:highlight w:val="none"/>
              </w:rPr>
            </w:pPr>
          </w:p>
        </w:tc>
        <w:tc>
          <w:tcPr>
            <w:tcW w:w="1157" w:type="dxa"/>
            <w:vAlign w:val="center"/>
          </w:tcPr>
          <w:p w14:paraId="03AE071D">
            <w:pPr>
              <w:jc w:val="center"/>
              <w:rPr>
                <w:rFonts w:ascii="宋体" w:hAnsi="宋体" w:cs="宋体"/>
                <w:sz w:val="24"/>
                <w:highlight w:val="none"/>
              </w:rPr>
            </w:pPr>
          </w:p>
        </w:tc>
        <w:tc>
          <w:tcPr>
            <w:tcW w:w="777" w:type="dxa"/>
            <w:vAlign w:val="center"/>
          </w:tcPr>
          <w:p w14:paraId="3D20748B">
            <w:pPr>
              <w:jc w:val="center"/>
              <w:rPr>
                <w:rFonts w:ascii="宋体" w:hAnsi="宋体" w:cs="宋体"/>
                <w:sz w:val="24"/>
                <w:highlight w:val="none"/>
              </w:rPr>
            </w:pPr>
          </w:p>
        </w:tc>
      </w:tr>
      <w:tr w14:paraId="460A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74BB3C26">
            <w:pPr>
              <w:jc w:val="center"/>
              <w:rPr>
                <w:rFonts w:ascii="宋体" w:hAnsi="宋体" w:cs="宋体"/>
                <w:sz w:val="24"/>
                <w:highlight w:val="none"/>
              </w:rPr>
            </w:pPr>
          </w:p>
        </w:tc>
        <w:tc>
          <w:tcPr>
            <w:tcW w:w="1620" w:type="dxa"/>
            <w:vAlign w:val="center"/>
          </w:tcPr>
          <w:p w14:paraId="0B616C44">
            <w:pPr>
              <w:jc w:val="center"/>
              <w:rPr>
                <w:rFonts w:ascii="宋体" w:hAnsi="宋体" w:cs="宋体"/>
                <w:sz w:val="24"/>
                <w:highlight w:val="none"/>
              </w:rPr>
            </w:pPr>
          </w:p>
        </w:tc>
        <w:tc>
          <w:tcPr>
            <w:tcW w:w="2224" w:type="dxa"/>
            <w:vAlign w:val="center"/>
          </w:tcPr>
          <w:p w14:paraId="02E9F4BB">
            <w:pPr>
              <w:jc w:val="center"/>
              <w:rPr>
                <w:rFonts w:ascii="宋体" w:hAnsi="宋体" w:cs="宋体"/>
                <w:sz w:val="24"/>
                <w:highlight w:val="none"/>
              </w:rPr>
            </w:pPr>
          </w:p>
        </w:tc>
        <w:tc>
          <w:tcPr>
            <w:tcW w:w="1492" w:type="dxa"/>
            <w:vAlign w:val="center"/>
          </w:tcPr>
          <w:p w14:paraId="17447364">
            <w:pPr>
              <w:jc w:val="center"/>
              <w:rPr>
                <w:rFonts w:ascii="宋体" w:hAnsi="宋体" w:cs="宋体"/>
                <w:sz w:val="24"/>
                <w:highlight w:val="none"/>
              </w:rPr>
            </w:pPr>
          </w:p>
        </w:tc>
        <w:tc>
          <w:tcPr>
            <w:tcW w:w="1408" w:type="dxa"/>
            <w:vAlign w:val="center"/>
          </w:tcPr>
          <w:p w14:paraId="16384A40">
            <w:pPr>
              <w:jc w:val="center"/>
              <w:rPr>
                <w:rFonts w:ascii="宋体" w:hAnsi="宋体" w:cs="宋体"/>
                <w:sz w:val="24"/>
                <w:highlight w:val="none"/>
              </w:rPr>
            </w:pPr>
          </w:p>
        </w:tc>
        <w:tc>
          <w:tcPr>
            <w:tcW w:w="1157" w:type="dxa"/>
            <w:vAlign w:val="center"/>
          </w:tcPr>
          <w:p w14:paraId="3B53DC9D">
            <w:pPr>
              <w:jc w:val="center"/>
              <w:rPr>
                <w:rFonts w:ascii="宋体" w:hAnsi="宋体" w:cs="宋体"/>
                <w:sz w:val="24"/>
                <w:highlight w:val="none"/>
              </w:rPr>
            </w:pPr>
          </w:p>
        </w:tc>
        <w:tc>
          <w:tcPr>
            <w:tcW w:w="777" w:type="dxa"/>
            <w:vAlign w:val="center"/>
          </w:tcPr>
          <w:p w14:paraId="304DC0BA">
            <w:pPr>
              <w:jc w:val="center"/>
              <w:rPr>
                <w:rFonts w:ascii="宋体" w:hAnsi="宋体" w:cs="宋体"/>
                <w:sz w:val="24"/>
                <w:highlight w:val="none"/>
              </w:rPr>
            </w:pPr>
          </w:p>
        </w:tc>
      </w:tr>
      <w:tr w14:paraId="5BA4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17325EC3">
            <w:pPr>
              <w:jc w:val="center"/>
              <w:rPr>
                <w:rFonts w:ascii="宋体" w:hAnsi="宋体" w:cs="宋体"/>
                <w:sz w:val="24"/>
                <w:highlight w:val="none"/>
              </w:rPr>
            </w:pPr>
          </w:p>
        </w:tc>
        <w:tc>
          <w:tcPr>
            <w:tcW w:w="1620" w:type="dxa"/>
            <w:vAlign w:val="center"/>
          </w:tcPr>
          <w:p w14:paraId="3AB48401">
            <w:pPr>
              <w:jc w:val="center"/>
              <w:rPr>
                <w:rFonts w:ascii="宋体" w:hAnsi="宋体" w:cs="宋体"/>
                <w:sz w:val="24"/>
                <w:highlight w:val="none"/>
              </w:rPr>
            </w:pPr>
          </w:p>
        </w:tc>
        <w:tc>
          <w:tcPr>
            <w:tcW w:w="2224" w:type="dxa"/>
            <w:vAlign w:val="center"/>
          </w:tcPr>
          <w:p w14:paraId="6FA3D123">
            <w:pPr>
              <w:jc w:val="center"/>
              <w:rPr>
                <w:rFonts w:ascii="宋体" w:hAnsi="宋体" w:cs="宋体"/>
                <w:sz w:val="24"/>
                <w:highlight w:val="none"/>
              </w:rPr>
            </w:pPr>
          </w:p>
        </w:tc>
        <w:tc>
          <w:tcPr>
            <w:tcW w:w="1492" w:type="dxa"/>
            <w:vAlign w:val="center"/>
          </w:tcPr>
          <w:p w14:paraId="7D87A59D">
            <w:pPr>
              <w:jc w:val="center"/>
              <w:rPr>
                <w:rFonts w:ascii="宋体" w:hAnsi="宋体" w:cs="宋体"/>
                <w:sz w:val="24"/>
                <w:highlight w:val="none"/>
              </w:rPr>
            </w:pPr>
          </w:p>
        </w:tc>
        <w:tc>
          <w:tcPr>
            <w:tcW w:w="1408" w:type="dxa"/>
            <w:vAlign w:val="center"/>
          </w:tcPr>
          <w:p w14:paraId="47C41CDD">
            <w:pPr>
              <w:jc w:val="center"/>
              <w:rPr>
                <w:rFonts w:ascii="宋体" w:hAnsi="宋体" w:cs="宋体"/>
                <w:sz w:val="24"/>
                <w:highlight w:val="none"/>
              </w:rPr>
            </w:pPr>
          </w:p>
        </w:tc>
        <w:tc>
          <w:tcPr>
            <w:tcW w:w="1157" w:type="dxa"/>
            <w:vAlign w:val="center"/>
          </w:tcPr>
          <w:p w14:paraId="746F9195">
            <w:pPr>
              <w:jc w:val="center"/>
              <w:rPr>
                <w:rFonts w:ascii="宋体" w:hAnsi="宋体" w:cs="宋体"/>
                <w:sz w:val="24"/>
                <w:highlight w:val="none"/>
              </w:rPr>
            </w:pPr>
          </w:p>
        </w:tc>
        <w:tc>
          <w:tcPr>
            <w:tcW w:w="777" w:type="dxa"/>
            <w:vAlign w:val="center"/>
          </w:tcPr>
          <w:p w14:paraId="6A478CAD">
            <w:pPr>
              <w:jc w:val="center"/>
              <w:rPr>
                <w:rFonts w:ascii="宋体" w:hAnsi="宋体" w:cs="宋体"/>
                <w:sz w:val="24"/>
                <w:highlight w:val="none"/>
              </w:rPr>
            </w:pPr>
          </w:p>
        </w:tc>
      </w:tr>
      <w:tr w14:paraId="71D1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0B068B10">
            <w:pPr>
              <w:jc w:val="center"/>
              <w:rPr>
                <w:rFonts w:ascii="宋体" w:hAnsi="宋体" w:cs="宋体"/>
                <w:sz w:val="24"/>
                <w:highlight w:val="none"/>
              </w:rPr>
            </w:pPr>
          </w:p>
        </w:tc>
        <w:tc>
          <w:tcPr>
            <w:tcW w:w="1620" w:type="dxa"/>
            <w:vAlign w:val="center"/>
          </w:tcPr>
          <w:p w14:paraId="228ACB06">
            <w:pPr>
              <w:jc w:val="center"/>
              <w:rPr>
                <w:rFonts w:ascii="宋体" w:hAnsi="宋体" w:cs="宋体"/>
                <w:sz w:val="24"/>
                <w:highlight w:val="none"/>
              </w:rPr>
            </w:pPr>
          </w:p>
        </w:tc>
        <w:tc>
          <w:tcPr>
            <w:tcW w:w="2224" w:type="dxa"/>
            <w:vAlign w:val="center"/>
          </w:tcPr>
          <w:p w14:paraId="5D3E6649">
            <w:pPr>
              <w:jc w:val="center"/>
              <w:rPr>
                <w:rFonts w:ascii="宋体" w:hAnsi="宋体" w:cs="宋体"/>
                <w:sz w:val="24"/>
                <w:highlight w:val="none"/>
              </w:rPr>
            </w:pPr>
          </w:p>
        </w:tc>
        <w:tc>
          <w:tcPr>
            <w:tcW w:w="1492" w:type="dxa"/>
            <w:vAlign w:val="center"/>
          </w:tcPr>
          <w:p w14:paraId="6DD8B7AE">
            <w:pPr>
              <w:jc w:val="center"/>
              <w:rPr>
                <w:rFonts w:ascii="宋体" w:hAnsi="宋体" w:cs="宋体"/>
                <w:sz w:val="24"/>
                <w:highlight w:val="none"/>
              </w:rPr>
            </w:pPr>
          </w:p>
        </w:tc>
        <w:tc>
          <w:tcPr>
            <w:tcW w:w="1408" w:type="dxa"/>
            <w:vAlign w:val="center"/>
          </w:tcPr>
          <w:p w14:paraId="2FFC1A33">
            <w:pPr>
              <w:jc w:val="center"/>
              <w:rPr>
                <w:rFonts w:ascii="宋体" w:hAnsi="宋体" w:cs="宋体"/>
                <w:sz w:val="24"/>
                <w:highlight w:val="none"/>
              </w:rPr>
            </w:pPr>
          </w:p>
        </w:tc>
        <w:tc>
          <w:tcPr>
            <w:tcW w:w="1157" w:type="dxa"/>
            <w:vAlign w:val="center"/>
          </w:tcPr>
          <w:p w14:paraId="5C2F71FE">
            <w:pPr>
              <w:jc w:val="center"/>
              <w:rPr>
                <w:rFonts w:ascii="宋体" w:hAnsi="宋体" w:cs="宋体"/>
                <w:sz w:val="24"/>
                <w:highlight w:val="none"/>
              </w:rPr>
            </w:pPr>
          </w:p>
        </w:tc>
        <w:tc>
          <w:tcPr>
            <w:tcW w:w="777" w:type="dxa"/>
            <w:vAlign w:val="center"/>
          </w:tcPr>
          <w:p w14:paraId="0BC09FBD">
            <w:pPr>
              <w:jc w:val="center"/>
              <w:rPr>
                <w:rFonts w:ascii="宋体" w:hAnsi="宋体" w:cs="宋体"/>
                <w:sz w:val="24"/>
                <w:highlight w:val="none"/>
              </w:rPr>
            </w:pPr>
          </w:p>
        </w:tc>
      </w:tr>
    </w:tbl>
    <w:p w14:paraId="5D54D461">
      <w:pPr>
        <w:spacing w:line="300" w:lineRule="auto"/>
        <w:rPr>
          <w:rFonts w:ascii="宋体" w:hAnsi="宋体"/>
          <w:b/>
          <w:szCs w:val="21"/>
          <w:highlight w:val="none"/>
        </w:rPr>
      </w:pPr>
    </w:p>
    <w:p w14:paraId="4EF40427">
      <w:pPr>
        <w:spacing w:line="300" w:lineRule="auto"/>
        <w:rPr>
          <w:rFonts w:ascii="宋体" w:hAnsi="宋体"/>
          <w:b/>
          <w:szCs w:val="21"/>
          <w:highlight w:val="none"/>
        </w:rPr>
      </w:pPr>
    </w:p>
    <w:p w14:paraId="223401AB">
      <w:pPr>
        <w:spacing w:line="300" w:lineRule="auto"/>
        <w:rPr>
          <w:rFonts w:ascii="宋体" w:hAnsi="宋体"/>
          <w:b/>
          <w:szCs w:val="21"/>
          <w:highlight w:val="none"/>
        </w:rPr>
      </w:pPr>
      <w:r>
        <w:rPr>
          <w:rFonts w:hint="eastAsia" w:ascii="宋体" w:hAnsi="宋体"/>
          <w:b/>
          <w:szCs w:val="21"/>
          <w:highlight w:val="none"/>
          <w:lang w:val="en-US" w:eastAsia="zh-CN"/>
        </w:rPr>
        <w:t>后</w:t>
      </w:r>
      <w:r>
        <w:rPr>
          <w:rFonts w:hint="eastAsia" w:ascii="宋体" w:hAnsi="宋体"/>
          <w:b/>
          <w:szCs w:val="21"/>
          <w:highlight w:val="none"/>
        </w:rPr>
        <w:t>附</w:t>
      </w:r>
      <w:r>
        <w:rPr>
          <w:rFonts w:hint="eastAsia" w:ascii="宋体" w:hAnsi="宋体"/>
          <w:b/>
          <w:szCs w:val="21"/>
          <w:highlight w:val="none"/>
          <w:lang w:eastAsia="zh-CN"/>
        </w:rPr>
        <w:t>：</w:t>
      </w:r>
      <w:r>
        <w:rPr>
          <w:rFonts w:hint="eastAsia" w:ascii="宋体" w:hAnsi="宋体"/>
          <w:b/>
          <w:szCs w:val="21"/>
          <w:highlight w:val="none"/>
        </w:rPr>
        <w:t>业绩中标通知书</w:t>
      </w:r>
      <w:r>
        <w:rPr>
          <w:rFonts w:hint="eastAsia" w:ascii="宋体" w:hAnsi="宋体"/>
          <w:b/>
          <w:szCs w:val="21"/>
          <w:highlight w:val="none"/>
          <w:lang w:val="en-US" w:eastAsia="zh-CN"/>
        </w:rPr>
        <w:t>及</w:t>
      </w:r>
      <w:r>
        <w:rPr>
          <w:rFonts w:hint="eastAsia" w:ascii="宋体" w:hAnsi="宋体"/>
          <w:b/>
          <w:szCs w:val="21"/>
          <w:highlight w:val="none"/>
        </w:rPr>
        <w:t>合同复印件。</w:t>
      </w:r>
    </w:p>
    <w:p w14:paraId="1C2956B3">
      <w:pPr>
        <w:spacing w:line="300" w:lineRule="auto"/>
        <w:rPr>
          <w:rFonts w:ascii="宋体" w:hAnsi="宋体"/>
          <w:sz w:val="20"/>
          <w:szCs w:val="20"/>
          <w:highlight w:val="none"/>
        </w:rPr>
      </w:pPr>
      <w:r>
        <w:rPr>
          <w:rFonts w:ascii="宋体" w:hAnsi="宋体"/>
          <w:sz w:val="23"/>
          <w:szCs w:val="23"/>
          <w:highlight w:val="none"/>
        </w:rPr>
        <w:br w:type="page"/>
      </w:r>
    </w:p>
    <w:p w14:paraId="1AE1BAC3">
      <w:pPr>
        <w:pStyle w:val="4"/>
        <w:spacing w:before="0" w:after="0" w:line="300" w:lineRule="auto"/>
        <w:jc w:val="center"/>
        <w:rPr>
          <w:rFonts w:ascii="宋体" w:hAnsi="宋体"/>
          <w:szCs w:val="21"/>
          <w:highlight w:val="none"/>
        </w:rPr>
      </w:pPr>
      <w:bookmarkStart w:id="164" w:name="_Toc468267498"/>
      <w:bookmarkStart w:id="165" w:name="_Toc300659776"/>
      <w:bookmarkStart w:id="166" w:name="_Toc327777607"/>
      <w:bookmarkStart w:id="167" w:name="_Toc363491233"/>
      <w:bookmarkStart w:id="168" w:name="_Toc409424365"/>
      <w:bookmarkStart w:id="169" w:name="_Toc356393085"/>
      <w:bookmarkStart w:id="170" w:name="_Toc409424426"/>
      <w:r>
        <w:rPr>
          <w:rFonts w:hint="eastAsia" w:ascii="宋体" w:hAnsi="宋体"/>
          <w:sz w:val="28"/>
          <w:szCs w:val="28"/>
          <w:highlight w:val="none"/>
        </w:rPr>
        <w:t>（四）</w:t>
      </w:r>
      <w:r>
        <w:rPr>
          <w:rFonts w:ascii="宋体" w:hAnsi="宋体"/>
          <w:sz w:val="28"/>
          <w:szCs w:val="28"/>
          <w:highlight w:val="none"/>
        </w:rPr>
        <w:t>其他</w:t>
      </w:r>
      <w:r>
        <w:rPr>
          <w:rFonts w:hint="eastAsia" w:ascii="宋体" w:hAnsi="宋体"/>
          <w:sz w:val="28"/>
          <w:szCs w:val="28"/>
          <w:highlight w:val="none"/>
        </w:rPr>
        <w:t>资格审查资</w:t>
      </w:r>
      <w:r>
        <w:rPr>
          <w:rFonts w:ascii="宋体" w:hAnsi="宋体"/>
          <w:sz w:val="28"/>
          <w:szCs w:val="28"/>
          <w:highlight w:val="none"/>
        </w:rPr>
        <w:t>料</w:t>
      </w:r>
      <w:bookmarkEnd w:id="164"/>
      <w:bookmarkEnd w:id="165"/>
      <w:bookmarkEnd w:id="166"/>
      <w:bookmarkEnd w:id="167"/>
      <w:bookmarkEnd w:id="168"/>
      <w:bookmarkEnd w:id="169"/>
      <w:bookmarkEnd w:id="170"/>
    </w:p>
    <w:p w14:paraId="7DE2A10D">
      <w:pPr>
        <w:autoSpaceDE w:val="0"/>
        <w:autoSpaceDN w:val="0"/>
        <w:adjustRightInd w:val="0"/>
        <w:spacing w:line="300" w:lineRule="auto"/>
        <w:jc w:val="left"/>
        <w:rPr>
          <w:rFonts w:ascii="宋体" w:hAnsi="宋体"/>
          <w:szCs w:val="21"/>
          <w:highlight w:val="none"/>
        </w:rPr>
      </w:pPr>
    </w:p>
    <w:p w14:paraId="5E8E3EF8">
      <w:pPr>
        <w:rPr>
          <w:rFonts w:cs="宋体" w:asciiTheme="majorEastAsia" w:hAnsiTheme="majorEastAsia" w:eastAsiaTheme="majorEastAsia"/>
          <w:b/>
          <w:bCs/>
          <w:kern w:val="44"/>
          <w:sz w:val="44"/>
          <w:szCs w:val="44"/>
          <w:highlight w:val="none"/>
        </w:rPr>
      </w:pPr>
      <w:r>
        <w:rPr>
          <w:rFonts w:hint="eastAsia" w:ascii="宋体" w:hAnsi="宋体"/>
          <w:szCs w:val="21"/>
          <w:highlight w:val="none"/>
        </w:rPr>
        <w:t>格式自拟</w:t>
      </w:r>
      <w:r>
        <w:rPr>
          <w:rFonts w:ascii="宋体" w:hAnsi="宋体"/>
          <w:szCs w:val="21"/>
          <w:highlight w:val="none"/>
        </w:rPr>
        <w:br w:type="page"/>
      </w:r>
    </w:p>
    <w:p w14:paraId="6E6F24F2">
      <w:pPr>
        <w:spacing w:line="300" w:lineRule="auto"/>
        <w:jc w:val="center"/>
        <w:rPr>
          <w:rFonts w:ascii="宋体" w:hAnsi="宋体"/>
          <w:b/>
          <w:bCs/>
          <w:sz w:val="28"/>
          <w:szCs w:val="28"/>
          <w:highlight w:val="none"/>
        </w:rPr>
      </w:pPr>
      <w:r>
        <w:rPr>
          <w:rFonts w:hint="eastAsia" w:ascii="宋体" w:hAnsi="宋体"/>
          <w:b/>
          <w:bCs/>
          <w:sz w:val="28"/>
          <w:szCs w:val="28"/>
          <w:highlight w:val="none"/>
          <w:lang w:val="en-US" w:eastAsia="zh-CN"/>
        </w:rPr>
        <w:t>九</w:t>
      </w:r>
      <w:r>
        <w:rPr>
          <w:rFonts w:hint="eastAsia" w:ascii="宋体" w:hAnsi="宋体"/>
          <w:b/>
          <w:bCs/>
          <w:sz w:val="28"/>
          <w:szCs w:val="28"/>
          <w:highlight w:val="none"/>
        </w:rPr>
        <w:t>、其他材料</w:t>
      </w:r>
    </w:p>
    <w:p w14:paraId="739BC572">
      <w:pPr>
        <w:jc w:val="left"/>
        <w:rPr>
          <w:rFonts w:ascii="宋体" w:hAnsi="宋体"/>
          <w:highlight w:val="none"/>
        </w:rPr>
      </w:pPr>
      <w:r>
        <w:rPr>
          <w:rFonts w:ascii="宋体" w:hAnsi="宋体"/>
          <w:highlight w:val="none"/>
        </w:rPr>
        <w:t xml:space="preserve"> </w:t>
      </w:r>
    </w:p>
    <w:p w14:paraId="48860B3B">
      <w:pPr>
        <w:pStyle w:val="20"/>
        <w:numPr>
          <w:ilvl w:val="0"/>
          <w:numId w:val="7"/>
        </w:numPr>
        <w:rPr>
          <w:highlight w:val="none"/>
        </w:rPr>
      </w:pPr>
      <w:r>
        <w:rPr>
          <w:rFonts w:hint="eastAsia"/>
          <w:highlight w:val="none"/>
          <w:lang w:eastAsia="zh-CN"/>
        </w:rPr>
        <w:t>投标人</w:t>
      </w:r>
      <w:r>
        <w:rPr>
          <w:rFonts w:hint="eastAsia"/>
          <w:highlight w:val="none"/>
        </w:rPr>
        <w:t>认为所必要提供的其他材料。</w:t>
      </w:r>
    </w:p>
    <w:p w14:paraId="3F9D420F">
      <w:pPr>
        <w:rPr>
          <w:highlight w:val="none"/>
        </w:rPr>
      </w:pPr>
    </w:p>
    <w:p w14:paraId="301FA814">
      <w:pPr>
        <w:rPr>
          <w:rFonts w:hint="eastAsia" w:ascii="宋体" w:hAnsi="宋体" w:eastAsia="宋体" w:cs="宋体"/>
          <w:color w:val="auto"/>
          <w:sz w:val="24"/>
          <w:szCs w:val="24"/>
          <w:highlight w:val="none"/>
        </w:rPr>
      </w:pPr>
      <w:bookmarkStart w:id="171" w:name="_Toc15463"/>
      <w:bookmarkStart w:id="172" w:name="_Toc4397"/>
      <w:bookmarkStart w:id="173" w:name="_Toc17445"/>
      <w:bookmarkStart w:id="174" w:name="_Toc21576"/>
      <w:r>
        <w:rPr>
          <w:rFonts w:hint="eastAsia" w:ascii="宋体" w:hAnsi="宋体" w:eastAsia="宋体" w:cs="宋体"/>
          <w:color w:val="auto"/>
          <w:sz w:val="24"/>
          <w:szCs w:val="24"/>
          <w:highlight w:val="none"/>
        </w:rPr>
        <w:br w:type="page"/>
      </w:r>
    </w:p>
    <w:p w14:paraId="101056CD">
      <w:pPr>
        <w:pStyle w:val="3"/>
        <w:adjustRightInd w:val="0"/>
        <w:snapToGrid w:val="0"/>
        <w:spacing w:before="162"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w:t>
      </w:r>
      <w:bookmarkEnd w:id="171"/>
      <w:bookmarkEnd w:id="172"/>
      <w:bookmarkEnd w:id="173"/>
      <w:bookmarkEnd w:id="174"/>
    </w:p>
    <w:p w14:paraId="639C262C">
      <w:pPr>
        <w:pStyle w:val="9"/>
        <w:adjustRightInd w:val="0"/>
        <w:snapToGrid w:val="0"/>
        <w:spacing w:before="2" w:line="360" w:lineRule="auto"/>
        <w:rPr>
          <w:rFonts w:ascii="宋体" w:hAnsi="宋体" w:eastAsia="宋体" w:cs="宋体"/>
          <w:b/>
          <w:color w:val="auto"/>
          <w:sz w:val="24"/>
          <w:szCs w:val="24"/>
          <w:highlight w:val="none"/>
        </w:rPr>
      </w:pPr>
    </w:p>
    <w:p w14:paraId="7BCDE061">
      <w:pPr>
        <w:pStyle w:val="9"/>
        <w:adjustRightInd w:val="0"/>
        <w:snapToGrid w:val="0"/>
        <w:spacing w:before="55" w:line="360" w:lineRule="auto"/>
        <w:ind w:right="415" w:firstLine="6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 的具体情况如下：</w:t>
      </w:r>
    </w:p>
    <w:p w14:paraId="30C8E17C">
      <w:pPr>
        <w:pStyle w:val="9"/>
        <w:numPr>
          <w:ilvl w:val="0"/>
          <w:numId w:val="8"/>
        </w:numPr>
        <w:adjustRightInd w:val="0"/>
        <w:snapToGrid w:val="0"/>
        <w:spacing w:before="55" w:line="360" w:lineRule="auto"/>
        <w:ind w:left="220" w:right="415" w:firstLine="640"/>
        <w:rPr>
          <w:rFonts w:ascii="宋体" w:hAnsi="宋体" w:eastAsia="宋体" w:cs="宋体"/>
          <w:color w:val="auto"/>
          <w:w w:val="99"/>
          <w:sz w:val="24"/>
          <w:szCs w:val="24"/>
          <w:highlight w:val="none"/>
        </w:rPr>
      </w:pPr>
      <w:r>
        <w:rPr>
          <w:rFonts w:hint="eastAsia" w:ascii="宋体" w:hAnsi="宋体" w:eastAsia="宋体" w:cs="宋体"/>
          <w:color w:val="auto"/>
          <w:sz w:val="24"/>
          <w:szCs w:val="24"/>
          <w:highlight w:val="none"/>
          <w:u w:val="single"/>
        </w:rPr>
        <w:t>（ 标 的 名 称 ）</w:t>
      </w:r>
      <w:r>
        <w:rPr>
          <w:rFonts w:hint="eastAsia" w:ascii="宋体" w:hAnsi="宋体" w:eastAsia="宋体" w:cs="宋体"/>
          <w:color w:val="auto"/>
          <w:sz w:val="24"/>
          <w:szCs w:val="24"/>
          <w:highlight w:val="none"/>
        </w:rPr>
        <w:t xml:space="preserve">，属 于 （ </w:t>
      </w:r>
      <w:r>
        <w:rPr>
          <w:rFonts w:hint="eastAsia" w:ascii="宋体" w:hAnsi="宋体" w:eastAsia="宋体" w:cs="宋体"/>
          <w:color w:val="auto"/>
          <w:sz w:val="24"/>
          <w:szCs w:val="24"/>
          <w:highlight w:val="none"/>
          <w:u w:val="single"/>
        </w:rPr>
        <w:t>采 购 文 件 中 明 确 的 所 属 行 业 ）行业</w:t>
      </w:r>
      <w:r>
        <w:rPr>
          <w:rFonts w:hint="eastAsia" w:ascii="宋体" w:hAnsi="宋体" w:eastAsia="宋体" w:cs="宋体"/>
          <w:color w:val="auto"/>
          <w:w w:val="99"/>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2CB1BBD">
      <w:pPr>
        <w:pStyle w:val="9"/>
        <w:numPr>
          <w:ilvl w:val="0"/>
          <w:numId w:val="8"/>
        </w:numPr>
        <w:adjustRightInd w:val="0"/>
        <w:snapToGrid w:val="0"/>
        <w:spacing w:before="55" w:line="360" w:lineRule="auto"/>
        <w:ind w:left="220" w:right="415" w:firstLine="6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标 的 名 称 ）</w:t>
      </w:r>
      <w:r>
        <w:rPr>
          <w:rFonts w:hint="eastAsia" w:ascii="宋体" w:hAnsi="宋体" w:eastAsia="宋体" w:cs="宋体"/>
          <w:color w:val="auto"/>
          <w:sz w:val="24"/>
          <w:szCs w:val="24"/>
          <w:highlight w:val="none"/>
        </w:rPr>
        <w:t xml:space="preserve"> ， 属 于 （ </w:t>
      </w:r>
      <w:r>
        <w:rPr>
          <w:rFonts w:hint="eastAsia" w:ascii="宋体" w:hAnsi="宋体" w:eastAsia="宋体" w:cs="宋体"/>
          <w:color w:val="auto"/>
          <w:sz w:val="24"/>
          <w:szCs w:val="24"/>
          <w:highlight w:val="none"/>
          <w:u w:val="single"/>
        </w:rPr>
        <w:t>采 购 文 件 中 明 确 的 所 属 行 业 ）行业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BB2A1F1">
      <w:pPr>
        <w:pStyle w:val="9"/>
        <w:adjustRightInd w:val="0"/>
        <w:snapToGrid w:val="0"/>
        <w:spacing w:line="360" w:lineRule="auto"/>
        <w:ind w:left="8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6403C5F">
      <w:pPr>
        <w:pStyle w:val="9"/>
        <w:adjustRightInd w:val="0"/>
        <w:snapToGrid w:val="0"/>
        <w:spacing w:before="105" w:line="360" w:lineRule="auto"/>
        <w:ind w:right="417" w:firstLine="645"/>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以上企业，不属于大企业的分支机构，不存在控股股东</w:t>
      </w:r>
      <w:r>
        <w:rPr>
          <w:rFonts w:hint="eastAsia" w:ascii="宋体" w:hAnsi="宋体" w:eastAsia="宋体" w:cs="宋体"/>
          <w:color w:val="auto"/>
          <w:spacing w:val="-5"/>
          <w:sz w:val="24"/>
          <w:szCs w:val="24"/>
          <w:highlight w:val="none"/>
        </w:rPr>
        <w:t>为大企业的情形，也不存在与大企业的负责人为同一人的情形。</w:t>
      </w:r>
    </w:p>
    <w:p w14:paraId="0A95A361">
      <w:pPr>
        <w:pStyle w:val="9"/>
        <w:adjustRightInd w:val="0"/>
        <w:snapToGrid w:val="0"/>
        <w:spacing w:line="360" w:lineRule="auto"/>
        <w:ind w:right="372" w:firstLine="64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442B3BB">
      <w:pPr>
        <w:pStyle w:val="9"/>
        <w:tabs>
          <w:tab w:val="left" w:pos="4678"/>
        </w:tabs>
        <w:spacing w:before="108" w:line="360" w:lineRule="auto"/>
        <w:ind w:right="4026" w:firstLine="645"/>
        <w:jc w:val="right"/>
        <w:rPr>
          <w:rFonts w:ascii="宋体" w:hAnsi="宋体" w:eastAsia="宋体" w:cs="宋体"/>
          <w:color w:val="auto"/>
          <w:spacing w:val="24"/>
          <w:sz w:val="24"/>
          <w:szCs w:val="24"/>
          <w:highlight w:val="none"/>
        </w:rPr>
      </w:pPr>
      <w:r>
        <w:rPr>
          <w:rFonts w:hint="eastAsia" w:ascii="宋体" w:hAnsi="宋体" w:eastAsia="宋体" w:cs="宋体"/>
          <w:color w:val="auto"/>
          <w:spacing w:val="24"/>
          <w:sz w:val="24"/>
          <w:szCs w:val="24"/>
          <w:highlight w:val="none"/>
        </w:rPr>
        <w:t>企业名称（盖章）：</w:t>
      </w:r>
    </w:p>
    <w:p w14:paraId="783046B7">
      <w:pPr>
        <w:pStyle w:val="9"/>
        <w:tabs>
          <w:tab w:val="left" w:pos="4678"/>
        </w:tabs>
        <w:spacing w:before="108" w:line="360" w:lineRule="auto"/>
        <w:ind w:right="5443" w:firstLine="645"/>
        <w:jc w:val="right"/>
        <w:rPr>
          <w:rFonts w:ascii="宋体" w:hAnsi="宋体" w:eastAsia="宋体" w:cs="宋体"/>
          <w:color w:val="auto"/>
          <w:spacing w:val="-5"/>
          <w:sz w:val="24"/>
          <w:szCs w:val="24"/>
          <w:highlight w:val="none"/>
        </w:rPr>
      </w:pPr>
      <w:r>
        <w:rPr>
          <w:rFonts w:hint="eastAsia" w:ascii="宋体" w:hAnsi="宋体" w:eastAsia="宋体" w:cs="宋体"/>
          <w:color w:val="auto"/>
          <w:spacing w:val="24"/>
          <w:sz w:val="24"/>
          <w:szCs w:val="24"/>
          <w:highlight w:val="none"/>
        </w:rPr>
        <w:t>日期：</w:t>
      </w:r>
    </w:p>
    <w:p w14:paraId="22CA7D54">
      <w:pPr>
        <w:rPr>
          <w:rFonts w:ascii="宋体" w:hAnsi="宋体" w:eastAsia="宋体" w:cs="宋体"/>
          <w:color w:val="auto"/>
          <w:sz w:val="24"/>
          <w:szCs w:val="24"/>
          <w:highlight w:val="none"/>
        </w:rPr>
      </w:pPr>
    </w:p>
    <w:p w14:paraId="2CDF3D64">
      <w:p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279ED5D9">
      <w:pPr>
        <w:spacing w:line="312" w:lineRule="auto"/>
        <w:rPr>
          <w:rFonts w:hint="eastAsia" w:ascii="宋体" w:hAnsi="宋体" w:eastAsia="宋体" w:cs="宋体"/>
          <w:color w:val="auto"/>
          <w:sz w:val="24"/>
          <w:szCs w:val="24"/>
          <w:highlight w:val="none"/>
        </w:rPr>
      </w:pPr>
    </w:p>
    <w:p w14:paraId="2BC6BB2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662A44C">
      <w:pPr>
        <w:ind w:firstLine="405"/>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中小企业划型标准规定</w:t>
      </w:r>
    </w:p>
    <w:p w14:paraId="7BF07CF0">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一、根据《中华人民共和国中小企业促进法》和《国务院关于进一步促进中小企业发展的若干意见》(国发〔2009〕36号)，制定本规定。</w:t>
      </w:r>
    </w:p>
    <w:p w14:paraId="773CEDE0">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二、中小企业划分为中型、小型、微型三种类型，具体标准根据企业从业人员、营业收入、资产总额等指标，结合行业特点制定。</w:t>
      </w:r>
    </w:p>
    <w:p w14:paraId="69BEC1F4">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093B9B5">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四、各行业划型标准为：</w:t>
      </w:r>
    </w:p>
    <w:p w14:paraId="3F36A307">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45CE617D">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44A5EE">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DE4D908">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5D77E2">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813CEF1">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27B8F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072ACE">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A016C0">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C7EAE6">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1DA690">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36A23DD">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D8D1E3">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7E32E8">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AB7555">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519D57">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11008D4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五、企业类型的划分以统计部门的统计数据为依据。</w:t>
      </w:r>
    </w:p>
    <w:p w14:paraId="1FEAFF6D">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六、本规定适用于在中华人民共和国境内依法设立的各类所有制和各种组织形式的企业。个体工商户和本规定以外的行业，参照本规定进行划型。</w:t>
      </w:r>
    </w:p>
    <w:p w14:paraId="5CFB0D4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9528393">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八、本规定由工业和信息化部、国家统计局会同有关部门根据《国民经济行业分类》修订情况和企业发展变化情况适时修订。</w:t>
      </w:r>
    </w:p>
    <w:p w14:paraId="1B1CC608">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九、本规定由工业和信息化部、国家统计局会同有关部门负责解释。</w:t>
      </w:r>
    </w:p>
    <w:p w14:paraId="6CC61B2C">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十、本规定自发布之日起执行，原国家经贸委、原国家计委、财政部和国家统计局2003年颁布的《中小企业标准暂行规定》同时废止。</w:t>
      </w:r>
    </w:p>
    <w:p w14:paraId="08CCF00B">
      <w:pPr>
        <w:pStyle w:val="20"/>
        <w:ind w:left="420" w:firstLine="0"/>
        <w:rPr>
          <w:color w:val="FF0000"/>
          <w:highlight w:val="none"/>
        </w:rPr>
      </w:pPr>
    </w:p>
    <w:bookmarkEnd w:id="89"/>
    <w:bookmarkEnd w:id="90"/>
    <w:bookmarkEnd w:id="91"/>
    <w:bookmarkEnd w:id="92"/>
    <w:bookmarkEnd w:id="93"/>
    <w:bookmarkEnd w:id="94"/>
    <w:bookmarkEnd w:id="95"/>
    <w:p w14:paraId="3790DE66">
      <w:pPr>
        <w:pStyle w:val="20"/>
        <w:autoSpaceDN w:val="0"/>
        <w:adjustRightInd w:val="0"/>
        <w:snapToGrid w:val="0"/>
        <w:spacing w:line="360" w:lineRule="auto"/>
        <w:ind w:firstLine="0"/>
        <w:rPr>
          <w:rFonts w:cs="宋体" w:asciiTheme="majorEastAsia" w:hAnsiTheme="majorEastAsia" w:eastAsiaTheme="majorEastAsia"/>
          <w:szCs w:val="21"/>
          <w:highlight w:val="none"/>
        </w:rPr>
      </w:pPr>
    </w:p>
    <w:p w14:paraId="6E0BC3E2">
      <w:pPr>
        <w:spacing w:line="360" w:lineRule="auto"/>
        <w:rPr>
          <w:rFonts w:asciiTheme="majorEastAsia" w:hAnsiTheme="majorEastAsia" w:eastAsiaTheme="majorEastAsia"/>
          <w:highlight w:val="none"/>
        </w:rPr>
      </w:pPr>
    </w:p>
    <w:sectPr>
      <w:pgSz w:w="11906" w:h="16838"/>
      <w:pgMar w:top="1418" w:right="1418" w:bottom="1418"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95CF0AE-1DC6-4085-B5D0-97FE62F466DE}"/>
  </w:font>
  <w:font w:name="黑体">
    <w:panose1 w:val="02010609060101010101"/>
    <w:charset w:val="86"/>
    <w:family w:val="auto"/>
    <w:pitch w:val="default"/>
    <w:sig w:usb0="800002BF" w:usb1="38CF7CFA" w:usb2="00000016" w:usb3="00000000" w:csb0="00040001" w:csb1="00000000"/>
    <w:embedRegular r:id="rId2" w:fontKey="{EAB6884B-15E2-4455-AF41-9A55E35ACA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2F17307-38B5-4130-A1CC-06C3FE58E0F9}"/>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embedRegular r:id="rId4" w:fontKey="{94255BFA-9D5F-4F44-B310-5C6852A433F5}"/>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embedRegular r:id="rId5" w:fontKey="{33693DCA-BA29-4BD7-B6B8-E0B927FA0F6F}"/>
  </w:font>
  <w:font w:name="微软雅黑">
    <w:panose1 w:val="020B0503020204020204"/>
    <w:charset w:val="86"/>
    <w:family w:val="auto"/>
    <w:pitch w:val="default"/>
    <w:sig w:usb0="80000287" w:usb1="2ACF3C50" w:usb2="00000016" w:usb3="00000000" w:csb0="0004001F" w:csb1="00000000"/>
    <w:embedRegular r:id="rId6" w:fontKey="{F109BFF3-38F8-4B3D-BE79-D42805410B2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219231"/>
    </w:sdtPr>
    <w:sdtContent>
      <w:p w14:paraId="1A9C85F9">
        <w:pPr>
          <w:pStyle w:val="14"/>
          <w:jc w:val="center"/>
        </w:pPr>
        <w:r>
          <w:fldChar w:fldCharType="begin"/>
        </w:r>
        <w:r>
          <w:instrText xml:space="preserve">PAGE   \* MERGEFORMAT</w:instrText>
        </w:r>
        <w:r>
          <w:fldChar w:fldCharType="separate"/>
        </w:r>
        <w:r>
          <w:rPr>
            <w:lang w:val="zh-CN"/>
          </w:rPr>
          <w:t>20</w:t>
        </w:r>
        <w:r>
          <w:fldChar w:fldCharType="end"/>
        </w:r>
      </w:p>
    </w:sdtContent>
  </w:sdt>
  <w:p w14:paraId="29824E23">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DAA3E"/>
    <w:multiLevelType w:val="multilevel"/>
    <w:tmpl w:val="9E5DAA3E"/>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9C1DC23"/>
    <w:multiLevelType w:val="singleLevel"/>
    <w:tmpl w:val="C9C1DC23"/>
    <w:lvl w:ilvl="0" w:tentative="0">
      <w:start w:val="1"/>
      <w:numFmt w:val="chineseCounting"/>
      <w:suff w:val="space"/>
      <w:lvlText w:val="第%1部分"/>
      <w:lvlJc w:val="left"/>
      <w:rPr>
        <w:rFonts w:hint="eastAsia"/>
      </w:rPr>
    </w:lvl>
  </w:abstractNum>
  <w:abstractNum w:abstractNumId="2">
    <w:nsid w:val="DF9BF32D"/>
    <w:multiLevelType w:val="singleLevel"/>
    <w:tmpl w:val="DF9BF32D"/>
    <w:lvl w:ilvl="0" w:tentative="0">
      <w:start w:val="1"/>
      <w:numFmt w:val="decimal"/>
      <w:suff w:val="nothing"/>
      <w:lvlText w:val="%1、"/>
      <w:lvlJc w:val="left"/>
    </w:lvl>
  </w:abstractNum>
  <w:abstractNum w:abstractNumId="3">
    <w:nsid w:val="E2225E4B"/>
    <w:multiLevelType w:val="multilevel"/>
    <w:tmpl w:val="E2225E4B"/>
    <w:lvl w:ilvl="0" w:tentative="0">
      <w:start w:val="19"/>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7"/>
    <w:multiLevelType w:val="multilevel"/>
    <w:tmpl w:val="0000000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E"/>
    <w:multiLevelType w:val="multilevel"/>
    <w:tmpl w:val="0000000E"/>
    <w:lvl w:ilvl="0" w:tentative="0">
      <w:start w:val="1"/>
      <w:numFmt w:val="bullet"/>
      <w:pStyle w:val="3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2C8680DB"/>
    <w:multiLevelType w:val="singleLevel"/>
    <w:tmpl w:val="2C8680DB"/>
    <w:lvl w:ilvl="0" w:tentative="0">
      <w:start w:val="1"/>
      <w:numFmt w:val="decimal"/>
      <w:suff w:val="space"/>
      <w:lvlText w:val="%1."/>
      <w:lvlJc w:val="left"/>
    </w:lvl>
  </w:abstractNum>
  <w:abstractNum w:abstractNumId="7">
    <w:nsid w:val="33092639"/>
    <w:multiLevelType w:val="multilevel"/>
    <w:tmpl w:val="33092639"/>
    <w:lvl w:ilvl="0" w:tentative="0">
      <w:start w:val="1"/>
      <w:numFmt w:val="decimal"/>
      <w:lvlText w:val="（%1）"/>
      <w:lvlJc w:val="left"/>
      <w:pPr>
        <w:tabs>
          <w:tab w:val="left" w:pos="1080"/>
        </w:tabs>
        <w:ind w:left="1080" w:hanging="600"/>
      </w:pPr>
      <w:rPr>
        <w:caps w:val="0"/>
        <w:smallCap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1"/>
  </w:num>
  <w:num w:numId="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OTVjY2UxNmUxNTY1ZjUyNmExNTc5YjI4NWQ5ZDkifQ=="/>
  </w:docVars>
  <w:rsids>
    <w:rsidRoot w:val="004E4293"/>
    <w:rsid w:val="0001071C"/>
    <w:rsid w:val="000120F7"/>
    <w:rsid w:val="000122DE"/>
    <w:rsid w:val="0002010B"/>
    <w:rsid w:val="00032BBE"/>
    <w:rsid w:val="00034009"/>
    <w:rsid w:val="00087A8A"/>
    <w:rsid w:val="000A67CF"/>
    <w:rsid w:val="000C10FC"/>
    <w:rsid w:val="000D3DC2"/>
    <w:rsid w:val="00103AF3"/>
    <w:rsid w:val="00114236"/>
    <w:rsid w:val="00115C43"/>
    <w:rsid w:val="001263F8"/>
    <w:rsid w:val="001771B5"/>
    <w:rsid w:val="001F7D2B"/>
    <w:rsid w:val="002315C7"/>
    <w:rsid w:val="0024211E"/>
    <w:rsid w:val="00280082"/>
    <w:rsid w:val="00286015"/>
    <w:rsid w:val="00286F15"/>
    <w:rsid w:val="002D1A6A"/>
    <w:rsid w:val="002F608D"/>
    <w:rsid w:val="003016F3"/>
    <w:rsid w:val="00335059"/>
    <w:rsid w:val="00337B8C"/>
    <w:rsid w:val="00344978"/>
    <w:rsid w:val="00366F4A"/>
    <w:rsid w:val="0037225C"/>
    <w:rsid w:val="00396FB3"/>
    <w:rsid w:val="00420AE2"/>
    <w:rsid w:val="004500D8"/>
    <w:rsid w:val="004575F6"/>
    <w:rsid w:val="0047104C"/>
    <w:rsid w:val="00480EA1"/>
    <w:rsid w:val="004C0F25"/>
    <w:rsid w:val="004E4293"/>
    <w:rsid w:val="004F41FC"/>
    <w:rsid w:val="005467D2"/>
    <w:rsid w:val="00574106"/>
    <w:rsid w:val="00586822"/>
    <w:rsid w:val="005D0B5E"/>
    <w:rsid w:val="005D47D8"/>
    <w:rsid w:val="005D4A37"/>
    <w:rsid w:val="006206F6"/>
    <w:rsid w:val="00651E84"/>
    <w:rsid w:val="00666D27"/>
    <w:rsid w:val="00675847"/>
    <w:rsid w:val="006A6CF0"/>
    <w:rsid w:val="006D6617"/>
    <w:rsid w:val="00710146"/>
    <w:rsid w:val="00723AD3"/>
    <w:rsid w:val="00737B4A"/>
    <w:rsid w:val="00761FAF"/>
    <w:rsid w:val="0077172C"/>
    <w:rsid w:val="0077466B"/>
    <w:rsid w:val="007D36FA"/>
    <w:rsid w:val="007E439C"/>
    <w:rsid w:val="007F2DBA"/>
    <w:rsid w:val="00806CA6"/>
    <w:rsid w:val="00823577"/>
    <w:rsid w:val="0084393E"/>
    <w:rsid w:val="00893FB3"/>
    <w:rsid w:val="008E15EF"/>
    <w:rsid w:val="008E35B1"/>
    <w:rsid w:val="00900D59"/>
    <w:rsid w:val="00925E1D"/>
    <w:rsid w:val="00926854"/>
    <w:rsid w:val="009610BD"/>
    <w:rsid w:val="009D66E6"/>
    <w:rsid w:val="009F0EFB"/>
    <w:rsid w:val="00A0479D"/>
    <w:rsid w:val="00A25CF7"/>
    <w:rsid w:val="00A57413"/>
    <w:rsid w:val="00A67742"/>
    <w:rsid w:val="00A9339A"/>
    <w:rsid w:val="00AB5FC8"/>
    <w:rsid w:val="00AC1061"/>
    <w:rsid w:val="00AE5F46"/>
    <w:rsid w:val="00B23D26"/>
    <w:rsid w:val="00B75097"/>
    <w:rsid w:val="00B97DB7"/>
    <w:rsid w:val="00C044C1"/>
    <w:rsid w:val="00C105E3"/>
    <w:rsid w:val="00C6731F"/>
    <w:rsid w:val="00C96793"/>
    <w:rsid w:val="00D453A1"/>
    <w:rsid w:val="00D55199"/>
    <w:rsid w:val="00D61470"/>
    <w:rsid w:val="00D61850"/>
    <w:rsid w:val="00D81511"/>
    <w:rsid w:val="00D82CB3"/>
    <w:rsid w:val="00DA1637"/>
    <w:rsid w:val="00DE4E58"/>
    <w:rsid w:val="00DF7C1E"/>
    <w:rsid w:val="00E0264C"/>
    <w:rsid w:val="00E029F6"/>
    <w:rsid w:val="00E612D7"/>
    <w:rsid w:val="00ED2FE7"/>
    <w:rsid w:val="00F30CEA"/>
    <w:rsid w:val="00F66713"/>
    <w:rsid w:val="00F97710"/>
    <w:rsid w:val="00FC3DA4"/>
    <w:rsid w:val="012A6BDB"/>
    <w:rsid w:val="014929F9"/>
    <w:rsid w:val="016C2DD1"/>
    <w:rsid w:val="01EC0334"/>
    <w:rsid w:val="01F86983"/>
    <w:rsid w:val="023922D5"/>
    <w:rsid w:val="028B77E6"/>
    <w:rsid w:val="02E62FD5"/>
    <w:rsid w:val="035717DD"/>
    <w:rsid w:val="03AA50AA"/>
    <w:rsid w:val="040E7907"/>
    <w:rsid w:val="04F9731B"/>
    <w:rsid w:val="04FE17BB"/>
    <w:rsid w:val="05087233"/>
    <w:rsid w:val="051060E7"/>
    <w:rsid w:val="051C6B03"/>
    <w:rsid w:val="05481ECC"/>
    <w:rsid w:val="059D011D"/>
    <w:rsid w:val="06464014"/>
    <w:rsid w:val="067D3FAA"/>
    <w:rsid w:val="06FF2B5E"/>
    <w:rsid w:val="07275FE6"/>
    <w:rsid w:val="072B0FB7"/>
    <w:rsid w:val="082A3964"/>
    <w:rsid w:val="08607386"/>
    <w:rsid w:val="087B7D1C"/>
    <w:rsid w:val="089F6A81"/>
    <w:rsid w:val="094D790A"/>
    <w:rsid w:val="099B52D2"/>
    <w:rsid w:val="0A326B00"/>
    <w:rsid w:val="0A7669ED"/>
    <w:rsid w:val="0A8530D4"/>
    <w:rsid w:val="0AAE6F4A"/>
    <w:rsid w:val="0ADD79D4"/>
    <w:rsid w:val="0B0E675C"/>
    <w:rsid w:val="0B2B77D7"/>
    <w:rsid w:val="0B903ADE"/>
    <w:rsid w:val="0B974417"/>
    <w:rsid w:val="0BB661C4"/>
    <w:rsid w:val="0C013421"/>
    <w:rsid w:val="0C0A5403"/>
    <w:rsid w:val="0C160E49"/>
    <w:rsid w:val="0C913FB2"/>
    <w:rsid w:val="0CE749CF"/>
    <w:rsid w:val="0D216C26"/>
    <w:rsid w:val="0E230F94"/>
    <w:rsid w:val="0E6878DB"/>
    <w:rsid w:val="0E724F12"/>
    <w:rsid w:val="0E8E5BB1"/>
    <w:rsid w:val="0E924011"/>
    <w:rsid w:val="0ED120DC"/>
    <w:rsid w:val="0F543075"/>
    <w:rsid w:val="0F615EBD"/>
    <w:rsid w:val="0F7223AC"/>
    <w:rsid w:val="0FAE6C29"/>
    <w:rsid w:val="0FCE72CB"/>
    <w:rsid w:val="0FF0099F"/>
    <w:rsid w:val="100D7DF3"/>
    <w:rsid w:val="10345380"/>
    <w:rsid w:val="10BE733F"/>
    <w:rsid w:val="10F16A18"/>
    <w:rsid w:val="113A4C18"/>
    <w:rsid w:val="123C5B74"/>
    <w:rsid w:val="12486EC1"/>
    <w:rsid w:val="12655CC4"/>
    <w:rsid w:val="12D1335A"/>
    <w:rsid w:val="12D22C2E"/>
    <w:rsid w:val="13363E28"/>
    <w:rsid w:val="1359595C"/>
    <w:rsid w:val="137B76C4"/>
    <w:rsid w:val="13947750"/>
    <w:rsid w:val="13D1738A"/>
    <w:rsid w:val="14411E19"/>
    <w:rsid w:val="144225DA"/>
    <w:rsid w:val="146975C2"/>
    <w:rsid w:val="148F7398"/>
    <w:rsid w:val="14A863B0"/>
    <w:rsid w:val="1543751C"/>
    <w:rsid w:val="1594241D"/>
    <w:rsid w:val="159863B1"/>
    <w:rsid w:val="15E870AD"/>
    <w:rsid w:val="1606156C"/>
    <w:rsid w:val="1635775C"/>
    <w:rsid w:val="16774AD3"/>
    <w:rsid w:val="16BD5722"/>
    <w:rsid w:val="16BF1B07"/>
    <w:rsid w:val="1778161B"/>
    <w:rsid w:val="18320F41"/>
    <w:rsid w:val="18DC2587"/>
    <w:rsid w:val="18E63044"/>
    <w:rsid w:val="19D96F98"/>
    <w:rsid w:val="1A0B1C7C"/>
    <w:rsid w:val="1A28436D"/>
    <w:rsid w:val="1B2A7AAB"/>
    <w:rsid w:val="1B3A5814"/>
    <w:rsid w:val="1B9B6CB9"/>
    <w:rsid w:val="1BC25F36"/>
    <w:rsid w:val="1BD17F27"/>
    <w:rsid w:val="1CE1785A"/>
    <w:rsid w:val="1CE523DD"/>
    <w:rsid w:val="1D50131F"/>
    <w:rsid w:val="1D5A219E"/>
    <w:rsid w:val="1E1265D5"/>
    <w:rsid w:val="1E786D7F"/>
    <w:rsid w:val="1F745799"/>
    <w:rsid w:val="1FA04D1F"/>
    <w:rsid w:val="1FC16504"/>
    <w:rsid w:val="2039253E"/>
    <w:rsid w:val="20A67DD2"/>
    <w:rsid w:val="20BD316F"/>
    <w:rsid w:val="20F47B12"/>
    <w:rsid w:val="215C44EF"/>
    <w:rsid w:val="216C7510"/>
    <w:rsid w:val="217B7008"/>
    <w:rsid w:val="21A0435F"/>
    <w:rsid w:val="21E76E07"/>
    <w:rsid w:val="21FB3F4F"/>
    <w:rsid w:val="2220125A"/>
    <w:rsid w:val="22DD18A7"/>
    <w:rsid w:val="23502079"/>
    <w:rsid w:val="23E32EED"/>
    <w:rsid w:val="24066BDB"/>
    <w:rsid w:val="24561BA5"/>
    <w:rsid w:val="250A26FB"/>
    <w:rsid w:val="256040C9"/>
    <w:rsid w:val="25E32545"/>
    <w:rsid w:val="25F92418"/>
    <w:rsid w:val="26166C9F"/>
    <w:rsid w:val="269009DE"/>
    <w:rsid w:val="27723B5D"/>
    <w:rsid w:val="27A73335"/>
    <w:rsid w:val="27C2106B"/>
    <w:rsid w:val="27D05536"/>
    <w:rsid w:val="282249EF"/>
    <w:rsid w:val="285C501C"/>
    <w:rsid w:val="28862066"/>
    <w:rsid w:val="289C366A"/>
    <w:rsid w:val="28B6093F"/>
    <w:rsid w:val="29483B1A"/>
    <w:rsid w:val="2A9E4C98"/>
    <w:rsid w:val="2B970537"/>
    <w:rsid w:val="2C7D37B3"/>
    <w:rsid w:val="2CE73597"/>
    <w:rsid w:val="2E5642BC"/>
    <w:rsid w:val="2E877616"/>
    <w:rsid w:val="2E895C66"/>
    <w:rsid w:val="2EA94D33"/>
    <w:rsid w:val="2EFF3E2F"/>
    <w:rsid w:val="2F266F2E"/>
    <w:rsid w:val="2F910795"/>
    <w:rsid w:val="2FBF5A9F"/>
    <w:rsid w:val="30156353"/>
    <w:rsid w:val="30156655"/>
    <w:rsid w:val="301663F8"/>
    <w:rsid w:val="304D174B"/>
    <w:rsid w:val="305B02AF"/>
    <w:rsid w:val="30F13885"/>
    <w:rsid w:val="314761D5"/>
    <w:rsid w:val="316E4ADA"/>
    <w:rsid w:val="31794E91"/>
    <w:rsid w:val="31B2147D"/>
    <w:rsid w:val="32180206"/>
    <w:rsid w:val="326D3BB2"/>
    <w:rsid w:val="32976B82"/>
    <w:rsid w:val="33920BA3"/>
    <w:rsid w:val="339F04B3"/>
    <w:rsid w:val="34B1049E"/>
    <w:rsid w:val="34EC6639"/>
    <w:rsid w:val="34F80B2E"/>
    <w:rsid w:val="35007712"/>
    <w:rsid w:val="37125937"/>
    <w:rsid w:val="373214A8"/>
    <w:rsid w:val="37533A8E"/>
    <w:rsid w:val="37BA069C"/>
    <w:rsid w:val="37F343F6"/>
    <w:rsid w:val="385B1872"/>
    <w:rsid w:val="387463B2"/>
    <w:rsid w:val="388D1222"/>
    <w:rsid w:val="38B93103"/>
    <w:rsid w:val="397F500E"/>
    <w:rsid w:val="39E81604"/>
    <w:rsid w:val="3A266896"/>
    <w:rsid w:val="3AA06FEA"/>
    <w:rsid w:val="3ACD0AB3"/>
    <w:rsid w:val="3AF37A62"/>
    <w:rsid w:val="3B084D8C"/>
    <w:rsid w:val="3B20486E"/>
    <w:rsid w:val="3B826B03"/>
    <w:rsid w:val="3B8F5346"/>
    <w:rsid w:val="3BEE0DEC"/>
    <w:rsid w:val="3C236125"/>
    <w:rsid w:val="3D01019F"/>
    <w:rsid w:val="3D020C32"/>
    <w:rsid w:val="3D672041"/>
    <w:rsid w:val="3D956BAE"/>
    <w:rsid w:val="3DF620B2"/>
    <w:rsid w:val="3EB63280"/>
    <w:rsid w:val="3EC05EAD"/>
    <w:rsid w:val="3F676329"/>
    <w:rsid w:val="3F8241B8"/>
    <w:rsid w:val="3FB2368A"/>
    <w:rsid w:val="3FCD75B4"/>
    <w:rsid w:val="3FF43934"/>
    <w:rsid w:val="4000519B"/>
    <w:rsid w:val="401114DC"/>
    <w:rsid w:val="40D23C76"/>
    <w:rsid w:val="416829D0"/>
    <w:rsid w:val="41BD66D4"/>
    <w:rsid w:val="423334A7"/>
    <w:rsid w:val="423A5F76"/>
    <w:rsid w:val="42B20202"/>
    <w:rsid w:val="42C700D1"/>
    <w:rsid w:val="42E01249"/>
    <w:rsid w:val="43482915"/>
    <w:rsid w:val="43604900"/>
    <w:rsid w:val="436C46B2"/>
    <w:rsid w:val="43C24475"/>
    <w:rsid w:val="43D536EE"/>
    <w:rsid w:val="43D56AEB"/>
    <w:rsid w:val="448160DE"/>
    <w:rsid w:val="44960000"/>
    <w:rsid w:val="44A042A4"/>
    <w:rsid w:val="44C30956"/>
    <w:rsid w:val="44D35277"/>
    <w:rsid w:val="44F63112"/>
    <w:rsid w:val="457D238B"/>
    <w:rsid w:val="45B600BC"/>
    <w:rsid w:val="45CC5137"/>
    <w:rsid w:val="45ED50AE"/>
    <w:rsid w:val="45F44B10"/>
    <w:rsid w:val="4601581B"/>
    <w:rsid w:val="46131644"/>
    <w:rsid w:val="461E4767"/>
    <w:rsid w:val="46230D75"/>
    <w:rsid w:val="46236D21"/>
    <w:rsid w:val="4751250A"/>
    <w:rsid w:val="47A0687C"/>
    <w:rsid w:val="487049E7"/>
    <w:rsid w:val="489D0DAF"/>
    <w:rsid w:val="48DF1625"/>
    <w:rsid w:val="4924255B"/>
    <w:rsid w:val="4A694B0A"/>
    <w:rsid w:val="4A9A1CA8"/>
    <w:rsid w:val="4C6F0F12"/>
    <w:rsid w:val="4C703F73"/>
    <w:rsid w:val="4C906126"/>
    <w:rsid w:val="4DFC0584"/>
    <w:rsid w:val="4F5440CA"/>
    <w:rsid w:val="4F653170"/>
    <w:rsid w:val="4F8A763E"/>
    <w:rsid w:val="508336AE"/>
    <w:rsid w:val="50884CD3"/>
    <w:rsid w:val="512F2A1E"/>
    <w:rsid w:val="51736DAF"/>
    <w:rsid w:val="51AF01EA"/>
    <w:rsid w:val="51FE1B02"/>
    <w:rsid w:val="52705E6E"/>
    <w:rsid w:val="52845D42"/>
    <w:rsid w:val="5322669A"/>
    <w:rsid w:val="53645947"/>
    <w:rsid w:val="53935A28"/>
    <w:rsid w:val="53C438F2"/>
    <w:rsid w:val="544A094B"/>
    <w:rsid w:val="54D55766"/>
    <w:rsid w:val="54D83366"/>
    <w:rsid w:val="552F123F"/>
    <w:rsid w:val="55765A37"/>
    <w:rsid w:val="55A41C2D"/>
    <w:rsid w:val="55DA5EC1"/>
    <w:rsid w:val="56ED315F"/>
    <w:rsid w:val="57A70A27"/>
    <w:rsid w:val="57C93BCD"/>
    <w:rsid w:val="57D911BD"/>
    <w:rsid w:val="58F307D5"/>
    <w:rsid w:val="5914772F"/>
    <w:rsid w:val="594C6863"/>
    <w:rsid w:val="5A24333C"/>
    <w:rsid w:val="5A481AF4"/>
    <w:rsid w:val="5B01542B"/>
    <w:rsid w:val="5B465534"/>
    <w:rsid w:val="5B4F74CF"/>
    <w:rsid w:val="5B911B87"/>
    <w:rsid w:val="5BA02E96"/>
    <w:rsid w:val="5BBB382C"/>
    <w:rsid w:val="5C1650EC"/>
    <w:rsid w:val="5D6323CD"/>
    <w:rsid w:val="5D852344"/>
    <w:rsid w:val="5DCD5A99"/>
    <w:rsid w:val="5DCF50F2"/>
    <w:rsid w:val="5DD64F4D"/>
    <w:rsid w:val="5E3478C6"/>
    <w:rsid w:val="5F067EBB"/>
    <w:rsid w:val="5F357D99"/>
    <w:rsid w:val="5F36141C"/>
    <w:rsid w:val="5FA06B3F"/>
    <w:rsid w:val="5FBB125B"/>
    <w:rsid w:val="5FDA449D"/>
    <w:rsid w:val="60025ECE"/>
    <w:rsid w:val="602A5424"/>
    <w:rsid w:val="602C6773"/>
    <w:rsid w:val="60815131"/>
    <w:rsid w:val="60BB7E2A"/>
    <w:rsid w:val="61483DB4"/>
    <w:rsid w:val="614D57CA"/>
    <w:rsid w:val="6154366A"/>
    <w:rsid w:val="617B4C91"/>
    <w:rsid w:val="618D5C6B"/>
    <w:rsid w:val="618D5FBE"/>
    <w:rsid w:val="61FB0E26"/>
    <w:rsid w:val="62141C74"/>
    <w:rsid w:val="62822B5C"/>
    <w:rsid w:val="62B9483E"/>
    <w:rsid w:val="63614B3B"/>
    <w:rsid w:val="637B3013"/>
    <w:rsid w:val="639A288A"/>
    <w:rsid w:val="63C37456"/>
    <w:rsid w:val="642503DD"/>
    <w:rsid w:val="64276722"/>
    <w:rsid w:val="643B19AE"/>
    <w:rsid w:val="64713622"/>
    <w:rsid w:val="647629E6"/>
    <w:rsid w:val="64CC0858"/>
    <w:rsid w:val="64F92C6C"/>
    <w:rsid w:val="655A064E"/>
    <w:rsid w:val="65D976D1"/>
    <w:rsid w:val="66723681"/>
    <w:rsid w:val="6760797E"/>
    <w:rsid w:val="67613F08"/>
    <w:rsid w:val="67A07D7A"/>
    <w:rsid w:val="67E628CF"/>
    <w:rsid w:val="681E2922"/>
    <w:rsid w:val="681F1B75"/>
    <w:rsid w:val="68AC6EFD"/>
    <w:rsid w:val="68B40352"/>
    <w:rsid w:val="68D30FAC"/>
    <w:rsid w:val="68DB3760"/>
    <w:rsid w:val="691B236A"/>
    <w:rsid w:val="6948013B"/>
    <w:rsid w:val="69650C92"/>
    <w:rsid w:val="696A3312"/>
    <w:rsid w:val="697D65C5"/>
    <w:rsid w:val="69A017BB"/>
    <w:rsid w:val="69D85446"/>
    <w:rsid w:val="69FC398E"/>
    <w:rsid w:val="6A184540"/>
    <w:rsid w:val="6A554E4C"/>
    <w:rsid w:val="6A5A7287"/>
    <w:rsid w:val="6A633A0D"/>
    <w:rsid w:val="6A8E65B0"/>
    <w:rsid w:val="6AD42215"/>
    <w:rsid w:val="6AE24404"/>
    <w:rsid w:val="6B995EB2"/>
    <w:rsid w:val="6C094140"/>
    <w:rsid w:val="6C0F62EF"/>
    <w:rsid w:val="6C16685D"/>
    <w:rsid w:val="6C5A2BED"/>
    <w:rsid w:val="6CB57E24"/>
    <w:rsid w:val="6CCA6732"/>
    <w:rsid w:val="6D0A1128"/>
    <w:rsid w:val="6D3C0545"/>
    <w:rsid w:val="6D683DB4"/>
    <w:rsid w:val="6D8B4F44"/>
    <w:rsid w:val="6DFE5138"/>
    <w:rsid w:val="6E0830F2"/>
    <w:rsid w:val="6E310F56"/>
    <w:rsid w:val="6E573888"/>
    <w:rsid w:val="6E645FA5"/>
    <w:rsid w:val="6EEF3B29"/>
    <w:rsid w:val="6EF4623C"/>
    <w:rsid w:val="6F1E7F02"/>
    <w:rsid w:val="6FB645DF"/>
    <w:rsid w:val="6FED4213"/>
    <w:rsid w:val="70AC5403"/>
    <w:rsid w:val="70ED5389"/>
    <w:rsid w:val="71C87F80"/>
    <w:rsid w:val="71F774D7"/>
    <w:rsid w:val="71FC36C2"/>
    <w:rsid w:val="729B5A81"/>
    <w:rsid w:val="733C6A14"/>
    <w:rsid w:val="7343585C"/>
    <w:rsid w:val="7375030D"/>
    <w:rsid w:val="73F25E01"/>
    <w:rsid w:val="7435095C"/>
    <w:rsid w:val="75021F92"/>
    <w:rsid w:val="75096F5F"/>
    <w:rsid w:val="751D6EF6"/>
    <w:rsid w:val="75C94940"/>
    <w:rsid w:val="76120095"/>
    <w:rsid w:val="761C0F14"/>
    <w:rsid w:val="762277A6"/>
    <w:rsid w:val="76360227"/>
    <w:rsid w:val="765B7164"/>
    <w:rsid w:val="76880357"/>
    <w:rsid w:val="76AF7FDA"/>
    <w:rsid w:val="770F2826"/>
    <w:rsid w:val="7726029C"/>
    <w:rsid w:val="773E47C6"/>
    <w:rsid w:val="77674410"/>
    <w:rsid w:val="77801471"/>
    <w:rsid w:val="786A41B8"/>
    <w:rsid w:val="78C76F30"/>
    <w:rsid w:val="795D3D1D"/>
    <w:rsid w:val="7A6D61E2"/>
    <w:rsid w:val="7AAF053F"/>
    <w:rsid w:val="7AC2652D"/>
    <w:rsid w:val="7B3F5C18"/>
    <w:rsid w:val="7B474C85"/>
    <w:rsid w:val="7BF00E78"/>
    <w:rsid w:val="7C0B4193"/>
    <w:rsid w:val="7D741635"/>
    <w:rsid w:val="7E20385C"/>
    <w:rsid w:val="7E4521C3"/>
    <w:rsid w:val="7F1548B4"/>
    <w:rsid w:val="7F1B26B0"/>
    <w:rsid w:val="7F4C286A"/>
    <w:rsid w:val="7F74591C"/>
    <w:rsid w:val="7F832E74"/>
    <w:rsid w:val="7F9B4A72"/>
    <w:rsid w:val="7FD76909"/>
    <w:rsid w:val="7FE729CC"/>
    <w:rsid w:val="7FF5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9"/>
    <w:pPr>
      <w:keepNext/>
      <w:keepLines/>
      <w:spacing w:before="340" w:after="330" w:line="576" w:lineRule="auto"/>
      <w:outlineLvl w:val="0"/>
    </w:pPr>
    <w:rPr>
      <w:b/>
      <w:bCs/>
      <w:kern w:val="44"/>
      <w:sz w:val="44"/>
      <w:szCs w:val="44"/>
    </w:rPr>
  </w:style>
  <w:style w:type="paragraph" w:styleId="2">
    <w:name w:val="heading 2"/>
    <w:basedOn w:val="1"/>
    <w:next w:val="1"/>
    <w:link w:val="43"/>
    <w:qFormat/>
    <w:uiPriority w:val="9"/>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44"/>
    <w:qFormat/>
    <w:uiPriority w:val="9"/>
    <w:pPr>
      <w:keepNext/>
      <w:keepLines/>
      <w:spacing w:before="260" w:after="260" w:line="412" w:lineRule="auto"/>
      <w:outlineLvl w:val="2"/>
    </w:pPr>
    <w:rPr>
      <w:b/>
      <w:bCs/>
      <w:sz w:val="32"/>
      <w:szCs w:val="32"/>
    </w:rPr>
  </w:style>
  <w:style w:type="paragraph" w:styleId="5">
    <w:name w:val="heading 4"/>
    <w:basedOn w:val="1"/>
    <w:next w:val="1"/>
    <w:link w:val="45"/>
    <w:qFormat/>
    <w:uiPriority w:val="9"/>
    <w:pPr>
      <w:keepNext/>
      <w:keepLines/>
      <w:spacing w:before="280" w:after="290" w:line="372" w:lineRule="auto"/>
      <w:outlineLvl w:val="3"/>
    </w:pPr>
    <w:rPr>
      <w:rFonts w:ascii="Arial" w:hAnsi="Arial" w:eastAsia="黑体" w:cs="Arial"/>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200" w:firstLineChars="200"/>
    </w:pPr>
  </w:style>
  <w:style w:type="paragraph" w:styleId="7">
    <w:name w:val="annotation text"/>
    <w:basedOn w:val="1"/>
    <w:link w:val="48"/>
    <w:semiHidden/>
    <w:unhideWhenUsed/>
    <w:qFormat/>
    <w:uiPriority w:val="99"/>
    <w:rPr>
      <w:sz w:val="24"/>
    </w:rPr>
  </w:style>
  <w:style w:type="paragraph" w:styleId="8">
    <w:name w:val="Body Text 3"/>
    <w:basedOn w:val="1"/>
    <w:link w:val="49"/>
    <w:semiHidden/>
    <w:unhideWhenUsed/>
    <w:qFormat/>
    <w:uiPriority w:val="99"/>
    <w:rPr>
      <w:rFonts w:ascii="宋体" w:hAnsi="宋体" w:cs="宋体"/>
      <w:sz w:val="24"/>
      <w:szCs w:val="20"/>
    </w:rPr>
  </w:style>
  <w:style w:type="paragraph" w:styleId="9">
    <w:name w:val="Body Text"/>
    <w:basedOn w:val="1"/>
    <w:next w:val="10"/>
    <w:link w:val="46"/>
    <w:semiHidden/>
    <w:unhideWhenUsed/>
    <w:qFormat/>
    <w:uiPriority w:val="99"/>
    <w:pPr>
      <w:spacing w:after="120"/>
    </w:pPr>
  </w:style>
  <w:style w:type="paragraph" w:customStyle="1" w:styleId="10">
    <w:name w:val="toc 6"/>
    <w:next w:val="1"/>
    <w:autoRedefine/>
    <w:qFormat/>
    <w:uiPriority w:val="0"/>
    <w:pPr>
      <w:widowControl/>
      <w:wordWrap w:val="0"/>
      <w:autoSpaceDE/>
      <w:autoSpaceDN/>
      <w:spacing w:before="0" w:after="0" w:line="240" w:lineRule="auto"/>
      <w:ind w:left="2125" w:firstLine="0"/>
      <w:jc w:val="both"/>
    </w:pPr>
    <w:rPr>
      <w:rFonts w:ascii="Calibri" w:hAnsi="Calibri" w:eastAsia="宋体" w:cs="Times New Roman"/>
      <w:sz w:val="21"/>
    </w:rPr>
  </w:style>
  <w:style w:type="paragraph" w:styleId="11">
    <w:name w:val="Body Text Indent"/>
    <w:basedOn w:val="1"/>
    <w:next w:val="1"/>
    <w:qFormat/>
    <w:uiPriority w:val="0"/>
    <w:pPr>
      <w:spacing w:after="120"/>
      <w:ind w:left="420" w:leftChars="200"/>
    </w:pPr>
  </w:style>
  <w:style w:type="paragraph" w:styleId="12">
    <w:name w:val="Plain Text"/>
    <w:basedOn w:val="1"/>
    <w:link w:val="50"/>
    <w:unhideWhenUsed/>
    <w:qFormat/>
    <w:uiPriority w:val="99"/>
    <w:rPr>
      <w:rFonts w:ascii="Courier New" w:hAnsi="Courier New" w:cs="Courier New"/>
      <w:szCs w:val="20"/>
    </w:rPr>
  </w:style>
  <w:style w:type="paragraph" w:styleId="13">
    <w:name w:val="Balloon Text"/>
    <w:basedOn w:val="1"/>
    <w:link w:val="58"/>
    <w:semiHidden/>
    <w:unhideWhenUsed/>
    <w:qFormat/>
    <w:uiPriority w:val="99"/>
    <w:rPr>
      <w:sz w:val="18"/>
      <w:szCs w:val="18"/>
    </w:rPr>
  </w:style>
  <w:style w:type="paragraph" w:styleId="14">
    <w:name w:val="footer"/>
    <w:basedOn w:val="1"/>
    <w:link w:val="41"/>
    <w:unhideWhenUsed/>
    <w:qFormat/>
    <w:uiPriority w:val="99"/>
    <w:pPr>
      <w:tabs>
        <w:tab w:val="center" w:pos="4153"/>
        <w:tab w:val="right" w:pos="8306"/>
      </w:tabs>
      <w:snapToGrid w:val="0"/>
      <w:jc w:val="left"/>
    </w:pPr>
    <w:rPr>
      <w:sz w:val="18"/>
      <w:szCs w:val="18"/>
    </w:rPr>
  </w:style>
  <w:style w:type="paragraph" w:styleId="15">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pPr>
      <w:spacing w:before="120" w:after="120"/>
      <w:jc w:val="left"/>
    </w:pPr>
    <w:rPr>
      <w:b/>
      <w:bCs/>
      <w:caps/>
      <w:sz w:val="20"/>
      <w:szCs w:val="20"/>
    </w:rPr>
  </w:style>
  <w:style w:type="paragraph" w:styleId="17">
    <w:name w:val="Body Text 2"/>
    <w:basedOn w:val="1"/>
    <w:link w:val="59"/>
    <w:semiHidden/>
    <w:unhideWhenUsed/>
    <w:qFormat/>
    <w:uiPriority w:val="99"/>
    <w:pPr>
      <w:spacing w:after="120" w:line="480" w:lineRule="auto"/>
    </w:pPr>
  </w:style>
  <w:style w:type="paragraph" w:styleId="18">
    <w:name w:val="Normal (Web)"/>
    <w:basedOn w:val="1"/>
    <w:semiHidden/>
    <w:unhideWhenUsed/>
    <w:qFormat/>
    <w:uiPriority w:val="99"/>
    <w:pPr>
      <w:widowControl/>
      <w:spacing w:before="100" w:beforeAutospacing="1" w:after="100" w:afterAutospacing="1"/>
      <w:jc w:val="left"/>
    </w:pPr>
    <w:rPr>
      <w:rFonts w:ascii="??" w:hAnsi="??" w:cs="宋体"/>
      <w:kern w:val="0"/>
      <w:sz w:val="24"/>
    </w:rPr>
  </w:style>
  <w:style w:type="paragraph" w:styleId="19">
    <w:name w:val="annotation subject"/>
    <w:basedOn w:val="7"/>
    <w:next w:val="7"/>
    <w:link w:val="51"/>
    <w:semiHidden/>
    <w:unhideWhenUsed/>
    <w:qFormat/>
    <w:uiPriority w:val="99"/>
    <w:rPr>
      <w:b/>
      <w:bCs/>
    </w:rPr>
  </w:style>
  <w:style w:type="paragraph" w:styleId="20">
    <w:name w:val="Body Text First Indent"/>
    <w:basedOn w:val="9"/>
    <w:link w:val="47"/>
    <w:unhideWhenUsed/>
    <w:qFormat/>
    <w:uiPriority w:val="99"/>
    <w:pPr>
      <w:spacing w:line="312" w:lineRule="auto"/>
      <w:ind w:firstLine="420"/>
    </w:pPr>
  </w:style>
  <w:style w:type="paragraph" w:styleId="21">
    <w:name w:val="Body Text First Indent 2"/>
    <w:basedOn w:val="11"/>
    <w:qFormat/>
    <w:uiPriority w:val="0"/>
    <w:pPr>
      <w:ind w:firstLine="420" w:firstLineChars="2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rFonts w:cs="Times New Roman"/>
      <w:b/>
      <w:bCs/>
      <w:lang w:bidi="ar-SA"/>
    </w:rPr>
  </w:style>
  <w:style w:type="character" w:styleId="26">
    <w:name w:val="FollowedHyperlink"/>
    <w:basedOn w:val="24"/>
    <w:semiHidden/>
    <w:unhideWhenUsed/>
    <w:qFormat/>
    <w:uiPriority w:val="99"/>
    <w:rPr>
      <w:color w:val="800080"/>
      <w:u w:val="single"/>
    </w:rPr>
  </w:style>
  <w:style w:type="character" w:styleId="27">
    <w:name w:val="Emphasis"/>
    <w:basedOn w:val="24"/>
    <w:qFormat/>
    <w:uiPriority w:val="20"/>
    <w:rPr>
      <w:b/>
      <w:bCs/>
    </w:rPr>
  </w:style>
  <w:style w:type="character" w:styleId="28">
    <w:name w:val="HTML Definition"/>
    <w:basedOn w:val="24"/>
    <w:semiHidden/>
    <w:unhideWhenUsed/>
    <w:qFormat/>
    <w:uiPriority w:val="99"/>
  </w:style>
  <w:style w:type="character" w:styleId="29">
    <w:name w:val="HTML Typewriter"/>
    <w:basedOn w:val="24"/>
    <w:semiHidden/>
    <w:unhideWhenUsed/>
    <w:qFormat/>
    <w:uiPriority w:val="99"/>
    <w:rPr>
      <w:rFonts w:ascii="monospace" w:hAnsi="monospace" w:eastAsia="monospace" w:cs="monospace"/>
      <w:sz w:val="20"/>
    </w:rPr>
  </w:style>
  <w:style w:type="character" w:styleId="30">
    <w:name w:val="HTML Acronym"/>
    <w:basedOn w:val="24"/>
    <w:semiHidden/>
    <w:unhideWhenUsed/>
    <w:qFormat/>
    <w:uiPriority w:val="99"/>
  </w:style>
  <w:style w:type="character" w:styleId="31">
    <w:name w:val="HTML Variable"/>
    <w:basedOn w:val="24"/>
    <w:semiHidden/>
    <w:unhideWhenUsed/>
    <w:qFormat/>
    <w:uiPriority w:val="99"/>
  </w:style>
  <w:style w:type="character" w:styleId="32">
    <w:name w:val="Hyperlink"/>
    <w:basedOn w:val="24"/>
    <w:semiHidden/>
    <w:unhideWhenUsed/>
    <w:qFormat/>
    <w:uiPriority w:val="99"/>
    <w:rPr>
      <w:color w:val="0000FF"/>
      <w:u w:val="single"/>
    </w:rPr>
  </w:style>
  <w:style w:type="character" w:styleId="33">
    <w:name w:val="HTML Code"/>
    <w:basedOn w:val="24"/>
    <w:semiHidden/>
    <w:unhideWhenUsed/>
    <w:qFormat/>
    <w:uiPriority w:val="99"/>
    <w:rPr>
      <w:rFonts w:ascii="Courier New" w:hAnsi="宋体" w:eastAsia="Courier New" w:cs="Courier New"/>
      <w:sz w:val="20"/>
      <w:szCs w:val="24"/>
      <w:lang w:bidi="ar-SA"/>
    </w:rPr>
  </w:style>
  <w:style w:type="character" w:styleId="34">
    <w:name w:val="annotation reference"/>
    <w:basedOn w:val="24"/>
    <w:semiHidden/>
    <w:unhideWhenUsed/>
    <w:qFormat/>
    <w:uiPriority w:val="99"/>
    <w:rPr>
      <w:rFonts w:cs="Times New Roman"/>
      <w:sz w:val="21"/>
      <w:szCs w:val="21"/>
      <w:lang w:bidi="ar-SA"/>
    </w:rPr>
  </w:style>
  <w:style w:type="character" w:styleId="35">
    <w:name w:val="HTML Cite"/>
    <w:basedOn w:val="24"/>
    <w:semiHidden/>
    <w:unhideWhenUsed/>
    <w:qFormat/>
    <w:uiPriority w:val="99"/>
  </w:style>
  <w:style w:type="character" w:styleId="36">
    <w:name w:val="footnote reference"/>
    <w:semiHidden/>
    <w:unhideWhenUsed/>
    <w:qFormat/>
    <w:uiPriority w:val="99"/>
    <w:rPr>
      <w:rFonts w:cs="Times New Roman"/>
      <w:vertAlign w:val="superscript"/>
      <w:lang w:bidi="ar-SA"/>
    </w:rPr>
  </w:style>
  <w:style w:type="character" w:styleId="37">
    <w:name w:val="HTML Keyboard"/>
    <w:basedOn w:val="24"/>
    <w:semiHidden/>
    <w:unhideWhenUsed/>
    <w:qFormat/>
    <w:uiPriority w:val="99"/>
    <w:rPr>
      <w:rFonts w:ascii="Courier New" w:hAnsi="宋体" w:eastAsia="Courier New" w:cs="Courier New"/>
      <w:sz w:val="20"/>
      <w:szCs w:val="24"/>
      <w:lang w:bidi="ar-SA"/>
    </w:rPr>
  </w:style>
  <w:style w:type="character" w:styleId="38">
    <w:name w:val="HTML Sample"/>
    <w:basedOn w:val="24"/>
    <w:semiHidden/>
    <w:unhideWhenUsed/>
    <w:qFormat/>
    <w:uiPriority w:val="99"/>
    <w:rPr>
      <w:rFonts w:ascii="Courier New" w:hAnsi="宋体" w:eastAsia="Courier New" w:cs="Courier New"/>
      <w:color w:val="3D4B64"/>
      <w:sz w:val="19"/>
      <w:szCs w:val="19"/>
      <w:lang w:bidi="ar-SA"/>
    </w:rPr>
  </w:style>
  <w:style w:type="paragraph" w:customStyle="1" w:styleId="39">
    <w:name w:val="首行缩进"/>
    <w:basedOn w:val="1"/>
    <w:qFormat/>
    <w:uiPriority w:val="0"/>
    <w:pPr>
      <w:numPr>
        <w:ilvl w:val="0"/>
        <w:numId w:val="1"/>
      </w:numPr>
      <w:spacing w:line="360" w:lineRule="auto"/>
    </w:pPr>
    <w:rPr>
      <w:rFonts w:eastAsia="仿宋_GB2312"/>
    </w:rPr>
  </w:style>
  <w:style w:type="character" w:customStyle="1" w:styleId="40">
    <w:name w:val="页眉 字符"/>
    <w:basedOn w:val="24"/>
    <w:link w:val="15"/>
    <w:qFormat/>
    <w:uiPriority w:val="99"/>
    <w:rPr>
      <w:sz w:val="18"/>
      <w:szCs w:val="18"/>
    </w:rPr>
  </w:style>
  <w:style w:type="character" w:customStyle="1" w:styleId="41">
    <w:name w:val="页脚 字符"/>
    <w:basedOn w:val="24"/>
    <w:link w:val="14"/>
    <w:qFormat/>
    <w:uiPriority w:val="99"/>
    <w:rPr>
      <w:sz w:val="18"/>
      <w:szCs w:val="18"/>
    </w:rPr>
  </w:style>
  <w:style w:type="character" w:customStyle="1" w:styleId="42">
    <w:name w:val="标题 1 字符"/>
    <w:basedOn w:val="24"/>
    <w:link w:val="3"/>
    <w:qFormat/>
    <w:uiPriority w:val="9"/>
    <w:rPr>
      <w:rFonts w:ascii="Times New Roman" w:hAnsi="Times New Roman" w:eastAsia="宋体" w:cs="Times New Roman"/>
      <w:b/>
      <w:bCs/>
      <w:kern w:val="44"/>
      <w:sz w:val="44"/>
      <w:szCs w:val="44"/>
    </w:rPr>
  </w:style>
  <w:style w:type="character" w:customStyle="1" w:styleId="43">
    <w:name w:val="标题 2 字符"/>
    <w:basedOn w:val="24"/>
    <w:link w:val="2"/>
    <w:qFormat/>
    <w:uiPriority w:val="9"/>
    <w:rPr>
      <w:rFonts w:ascii="Arial" w:hAnsi="Arial" w:eastAsia="黑体" w:cs="Arial"/>
      <w:b/>
      <w:bCs/>
      <w:sz w:val="32"/>
      <w:szCs w:val="32"/>
    </w:rPr>
  </w:style>
  <w:style w:type="character" w:customStyle="1" w:styleId="44">
    <w:name w:val="标题 3 字符"/>
    <w:basedOn w:val="24"/>
    <w:link w:val="4"/>
    <w:qFormat/>
    <w:uiPriority w:val="9"/>
    <w:rPr>
      <w:rFonts w:ascii="Times New Roman" w:hAnsi="Times New Roman" w:eastAsia="宋体" w:cs="Times New Roman"/>
      <w:b/>
      <w:bCs/>
      <w:sz w:val="32"/>
      <w:szCs w:val="32"/>
    </w:rPr>
  </w:style>
  <w:style w:type="character" w:customStyle="1" w:styleId="45">
    <w:name w:val="标题 4 字符"/>
    <w:basedOn w:val="24"/>
    <w:link w:val="5"/>
    <w:qFormat/>
    <w:uiPriority w:val="9"/>
    <w:rPr>
      <w:rFonts w:ascii="Arial" w:hAnsi="Arial" w:eastAsia="黑体" w:cs="Arial"/>
      <w:b/>
      <w:bCs/>
      <w:sz w:val="28"/>
      <w:szCs w:val="28"/>
    </w:rPr>
  </w:style>
  <w:style w:type="character" w:customStyle="1" w:styleId="46">
    <w:name w:val="正文文本 字符"/>
    <w:basedOn w:val="24"/>
    <w:link w:val="9"/>
    <w:semiHidden/>
    <w:qFormat/>
    <w:uiPriority w:val="99"/>
    <w:rPr>
      <w:rFonts w:ascii="Times New Roman" w:hAnsi="Times New Roman" w:eastAsia="宋体" w:cs="Times New Roman"/>
      <w:szCs w:val="24"/>
    </w:rPr>
  </w:style>
  <w:style w:type="character" w:customStyle="1" w:styleId="47">
    <w:name w:val="正文首行缩进 字符"/>
    <w:basedOn w:val="46"/>
    <w:link w:val="20"/>
    <w:qFormat/>
    <w:uiPriority w:val="99"/>
    <w:rPr>
      <w:rFonts w:ascii="Times New Roman" w:hAnsi="Times New Roman" w:eastAsia="宋体" w:cs="Times New Roman"/>
      <w:szCs w:val="24"/>
    </w:rPr>
  </w:style>
  <w:style w:type="character" w:customStyle="1" w:styleId="48">
    <w:name w:val="批注文字 字符"/>
    <w:basedOn w:val="24"/>
    <w:link w:val="7"/>
    <w:semiHidden/>
    <w:qFormat/>
    <w:uiPriority w:val="99"/>
    <w:rPr>
      <w:rFonts w:ascii="Times New Roman" w:hAnsi="Times New Roman" w:eastAsia="宋体" w:cs="Times New Roman"/>
      <w:sz w:val="24"/>
      <w:szCs w:val="24"/>
    </w:rPr>
  </w:style>
  <w:style w:type="character" w:customStyle="1" w:styleId="49">
    <w:name w:val="正文文本 3 字符"/>
    <w:basedOn w:val="24"/>
    <w:link w:val="8"/>
    <w:semiHidden/>
    <w:qFormat/>
    <w:uiPriority w:val="99"/>
    <w:rPr>
      <w:rFonts w:ascii="宋体" w:hAnsi="宋体" w:eastAsia="宋体" w:cs="宋体"/>
      <w:sz w:val="24"/>
      <w:szCs w:val="20"/>
    </w:rPr>
  </w:style>
  <w:style w:type="character" w:customStyle="1" w:styleId="50">
    <w:name w:val="纯文本 字符"/>
    <w:basedOn w:val="24"/>
    <w:link w:val="12"/>
    <w:qFormat/>
    <w:uiPriority w:val="99"/>
    <w:rPr>
      <w:rFonts w:ascii="Courier New" w:hAnsi="Courier New" w:eastAsia="宋体" w:cs="Courier New"/>
      <w:szCs w:val="20"/>
    </w:rPr>
  </w:style>
  <w:style w:type="character" w:customStyle="1" w:styleId="51">
    <w:name w:val="批注主题 字符"/>
    <w:basedOn w:val="48"/>
    <w:link w:val="19"/>
    <w:semiHidden/>
    <w:qFormat/>
    <w:uiPriority w:val="99"/>
    <w:rPr>
      <w:rFonts w:ascii="Times New Roman" w:hAnsi="Times New Roman" w:eastAsia="宋体" w:cs="Times New Roman"/>
      <w:b/>
      <w:bCs/>
      <w:sz w:val="24"/>
      <w:szCs w:val="24"/>
    </w:rPr>
  </w:style>
  <w:style w:type="paragraph" w:customStyle="1" w:styleId="52">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53">
    <w:name w:val="表格文字"/>
    <w:basedOn w:val="1"/>
    <w:qFormat/>
    <w:uiPriority w:val="0"/>
    <w:pPr>
      <w:adjustRightInd w:val="0"/>
      <w:spacing w:line="420" w:lineRule="atLeast"/>
      <w:jc w:val="left"/>
      <w:textAlignment w:val="baseline"/>
    </w:pPr>
    <w:rPr>
      <w:kern w:val="0"/>
      <w:szCs w:val="20"/>
    </w:rPr>
  </w:style>
  <w:style w:type="paragraph" w:customStyle="1" w:styleId="54">
    <w:name w:val="Blockquote"/>
    <w:basedOn w:val="1"/>
    <w:qFormat/>
    <w:uiPriority w:val="0"/>
    <w:pPr>
      <w:autoSpaceDE w:val="0"/>
      <w:autoSpaceDN w:val="0"/>
      <w:adjustRightInd w:val="0"/>
      <w:spacing w:before="100" w:after="100"/>
      <w:ind w:left="360" w:right="360"/>
    </w:pPr>
    <w:rPr>
      <w:sz w:val="24"/>
    </w:rPr>
  </w:style>
  <w:style w:type="paragraph" w:customStyle="1" w:styleId="55">
    <w:name w:val="_Style 17"/>
    <w:basedOn w:val="1"/>
    <w:next w:val="18"/>
    <w:qFormat/>
    <w:uiPriority w:val="0"/>
    <w:pPr>
      <w:spacing w:before="100" w:beforeAutospacing="1" w:after="100" w:afterAutospacing="1"/>
    </w:pPr>
    <w:rPr>
      <w:rFonts w:ascii="宋体" w:hAnsi="宋体" w:cs="黑体"/>
      <w:sz w:val="24"/>
    </w:rPr>
  </w:style>
  <w:style w:type="character" w:customStyle="1" w:styleId="56">
    <w:name w:val="正文文本 Char Char"/>
    <w:qFormat/>
    <w:uiPriority w:val="0"/>
    <w:rPr>
      <w:rFonts w:eastAsia="宋体" w:cs="Times New Roman"/>
      <w:kern w:val="2"/>
      <w:sz w:val="24"/>
      <w:szCs w:val="24"/>
      <w:lang w:val="en-US" w:eastAsia="zh-CN" w:bidi="ar-SA"/>
    </w:rPr>
  </w:style>
  <w:style w:type="character" w:customStyle="1" w:styleId="57">
    <w:name w:val="15"/>
    <w:qFormat/>
    <w:uiPriority w:val="0"/>
    <w:rPr>
      <w:rFonts w:ascii="Times New Roman"/>
      <w:color w:val="0000FF"/>
      <w:u w:val="single"/>
    </w:rPr>
  </w:style>
  <w:style w:type="character" w:customStyle="1" w:styleId="58">
    <w:name w:val="批注框文本 字符"/>
    <w:basedOn w:val="24"/>
    <w:link w:val="13"/>
    <w:semiHidden/>
    <w:qFormat/>
    <w:uiPriority w:val="99"/>
    <w:rPr>
      <w:rFonts w:ascii="Times New Roman" w:hAnsi="Times New Roman" w:eastAsia="宋体" w:cs="Times New Roman"/>
      <w:sz w:val="18"/>
      <w:szCs w:val="18"/>
    </w:rPr>
  </w:style>
  <w:style w:type="character" w:customStyle="1" w:styleId="59">
    <w:name w:val="正文文本 2 字符"/>
    <w:basedOn w:val="24"/>
    <w:link w:val="17"/>
    <w:semiHidden/>
    <w:qFormat/>
    <w:uiPriority w:val="99"/>
    <w:rPr>
      <w:rFonts w:ascii="Times New Roman" w:hAnsi="Times New Roman" w:eastAsia="宋体" w:cs="Times New Roman"/>
      <w:kern w:val="2"/>
      <w:sz w:val="21"/>
      <w:szCs w:val="24"/>
    </w:rPr>
  </w:style>
  <w:style w:type="table" w:customStyle="1" w:styleId="60">
    <w:name w:val="网格型1"/>
    <w:basedOn w:val="2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
    <w:name w:val="Table Paragraph"/>
    <w:basedOn w:val="1"/>
    <w:qFormat/>
    <w:uiPriority w:val="1"/>
    <w:rPr>
      <w:rFonts w:ascii="宋体" w:hAnsi="宋体" w:cs="宋体"/>
    </w:rPr>
  </w:style>
  <w:style w:type="paragraph" w:customStyle="1" w:styleId="62">
    <w:name w:val="标题 31"/>
    <w:basedOn w:val="1"/>
    <w:qFormat/>
    <w:uiPriority w:val="1"/>
    <w:pPr>
      <w:ind w:left="237" w:right="102"/>
      <w:jc w:val="left"/>
      <w:outlineLvl w:val="3"/>
    </w:pPr>
    <w:rPr>
      <w:rFonts w:ascii="宋体" w:hAnsi="宋体" w:cs="宋体"/>
      <w:kern w:val="0"/>
      <w:sz w:val="28"/>
      <w:szCs w:val="28"/>
      <w:lang w:eastAsia="en-US"/>
    </w:rPr>
  </w:style>
  <w:style w:type="paragraph" w:styleId="63">
    <w:name w:val="List Paragraph"/>
    <w:basedOn w:val="1"/>
    <w:qFormat/>
    <w:uiPriority w:val="34"/>
    <w:pPr>
      <w:ind w:firstLine="420" w:firstLineChars="200"/>
    </w:pPr>
  </w:style>
  <w:style w:type="character" w:customStyle="1" w:styleId="64">
    <w:name w:val="font71"/>
    <w:basedOn w:val="24"/>
    <w:qFormat/>
    <w:uiPriority w:val="0"/>
    <w:rPr>
      <w:rFonts w:ascii="华文中宋" w:hAnsi="华文中宋" w:eastAsia="华文中宋" w:cs="华文中宋"/>
      <w:b/>
      <w:bCs/>
      <w:color w:val="000000"/>
      <w:sz w:val="44"/>
      <w:szCs w:val="44"/>
      <w:u w:val="none"/>
    </w:rPr>
  </w:style>
  <w:style w:type="character" w:customStyle="1" w:styleId="65">
    <w:name w:val="font31"/>
    <w:basedOn w:val="24"/>
    <w:qFormat/>
    <w:uiPriority w:val="0"/>
    <w:rPr>
      <w:rFonts w:hint="eastAsia" w:ascii="等线" w:hAnsi="等线" w:eastAsia="等线" w:cs="等线"/>
      <w:b/>
      <w:bCs/>
      <w:color w:val="000000"/>
      <w:sz w:val="44"/>
      <w:szCs w:val="44"/>
      <w:u w:val="none"/>
    </w:rPr>
  </w:style>
  <w:style w:type="character" w:customStyle="1" w:styleId="66">
    <w:name w:val="font81"/>
    <w:basedOn w:val="24"/>
    <w:qFormat/>
    <w:uiPriority w:val="0"/>
    <w:rPr>
      <w:rFonts w:ascii="华文中宋" w:hAnsi="华文中宋" w:eastAsia="华文中宋" w:cs="华文中宋"/>
      <w:b/>
      <w:bCs/>
      <w:color w:val="000000"/>
      <w:sz w:val="44"/>
      <w:szCs w:val="44"/>
      <w:u w:val="none"/>
    </w:rPr>
  </w:style>
  <w:style w:type="character" w:customStyle="1" w:styleId="67">
    <w:name w:val="font61"/>
    <w:basedOn w:val="24"/>
    <w:qFormat/>
    <w:uiPriority w:val="0"/>
    <w:rPr>
      <w:rFonts w:hint="eastAsia" w:ascii="宋体" w:hAnsi="宋体" w:eastAsia="宋体" w:cs="宋体"/>
      <w:color w:val="000000"/>
      <w:sz w:val="20"/>
      <w:szCs w:val="20"/>
      <w:u w:val="none"/>
    </w:rPr>
  </w:style>
  <w:style w:type="character" w:customStyle="1" w:styleId="68">
    <w:name w:val="font51"/>
    <w:basedOn w:val="24"/>
    <w:qFormat/>
    <w:uiPriority w:val="0"/>
    <w:rPr>
      <w:rFonts w:hint="eastAsia" w:ascii="宋体" w:hAnsi="宋体" w:eastAsia="宋体" w:cs="宋体"/>
      <w:color w:val="000000"/>
      <w:sz w:val="20"/>
      <w:szCs w:val="20"/>
      <w:u w:val="none"/>
    </w:rPr>
  </w:style>
  <w:style w:type="character" w:customStyle="1" w:styleId="69">
    <w:name w:val="font121"/>
    <w:basedOn w:val="24"/>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74</Pages>
  <Words>13264</Words>
  <Characters>14419</Characters>
  <Lines>344</Lines>
  <Paragraphs>96</Paragraphs>
  <TotalTime>31</TotalTime>
  <ScaleCrop>false</ScaleCrop>
  <LinksUpToDate>false</LinksUpToDate>
  <CharactersWithSpaces>14606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2023-09-26T01:25:00Z</dcterms:created>
  <dc:creator>kdy</dc:creator>
  <cp:lastModifiedBy>上邪</cp:lastModifiedBy>
  <dcterms:modified xsi:type="dcterms:W3CDTF">2025-01-03T02:49:19Z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7A7535952BB546D39A339A9904FE452A_13</vt:lpwstr>
  </property>
  <property fmtid="{D5CDD505-2E9C-101B-9397-08002B2CF9AE}" pid="4" name="KSOTemplateDocerSaveRecord">
    <vt:lpwstr>eyJoZGlkIjoiMWNmNTg1MWMwOWM3ODllZjFkODdjODYyMmRkMzBkZGIiLCJ1c2VySWQiOiI2OTkyMjUyNDEifQ==</vt:lpwstr>
  </property>
</Properties>
</file>