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E741F">
      <w:pPr>
        <w:widowControl/>
        <w:wordWrap w:val="0"/>
        <w:autoSpaceDE w:val="0"/>
        <w:autoSpaceDN w:val="0"/>
        <w:ind w:right="893"/>
        <w:jc w:val="right"/>
        <w:textAlignment w:val="bottom"/>
        <w:rPr>
          <w:rFonts w:ascii="宋体" w:hAnsi="宋体" w:cs="宋体"/>
          <w:color w:val="auto"/>
          <w:sz w:val="28"/>
          <w:szCs w:val="28"/>
        </w:rPr>
      </w:pPr>
    </w:p>
    <w:p w14:paraId="2758C521">
      <w:pPr>
        <w:widowControl/>
        <w:autoSpaceDE w:val="0"/>
        <w:autoSpaceDN w:val="0"/>
        <w:ind w:right="-26"/>
        <w:jc w:val="center"/>
        <w:textAlignment w:val="bottom"/>
        <w:rPr>
          <w:rFonts w:ascii="宋体" w:hAnsi="宋体" w:cs="宋体"/>
          <w:color w:val="auto"/>
          <w:sz w:val="44"/>
          <w:szCs w:val="44"/>
        </w:rPr>
      </w:pPr>
    </w:p>
    <w:p w14:paraId="6F6C86AA">
      <w:pPr>
        <w:widowControl/>
        <w:autoSpaceDE w:val="0"/>
        <w:autoSpaceDN w:val="0"/>
        <w:ind w:right="-26"/>
        <w:jc w:val="center"/>
        <w:textAlignment w:val="bottom"/>
        <w:rPr>
          <w:rFonts w:ascii="宋体" w:hAnsi="宋体" w:cs="宋体"/>
          <w:b/>
          <w:bCs/>
          <w:color w:val="auto"/>
          <w:sz w:val="52"/>
          <w:szCs w:val="52"/>
        </w:rPr>
      </w:pPr>
    </w:p>
    <w:p w14:paraId="5998F3D7">
      <w:pPr>
        <w:widowControl/>
        <w:autoSpaceDE w:val="0"/>
        <w:autoSpaceDN w:val="0"/>
        <w:ind w:right="-26"/>
        <w:jc w:val="center"/>
        <w:textAlignment w:val="bottom"/>
        <w:rPr>
          <w:rFonts w:ascii="宋体" w:hAnsi="宋体" w:cs="宋体"/>
          <w:b/>
          <w:bCs/>
          <w:color w:val="auto"/>
          <w:sz w:val="52"/>
          <w:szCs w:val="52"/>
        </w:rPr>
      </w:pPr>
    </w:p>
    <w:p w14:paraId="2D6B86B1">
      <w:pPr>
        <w:widowControl/>
        <w:autoSpaceDE w:val="0"/>
        <w:autoSpaceDN w:val="0"/>
        <w:ind w:right="-26"/>
        <w:jc w:val="center"/>
        <w:textAlignment w:val="bottom"/>
        <w:rPr>
          <w:rFonts w:ascii="宋体" w:hAnsi="宋体" w:cs="宋体"/>
          <w:b/>
          <w:bCs/>
          <w:color w:val="auto"/>
          <w:sz w:val="52"/>
          <w:szCs w:val="52"/>
        </w:rPr>
      </w:pPr>
    </w:p>
    <w:p w14:paraId="65101D17">
      <w:pPr>
        <w:widowControl/>
        <w:autoSpaceDE w:val="0"/>
        <w:autoSpaceDN w:val="0"/>
        <w:ind w:right="-26"/>
        <w:jc w:val="center"/>
        <w:textAlignment w:val="bottom"/>
        <w:rPr>
          <w:rFonts w:ascii="宋体" w:hAnsi="宋体" w:cs="宋体"/>
          <w:b/>
          <w:bCs/>
          <w:color w:val="auto"/>
          <w:sz w:val="100"/>
          <w:szCs w:val="100"/>
        </w:rPr>
      </w:pPr>
      <w:r>
        <w:rPr>
          <w:rFonts w:hint="eastAsia" w:ascii="宋体" w:hAnsi="宋体" w:cs="宋体"/>
          <w:b/>
          <w:bCs/>
          <w:color w:val="auto"/>
          <w:sz w:val="100"/>
          <w:szCs w:val="100"/>
        </w:rPr>
        <w:t>竞争性磋商文件</w:t>
      </w:r>
    </w:p>
    <w:p w14:paraId="6E6D5623">
      <w:pPr>
        <w:widowControl/>
        <w:autoSpaceDE w:val="0"/>
        <w:autoSpaceDN w:val="0"/>
        <w:ind w:right="-26"/>
        <w:jc w:val="center"/>
        <w:textAlignment w:val="bottom"/>
        <w:rPr>
          <w:rFonts w:ascii="宋体" w:hAnsi="宋体" w:cs="宋体"/>
          <w:b/>
          <w:bCs/>
          <w:color w:val="auto"/>
          <w:sz w:val="104"/>
          <w:szCs w:val="104"/>
        </w:rPr>
      </w:pPr>
    </w:p>
    <w:p w14:paraId="6B9F79A1">
      <w:pPr>
        <w:widowControl/>
        <w:autoSpaceDE w:val="0"/>
        <w:autoSpaceDN w:val="0"/>
        <w:ind w:right="-26"/>
        <w:jc w:val="center"/>
        <w:textAlignment w:val="bottom"/>
        <w:rPr>
          <w:rFonts w:ascii="宋体" w:hAnsi="宋体" w:cs="宋体"/>
          <w:b/>
          <w:bCs/>
          <w:color w:val="auto"/>
          <w:sz w:val="84"/>
          <w:szCs w:val="84"/>
        </w:rPr>
      </w:pPr>
    </w:p>
    <w:p w14:paraId="2DE3C05D">
      <w:pPr>
        <w:widowControl/>
        <w:autoSpaceDE w:val="0"/>
        <w:autoSpaceDN w:val="0"/>
        <w:ind w:right="-26"/>
        <w:jc w:val="center"/>
        <w:textAlignment w:val="bottom"/>
        <w:rPr>
          <w:rFonts w:ascii="宋体" w:hAnsi="宋体" w:cs="宋体"/>
          <w:b/>
          <w:bCs/>
          <w:color w:val="auto"/>
          <w:sz w:val="30"/>
          <w:szCs w:val="30"/>
        </w:rPr>
      </w:pPr>
    </w:p>
    <w:p w14:paraId="27351F1A">
      <w:pPr>
        <w:widowControl/>
        <w:autoSpaceDE w:val="0"/>
        <w:autoSpaceDN w:val="0"/>
        <w:ind w:right="-26"/>
        <w:jc w:val="both"/>
        <w:textAlignment w:val="bottom"/>
        <w:rPr>
          <w:rFonts w:ascii="宋体" w:hAnsi="宋体" w:cs="宋体"/>
          <w:b/>
          <w:bCs/>
          <w:color w:val="auto"/>
          <w:sz w:val="32"/>
          <w:szCs w:val="32"/>
        </w:rPr>
      </w:pPr>
    </w:p>
    <w:p w14:paraId="4F9480F3">
      <w:pPr>
        <w:widowControl/>
        <w:autoSpaceDE w:val="0"/>
        <w:autoSpaceDN w:val="0"/>
        <w:ind w:right="-26"/>
        <w:jc w:val="center"/>
        <w:textAlignment w:val="bottom"/>
        <w:rPr>
          <w:rFonts w:ascii="宋体" w:hAnsi="宋体" w:cs="宋体"/>
          <w:b/>
          <w:bCs/>
          <w:color w:val="auto"/>
          <w:sz w:val="32"/>
          <w:szCs w:val="32"/>
        </w:rPr>
      </w:pPr>
    </w:p>
    <w:p w14:paraId="447B19B7">
      <w:pPr>
        <w:widowControl/>
        <w:autoSpaceDE w:val="0"/>
        <w:autoSpaceDN w:val="0"/>
        <w:ind w:right="-26"/>
        <w:jc w:val="center"/>
        <w:textAlignment w:val="bottom"/>
        <w:rPr>
          <w:rFonts w:ascii="宋体" w:hAnsi="宋体" w:cs="宋体"/>
          <w:b/>
          <w:bCs/>
          <w:color w:val="auto"/>
          <w:sz w:val="28"/>
          <w:szCs w:val="28"/>
        </w:rPr>
      </w:pPr>
      <w:bookmarkStart w:id="0" w:name="OLE_LINK23"/>
    </w:p>
    <w:p w14:paraId="466A01B8">
      <w:pPr>
        <w:widowControl/>
        <w:autoSpaceDE w:val="0"/>
        <w:autoSpaceDN w:val="0"/>
        <w:spacing w:line="480" w:lineRule="auto"/>
        <w:ind w:right="-28" w:firstLine="562" w:firstLineChars="200"/>
        <w:textAlignment w:val="bottom"/>
        <w:rPr>
          <w:rFonts w:hint="eastAsia" w:ascii="宋体" w:hAnsi="宋体" w:cs="宋体"/>
          <w:b/>
          <w:bCs/>
          <w:color w:val="auto"/>
          <w:sz w:val="28"/>
          <w:szCs w:val="28"/>
        </w:rPr>
      </w:pPr>
      <w:bookmarkStart w:id="1" w:name="OLE_LINK11"/>
      <w:r>
        <w:rPr>
          <w:rFonts w:hint="eastAsia" w:ascii="宋体" w:hAnsi="宋体" w:cs="宋体"/>
          <w:b/>
          <w:bCs/>
          <w:color w:val="auto"/>
          <w:sz w:val="28"/>
          <w:szCs w:val="28"/>
        </w:rPr>
        <w:t>项目名称：</w:t>
      </w:r>
      <w:bookmarkStart w:id="2" w:name="OLE_LINK2"/>
      <w:r>
        <w:rPr>
          <w:rFonts w:hint="eastAsia" w:ascii="宋体" w:hAnsi="宋体" w:cs="宋体"/>
          <w:b/>
          <w:bCs/>
          <w:color w:val="auto"/>
          <w:sz w:val="28"/>
          <w:szCs w:val="28"/>
        </w:rPr>
        <w:t>扶余市消防救援大队2025年2月-2026年1月食堂主副食采购及配送项目</w:t>
      </w:r>
    </w:p>
    <w:p w14:paraId="36FD7F82">
      <w:pPr>
        <w:widowControl/>
        <w:autoSpaceDE w:val="0"/>
        <w:autoSpaceDN w:val="0"/>
        <w:spacing w:line="480" w:lineRule="auto"/>
        <w:ind w:right="-28" w:firstLine="562" w:firstLineChars="200"/>
        <w:textAlignment w:val="bottom"/>
        <w:rPr>
          <w:rFonts w:ascii="Arial" w:hAnsi="宋体" w:cs="Arial"/>
          <w:b/>
          <w:bCs/>
          <w:color w:val="auto"/>
          <w:sz w:val="28"/>
          <w:szCs w:val="28"/>
          <w:highlight w:val="none"/>
        </w:rPr>
      </w:pPr>
      <w:r>
        <w:rPr>
          <w:rFonts w:hint="eastAsia" w:ascii="宋体" w:hAnsi="宋体" w:cs="宋体"/>
          <w:b/>
          <w:bCs/>
          <w:color w:val="auto"/>
          <w:sz w:val="28"/>
          <w:szCs w:val="28"/>
        </w:rPr>
        <w:t>项目编号：</w:t>
      </w:r>
      <w:bookmarkEnd w:id="2"/>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 HYPERLINK "https://www.zcygov.cn/gaea/api/project/flow/redirect?projectId=7294184961684799527&amp;newUrl=https://www.zcygov.cn/micro-app-back-index/blank?_flow_type_=agency&amp;_flow_projectId_=7294184961684799527&amp;_jump_page_type_=project_procurement_management_flow&amp;_app_=zcy.procurement&amp;oldUrl=https://www.zcygov.cn/project-center/_procurement_/project-result-detail/7294184961684799527" \t "https://www.zcygov.cn/project-center/_procurement_/self-project/_blank" </w:instrText>
      </w:r>
      <w:r>
        <w:rPr>
          <w:rFonts w:hint="eastAsia" w:ascii="宋体" w:hAnsi="宋体" w:cs="宋体"/>
          <w:b/>
          <w:bCs/>
          <w:color w:val="auto"/>
          <w:sz w:val="28"/>
          <w:szCs w:val="28"/>
        </w:rPr>
        <w:fldChar w:fldCharType="separate"/>
      </w:r>
      <w:r>
        <w:rPr>
          <w:rFonts w:hint="eastAsia" w:ascii="宋体" w:hAnsi="宋体" w:cs="宋体"/>
          <w:b/>
          <w:bCs/>
          <w:color w:val="auto"/>
          <w:sz w:val="28"/>
          <w:szCs w:val="28"/>
        </w:rPr>
        <w:t>采购计划-[2025]-00009号-RHXMGL-2025003</w:t>
      </w:r>
      <w:r>
        <w:rPr>
          <w:rFonts w:hint="eastAsia" w:ascii="宋体" w:hAnsi="宋体" w:cs="宋体"/>
          <w:b/>
          <w:bCs/>
          <w:color w:val="auto"/>
          <w:sz w:val="28"/>
          <w:szCs w:val="28"/>
        </w:rPr>
        <w:fldChar w:fldCharType="end"/>
      </w:r>
    </w:p>
    <w:p w14:paraId="513BAFCD">
      <w:pPr>
        <w:widowControl/>
        <w:autoSpaceDE w:val="0"/>
        <w:autoSpaceDN w:val="0"/>
        <w:spacing w:line="480" w:lineRule="auto"/>
        <w:ind w:right="-28" w:firstLine="562" w:firstLineChars="200"/>
        <w:textAlignment w:val="bottom"/>
        <w:rPr>
          <w:rFonts w:ascii="宋体" w:hAnsi="宋体" w:cs="宋体"/>
          <w:b/>
          <w:bCs/>
          <w:color w:val="auto"/>
          <w:sz w:val="28"/>
          <w:szCs w:val="28"/>
        </w:rPr>
      </w:pPr>
      <w:r>
        <w:rPr>
          <w:rFonts w:hint="eastAsia" w:ascii="宋体" w:hAnsi="宋体" w:cs="宋体"/>
          <w:b/>
          <w:bCs/>
          <w:color w:val="auto"/>
          <w:sz w:val="28"/>
          <w:szCs w:val="28"/>
        </w:rPr>
        <w:t>采购</w:t>
      </w:r>
      <w:r>
        <w:rPr>
          <w:rFonts w:hint="eastAsia" w:ascii="宋体" w:hAnsi="宋体" w:cs="宋体"/>
          <w:b/>
          <w:bCs/>
          <w:color w:val="auto"/>
          <w:sz w:val="28"/>
          <w:szCs w:val="28"/>
          <w:lang w:val="en-US" w:eastAsia="zh-CN"/>
        </w:rPr>
        <w:t>方</w:t>
      </w:r>
      <w:r>
        <w:rPr>
          <w:rFonts w:hint="eastAsia" w:ascii="宋体" w:hAnsi="宋体" w:cs="宋体"/>
          <w:b/>
          <w:bCs/>
          <w:color w:val="auto"/>
          <w:sz w:val="28"/>
          <w:szCs w:val="28"/>
        </w:rPr>
        <w:t>式：竞争性磋商</w:t>
      </w:r>
    </w:p>
    <w:p w14:paraId="7F8AAEF6">
      <w:pPr>
        <w:widowControl/>
        <w:autoSpaceDE w:val="0"/>
        <w:autoSpaceDN w:val="0"/>
        <w:spacing w:line="480" w:lineRule="auto"/>
        <w:ind w:right="-28" w:firstLine="562" w:firstLineChars="200"/>
        <w:textAlignment w:val="bottom"/>
        <w:rPr>
          <w:rFonts w:hint="eastAsia" w:ascii="宋体" w:hAnsi="宋体" w:eastAsia="宋体" w:cs="宋体"/>
          <w:b/>
          <w:bCs/>
          <w:color w:val="auto"/>
          <w:sz w:val="28"/>
          <w:szCs w:val="28"/>
          <w:lang w:eastAsia="zh-CN"/>
        </w:rPr>
      </w:pPr>
      <w:r>
        <w:rPr>
          <w:rFonts w:hint="eastAsia" w:ascii="宋体" w:hAnsi="宋体" w:cs="宋体"/>
          <w:b/>
          <w:bCs/>
          <w:color w:val="auto"/>
          <w:sz w:val="28"/>
          <w:szCs w:val="28"/>
        </w:rPr>
        <w:t>采 购 人：</w:t>
      </w:r>
      <w:r>
        <w:rPr>
          <w:rFonts w:hint="eastAsia" w:ascii="Arial" w:hAnsi="宋体" w:eastAsia="宋体" w:cs="Arial"/>
          <w:b/>
          <w:bCs/>
          <w:color w:val="auto"/>
          <w:kern w:val="2"/>
          <w:sz w:val="28"/>
          <w:szCs w:val="28"/>
          <w:highlight w:val="none"/>
          <w:lang w:val="en-US" w:eastAsia="zh-CN" w:bidi="ar-SA"/>
        </w:rPr>
        <w:t>扶余市消防救援大队</w:t>
      </w:r>
    </w:p>
    <w:bookmarkEnd w:id="0"/>
    <w:bookmarkEnd w:id="1"/>
    <w:p w14:paraId="63AA8ED0">
      <w:pPr>
        <w:widowControl/>
        <w:autoSpaceDE w:val="0"/>
        <w:autoSpaceDN w:val="0"/>
        <w:ind w:right="-26"/>
        <w:jc w:val="center"/>
        <w:textAlignment w:val="bottom"/>
        <w:rPr>
          <w:rFonts w:ascii="宋体" w:hAnsi="宋体" w:cs="宋体"/>
          <w:color w:val="auto"/>
          <w:sz w:val="32"/>
          <w:szCs w:val="32"/>
        </w:rPr>
      </w:pPr>
    </w:p>
    <w:p w14:paraId="6499F29C">
      <w:pPr>
        <w:widowControl/>
        <w:autoSpaceDE w:val="0"/>
        <w:autoSpaceDN w:val="0"/>
        <w:ind w:right="-26"/>
        <w:jc w:val="center"/>
        <w:textAlignment w:val="bottom"/>
        <w:rPr>
          <w:rFonts w:ascii="宋体" w:hAnsi="宋体" w:cs="宋体"/>
          <w:color w:val="auto"/>
          <w:sz w:val="32"/>
          <w:szCs w:val="32"/>
        </w:rPr>
      </w:pPr>
    </w:p>
    <w:p w14:paraId="39083DA8">
      <w:pPr>
        <w:widowControl/>
        <w:autoSpaceDE w:val="0"/>
        <w:autoSpaceDN w:val="0"/>
        <w:ind w:right="-26"/>
        <w:jc w:val="center"/>
        <w:textAlignment w:val="bottom"/>
        <w:rPr>
          <w:rFonts w:ascii="宋体" w:hAnsi="宋体" w:cs="宋体"/>
          <w:color w:val="auto"/>
          <w:sz w:val="32"/>
          <w:szCs w:val="32"/>
        </w:rPr>
      </w:pPr>
    </w:p>
    <w:p w14:paraId="039C6C5C">
      <w:pPr>
        <w:widowControl/>
        <w:autoSpaceDE w:val="0"/>
        <w:autoSpaceDN w:val="0"/>
        <w:ind w:right="-26"/>
        <w:jc w:val="center"/>
        <w:textAlignment w:val="bottom"/>
        <w:rPr>
          <w:rFonts w:ascii="宋体" w:hAnsi="宋体" w:cs="宋体"/>
          <w:color w:val="auto"/>
          <w:sz w:val="28"/>
          <w:szCs w:val="28"/>
        </w:rPr>
      </w:pPr>
    </w:p>
    <w:p w14:paraId="3011E942">
      <w:pPr>
        <w:widowControl/>
        <w:autoSpaceDE w:val="0"/>
        <w:autoSpaceDN w:val="0"/>
        <w:ind w:right="-26"/>
        <w:jc w:val="center"/>
        <w:textAlignment w:val="bottom"/>
        <w:rPr>
          <w:rFonts w:ascii="宋体" w:hAnsi="宋体" w:cs="宋体"/>
          <w:color w:val="auto"/>
          <w:sz w:val="28"/>
          <w:szCs w:val="28"/>
        </w:rPr>
      </w:pPr>
    </w:p>
    <w:p w14:paraId="4F2BD30D">
      <w:pPr>
        <w:widowControl/>
        <w:autoSpaceDE w:val="0"/>
        <w:autoSpaceDN w:val="0"/>
        <w:ind w:right="-26"/>
        <w:jc w:val="center"/>
        <w:textAlignment w:val="bottom"/>
        <w:rPr>
          <w:rFonts w:ascii="宋体" w:hAnsi="宋体" w:cs="宋体"/>
          <w:color w:val="auto"/>
          <w:sz w:val="28"/>
          <w:szCs w:val="28"/>
        </w:rPr>
      </w:pPr>
    </w:p>
    <w:p w14:paraId="60FC922C">
      <w:pPr>
        <w:tabs>
          <w:tab w:val="left" w:pos="2470"/>
        </w:tabs>
        <w:rPr>
          <w:rFonts w:ascii="宋体" w:hAnsi="宋体" w:cs="宋体"/>
          <w:b/>
          <w:bCs/>
          <w:color w:val="auto"/>
          <w:sz w:val="32"/>
          <w:szCs w:val="32"/>
        </w:rPr>
      </w:pPr>
      <w:r>
        <w:rPr>
          <w:rFonts w:hint="eastAsia" w:ascii="宋体" w:hAnsi="宋体" w:cs="宋体"/>
          <w:b/>
          <w:bCs/>
          <w:color w:val="auto"/>
          <w:sz w:val="32"/>
          <w:szCs w:val="32"/>
        </w:rPr>
        <w:t xml:space="preserve">                          目 录</w:t>
      </w:r>
    </w:p>
    <w:p w14:paraId="44E94028">
      <w:pPr>
        <w:tabs>
          <w:tab w:val="left" w:pos="2470"/>
        </w:tabs>
        <w:jc w:val="center"/>
        <w:rPr>
          <w:rFonts w:ascii="宋体" w:hAnsi="宋体" w:cs="宋体"/>
          <w:b/>
          <w:bCs/>
          <w:color w:val="auto"/>
          <w:sz w:val="32"/>
          <w:szCs w:val="32"/>
        </w:rPr>
      </w:pPr>
    </w:p>
    <w:p w14:paraId="51486A4B">
      <w:pPr>
        <w:widowControl/>
        <w:autoSpaceDE w:val="0"/>
        <w:autoSpaceDN w:val="0"/>
        <w:ind w:right="16"/>
        <w:jc w:val="center"/>
        <w:textAlignment w:val="bottom"/>
        <w:rPr>
          <w:rFonts w:ascii="宋体" w:hAnsi="宋体" w:cs="宋体"/>
          <w:b/>
          <w:bCs/>
          <w:color w:val="auto"/>
          <w:sz w:val="32"/>
          <w:szCs w:val="32"/>
        </w:rPr>
      </w:pPr>
    </w:p>
    <w:p w14:paraId="4FADDCEF">
      <w:pPr>
        <w:widowControl/>
        <w:numPr>
          <w:ilvl w:val="0"/>
          <w:numId w:val="2"/>
        </w:numPr>
        <w:tabs>
          <w:tab w:val="left" w:pos="1260"/>
        </w:tabs>
        <w:autoSpaceDE w:val="0"/>
        <w:autoSpaceDN w:val="0"/>
        <w:spacing w:line="480" w:lineRule="auto"/>
        <w:ind w:left="1259" w:right="-34" w:hanging="1259"/>
        <w:textAlignment w:val="bottom"/>
        <w:rPr>
          <w:rFonts w:ascii="宋体" w:hAnsi="宋体" w:cs="宋体"/>
          <w:b/>
          <w:bCs/>
          <w:color w:val="auto"/>
          <w:sz w:val="24"/>
          <w:szCs w:val="24"/>
        </w:rPr>
      </w:pPr>
      <w:r>
        <w:rPr>
          <w:rFonts w:hint="eastAsia"/>
          <w:color w:val="auto"/>
          <w:lang w:val="en-US" w:eastAsia="zh-CN"/>
        </w:rPr>
        <w:t xml:space="preserve">   </w:t>
      </w:r>
      <w:r>
        <w:rPr>
          <w:color w:val="auto"/>
        </w:rPr>
        <w:fldChar w:fldCharType="begin"/>
      </w:r>
      <w:r>
        <w:rPr>
          <w:color w:val="auto"/>
        </w:rPr>
        <w:instrText xml:space="preserve"> HYPERLINK \l "_Hlk35571014" \s "1,309,314,0,,招标邀请书" </w:instrText>
      </w:r>
      <w:r>
        <w:rPr>
          <w:color w:val="auto"/>
        </w:rPr>
        <w:fldChar w:fldCharType="separate"/>
      </w:r>
      <w:r>
        <w:rPr>
          <w:rFonts w:hint="eastAsia" w:ascii="宋体" w:hAnsi="宋体" w:cs="宋体"/>
          <w:b/>
          <w:bCs/>
          <w:color w:val="auto"/>
          <w:sz w:val="24"/>
          <w:szCs w:val="24"/>
        </w:rPr>
        <w:t>竞争性磋商</w:t>
      </w:r>
      <w:r>
        <w:rPr>
          <w:rFonts w:hint="eastAsia" w:ascii="宋体" w:hAnsi="宋体" w:cs="宋体"/>
          <w:b/>
          <w:bCs/>
          <w:color w:val="auto"/>
          <w:sz w:val="24"/>
          <w:szCs w:val="24"/>
        </w:rPr>
        <w:fldChar w:fldCharType="end"/>
      </w:r>
      <w:r>
        <w:rPr>
          <w:rFonts w:hint="eastAsia" w:ascii="宋体" w:hAnsi="宋体" w:cs="宋体"/>
          <w:b/>
          <w:bCs/>
          <w:color w:val="auto"/>
          <w:sz w:val="24"/>
          <w:szCs w:val="24"/>
        </w:rPr>
        <w:t>公告</w:t>
      </w:r>
    </w:p>
    <w:p w14:paraId="41543941">
      <w:pPr>
        <w:widowControl/>
        <w:numPr>
          <w:ilvl w:val="0"/>
          <w:numId w:val="2"/>
        </w:numPr>
        <w:tabs>
          <w:tab w:val="left" w:pos="1260"/>
        </w:tabs>
        <w:autoSpaceDE w:val="0"/>
        <w:autoSpaceDN w:val="0"/>
        <w:spacing w:line="480" w:lineRule="auto"/>
        <w:ind w:left="1259" w:right="-34" w:hanging="1259"/>
        <w:textAlignment w:val="bottom"/>
        <w:rPr>
          <w:rFonts w:ascii="宋体" w:hAnsi="宋体" w:cs="宋体"/>
          <w:b/>
          <w:bCs/>
          <w:color w:val="auto"/>
          <w:sz w:val="24"/>
          <w:szCs w:val="24"/>
        </w:rPr>
      </w:pPr>
      <w:bookmarkStart w:id="3" w:name="_Hlt75710110"/>
      <w:r>
        <w:rPr>
          <w:rFonts w:hint="eastAsia" w:ascii="宋体" w:hAnsi="宋体" w:cs="宋体"/>
          <w:color w:val="auto"/>
          <w:lang w:val="en-US" w:eastAsia="zh-CN"/>
        </w:rPr>
        <w:t xml:space="preserve">   </w:t>
      </w:r>
      <w:r>
        <w:rPr>
          <w:rFonts w:hint="eastAsia" w:ascii="宋体" w:hAnsi="宋体" w:cs="宋体"/>
          <w:color w:val="auto"/>
        </w:rPr>
        <w:fldChar w:fldCharType="begin"/>
      </w:r>
      <w:r>
        <w:rPr>
          <w:rFonts w:hint="eastAsia" w:ascii="宋体" w:hAnsi="宋体" w:cs="宋体"/>
          <w:color w:val="auto"/>
        </w:rPr>
        <w:instrText xml:space="preserve"> HYPERLINK \l "_Hlk35571525" \s "1,1159,1169,0,,投 标 人 须 知 "</w:instrText>
      </w:r>
      <w:r>
        <w:rPr>
          <w:rFonts w:hint="eastAsia" w:ascii="宋体" w:hAnsi="宋体" w:cs="宋体"/>
          <w:color w:val="auto"/>
        </w:rPr>
        <w:fldChar w:fldCharType="separate"/>
      </w:r>
      <w:bookmarkStart w:id="4" w:name="_Hlt75710092"/>
      <w:r>
        <w:rPr>
          <w:rFonts w:hint="eastAsia" w:ascii="宋体" w:hAnsi="宋体" w:cs="宋体"/>
          <w:b/>
          <w:bCs/>
          <w:color w:val="auto"/>
          <w:sz w:val="24"/>
          <w:szCs w:val="24"/>
        </w:rPr>
        <w:t>供应商须</w:t>
      </w:r>
      <w:bookmarkEnd w:id="4"/>
      <w:r>
        <w:rPr>
          <w:rFonts w:hint="eastAsia" w:ascii="宋体" w:hAnsi="宋体" w:cs="宋体"/>
          <w:b/>
          <w:bCs/>
          <w:color w:val="auto"/>
          <w:sz w:val="24"/>
          <w:szCs w:val="24"/>
        </w:rPr>
        <w:t xml:space="preserve">知 </w:t>
      </w:r>
      <w:r>
        <w:rPr>
          <w:rFonts w:hint="eastAsia" w:ascii="宋体" w:hAnsi="宋体" w:cs="宋体"/>
          <w:b/>
          <w:bCs/>
          <w:color w:val="auto"/>
          <w:sz w:val="24"/>
          <w:szCs w:val="24"/>
        </w:rPr>
        <w:fldChar w:fldCharType="end"/>
      </w:r>
      <w:bookmarkEnd w:id="3"/>
    </w:p>
    <w:p w14:paraId="44AD410A">
      <w:pPr>
        <w:widowControl/>
        <w:numPr>
          <w:ilvl w:val="0"/>
          <w:numId w:val="2"/>
        </w:numPr>
        <w:tabs>
          <w:tab w:val="left" w:pos="1260"/>
        </w:tabs>
        <w:autoSpaceDE w:val="0"/>
        <w:autoSpaceDN w:val="0"/>
        <w:spacing w:line="480" w:lineRule="auto"/>
        <w:ind w:left="1259" w:right="-34" w:hanging="1259"/>
        <w:textAlignment w:val="bottom"/>
        <w:rPr>
          <w:rFonts w:ascii="宋体" w:hAnsi="宋体" w:cs="宋体"/>
          <w:b/>
          <w:bCs/>
          <w:color w:val="auto"/>
          <w:sz w:val="24"/>
          <w:szCs w:val="24"/>
        </w:rPr>
      </w:pPr>
      <w:r>
        <w:rPr>
          <w:rFonts w:hint="eastAsia"/>
          <w:color w:val="auto"/>
          <w:lang w:val="en-US" w:eastAsia="zh-CN"/>
        </w:rPr>
        <w:t xml:space="preserve">   </w:t>
      </w:r>
      <w:r>
        <w:rPr>
          <w:color w:val="auto"/>
        </w:rPr>
        <w:fldChar w:fldCharType="begin"/>
      </w:r>
      <w:r>
        <w:rPr>
          <w:color w:val="auto"/>
        </w:rPr>
        <w:instrText xml:space="preserve"> HYPERLINK \l "_Hlk35571579" \s "1,8556,8561,0,,投标资料表" </w:instrText>
      </w:r>
      <w:r>
        <w:rPr>
          <w:color w:val="auto"/>
        </w:rPr>
        <w:fldChar w:fldCharType="separate"/>
      </w:r>
      <w:r>
        <w:rPr>
          <w:rFonts w:hint="eastAsia" w:ascii="宋体" w:hAnsi="宋体" w:cs="宋体"/>
          <w:b/>
          <w:bCs/>
          <w:color w:val="auto"/>
          <w:sz w:val="24"/>
          <w:szCs w:val="24"/>
        </w:rPr>
        <w:t>响应资料表</w:t>
      </w:r>
      <w:r>
        <w:rPr>
          <w:rFonts w:hint="eastAsia" w:ascii="宋体" w:hAnsi="宋体" w:cs="宋体"/>
          <w:b/>
          <w:bCs/>
          <w:color w:val="auto"/>
          <w:sz w:val="24"/>
          <w:szCs w:val="24"/>
        </w:rPr>
        <w:fldChar w:fldCharType="end"/>
      </w:r>
    </w:p>
    <w:p w14:paraId="0A899085">
      <w:pPr>
        <w:widowControl/>
        <w:numPr>
          <w:ilvl w:val="0"/>
          <w:numId w:val="2"/>
        </w:numPr>
        <w:tabs>
          <w:tab w:val="left" w:pos="1260"/>
        </w:tabs>
        <w:autoSpaceDE w:val="0"/>
        <w:autoSpaceDN w:val="0"/>
        <w:spacing w:line="480" w:lineRule="auto"/>
        <w:ind w:left="1259" w:right="-34" w:hanging="1259"/>
        <w:textAlignment w:val="bottom"/>
        <w:rPr>
          <w:rFonts w:ascii="宋体" w:hAnsi="宋体" w:cs="宋体"/>
          <w:b/>
          <w:bCs/>
          <w:color w:val="auto"/>
          <w:sz w:val="24"/>
          <w:szCs w:val="24"/>
        </w:rPr>
      </w:pPr>
      <w:r>
        <w:rPr>
          <w:rFonts w:hint="eastAsia"/>
          <w:color w:val="auto"/>
          <w:lang w:val="en-US" w:eastAsia="zh-CN"/>
        </w:rPr>
        <w:t xml:space="preserve">   </w:t>
      </w:r>
      <w:r>
        <w:rPr>
          <w:color w:val="auto"/>
        </w:rPr>
        <w:fldChar w:fldCharType="begin"/>
      </w:r>
      <w:r>
        <w:rPr>
          <w:color w:val="auto"/>
        </w:rPr>
        <w:instrText xml:space="preserve"> HYPERLINK \l "_Hlk35571643" \s "1,9384,9390,0,,合同通用条款" </w:instrText>
      </w:r>
      <w:r>
        <w:rPr>
          <w:color w:val="auto"/>
        </w:rPr>
        <w:fldChar w:fldCharType="separate"/>
      </w:r>
      <w:r>
        <w:rPr>
          <w:rFonts w:hint="eastAsia" w:ascii="宋体" w:hAnsi="宋体" w:cs="宋体"/>
          <w:b/>
          <w:bCs/>
          <w:color w:val="auto"/>
          <w:sz w:val="24"/>
          <w:szCs w:val="24"/>
        </w:rPr>
        <w:t>合同</w:t>
      </w:r>
      <w:bookmarkStart w:id="5" w:name="_Hlt75710432"/>
      <w:r>
        <w:rPr>
          <w:rFonts w:hint="eastAsia" w:ascii="宋体" w:hAnsi="宋体" w:cs="宋体"/>
          <w:b/>
          <w:bCs/>
          <w:color w:val="auto"/>
          <w:sz w:val="24"/>
          <w:szCs w:val="24"/>
        </w:rPr>
        <w:t>通</w:t>
      </w:r>
      <w:bookmarkEnd w:id="5"/>
      <w:r>
        <w:rPr>
          <w:rFonts w:hint="eastAsia" w:ascii="宋体" w:hAnsi="宋体" w:cs="宋体"/>
          <w:b/>
          <w:bCs/>
          <w:color w:val="auto"/>
          <w:sz w:val="24"/>
          <w:szCs w:val="24"/>
        </w:rPr>
        <w:t>用条款</w:t>
      </w:r>
      <w:r>
        <w:rPr>
          <w:rFonts w:hint="eastAsia" w:ascii="宋体" w:hAnsi="宋体" w:cs="宋体"/>
          <w:b/>
          <w:bCs/>
          <w:color w:val="auto"/>
          <w:sz w:val="24"/>
          <w:szCs w:val="24"/>
        </w:rPr>
        <w:fldChar w:fldCharType="end"/>
      </w:r>
    </w:p>
    <w:p w14:paraId="2CB6957D">
      <w:pPr>
        <w:widowControl/>
        <w:numPr>
          <w:ilvl w:val="0"/>
          <w:numId w:val="2"/>
        </w:numPr>
        <w:tabs>
          <w:tab w:val="left" w:pos="1260"/>
        </w:tabs>
        <w:autoSpaceDE w:val="0"/>
        <w:autoSpaceDN w:val="0"/>
        <w:spacing w:line="480" w:lineRule="auto"/>
        <w:ind w:left="1259" w:right="-34" w:hanging="1259"/>
        <w:textAlignment w:val="bottom"/>
        <w:rPr>
          <w:rFonts w:ascii="宋体" w:hAnsi="宋体" w:cs="宋体"/>
          <w:b/>
          <w:bCs/>
          <w:color w:val="auto"/>
          <w:sz w:val="24"/>
          <w:szCs w:val="24"/>
        </w:rPr>
      </w:pPr>
      <w:r>
        <w:rPr>
          <w:rFonts w:hint="eastAsia" w:ascii="宋体" w:hAnsi="宋体" w:cs="宋体"/>
          <w:b/>
          <w:bCs/>
          <w:color w:val="auto"/>
          <w:sz w:val="24"/>
          <w:szCs w:val="24"/>
        </w:rPr>
        <w:t xml:space="preserve">   合同条款响应一览表</w:t>
      </w:r>
    </w:p>
    <w:p w14:paraId="04C01B05">
      <w:pPr>
        <w:widowControl/>
        <w:numPr>
          <w:ilvl w:val="0"/>
          <w:numId w:val="2"/>
        </w:numPr>
        <w:tabs>
          <w:tab w:val="left" w:pos="1260"/>
        </w:tabs>
        <w:autoSpaceDE w:val="0"/>
        <w:autoSpaceDN w:val="0"/>
        <w:spacing w:line="480" w:lineRule="auto"/>
        <w:ind w:left="1259" w:right="-34" w:hanging="1259"/>
        <w:textAlignment w:val="bottom"/>
        <w:rPr>
          <w:rFonts w:ascii="宋体" w:hAnsi="宋体" w:cs="宋体"/>
          <w:b/>
          <w:bCs/>
          <w:color w:val="auto"/>
          <w:sz w:val="24"/>
          <w:szCs w:val="24"/>
        </w:rPr>
      </w:pPr>
      <w:r>
        <w:rPr>
          <w:rFonts w:hint="eastAsia" w:ascii="宋体" w:hAnsi="宋体" w:cs="宋体"/>
          <w:b/>
          <w:bCs/>
          <w:color w:val="auto"/>
          <w:sz w:val="24"/>
          <w:szCs w:val="24"/>
        </w:rPr>
        <w:t xml:space="preserve">   合同格式</w:t>
      </w:r>
    </w:p>
    <w:p w14:paraId="0EA8CBD5">
      <w:pPr>
        <w:widowControl/>
        <w:numPr>
          <w:ilvl w:val="0"/>
          <w:numId w:val="2"/>
        </w:numPr>
        <w:tabs>
          <w:tab w:val="left" w:pos="1260"/>
        </w:tabs>
        <w:autoSpaceDE w:val="0"/>
        <w:autoSpaceDN w:val="0"/>
        <w:spacing w:line="480" w:lineRule="auto"/>
        <w:ind w:left="1259" w:right="-34" w:hanging="1259"/>
        <w:textAlignment w:val="bottom"/>
        <w:rPr>
          <w:rFonts w:ascii="宋体" w:hAnsi="宋体" w:cs="宋体"/>
          <w:b/>
          <w:bCs/>
          <w:color w:val="auto"/>
          <w:sz w:val="24"/>
          <w:szCs w:val="24"/>
        </w:rPr>
      </w:pPr>
      <w:r>
        <w:rPr>
          <w:rFonts w:hint="eastAsia" w:ascii="宋体" w:hAnsi="宋体" w:cs="宋体"/>
          <w:b/>
          <w:bCs/>
          <w:color w:val="auto"/>
          <w:sz w:val="24"/>
          <w:szCs w:val="24"/>
        </w:rPr>
        <w:t xml:space="preserve">   货物需求一览表</w:t>
      </w:r>
    </w:p>
    <w:p w14:paraId="007BA396">
      <w:pPr>
        <w:widowControl/>
        <w:numPr>
          <w:ilvl w:val="0"/>
          <w:numId w:val="2"/>
        </w:numPr>
        <w:tabs>
          <w:tab w:val="left" w:pos="1260"/>
        </w:tabs>
        <w:autoSpaceDE w:val="0"/>
        <w:autoSpaceDN w:val="0"/>
        <w:spacing w:line="480" w:lineRule="auto"/>
        <w:ind w:left="1259" w:right="-34" w:hanging="1259"/>
        <w:textAlignment w:val="bottom"/>
        <w:rPr>
          <w:rFonts w:ascii="宋体" w:hAnsi="宋体" w:cs="宋体"/>
          <w:b/>
          <w:bCs/>
          <w:color w:val="auto"/>
          <w:sz w:val="24"/>
          <w:szCs w:val="24"/>
        </w:rPr>
      </w:pPr>
      <w:r>
        <w:rPr>
          <w:rFonts w:hint="eastAsia" w:ascii="宋体" w:hAnsi="宋体" w:cs="宋体"/>
          <w:b/>
          <w:bCs/>
          <w:color w:val="auto"/>
          <w:sz w:val="24"/>
          <w:szCs w:val="24"/>
        </w:rPr>
        <w:t xml:space="preserve">   货物的技术规格与要求</w:t>
      </w:r>
    </w:p>
    <w:p w14:paraId="269E0499">
      <w:pPr>
        <w:widowControl/>
        <w:numPr>
          <w:ilvl w:val="0"/>
          <w:numId w:val="2"/>
        </w:numPr>
        <w:tabs>
          <w:tab w:val="left" w:pos="0"/>
          <w:tab w:val="left" w:pos="1260"/>
          <w:tab w:val="clear" w:pos="855"/>
        </w:tabs>
        <w:autoSpaceDE w:val="0"/>
        <w:autoSpaceDN w:val="0"/>
        <w:spacing w:line="480" w:lineRule="auto"/>
        <w:ind w:left="1259" w:right="-34" w:hanging="1259"/>
        <w:textAlignment w:val="bottom"/>
        <w:rPr>
          <w:rFonts w:ascii="宋体" w:hAnsi="宋体" w:cs="宋体"/>
          <w:b/>
          <w:bCs/>
          <w:color w:val="auto"/>
          <w:sz w:val="24"/>
          <w:szCs w:val="24"/>
        </w:rPr>
      </w:pPr>
      <w:r>
        <w:rPr>
          <w:rFonts w:hint="eastAsia" w:ascii="宋体" w:hAnsi="宋体" w:cs="宋体"/>
          <w:b/>
          <w:bCs/>
          <w:color w:val="auto"/>
          <w:sz w:val="24"/>
          <w:szCs w:val="24"/>
        </w:rPr>
        <w:t>附表</w:t>
      </w:r>
    </w:p>
    <w:p w14:paraId="7474C644">
      <w:pPr>
        <w:widowControl/>
        <w:tabs>
          <w:tab w:val="left" w:pos="1260"/>
        </w:tabs>
        <w:autoSpaceDE w:val="0"/>
        <w:autoSpaceDN w:val="0"/>
        <w:spacing w:line="360" w:lineRule="auto"/>
        <w:ind w:left="1259" w:right="-34" w:hanging="1259"/>
        <w:textAlignment w:val="bottom"/>
        <w:rPr>
          <w:rFonts w:ascii="宋体" w:hAnsi="宋体" w:cs="宋体"/>
          <w:b/>
          <w:bCs/>
          <w:color w:val="auto"/>
          <w:sz w:val="24"/>
          <w:szCs w:val="24"/>
        </w:rPr>
      </w:pPr>
    </w:p>
    <w:p w14:paraId="03F7EB43">
      <w:pPr>
        <w:widowControl/>
        <w:tabs>
          <w:tab w:val="left" w:pos="1260"/>
        </w:tabs>
        <w:autoSpaceDE w:val="0"/>
        <w:autoSpaceDN w:val="0"/>
        <w:ind w:left="1260" w:right="-36" w:hanging="1260"/>
        <w:textAlignment w:val="bottom"/>
        <w:rPr>
          <w:rFonts w:ascii="宋体" w:hAnsi="宋体" w:cs="宋体"/>
          <w:b/>
          <w:bCs/>
          <w:color w:val="auto"/>
          <w:sz w:val="24"/>
          <w:szCs w:val="24"/>
        </w:rPr>
      </w:pPr>
    </w:p>
    <w:p w14:paraId="542DC676">
      <w:pPr>
        <w:widowControl/>
        <w:autoSpaceDE w:val="0"/>
        <w:autoSpaceDN w:val="0"/>
        <w:ind w:right="-36"/>
        <w:textAlignment w:val="bottom"/>
        <w:rPr>
          <w:rFonts w:ascii="宋体" w:hAnsi="宋体" w:cs="宋体"/>
          <w:b/>
          <w:bCs/>
          <w:color w:val="auto"/>
          <w:sz w:val="24"/>
          <w:szCs w:val="24"/>
        </w:rPr>
      </w:pPr>
    </w:p>
    <w:p w14:paraId="0CEDC72D">
      <w:pPr>
        <w:widowControl/>
        <w:autoSpaceDE w:val="0"/>
        <w:autoSpaceDN w:val="0"/>
        <w:ind w:right="-36"/>
        <w:jc w:val="center"/>
        <w:textAlignment w:val="bottom"/>
        <w:rPr>
          <w:rFonts w:ascii="宋体" w:hAnsi="宋体" w:cs="宋体"/>
          <w:color w:val="auto"/>
          <w:sz w:val="24"/>
          <w:szCs w:val="24"/>
        </w:rPr>
      </w:pPr>
    </w:p>
    <w:p w14:paraId="46F4D011">
      <w:pPr>
        <w:widowControl/>
        <w:autoSpaceDE w:val="0"/>
        <w:autoSpaceDN w:val="0"/>
        <w:ind w:right="-36"/>
        <w:jc w:val="center"/>
        <w:textAlignment w:val="bottom"/>
        <w:rPr>
          <w:rFonts w:ascii="宋体" w:hAnsi="宋体" w:cs="宋体"/>
          <w:color w:val="auto"/>
          <w:sz w:val="24"/>
          <w:szCs w:val="24"/>
        </w:rPr>
      </w:pPr>
    </w:p>
    <w:p w14:paraId="16C142B6">
      <w:pPr>
        <w:widowControl/>
        <w:autoSpaceDE w:val="0"/>
        <w:autoSpaceDN w:val="0"/>
        <w:ind w:right="-36"/>
        <w:jc w:val="center"/>
        <w:textAlignment w:val="bottom"/>
        <w:rPr>
          <w:rFonts w:ascii="宋体" w:hAnsi="宋体" w:cs="宋体"/>
          <w:color w:val="auto"/>
          <w:sz w:val="24"/>
          <w:szCs w:val="24"/>
        </w:rPr>
      </w:pPr>
    </w:p>
    <w:p w14:paraId="37AA3FD8">
      <w:pPr>
        <w:widowControl/>
        <w:autoSpaceDE w:val="0"/>
        <w:autoSpaceDN w:val="0"/>
        <w:ind w:right="-36"/>
        <w:jc w:val="center"/>
        <w:textAlignment w:val="bottom"/>
        <w:rPr>
          <w:rFonts w:ascii="宋体" w:hAnsi="宋体" w:cs="宋体"/>
          <w:color w:val="auto"/>
          <w:sz w:val="24"/>
          <w:szCs w:val="24"/>
        </w:rPr>
      </w:pPr>
    </w:p>
    <w:p w14:paraId="2690590D">
      <w:pPr>
        <w:widowControl/>
        <w:autoSpaceDE w:val="0"/>
        <w:autoSpaceDN w:val="0"/>
        <w:ind w:right="-36"/>
        <w:jc w:val="center"/>
        <w:textAlignment w:val="bottom"/>
        <w:rPr>
          <w:rFonts w:ascii="宋体" w:hAnsi="宋体" w:cs="宋体"/>
          <w:color w:val="auto"/>
          <w:sz w:val="24"/>
          <w:szCs w:val="24"/>
        </w:rPr>
      </w:pPr>
    </w:p>
    <w:p w14:paraId="7537731D">
      <w:pPr>
        <w:widowControl/>
        <w:autoSpaceDE w:val="0"/>
        <w:autoSpaceDN w:val="0"/>
        <w:ind w:right="-36"/>
        <w:jc w:val="center"/>
        <w:textAlignment w:val="bottom"/>
        <w:rPr>
          <w:rFonts w:ascii="宋体" w:hAnsi="宋体" w:cs="宋体"/>
          <w:color w:val="auto"/>
          <w:sz w:val="24"/>
          <w:szCs w:val="24"/>
        </w:rPr>
      </w:pPr>
    </w:p>
    <w:p w14:paraId="795AA774">
      <w:pPr>
        <w:widowControl/>
        <w:autoSpaceDE w:val="0"/>
        <w:autoSpaceDN w:val="0"/>
        <w:ind w:right="-36"/>
        <w:jc w:val="center"/>
        <w:textAlignment w:val="bottom"/>
        <w:rPr>
          <w:rFonts w:ascii="宋体" w:hAnsi="宋体" w:cs="宋体"/>
          <w:color w:val="auto"/>
          <w:sz w:val="24"/>
          <w:szCs w:val="24"/>
        </w:rPr>
      </w:pPr>
    </w:p>
    <w:p w14:paraId="1D96D8C6">
      <w:pPr>
        <w:widowControl/>
        <w:autoSpaceDE w:val="0"/>
        <w:autoSpaceDN w:val="0"/>
        <w:ind w:right="-36"/>
        <w:jc w:val="center"/>
        <w:textAlignment w:val="bottom"/>
        <w:rPr>
          <w:rFonts w:ascii="宋体" w:hAnsi="宋体" w:cs="宋体"/>
          <w:color w:val="auto"/>
          <w:sz w:val="24"/>
          <w:szCs w:val="24"/>
        </w:rPr>
      </w:pPr>
    </w:p>
    <w:p w14:paraId="3ADF1F62">
      <w:pPr>
        <w:widowControl/>
        <w:autoSpaceDE w:val="0"/>
        <w:autoSpaceDN w:val="0"/>
        <w:ind w:right="-36"/>
        <w:jc w:val="center"/>
        <w:textAlignment w:val="bottom"/>
        <w:rPr>
          <w:rFonts w:ascii="宋体" w:hAnsi="宋体" w:cs="宋体"/>
          <w:color w:val="auto"/>
          <w:sz w:val="24"/>
          <w:szCs w:val="24"/>
        </w:rPr>
      </w:pPr>
    </w:p>
    <w:p w14:paraId="5A3B41BD">
      <w:pPr>
        <w:widowControl/>
        <w:autoSpaceDE w:val="0"/>
        <w:autoSpaceDN w:val="0"/>
        <w:ind w:right="-36"/>
        <w:jc w:val="center"/>
        <w:textAlignment w:val="bottom"/>
        <w:rPr>
          <w:rFonts w:ascii="宋体" w:hAnsi="宋体" w:cs="宋体"/>
          <w:color w:val="auto"/>
          <w:sz w:val="24"/>
          <w:szCs w:val="24"/>
        </w:rPr>
      </w:pPr>
    </w:p>
    <w:p w14:paraId="3B0E4A9D">
      <w:pPr>
        <w:widowControl/>
        <w:autoSpaceDE w:val="0"/>
        <w:autoSpaceDN w:val="0"/>
        <w:ind w:right="-36"/>
        <w:jc w:val="center"/>
        <w:textAlignment w:val="bottom"/>
        <w:rPr>
          <w:rFonts w:ascii="宋体" w:hAnsi="宋体" w:cs="宋体"/>
          <w:color w:val="auto"/>
          <w:sz w:val="24"/>
          <w:szCs w:val="24"/>
        </w:rPr>
      </w:pPr>
    </w:p>
    <w:p w14:paraId="6E43A934">
      <w:pPr>
        <w:widowControl/>
        <w:autoSpaceDE w:val="0"/>
        <w:autoSpaceDN w:val="0"/>
        <w:ind w:right="-36"/>
        <w:jc w:val="center"/>
        <w:textAlignment w:val="bottom"/>
        <w:rPr>
          <w:rFonts w:ascii="宋体" w:hAnsi="宋体" w:cs="宋体"/>
          <w:color w:val="auto"/>
          <w:sz w:val="24"/>
          <w:szCs w:val="24"/>
        </w:rPr>
      </w:pPr>
    </w:p>
    <w:p w14:paraId="52AF5E63">
      <w:pPr>
        <w:pStyle w:val="5"/>
        <w:rPr>
          <w:rFonts w:ascii="宋体" w:hAnsi="宋体" w:cs="宋体"/>
          <w:color w:val="auto"/>
          <w:sz w:val="24"/>
          <w:szCs w:val="24"/>
        </w:rPr>
      </w:pPr>
    </w:p>
    <w:p w14:paraId="7FFF5E5B">
      <w:pPr>
        <w:rPr>
          <w:color w:val="auto"/>
        </w:rPr>
      </w:pPr>
    </w:p>
    <w:p w14:paraId="0532B1F7">
      <w:pPr>
        <w:widowControl/>
        <w:autoSpaceDE w:val="0"/>
        <w:autoSpaceDN w:val="0"/>
        <w:spacing w:line="360" w:lineRule="auto"/>
        <w:textAlignment w:val="bottom"/>
        <w:rPr>
          <w:rFonts w:ascii="宋体" w:hAnsi="宋体" w:cs="宋体"/>
          <w:b/>
          <w:bCs/>
          <w:color w:val="auto"/>
          <w:sz w:val="32"/>
          <w:szCs w:val="32"/>
        </w:rPr>
      </w:pPr>
    </w:p>
    <w:p w14:paraId="256D4039">
      <w:pPr>
        <w:widowControl/>
        <w:autoSpaceDE w:val="0"/>
        <w:autoSpaceDN w:val="0"/>
        <w:spacing w:line="360" w:lineRule="auto"/>
        <w:jc w:val="center"/>
        <w:textAlignment w:val="bottom"/>
        <w:rPr>
          <w:rFonts w:hint="eastAsia" w:ascii="Arial" w:hAnsi="Arial" w:cs="Arial"/>
          <w:b/>
          <w:bCs/>
          <w:color w:val="auto"/>
          <w:sz w:val="32"/>
          <w:szCs w:val="32"/>
          <w:highlight w:val="none"/>
        </w:rPr>
      </w:pPr>
      <w:bookmarkStart w:id="6" w:name="OLE_LINK10"/>
      <w:bookmarkStart w:id="7" w:name="OLE_LINK18"/>
    </w:p>
    <w:p w14:paraId="009A4987">
      <w:pPr>
        <w:pStyle w:val="2"/>
        <w:tabs>
          <w:tab w:val="left" w:pos="0"/>
        </w:tabs>
        <w:autoSpaceDE w:val="0"/>
        <w:autoSpaceDN w:val="0"/>
        <w:adjustRightInd w:val="0"/>
        <w:spacing w:before="0" w:after="0" w:line="360" w:lineRule="auto"/>
        <w:jc w:val="center"/>
        <w:rPr>
          <w:rFonts w:hint="eastAsia" w:ascii="黑体" w:hAnsi="黑体" w:eastAsia="黑体" w:cs="黑体"/>
          <w:color w:val="auto"/>
          <w:sz w:val="44"/>
          <w:szCs w:val="44"/>
          <w:highlight w:val="none"/>
        </w:rPr>
      </w:pPr>
      <w:bookmarkStart w:id="8" w:name="_Toc28359011"/>
      <w:bookmarkStart w:id="9" w:name="_Toc35393797"/>
      <w:r>
        <w:rPr>
          <w:rFonts w:hint="eastAsia" w:ascii="黑体" w:hAnsi="黑体" w:eastAsia="黑体" w:cs="黑体"/>
          <w:color w:val="auto"/>
          <w:sz w:val="44"/>
          <w:szCs w:val="44"/>
          <w:highlight w:val="none"/>
        </w:rPr>
        <w:t>竞争性磋商公告</w:t>
      </w:r>
      <w:bookmarkEnd w:id="8"/>
      <w:bookmarkEnd w:id="9"/>
    </w:p>
    <w:p w14:paraId="2D2D4D1F">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olor w:val="auto"/>
          <w:sz w:val="32"/>
          <w:szCs w:val="32"/>
          <w:highlight w:val="none"/>
          <w:u w:val="none"/>
        </w:rPr>
      </w:pPr>
      <w:r>
        <w:rPr>
          <w:rFonts w:hint="eastAsia" w:ascii="仿宋" w:hAnsi="仿宋" w:eastAsia="仿宋"/>
          <w:color w:val="auto"/>
          <w:sz w:val="32"/>
          <w:szCs w:val="32"/>
          <w:highlight w:val="none"/>
          <w:u w:val="none"/>
        </w:rPr>
        <w:t>项目概况</w:t>
      </w:r>
    </w:p>
    <w:p w14:paraId="5275097F">
      <w:pPr>
        <w:pBdr>
          <w:top w:val="single" w:color="auto" w:sz="4" w:space="1"/>
          <w:left w:val="single" w:color="auto" w:sz="4" w:space="4"/>
          <w:bottom w:val="single" w:color="auto" w:sz="4" w:space="1"/>
          <w:right w:val="single" w:color="auto" w:sz="4" w:space="4"/>
        </w:pBdr>
        <w:spacing w:line="360" w:lineRule="auto"/>
        <w:ind w:firstLine="640" w:firstLineChars="200"/>
        <w:rPr>
          <w:color w:val="auto"/>
          <w:sz w:val="32"/>
          <w:szCs w:val="32"/>
          <w:highlight w:val="none"/>
        </w:rPr>
      </w:pPr>
      <w:r>
        <w:rPr>
          <w:rFonts w:hint="eastAsia" w:ascii="仿宋" w:hAnsi="仿宋" w:eastAsia="仿宋"/>
          <w:color w:val="auto"/>
          <w:sz w:val="32"/>
          <w:szCs w:val="32"/>
          <w:highlight w:val="none"/>
          <w:u w:val="none"/>
        </w:rPr>
        <w:t>扶余市消防救援大队2025年2月-2026年1月食堂主副食采购及配送项目的潜在供应商应登录</w:t>
      </w:r>
      <w:r>
        <w:rPr>
          <w:rFonts w:hint="eastAsia" w:ascii="仿宋" w:hAnsi="仿宋" w:eastAsia="仿宋"/>
          <w:color w:val="auto"/>
          <w:sz w:val="32"/>
          <w:szCs w:val="32"/>
          <w:highlight w:val="none"/>
          <w:u w:val="none"/>
          <w:lang w:val="en-US" w:eastAsia="zh-CN"/>
        </w:rPr>
        <w:t>政采云平台（https://www.zcygov.cn/)获取招标文件</w:t>
      </w:r>
      <w:r>
        <w:rPr>
          <w:rFonts w:hint="eastAsia" w:ascii="仿宋" w:hAnsi="仿宋" w:eastAsia="仿宋"/>
          <w:color w:val="auto"/>
          <w:sz w:val="32"/>
          <w:szCs w:val="32"/>
          <w:highlight w:val="none"/>
          <w:u w:val="none"/>
        </w:rPr>
        <w:t>，并于202</w:t>
      </w:r>
      <w:r>
        <w:rPr>
          <w:rFonts w:hint="eastAsia" w:ascii="仿宋" w:hAnsi="仿宋" w:eastAsia="仿宋"/>
          <w:color w:val="auto"/>
          <w:sz w:val="32"/>
          <w:szCs w:val="32"/>
          <w:highlight w:val="none"/>
          <w:u w:val="none"/>
          <w:lang w:val="en-US" w:eastAsia="zh-CN"/>
        </w:rPr>
        <w:t>5</w:t>
      </w:r>
      <w:r>
        <w:rPr>
          <w:rFonts w:hint="eastAsia" w:ascii="仿宋" w:hAnsi="仿宋" w:eastAsia="仿宋"/>
          <w:color w:val="auto"/>
          <w:sz w:val="32"/>
          <w:szCs w:val="32"/>
          <w:highlight w:val="none"/>
          <w:u w:val="none"/>
        </w:rPr>
        <w:t>年</w:t>
      </w:r>
      <w:r>
        <w:rPr>
          <w:rFonts w:hint="eastAsia" w:ascii="仿宋" w:hAnsi="仿宋" w:eastAsia="仿宋"/>
          <w:color w:val="auto"/>
          <w:sz w:val="32"/>
          <w:szCs w:val="32"/>
          <w:highlight w:val="none"/>
          <w:u w:val="none"/>
          <w:lang w:val="en-US" w:eastAsia="zh-CN"/>
        </w:rPr>
        <w:t>3</w:t>
      </w:r>
      <w:r>
        <w:rPr>
          <w:rFonts w:hint="eastAsia" w:ascii="仿宋" w:hAnsi="仿宋" w:eastAsia="仿宋"/>
          <w:color w:val="auto"/>
          <w:sz w:val="32"/>
          <w:szCs w:val="32"/>
          <w:highlight w:val="none"/>
          <w:u w:val="none"/>
        </w:rPr>
        <w:t>月</w:t>
      </w:r>
      <w:r>
        <w:rPr>
          <w:rFonts w:hint="eastAsia" w:ascii="仿宋" w:hAnsi="仿宋" w:eastAsia="仿宋"/>
          <w:color w:val="auto"/>
          <w:sz w:val="32"/>
          <w:szCs w:val="32"/>
          <w:highlight w:val="none"/>
          <w:u w:val="none"/>
          <w:lang w:val="en-US" w:eastAsia="zh-CN"/>
        </w:rPr>
        <w:t>21</w:t>
      </w:r>
      <w:r>
        <w:rPr>
          <w:rFonts w:hint="eastAsia" w:ascii="仿宋" w:hAnsi="仿宋" w:eastAsia="仿宋"/>
          <w:color w:val="auto"/>
          <w:sz w:val="32"/>
          <w:szCs w:val="32"/>
          <w:highlight w:val="none"/>
          <w:u w:val="none"/>
        </w:rPr>
        <w:t>日09点00分（北京时间）前递交</w:t>
      </w:r>
      <w:r>
        <w:rPr>
          <w:rFonts w:hint="eastAsia" w:ascii="仿宋" w:hAnsi="仿宋" w:eastAsia="仿宋"/>
          <w:color w:val="auto"/>
          <w:sz w:val="32"/>
          <w:szCs w:val="32"/>
          <w:highlight w:val="none"/>
          <w:u w:val="none"/>
          <w:lang w:eastAsia="zh-CN"/>
        </w:rPr>
        <w:t>响应文件</w:t>
      </w:r>
      <w:r>
        <w:rPr>
          <w:rFonts w:hint="eastAsia" w:ascii="仿宋" w:hAnsi="仿宋" w:eastAsia="仿宋"/>
          <w:color w:val="auto"/>
          <w:sz w:val="32"/>
          <w:szCs w:val="32"/>
          <w:highlight w:val="none"/>
          <w:u w:val="none"/>
        </w:rPr>
        <w:t>。</w:t>
      </w:r>
    </w:p>
    <w:p w14:paraId="63072C3C">
      <w:pPr>
        <w:pStyle w:val="3"/>
        <w:spacing w:line="360" w:lineRule="auto"/>
        <w:rPr>
          <w:rFonts w:ascii="黑体" w:hAnsi="黑体" w:cs="宋体"/>
          <w:b/>
          <w:bCs w:val="0"/>
          <w:color w:val="auto"/>
          <w:sz w:val="32"/>
          <w:szCs w:val="32"/>
          <w:highlight w:val="none"/>
          <w:u w:val="none"/>
        </w:rPr>
      </w:pPr>
      <w:bookmarkStart w:id="10" w:name="_Toc35393798"/>
      <w:bookmarkStart w:id="11" w:name="_Toc28359012"/>
      <w:bookmarkStart w:id="12" w:name="_Toc28359089"/>
      <w:bookmarkStart w:id="13" w:name="_Toc35393629"/>
      <w:r>
        <w:rPr>
          <w:rFonts w:hint="eastAsia" w:ascii="黑体" w:hAnsi="黑体" w:cs="宋体"/>
          <w:b/>
          <w:bCs w:val="0"/>
          <w:color w:val="auto"/>
          <w:sz w:val="32"/>
          <w:szCs w:val="32"/>
          <w:highlight w:val="none"/>
        </w:rPr>
        <w:t>一</w:t>
      </w:r>
      <w:r>
        <w:rPr>
          <w:rFonts w:hint="eastAsia" w:ascii="黑体" w:hAnsi="黑体" w:cs="宋体"/>
          <w:b/>
          <w:bCs w:val="0"/>
          <w:color w:val="auto"/>
          <w:sz w:val="32"/>
          <w:szCs w:val="32"/>
          <w:highlight w:val="none"/>
          <w:u w:val="none"/>
        </w:rPr>
        <w:t>、项目基本情况</w:t>
      </w:r>
      <w:bookmarkEnd w:id="10"/>
      <w:bookmarkEnd w:id="11"/>
      <w:bookmarkEnd w:id="12"/>
      <w:bookmarkEnd w:id="13"/>
    </w:p>
    <w:p w14:paraId="479CAD8E">
      <w:pPr>
        <w:spacing w:line="360" w:lineRule="auto"/>
        <w:ind w:firstLine="640" w:firstLineChars="200"/>
        <w:rPr>
          <w:rFonts w:hint="eastAsia" w:ascii="仿宋" w:hAnsi="仿宋" w:eastAsia="仿宋" w:cs="Times New Roman"/>
          <w:b w:val="0"/>
          <w:bCs w:val="0"/>
          <w:i w:val="0"/>
          <w:iCs w:val="0"/>
          <w:color w:val="auto"/>
          <w:kern w:val="2"/>
          <w:sz w:val="32"/>
          <w:szCs w:val="32"/>
          <w:highlight w:val="none"/>
          <w:u w:val="none"/>
          <w:lang w:val="en-US" w:eastAsia="zh-CN" w:bidi="ar-SA"/>
        </w:rPr>
      </w:pPr>
      <w:r>
        <w:rPr>
          <w:rFonts w:hint="eastAsia" w:ascii="仿宋" w:hAnsi="仿宋" w:eastAsia="仿宋" w:cs="Times New Roman"/>
          <w:b w:val="0"/>
          <w:bCs w:val="0"/>
          <w:i w:val="0"/>
          <w:iCs w:val="0"/>
          <w:color w:val="auto"/>
          <w:kern w:val="2"/>
          <w:sz w:val="32"/>
          <w:szCs w:val="32"/>
          <w:highlight w:val="none"/>
          <w:u w:val="none"/>
          <w:lang w:val="en-US" w:eastAsia="zh-CN" w:bidi="ar-SA"/>
        </w:rPr>
        <w:t>项目编号：采购计划-[2025]-00003号-RHXMGL-2025003</w:t>
      </w:r>
    </w:p>
    <w:p w14:paraId="10A89036">
      <w:pPr>
        <w:spacing w:line="360" w:lineRule="auto"/>
        <w:ind w:firstLine="640" w:firstLineChars="200"/>
        <w:rPr>
          <w:rFonts w:hint="eastAsia" w:ascii="仿宋" w:hAnsi="仿宋" w:eastAsia="仿宋" w:cs="Times New Roman"/>
          <w:b w:val="0"/>
          <w:bCs w:val="0"/>
          <w:i w:val="0"/>
          <w:iCs w:val="0"/>
          <w:color w:val="auto"/>
          <w:kern w:val="2"/>
          <w:sz w:val="32"/>
          <w:szCs w:val="32"/>
          <w:highlight w:val="none"/>
          <w:u w:val="none"/>
          <w:lang w:val="en-US" w:eastAsia="zh-CN" w:bidi="ar-SA"/>
        </w:rPr>
      </w:pPr>
      <w:r>
        <w:rPr>
          <w:rFonts w:hint="eastAsia" w:ascii="仿宋" w:hAnsi="仿宋" w:eastAsia="仿宋" w:cs="Times New Roman"/>
          <w:b w:val="0"/>
          <w:bCs w:val="0"/>
          <w:i w:val="0"/>
          <w:iCs w:val="0"/>
          <w:color w:val="auto"/>
          <w:kern w:val="2"/>
          <w:sz w:val="32"/>
          <w:szCs w:val="32"/>
          <w:highlight w:val="none"/>
          <w:u w:val="none"/>
          <w:lang w:val="en-US" w:eastAsia="zh-CN" w:bidi="ar-SA"/>
        </w:rPr>
        <w:t>项目名称：</w:t>
      </w:r>
      <w:r>
        <w:rPr>
          <w:rFonts w:hint="eastAsia" w:ascii="仿宋" w:hAnsi="仿宋" w:eastAsia="仿宋"/>
          <w:color w:val="auto"/>
          <w:sz w:val="32"/>
          <w:szCs w:val="32"/>
          <w:highlight w:val="none"/>
          <w:u w:val="none"/>
          <w:lang w:val="en-US" w:eastAsia="zh-CN"/>
        </w:rPr>
        <w:t>扶余市消防救援大队2025年2月-2026年1月食堂主副食采购及配送项目</w:t>
      </w:r>
    </w:p>
    <w:p w14:paraId="00EC0271">
      <w:pPr>
        <w:spacing w:line="360" w:lineRule="auto"/>
        <w:ind w:firstLine="640" w:firstLineChars="200"/>
        <w:rPr>
          <w:rFonts w:hint="eastAsia" w:ascii="仿宋" w:hAnsi="仿宋" w:eastAsia="仿宋" w:cs="Times New Roman"/>
          <w:b w:val="0"/>
          <w:bCs w:val="0"/>
          <w:i w:val="0"/>
          <w:iCs w:val="0"/>
          <w:color w:val="auto"/>
          <w:kern w:val="2"/>
          <w:sz w:val="32"/>
          <w:szCs w:val="32"/>
          <w:highlight w:val="none"/>
          <w:u w:val="none"/>
          <w:lang w:val="en-US" w:eastAsia="zh-CN" w:bidi="ar-SA"/>
        </w:rPr>
      </w:pPr>
      <w:r>
        <w:rPr>
          <w:rFonts w:hint="eastAsia" w:ascii="仿宋" w:hAnsi="仿宋" w:eastAsia="仿宋" w:cs="Times New Roman"/>
          <w:b w:val="0"/>
          <w:bCs w:val="0"/>
          <w:i w:val="0"/>
          <w:iCs w:val="0"/>
          <w:color w:val="auto"/>
          <w:kern w:val="2"/>
          <w:sz w:val="32"/>
          <w:szCs w:val="32"/>
          <w:highlight w:val="none"/>
          <w:u w:val="none"/>
          <w:lang w:val="en-US" w:eastAsia="zh-CN" w:bidi="ar-SA"/>
        </w:rPr>
        <w:t>采购方式：竞争性磋商</w:t>
      </w:r>
    </w:p>
    <w:p w14:paraId="3AF69491">
      <w:pPr>
        <w:spacing w:line="36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b w:val="0"/>
          <w:bCs w:val="0"/>
          <w:i w:val="0"/>
          <w:iCs w:val="0"/>
          <w:color w:val="auto"/>
          <w:sz w:val="32"/>
          <w:szCs w:val="32"/>
          <w:highlight w:val="none"/>
          <w:lang w:val="en-US" w:eastAsia="zh-CN"/>
        </w:rPr>
        <w:t>预算金额：</w:t>
      </w:r>
      <w:r>
        <w:rPr>
          <w:rFonts w:hint="eastAsia" w:ascii="仿宋" w:hAnsi="仿宋" w:eastAsia="仿宋"/>
          <w:color w:val="auto"/>
          <w:sz w:val="32"/>
          <w:szCs w:val="32"/>
          <w:highlight w:val="none"/>
          <w:lang w:val="en-US" w:eastAsia="zh-CN"/>
        </w:rPr>
        <w:t>人民币73万元（最终以实际发生金额为准）；投标报价以折扣系数形式0～1.0填报，其它形式填报投标无效。</w:t>
      </w:r>
    </w:p>
    <w:p w14:paraId="32B1BF7C">
      <w:pPr>
        <w:spacing w:line="360" w:lineRule="auto"/>
        <w:ind w:firstLine="640" w:firstLineChars="200"/>
        <w:rPr>
          <w:rFonts w:ascii="仿宋" w:hAnsi="仿宋" w:eastAsia="仿宋"/>
          <w:color w:val="auto"/>
          <w:sz w:val="32"/>
          <w:szCs w:val="32"/>
          <w:highlight w:val="none"/>
          <w:u w:val="single"/>
        </w:rPr>
      </w:pPr>
      <w:bookmarkStart w:id="14" w:name="_Toc35393791"/>
      <w:bookmarkStart w:id="15" w:name="_Toc35393622"/>
      <w:bookmarkStart w:id="16" w:name="_Toc28359080"/>
      <w:bookmarkStart w:id="17" w:name="_Toc28359003"/>
      <w:bookmarkStart w:id="18" w:name="_Toc28359014"/>
      <w:bookmarkStart w:id="19" w:name="_Toc28359091"/>
      <w:r>
        <w:rPr>
          <w:rFonts w:hint="eastAsia" w:ascii="仿宋" w:hAnsi="仿宋" w:eastAsia="仿宋"/>
          <w:color w:val="auto"/>
          <w:sz w:val="32"/>
          <w:szCs w:val="32"/>
          <w:highlight w:val="none"/>
        </w:rPr>
        <w:t>采购需求：详见招标文件技术部分</w:t>
      </w:r>
      <w:r>
        <w:rPr>
          <w:rFonts w:hint="eastAsia" w:ascii="仿宋" w:hAnsi="仿宋" w:eastAsia="仿宋" w:cs="Times New Roman"/>
          <w:color w:val="auto"/>
          <w:sz w:val="32"/>
          <w:szCs w:val="32"/>
          <w:highlight w:val="none"/>
        </w:rPr>
        <w:t>。</w:t>
      </w:r>
    </w:p>
    <w:p w14:paraId="7278E140">
      <w:pPr>
        <w:spacing w:line="360" w:lineRule="auto"/>
        <w:ind w:firstLine="640" w:firstLineChars="200"/>
        <w:rPr>
          <w:rFonts w:hint="eastAsia" w:ascii="仿宋" w:hAnsi="仿宋" w:eastAsia="仿宋"/>
          <w:i w:val="0"/>
          <w:iCs w:val="0"/>
          <w:color w:val="auto"/>
          <w:sz w:val="32"/>
          <w:szCs w:val="32"/>
          <w:highlight w:val="none"/>
          <w:u w:val="none"/>
          <w:lang w:eastAsia="zh-CN"/>
        </w:rPr>
      </w:pPr>
      <w:r>
        <w:rPr>
          <w:rFonts w:hint="eastAsia" w:ascii="仿宋" w:hAnsi="仿宋" w:eastAsia="仿宋"/>
          <w:color w:val="auto"/>
          <w:sz w:val="32"/>
          <w:szCs w:val="32"/>
          <w:highlight w:val="none"/>
        </w:rPr>
        <w:t>合同履行期限：</w:t>
      </w:r>
      <w:r>
        <w:rPr>
          <w:rFonts w:hint="eastAsia" w:ascii="仿宋" w:hAnsi="仿宋" w:eastAsia="仿宋"/>
          <w:i w:val="0"/>
          <w:iCs w:val="0"/>
          <w:color w:val="auto"/>
          <w:sz w:val="32"/>
          <w:szCs w:val="32"/>
          <w:highlight w:val="none"/>
          <w:u w:val="none"/>
          <w:lang w:eastAsia="zh-CN"/>
        </w:rPr>
        <w:t>自签订合同之日起一年。</w:t>
      </w:r>
    </w:p>
    <w:p w14:paraId="3C945F3F">
      <w:pPr>
        <w:spacing w:line="360" w:lineRule="auto"/>
        <w:ind w:firstLine="640" w:firstLineChars="200"/>
        <w:rPr>
          <w:rFonts w:hint="eastAsia" w:ascii="仿宋" w:hAnsi="仿宋" w:eastAsia="仿宋" w:cs="Calibri"/>
          <w:b w:val="0"/>
          <w:bCs w:val="0"/>
          <w:i w:val="0"/>
          <w:iCs w:val="0"/>
          <w:color w:val="auto"/>
          <w:kern w:val="2"/>
          <w:sz w:val="32"/>
          <w:szCs w:val="32"/>
          <w:highlight w:val="none"/>
          <w:u w:val="none"/>
          <w:lang w:val="en-US" w:eastAsia="zh-CN" w:bidi="ar-SA"/>
        </w:rPr>
      </w:pPr>
      <w:r>
        <w:rPr>
          <w:rFonts w:hint="eastAsia" w:ascii="仿宋" w:hAnsi="仿宋" w:eastAsia="仿宋" w:cs="Calibri"/>
          <w:b w:val="0"/>
          <w:bCs w:val="0"/>
          <w:i w:val="0"/>
          <w:iCs w:val="0"/>
          <w:color w:val="auto"/>
          <w:kern w:val="2"/>
          <w:sz w:val="32"/>
          <w:szCs w:val="32"/>
          <w:highlight w:val="none"/>
          <w:u w:val="none"/>
          <w:lang w:val="en-US" w:eastAsia="zh-CN" w:bidi="ar-SA"/>
        </w:rPr>
        <w:t>本项目不接受联合体。</w:t>
      </w:r>
    </w:p>
    <w:bookmarkEnd w:id="14"/>
    <w:bookmarkEnd w:id="15"/>
    <w:bookmarkEnd w:id="16"/>
    <w:bookmarkEnd w:id="17"/>
    <w:p w14:paraId="5124E822">
      <w:pPr>
        <w:pStyle w:val="3"/>
        <w:rPr>
          <w:color w:val="auto"/>
          <w:highlight w:val="none"/>
        </w:rPr>
      </w:pPr>
      <w:bookmarkStart w:id="20" w:name="_Toc28359013"/>
      <w:bookmarkStart w:id="21" w:name="_Toc28359090"/>
      <w:bookmarkStart w:id="22" w:name="_Toc35393799"/>
      <w:bookmarkStart w:id="23" w:name="_Toc35393630"/>
      <w:bookmarkStart w:id="24" w:name="_Toc35393800"/>
      <w:bookmarkStart w:id="25" w:name="_Toc35393631"/>
      <w:r>
        <w:rPr>
          <w:rFonts w:hint="eastAsia"/>
          <w:color w:val="auto"/>
          <w:highlight w:val="none"/>
        </w:rPr>
        <w:t>二、申请人的资格要求</w:t>
      </w:r>
      <w:bookmarkEnd w:id="20"/>
      <w:bookmarkEnd w:id="21"/>
      <w:bookmarkEnd w:id="22"/>
      <w:bookmarkEnd w:id="23"/>
    </w:p>
    <w:p w14:paraId="173E5511">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1.满足《中华人民共和国政府采购法》第二十二条规定；</w:t>
      </w:r>
    </w:p>
    <w:p w14:paraId="3172138B">
      <w:pPr>
        <w:spacing w:line="360" w:lineRule="auto"/>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2.落实政府采购政策需满足的资格要求</w:t>
      </w:r>
      <w:r>
        <w:rPr>
          <w:rFonts w:hint="eastAsia" w:ascii="仿宋" w:hAnsi="仿宋" w:eastAsia="仿宋"/>
          <w:color w:val="auto"/>
          <w:sz w:val="32"/>
          <w:szCs w:val="32"/>
          <w:highlight w:val="none"/>
          <w:lang w:eastAsia="zh-CN"/>
        </w:rPr>
        <w:t>：</w:t>
      </w:r>
    </w:p>
    <w:p w14:paraId="6FBCBDC7">
      <w:pPr>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（1）执行《财政部 国家发展改革委关于印发〈节能产品政府采购实施意见〉的通知》（财库[2004]185号）；</w:t>
      </w:r>
    </w:p>
    <w:p w14:paraId="522B4A8D">
      <w:pPr>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（2）执行《财政部 环保总局关于环境标志产品政府采购实施的意见》（财库[2006]90号）；</w:t>
      </w:r>
    </w:p>
    <w:p w14:paraId="713F24E9">
      <w:pPr>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（3）《关于调整优化节能产品、环境标志产品政府采购执行机制的通知》（财库【2019】9号）；</w:t>
      </w:r>
    </w:p>
    <w:p w14:paraId="668104C9">
      <w:pPr>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（4）执行《政府采购促进中小企业发展管理办法》（财库[2020]46号）；</w:t>
      </w:r>
    </w:p>
    <w:p w14:paraId="68350025">
      <w:pPr>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（5）《关于进一步加大政府采购支持中小企业力度的通知》（财库[2022]19号；</w:t>
      </w:r>
    </w:p>
    <w:p w14:paraId="17657036">
      <w:pPr>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（6）执行《财政部、司法部关于政府采购支持监狱企业发展有关问题的通知》（财库[2014]68号）；</w:t>
      </w:r>
    </w:p>
    <w:p w14:paraId="38407CB3">
      <w:pPr>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（7）执行《财政部关于在政府采购活动中查询及使用信用记录有关问题的通知》（财库[2016]125号）；</w:t>
      </w:r>
    </w:p>
    <w:p w14:paraId="729769BC">
      <w:pPr>
        <w:spacing w:line="360" w:lineRule="auto"/>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（8）执行《关于促进残疾人就业政府采购政策的通知》（财库〔2017〕141号）；</w:t>
      </w:r>
    </w:p>
    <w:p w14:paraId="57EB6B34">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3.本项目的特定资格要求：</w:t>
      </w:r>
    </w:p>
    <w:p w14:paraId="194F62C4">
      <w:pPr>
        <w:spacing w:line="360" w:lineRule="auto"/>
        <w:ind w:left="638" w:leftChars="304"/>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3.1具有独立承担民事责任的能力；</w:t>
      </w:r>
    </w:p>
    <w:p w14:paraId="45C7EFB7">
      <w:pPr>
        <w:spacing w:line="360" w:lineRule="auto"/>
        <w:ind w:left="638" w:leftChars="304"/>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3.2具有良好的商业信誉和健全的财务会计制度；</w:t>
      </w:r>
    </w:p>
    <w:p w14:paraId="6AE87797">
      <w:pPr>
        <w:spacing w:line="360" w:lineRule="auto"/>
        <w:ind w:left="638" w:leftChars="304"/>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3.3具有履行合同所必需的设备和专业技术能力；</w:t>
      </w:r>
    </w:p>
    <w:p w14:paraId="3D18DD7F">
      <w:pPr>
        <w:spacing w:line="360" w:lineRule="auto"/>
        <w:ind w:left="638" w:leftChars="304"/>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3.4有依法缴纳税收和社会保障资金的良好记录；</w:t>
      </w:r>
    </w:p>
    <w:p w14:paraId="2215E431">
      <w:pPr>
        <w:spacing w:line="360" w:lineRule="auto"/>
        <w:ind w:left="638" w:leftChars="304"/>
        <w:rPr>
          <w:rFonts w:ascii="仿宋" w:hAnsi="仿宋" w:eastAsia="仿宋"/>
          <w:color w:val="auto"/>
          <w:sz w:val="32"/>
          <w:szCs w:val="32"/>
          <w:highlight w:val="none"/>
        </w:rPr>
      </w:pPr>
      <w:r>
        <w:rPr>
          <w:rFonts w:hint="eastAsia" w:ascii="仿宋" w:hAnsi="仿宋" w:eastAsia="仿宋"/>
          <w:color w:val="auto"/>
          <w:sz w:val="32"/>
          <w:szCs w:val="32"/>
          <w:highlight w:val="none"/>
        </w:rPr>
        <w:t>3.5参加政府采购活动前三年内，在经营活动中没有重大违法记录；</w:t>
      </w:r>
    </w:p>
    <w:p w14:paraId="177E90DD">
      <w:pPr>
        <w:spacing w:line="360" w:lineRule="auto"/>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3.6供应商应在中华人民共和国境内注册，具备有效的营业执照，具有有效期限内的《食品流通许可证》或《食品经营许可证》；</w:t>
      </w:r>
    </w:p>
    <w:p w14:paraId="4B445208">
      <w:pPr>
        <w:spacing w:line="360" w:lineRule="auto"/>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3.7本项目不允许分包。</w:t>
      </w:r>
    </w:p>
    <w:p w14:paraId="3D551F7D">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3.8</w:t>
      </w:r>
      <w:r>
        <w:rPr>
          <w:rFonts w:hint="eastAsia" w:ascii="仿宋" w:hAnsi="仿宋" w:eastAsia="仿宋"/>
          <w:color w:val="auto"/>
          <w:sz w:val="32"/>
          <w:szCs w:val="32"/>
          <w:highlight w:val="none"/>
        </w:rPr>
        <w:t>法律、行政法规规定的其他条件；</w:t>
      </w:r>
    </w:p>
    <w:p w14:paraId="6CECC19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供应商不能列入失信被执行人、重大税收违法案件当事人名单、政府采购严重违法失信行为记录名单（详见财库【2016】125号，通过“信用中国”网站（www.creditchina.gov.cn）、中国政府采购网（www.ccgp.gov.cn）渠道查询相关信用记录的网站截图证明，</w:t>
      </w:r>
      <w:r>
        <w:rPr>
          <w:rFonts w:hint="eastAsia" w:ascii="仿宋" w:hAnsi="仿宋" w:eastAsia="仿宋"/>
          <w:color w:val="auto"/>
          <w:sz w:val="32"/>
          <w:szCs w:val="32"/>
          <w:highlight w:val="none"/>
          <w:lang w:eastAsia="zh-CN"/>
        </w:rPr>
        <w:t>查询时间自公告发出之日起至响应</w:t>
      </w:r>
      <w:r>
        <w:rPr>
          <w:rFonts w:hint="eastAsia" w:ascii="仿宋" w:hAnsi="仿宋" w:eastAsia="仿宋"/>
          <w:color w:val="auto"/>
          <w:sz w:val="32"/>
          <w:szCs w:val="32"/>
          <w:highlight w:val="none"/>
        </w:rPr>
        <w:t>截止时间。）；</w:t>
      </w:r>
    </w:p>
    <w:p w14:paraId="50D8728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3.10与采购人存在利害关系可能影响招标公正性的法人、其他组织或者个人，不得参加投标。单位负责人为同一人或者存在控股、管理关系的不同单位，不得参加同一标段投标或者未划分标段的同一招标项目投标。违反任何一款规定，相关投标均无效。</w:t>
      </w:r>
    </w:p>
    <w:p w14:paraId="3AE30C7B">
      <w:pPr>
        <w:pStyle w:val="3"/>
        <w:spacing w:line="360" w:lineRule="auto"/>
        <w:rPr>
          <w:rFonts w:ascii="黑体" w:hAnsi="黑体" w:cs="宋体"/>
          <w:b/>
          <w:bCs w:val="0"/>
          <w:color w:val="auto"/>
          <w:sz w:val="32"/>
          <w:szCs w:val="32"/>
          <w:highlight w:val="none"/>
          <w:u w:val="none"/>
        </w:rPr>
      </w:pPr>
      <w:r>
        <w:rPr>
          <w:rFonts w:hint="eastAsia" w:ascii="黑体" w:hAnsi="黑体" w:cs="宋体"/>
          <w:b/>
          <w:bCs w:val="0"/>
          <w:color w:val="auto"/>
          <w:sz w:val="32"/>
          <w:szCs w:val="32"/>
          <w:highlight w:val="none"/>
        </w:rPr>
        <w:t>三</w:t>
      </w:r>
      <w:r>
        <w:rPr>
          <w:rFonts w:hint="eastAsia" w:ascii="黑体" w:hAnsi="黑体" w:cs="宋体"/>
          <w:b/>
          <w:bCs w:val="0"/>
          <w:color w:val="auto"/>
          <w:sz w:val="32"/>
          <w:szCs w:val="32"/>
          <w:highlight w:val="none"/>
          <w:u w:val="none"/>
        </w:rPr>
        <w:t>、获取采购文件</w:t>
      </w:r>
      <w:bookmarkEnd w:id="18"/>
      <w:bookmarkEnd w:id="19"/>
      <w:bookmarkEnd w:id="24"/>
      <w:bookmarkEnd w:id="25"/>
    </w:p>
    <w:p w14:paraId="42840590">
      <w:pPr>
        <w:spacing w:line="360" w:lineRule="auto"/>
        <w:ind w:firstLine="540"/>
        <w:rPr>
          <w:rFonts w:ascii="仿宋" w:hAnsi="仿宋" w:eastAsia="仿宋" w:cs="宋体"/>
          <w:color w:val="auto"/>
          <w:sz w:val="32"/>
          <w:szCs w:val="32"/>
          <w:highlight w:val="none"/>
        </w:rPr>
      </w:pPr>
      <w:bookmarkStart w:id="26" w:name="_Toc28359015"/>
      <w:bookmarkStart w:id="27" w:name="_Toc35393801"/>
      <w:bookmarkStart w:id="28" w:name="_Toc28359092"/>
      <w:bookmarkStart w:id="29" w:name="_Toc35393632"/>
      <w:r>
        <w:rPr>
          <w:rFonts w:hint="eastAsia" w:ascii="仿宋" w:hAnsi="仿宋" w:eastAsia="仿宋" w:cs="宋体"/>
          <w:color w:val="auto"/>
          <w:sz w:val="32"/>
          <w:szCs w:val="32"/>
          <w:highlight w:val="none"/>
        </w:rPr>
        <w:t>时间：</w:t>
      </w:r>
      <w:r>
        <w:rPr>
          <w:rFonts w:hint="eastAsia" w:ascii="仿宋" w:hAnsi="仿宋" w:eastAsia="仿宋" w:cs="宋体"/>
          <w:color w:val="auto"/>
          <w:sz w:val="32"/>
          <w:szCs w:val="32"/>
          <w:highlight w:val="none"/>
          <w:lang w:eastAsia="zh-CN"/>
        </w:rPr>
        <w:t>202</w:t>
      </w:r>
      <w:r>
        <w:rPr>
          <w:rFonts w:hint="eastAsia" w:ascii="仿宋" w:hAnsi="仿宋" w:eastAsia="仿宋" w:cs="宋体"/>
          <w:color w:val="auto"/>
          <w:sz w:val="32"/>
          <w:szCs w:val="32"/>
          <w:highlight w:val="none"/>
          <w:lang w:val="en-US" w:eastAsia="zh-CN"/>
        </w:rPr>
        <w:t>5</w:t>
      </w:r>
      <w:r>
        <w:rPr>
          <w:rFonts w:hint="eastAsia" w:ascii="仿宋" w:hAnsi="仿宋" w:eastAsia="仿宋" w:cs="宋体"/>
          <w:color w:val="auto"/>
          <w:sz w:val="32"/>
          <w:szCs w:val="32"/>
          <w:highlight w:val="none"/>
          <w:lang w:eastAsia="zh-CN"/>
        </w:rPr>
        <w:t>年</w:t>
      </w:r>
      <w:r>
        <w:rPr>
          <w:rFonts w:hint="eastAsia" w:ascii="仿宋" w:hAnsi="仿宋" w:eastAsia="仿宋" w:cs="宋体"/>
          <w:color w:val="auto"/>
          <w:sz w:val="32"/>
          <w:szCs w:val="32"/>
          <w:highlight w:val="none"/>
          <w:lang w:val="en-US" w:eastAsia="zh-CN"/>
        </w:rPr>
        <w:t>3</w:t>
      </w:r>
      <w:r>
        <w:rPr>
          <w:rFonts w:hint="eastAsia" w:ascii="仿宋" w:hAnsi="仿宋" w:eastAsia="仿宋" w:cs="宋体"/>
          <w:color w:val="auto"/>
          <w:sz w:val="32"/>
          <w:szCs w:val="32"/>
          <w:highlight w:val="none"/>
          <w:lang w:eastAsia="zh-CN"/>
        </w:rPr>
        <w:t>月</w:t>
      </w:r>
      <w:r>
        <w:rPr>
          <w:rFonts w:hint="eastAsia" w:ascii="仿宋" w:hAnsi="仿宋" w:eastAsia="仿宋" w:cs="宋体"/>
          <w:color w:val="auto"/>
          <w:sz w:val="32"/>
          <w:szCs w:val="32"/>
          <w:highlight w:val="none"/>
          <w:lang w:val="en-US" w:eastAsia="zh-CN"/>
        </w:rPr>
        <w:t>10</w:t>
      </w:r>
      <w:r>
        <w:rPr>
          <w:rFonts w:hint="eastAsia" w:ascii="仿宋" w:hAnsi="仿宋" w:eastAsia="仿宋" w:cs="宋体"/>
          <w:color w:val="auto"/>
          <w:sz w:val="32"/>
          <w:szCs w:val="32"/>
          <w:highlight w:val="none"/>
          <w:lang w:eastAsia="zh-CN"/>
        </w:rPr>
        <w:t>日至 202</w:t>
      </w:r>
      <w:r>
        <w:rPr>
          <w:rFonts w:hint="eastAsia" w:ascii="仿宋" w:hAnsi="仿宋" w:eastAsia="仿宋" w:cs="宋体"/>
          <w:color w:val="auto"/>
          <w:sz w:val="32"/>
          <w:szCs w:val="32"/>
          <w:highlight w:val="none"/>
          <w:lang w:val="en-US" w:eastAsia="zh-CN"/>
        </w:rPr>
        <w:t>5</w:t>
      </w:r>
      <w:r>
        <w:rPr>
          <w:rFonts w:hint="eastAsia" w:ascii="仿宋" w:hAnsi="仿宋" w:eastAsia="仿宋" w:cs="宋体"/>
          <w:color w:val="auto"/>
          <w:sz w:val="32"/>
          <w:szCs w:val="32"/>
          <w:highlight w:val="none"/>
          <w:lang w:eastAsia="zh-CN"/>
        </w:rPr>
        <w:t>年</w:t>
      </w:r>
      <w:r>
        <w:rPr>
          <w:rFonts w:hint="eastAsia" w:ascii="仿宋" w:hAnsi="仿宋" w:eastAsia="仿宋" w:cs="宋体"/>
          <w:color w:val="auto"/>
          <w:sz w:val="32"/>
          <w:szCs w:val="32"/>
          <w:highlight w:val="none"/>
          <w:lang w:val="en-US" w:eastAsia="zh-CN"/>
        </w:rPr>
        <w:t>3</w:t>
      </w:r>
      <w:r>
        <w:rPr>
          <w:rFonts w:hint="eastAsia" w:ascii="仿宋" w:hAnsi="仿宋" w:eastAsia="仿宋" w:cs="宋体"/>
          <w:color w:val="auto"/>
          <w:sz w:val="32"/>
          <w:szCs w:val="32"/>
          <w:highlight w:val="none"/>
          <w:lang w:eastAsia="zh-CN"/>
        </w:rPr>
        <w:t>月</w:t>
      </w:r>
      <w:r>
        <w:rPr>
          <w:rFonts w:hint="eastAsia" w:ascii="仿宋" w:hAnsi="仿宋" w:eastAsia="仿宋" w:cs="宋体"/>
          <w:color w:val="auto"/>
          <w:sz w:val="32"/>
          <w:szCs w:val="32"/>
          <w:highlight w:val="none"/>
          <w:lang w:val="en-US" w:eastAsia="zh-CN"/>
        </w:rPr>
        <w:t>14</w:t>
      </w:r>
      <w:r>
        <w:rPr>
          <w:rFonts w:hint="eastAsia" w:ascii="仿宋" w:hAnsi="仿宋" w:eastAsia="仿宋" w:cs="宋体"/>
          <w:color w:val="auto"/>
          <w:sz w:val="32"/>
          <w:szCs w:val="32"/>
          <w:highlight w:val="none"/>
          <w:lang w:eastAsia="zh-CN"/>
        </w:rPr>
        <w:t>日</w:t>
      </w:r>
      <w:r>
        <w:rPr>
          <w:rFonts w:hint="eastAsia" w:ascii="仿宋" w:hAnsi="仿宋" w:eastAsia="仿宋" w:cs="宋体"/>
          <w:color w:val="auto"/>
          <w:sz w:val="32"/>
          <w:szCs w:val="32"/>
          <w:highlight w:val="none"/>
        </w:rPr>
        <w:t>，每天上午8:30至11:30，下午13：30至16:00（北京时间，法定节假日除外）。</w:t>
      </w:r>
    </w:p>
    <w:p w14:paraId="19FD2526">
      <w:pPr>
        <w:spacing w:line="360" w:lineRule="auto"/>
        <w:ind w:firstLine="640" w:firstLineChars="200"/>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rPr>
        <w:t>地点：</w:t>
      </w:r>
      <w:r>
        <w:rPr>
          <w:rFonts w:hint="eastAsia" w:ascii="仿宋" w:hAnsi="仿宋" w:eastAsia="仿宋" w:cs="宋体"/>
          <w:color w:val="auto"/>
          <w:sz w:val="32"/>
          <w:szCs w:val="32"/>
          <w:highlight w:val="none"/>
          <w:lang w:val="en-US" w:eastAsia="zh-CN"/>
        </w:rPr>
        <w:t>供应商登录政采云平台https://www.zcygov.cn/在线申请获取采购文件（进入“项目采购”应用，在获取采购文件菜单中选择项目，申请获取采购文件）。未进行网上注册验证并办理CA认证的供应商将无法参与招标活动。</w:t>
      </w:r>
    </w:p>
    <w:p w14:paraId="68B836E6">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baseline"/>
        <w:rPr>
          <w:rStyle w:val="38"/>
          <w:rFonts w:ascii="仿宋" w:hAnsi="仿宋" w:eastAsia="仿宋"/>
          <w:b w:val="0"/>
          <w:i w:val="0"/>
          <w:caps w:val="0"/>
          <w:color w:val="auto"/>
          <w:spacing w:val="0"/>
          <w:w w:val="100"/>
          <w:kern w:val="2"/>
          <w:sz w:val="32"/>
          <w:szCs w:val="32"/>
          <w:highlight w:val="none"/>
          <w:lang w:val="en-US" w:eastAsia="zh-CN" w:bidi="ar-SA"/>
        </w:rPr>
      </w:pPr>
      <w:r>
        <w:rPr>
          <w:rFonts w:hint="eastAsia" w:ascii="仿宋" w:hAnsi="仿宋" w:eastAsia="仿宋" w:cs="宋体"/>
          <w:color w:val="auto"/>
          <w:sz w:val="32"/>
          <w:szCs w:val="32"/>
          <w:highlight w:val="none"/>
        </w:rPr>
        <w:t>方式：</w:t>
      </w:r>
      <w:r>
        <w:rPr>
          <w:rStyle w:val="38"/>
          <w:rFonts w:hint="eastAsia" w:ascii="仿宋" w:hAnsi="仿宋" w:eastAsia="仿宋" w:cs="Times New Roman"/>
          <w:b w:val="0"/>
          <w:i w:val="0"/>
          <w:caps w:val="0"/>
          <w:color w:val="auto"/>
          <w:spacing w:val="0"/>
          <w:w w:val="100"/>
          <w:kern w:val="2"/>
          <w:sz w:val="32"/>
          <w:szCs w:val="32"/>
          <w:highlight w:val="none"/>
          <w:lang w:val="en-US" w:eastAsia="zh-CN" w:bidi="ar-SA"/>
        </w:rPr>
        <w:t>网上免费获取(潜在供应商自行登录政府采购云平台(网址:http://www.zcygov.cn)注册(网址:https://middle.zcygov.cn/v-settle-front/registry)并下载招标文件，其他途径获取的招标文件开标时一律按无效响应处理)。</w:t>
      </w:r>
    </w:p>
    <w:p w14:paraId="585FED2D">
      <w:pPr>
        <w:spacing w:line="360" w:lineRule="auto"/>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售价：0元。</w:t>
      </w:r>
    </w:p>
    <w:p w14:paraId="1334289E">
      <w:pPr>
        <w:pStyle w:val="3"/>
        <w:spacing w:line="360" w:lineRule="auto"/>
        <w:rPr>
          <w:rFonts w:ascii="黑体" w:hAnsi="黑体" w:cs="宋体"/>
          <w:b/>
          <w:bCs w:val="0"/>
          <w:color w:val="auto"/>
          <w:sz w:val="32"/>
          <w:szCs w:val="32"/>
          <w:highlight w:val="none"/>
          <w:u w:val="none"/>
        </w:rPr>
      </w:pPr>
      <w:r>
        <w:rPr>
          <w:rFonts w:hint="eastAsia" w:ascii="黑体" w:hAnsi="黑体" w:cs="宋体"/>
          <w:b/>
          <w:bCs w:val="0"/>
          <w:color w:val="auto"/>
          <w:sz w:val="32"/>
          <w:szCs w:val="32"/>
          <w:highlight w:val="none"/>
          <w:u w:val="none"/>
        </w:rPr>
        <w:t>四、响应文件提交</w:t>
      </w:r>
      <w:bookmarkEnd w:id="26"/>
      <w:bookmarkEnd w:id="27"/>
      <w:bookmarkEnd w:id="28"/>
      <w:bookmarkEnd w:id="29"/>
    </w:p>
    <w:p w14:paraId="21FD8674">
      <w:pPr>
        <w:spacing w:line="360" w:lineRule="auto"/>
        <w:ind w:firstLine="640" w:firstLineChars="200"/>
        <w:rPr>
          <w:rFonts w:ascii="仿宋" w:hAnsi="仿宋" w:eastAsia="仿宋"/>
          <w:bCs/>
          <w:color w:val="auto"/>
          <w:sz w:val="32"/>
          <w:szCs w:val="32"/>
          <w:highlight w:val="none"/>
          <w:u w:val="single"/>
        </w:rPr>
      </w:pPr>
      <w:bookmarkStart w:id="30" w:name="_Toc28359093"/>
      <w:bookmarkStart w:id="31" w:name="_Toc35393802"/>
      <w:bookmarkStart w:id="32" w:name="_Toc28359016"/>
      <w:bookmarkStart w:id="33" w:name="_Toc35393633"/>
      <w:r>
        <w:rPr>
          <w:rFonts w:hint="eastAsia" w:ascii="仿宋" w:hAnsi="仿宋" w:eastAsia="仿宋"/>
          <w:color w:val="auto"/>
          <w:sz w:val="32"/>
          <w:szCs w:val="32"/>
          <w:highlight w:val="none"/>
        </w:rPr>
        <w:t>截止时间：</w:t>
      </w: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lang w:eastAsia="zh-CN"/>
        </w:rPr>
        <w:t>年</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eastAsia="zh-CN"/>
        </w:rPr>
        <w:t>月</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lang w:eastAsia="zh-CN"/>
        </w:rPr>
        <w:t xml:space="preserve">日 </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lang w:eastAsia="zh-CN"/>
        </w:rPr>
        <w:t>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lang w:eastAsia="zh-CN"/>
        </w:rPr>
        <w:t>0分</w:t>
      </w:r>
      <w:r>
        <w:rPr>
          <w:rFonts w:hint="eastAsia" w:ascii="仿宋" w:hAnsi="仿宋" w:eastAsia="仿宋"/>
          <w:bCs/>
          <w:color w:val="auto"/>
          <w:sz w:val="32"/>
          <w:szCs w:val="32"/>
          <w:highlight w:val="none"/>
        </w:rPr>
        <w:t>（北京时间）</w:t>
      </w:r>
    </w:p>
    <w:p w14:paraId="707750DC">
      <w:pPr>
        <w:spacing w:line="360" w:lineRule="auto"/>
        <w:ind w:firstLine="640" w:firstLineChars="200"/>
        <w:rPr>
          <w:color w:val="auto"/>
        </w:rPr>
      </w:pPr>
      <w:r>
        <w:rPr>
          <w:rFonts w:hint="eastAsia" w:ascii="仿宋" w:hAnsi="仿宋" w:eastAsia="仿宋"/>
          <w:color w:val="auto"/>
          <w:sz w:val="32"/>
          <w:szCs w:val="32"/>
          <w:highlight w:val="none"/>
        </w:rPr>
        <w:t>地点：</w:t>
      </w:r>
      <w:r>
        <w:rPr>
          <w:rFonts w:hint="eastAsia" w:ascii="仿宋" w:hAnsi="仿宋" w:eastAsia="仿宋" w:cs="宋体"/>
          <w:color w:val="auto"/>
          <w:kern w:val="2"/>
          <w:sz w:val="32"/>
          <w:szCs w:val="32"/>
          <w:highlight w:val="none"/>
          <w:lang w:val="en-US" w:eastAsia="zh-CN" w:bidi="ar-SA"/>
        </w:rPr>
        <w:t>本项目采用全流程电子化采购，供应商需通过政采云平台（https://www.zcygov.cn/）提交电子响应文件，开标采用远程解密方式开标，供应商需提前确认好CA锁及电脑等相关设备能够正常使用，并在规定时间内完成解密。逾期上传的电子响应文件或未在响应文件规定完成解密或在规定时间内未解密成功的供应商，“政采云平台”将予以拒收，后果由供应商自行承担。</w:t>
      </w:r>
    </w:p>
    <w:p w14:paraId="372C5423">
      <w:pPr>
        <w:pStyle w:val="3"/>
        <w:spacing w:line="360" w:lineRule="auto"/>
        <w:rPr>
          <w:rFonts w:ascii="黑体" w:hAnsi="黑体" w:cs="宋体"/>
          <w:b/>
          <w:bCs w:val="0"/>
          <w:color w:val="auto"/>
          <w:sz w:val="32"/>
          <w:szCs w:val="32"/>
          <w:highlight w:val="none"/>
          <w:u w:val="none"/>
        </w:rPr>
      </w:pPr>
      <w:r>
        <w:rPr>
          <w:rFonts w:hint="eastAsia" w:ascii="黑体" w:hAnsi="黑体" w:cs="宋体"/>
          <w:b/>
          <w:bCs w:val="0"/>
          <w:color w:val="auto"/>
          <w:sz w:val="32"/>
          <w:szCs w:val="32"/>
          <w:highlight w:val="none"/>
          <w:u w:val="none"/>
        </w:rPr>
        <w:t>五、开启</w:t>
      </w:r>
      <w:bookmarkEnd w:id="30"/>
      <w:bookmarkEnd w:id="31"/>
      <w:bookmarkEnd w:id="32"/>
      <w:bookmarkEnd w:id="33"/>
    </w:p>
    <w:p w14:paraId="49896355">
      <w:pPr>
        <w:spacing w:line="360" w:lineRule="auto"/>
        <w:ind w:firstLine="640" w:firstLineChars="200"/>
        <w:rPr>
          <w:rFonts w:ascii="仿宋" w:hAnsi="仿宋" w:eastAsia="仿宋"/>
          <w:bCs/>
          <w:color w:val="auto"/>
          <w:sz w:val="32"/>
          <w:szCs w:val="32"/>
          <w:highlight w:val="none"/>
          <w:u w:val="single"/>
        </w:rPr>
      </w:pPr>
      <w:bookmarkStart w:id="34" w:name="_Toc28359017"/>
      <w:bookmarkStart w:id="35" w:name="_Toc35393634"/>
      <w:bookmarkStart w:id="36" w:name="_Toc28359094"/>
      <w:bookmarkStart w:id="37" w:name="_Toc35393803"/>
      <w:r>
        <w:rPr>
          <w:rFonts w:hint="eastAsia" w:ascii="仿宋" w:hAnsi="仿宋" w:eastAsia="仿宋"/>
          <w:color w:val="auto"/>
          <w:sz w:val="32"/>
          <w:szCs w:val="32"/>
          <w:highlight w:val="none"/>
        </w:rPr>
        <w:t>时间：</w:t>
      </w: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lang w:eastAsia="zh-CN"/>
        </w:rPr>
        <w:t>年</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eastAsia="zh-CN"/>
        </w:rPr>
        <w:t>月</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lang w:eastAsia="zh-CN"/>
        </w:rPr>
        <w:t xml:space="preserve">日 </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lang w:eastAsia="zh-CN"/>
        </w:rPr>
        <w:t>点</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lang w:eastAsia="zh-CN"/>
        </w:rPr>
        <w:t>0分</w:t>
      </w:r>
      <w:r>
        <w:rPr>
          <w:rFonts w:hint="eastAsia" w:ascii="仿宋" w:hAnsi="仿宋" w:eastAsia="仿宋"/>
          <w:bCs/>
          <w:color w:val="auto"/>
          <w:sz w:val="32"/>
          <w:szCs w:val="32"/>
          <w:highlight w:val="none"/>
        </w:rPr>
        <w:t>（北京时间）</w:t>
      </w:r>
    </w:p>
    <w:p w14:paraId="44A4A41C">
      <w:pPr>
        <w:spacing w:line="360" w:lineRule="auto"/>
        <w:ind w:firstLine="640" w:firstLineChars="200"/>
        <w:rPr>
          <w:rFonts w:hint="eastAsia" w:ascii="仿宋" w:hAnsi="仿宋" w:eastAsia="仿宋" w:cs="宋体"/>
          <w:color w:val="auto"/>
          <w:sz w:val="32"/>
          <w:szCs w:val="32"/>
          <w:highlight w:val="none"/>
          <w:lang w:eastAsia="zh-CN"/>
        </w:rPr>
      </w:pPr>
      <w:r>
        <w:rPr>
          <w:rFonts w:hint="eastAsia" w:ascii="仿宋" w:hAnsi="仿宋" w:eastAsia="仿宋"/>
          <w:color w:val="auto"/>
          <w:sz w:val="32"/>
          <w:szCs w:val="32"/>
          <w:highlight w:val="none"/>
        </w:rPr>
        <w:t>地点：</w:t>
      </w:r>
      <w:r>
        <w:rPr>
          <w:rFonts w:hint="eastAsia" w:ascii="仿宋" w:hAnsi="仿宋" w:eastAsia="仿宋" w:cs="宋体"/>
          <w:color w:val="auto"/>
          <w:sz w:val="32"/>
          <w:szCs w:val="32"/>
          <w:highlight w:val="none"/>
          <w:lang w:eastAsia="zh-CN"/>
        </w:rPr>
        <w:t>扶余市公共资源交易中心六楼开标二室（扶余市公安局镇郊派出所西侧、扶余市春华路社保家园小区）。</w:t>
      </w:r>
    </w:p>
    <w:p w14:paraId="63842BA4">
      <w:pPr>
        <w:spacing w:line="360" w:lineRule="auto"/>
        <w:ind w:firstLine="640" w:firstLineChars="200"/>
        <w:rPr>
          <w:rFonts w:hint="eastAsia" w:ascii="仿宋" w:hAnsi="仿宋" w:eastAsia="仿宋" w:cs="宋体"/>
          <w:b w:val="0"/>
          <w:bCs w:val="0"/>
          <w:color w:val="auto"/>
          <w:kern w:val="2"/>
          <w:sz w:val="32"/>
          <w:szCs w:val="32"/>
          <w:highlight w:val="none"/>
          <w:lang w:val="en-US" w:eastAsia="zh-CN" w:bidi="ar-SA"/>
        </w:rPr>
      </w:pPr>
      <w:r>
        <w:rPr>
          <w:rFonts w:hint="eastAsia" w:ascii="仿宋" w:hAnsi="仿宋" w:eastAsia="仿宋" w:cs="宋体"/>
          <w:b w:val="0"/>
          <w:bCs w:val="0"/>
          <w:color w:val="auto"/>
          <w:kern w:val="2"/>
          <w:sz w:val="32"/>
          <w:szCs w:val="32"/>
          <w:highlight w:val="none"/>
          <w:lang w:val="en-US" w:eastAsia="zh-CN" w:bidi="ar-SA"/>
        </w:rPr>
        <w:t>本项目采用腾讯会议进行远程开标，供应商不到开标现场。请供应商自行下载、安装腾讯会议软件，通过搜索腾讯会议开标会议室号码（762-808-4981），进入本项目视频会议直播。参加远程开标人员应为投标单位被授权人，进入远程开标会议后将姓名修改为“供应商全称+被授权人姓名”格式。供应商参加远程开标，如无故离开远程开标会议室，后果自负。供应商对开标有异议的，应当在远程开标时提出，非远程开标中提出的开标异议，招标人或者行政监督管理部门不予受理。</w:t>
      </w:r>
    </w:p>
    <w:p w14:paraId="3CB36144">
      <w:pPr>
        <w:spacing w:line="360" w:lineRule="auto"/>
        <w:ind w:firstLine="640" w:firstLineChars="200"/>
        <w:rPr>
          <w:rFonts w:hint="eastAsia" w:ascii="仿宋" w:hAnsi="仿宋" w:eastAsia="仿宋" w:cs="宋体"/>
          <w:b w:val="0"/>
          <w:bCs w:val="0"/>
          <w:color w:val="auto"/>
          <w:kern w:val="2"/>
          <w:sz w:val="32"/>
          <w:szCs w:val="32"/>
          <w:highlight w:val="none"/>
          <w:lang w:val="en-US" w:eastAsia="zh-CN" w:bidi="ar-SA"/>
        </w:rPr>
      </w:pPr>
      <w:r>
        <w:rPr>
          <w:rFonts w:hint="eastAsia" w:ascii="仿宋" w:hAnsi="仿宋" w:eastAsia="仿宋" w:cs="宋体"/>
          <w:b w:val="0"/>
          <w:bCs w:val="0"/>
          <w:color w:val="auto"/>
          <w:kern w:val="2"/>
          <w:sz w:val="32"/>
          <w:szCs w:val="32"/>
          <w:highlight w:val="none"/>
          <w:lang w:val="en-US" w:eastAsia="zh-CN" w:bidi="ar-SA"/>
        </w:rPr>
        <w:t>有效供应商不足三家时，招标人另行组织招标。</w:t>
      </w:r>
    </w:p>
    <w:p w14:paraId="7A93A9F5">
      <w:pPr>
        <w:spacing w:line="360" w:lineRule="auto"/>
        <w:rPr>
          <w:rFonts w:hint="eastAsia" w:ascii="仿宋" w:hAnsi="仿宋" w:eastAsia="仿宋" w:cs="宋体"/>
          <w:b/>
          <w:bCs/>
          <w:color w:val="auto"/>
          <w:kern w:val="2"/>
          <w:sz w:val="32"/>
          <w:szCs w:val="32"/>
          <w:highlight w:val="none"/>
          <w:lang w:val="en-US" w:eastAsia="zh-CN" w:bidi="ar-SA"/>
        </w:rPr>
      </w:pPr>
      <w:r>
        <w:rPr>
          <w:rFonts w:hint="eastAsia" w:ascii="仿宋" w:hAnsi="仿宋" w:eastAsia="仿宋" w:cs="宋体"/>
          <w:b/>
          <w:bCs/>
          <w:color w:val="auto"/>
          <w:kern w:val="2"/>
          <w:sz w:val="32"/>
          <w:szCs w:val="32"/>
          <w:highlight w:val="none"/>
          <w:lang w:val="en-US" w:eastAsia="zh-CN" w:bidi="ar-SA"/>
        </w:rPr>
        <w:t>六、公告期限</w:t>
      </w:r>
      <w:bookmarkEnd w:id="34"/>
      <w:bookmarkEnd w:id="35"/>
      <w:bookmarkEnd w:id="36"/>
      <w:bookmarkEnd w:id="37"/>
    </w:p>
    <w:p w14:paraId="4AAF3C3C">
      <w:pPr>
        <w:spacing w:line="360" w:lineRule="auto"/>
        <w:ind w:firstLine="640" w:firstLineChars="200"/>
        <w:rPr>
          <w:rFonts w:hint="eastAsia" w:ascii="仿宋" w:hAnsi="仿宋" w:eastAsia="仿宋" w:cs="宋体"/>
          <w:b w:val="0"/>
          <w:bCs w:val="0"/>
          <w:color w:val="auto"/>
          <w:kern w:val="2"/>
          <w:sz w:val="32"/>
          <w:szCs w:val="32"/>
          <w:highlight w:val="none"/>
          <w:lang w:val="en-US" w:eastAsia="zh-CN" w:bidi="ar-SA"/>
        </w:rPr>
      </w:pPr>
      <w:r>
        <w:rPr>
          <w:rFonts w:hint="eastAsia" w:ascii="仿宋" w:hAnsi="仿宋" w:eastAsia="仿宋" w:cs="宋体"/>
          <w:b w:val="0"/>
          <w:bCs w:val="0"/>
          <w:color w:val="auto"/>
          <w:kern w:val="2"/>
          <w:sz w:val="32"/>
          <w:szCs w:val="32"/>
          <w:highlight w:val="none"/>
          <w:lang w:val="en-US" w:eastAsia="zh-CN" w:bidi="ar-SA"/>
        </w:rPr>
        <w:t>自本公告发布之日起5个工作日。</w:t>
      </w:r>
    </w:p>
    <w:p w14:paraId="3D2EE609">
      <w:pPr>
        <w:spacing w:line="360" w:lineRule="auto"/>
        <w:rPr>
          <w:rFonts w:hint="eastAsia" w:ascii="仿宋" w:hAnsi="仿宋" w:eastAsia="仿宋" w:cs="宋体"/>
          <w:b/>
          <w:bCs/>
          <w:color w:val="auto"/>
          <w:kern w:val="2"/>
          <w:sz w:val="32"/>
          <w:szCs w:val="32"/>
          <w:highlight w:val="none"/>
          <w:lang w:val="en-US" w:eastAsia="zh-CN" w:bidi="ar-SA"/>
        </w:rPr>
      </w:pPr>
      <w:bookmarkStart w:id="38" w:name="_Toc35393804"/>
      <w:bookmarkStart w:id="39" w:name="_Toc35393635"/>
      <w:r>
        <w:rPr>
          <w:rFonts w:hint="eastAsia" w:ascii="仿宋" w:hAnsi="仿宋" w:eastAsia="仿宋" w:cs="宋体"/>
          <w:b/>
          <w:bCs/>
          <w:color w:val="auto"/>
          <w:kern w:val="2"/>
          <w:sz w:val="32"/>
          <w:szCs w:val="32"/>
          <w:highlight w:val="none"/>
          <w:lang w:val="en-US" w:eastAsia="zh-CN" w:bidi="ar-SA"/>
        </w:rPr>
        <w:t>七、其他补充事宜</w:t>
      </w:r>
      <w:bookmarkEnd w:id="38"/>
      <w:bookmarkEnd w:id="39"/>
    </w:p>
    <w:p w14:paraId="7561BC4D">
      <w:pPr>
        <w:spacing w:line="360" w:lineRule="auto"/>
        <w:ind w:firstLine="640" w:firstLineChars="200"/>
        <w:rPr>
          <w:rFonts w:hint="eastAsia" w:ascii="仿宋" w:hAnsi="仿宋" w:eastAsia="仿宋" w:cs="宋体"/>
          <w:b w:val="0"/>
          <w:bCs w:val="0"/>
          <w:color w:val="auto"/>
          <w:kern w:val="2"/>
          <w:sz w:val="32"/>
          <w:szCs w:val="32"/>
          <w:highlight w:val="none"/>
          <w:lang w:val="en-US" w:eastAsia="zh-CN" w:bidi="ar-SA"/>
        </w:rPr>
      </w:pPr>
      <w:bookmarkStart w:id="40" w:name="_Toc28359095"/>
      <w:bookmarkStart w:id="41" w:name="_Toc35393636"/>
      <w:bookmarkStart w:id="42" w:name="_Toc35393805"/>
      <w:bookmarkStart w:id="43" w:name="_Toc28359018"/>
      <w:r>
        <w:rPr>
          <w:rFonts w:hint="eastAsia" w:ascii="仿宋" w:hAnsi="仿宋" w:eastAsia="仿宋" w:cs="宋体"/>
          <w:b w:val="0"/>
          <w:bCs w:val="0"/>
          <w:color w:val="auto"/>
          <w:kern w:val="2"/>
          <w:sz w:val="32"/>
          <w:szCs w:val="32"/>
          <w:highlight w:val="none"/>
          <w:lang w:val="en-US" w:eastAsia="zh-CN" w:bidi="ar-SA"/>
        </w:rPr>
        <w:t>公告媒体：本次招标公告在吉林省政府采购云平台（同步推送到吉林省政府采购网、中国政府采购网）上同时发布。</w:t>
      </w:r>
    </w:p>
    <w:p w14:paraId="0B4413DB">
      <w:pPr>
        <w:spacing w:line="360" w:lineRule="auto"/>
        <w:rPr>
          <w:rFonts w:ascii="黑体" w:hAnsi="黑体" w:cs="宋体"/>
          <w:b/>
          <w:bCs/>
          <w:color w:val="auto"/>
          <w:sz w:val="32"/>
          <w:szCs w:val="32"/>
          <w:highlight w:val="none"/>
          <w:u w:val="none"/>
        </w:rPr>
      </w:pPr>
      <w:r>
        <w:rPr>
          <w:rFonts w:hint="eastAsia" w:ascii="仿宋" w:hAnsi="仿宋" w:eastAsia="仿宋" w:cs="宋体"/>
          <w:b/>
          <w:bCs/>
          <w:color w:val="auto"/>
          <w:kern w:val="2"/>
          <w:sz w:val="32"/>
          <w:szCs w:val="32"/>
          <w:highlight w:val="none"/>
          <w:lang w:val="en-US" w:eastAsia="zh-CN" w:bidi="ar-SA"/>
        </w:rPr>
        <w:t>八、凡对本次采购提出询问，请按以下方式联</w:t>
      </w:r>
      <w:r>
        <w:rPr>
          <w:rFonts w:hint="eastAsia" w:ascii="黑体" w:hAnsi="黑体" w:cs="宋体"/>
          <w:b/>
          <w:bCs/>
          <w:color w:val="auto"/>
          <w:sz w:val="32"/>
          <w:szCs w:val="32"/>
          <w:highlight w:val="none"/>
          <w:u w:val="none"/>
        </w:rPr>
        <w:t>系</w:t>
      </w:r>
      <w:bookmarkEnd w:id="40"/>
      <w:bookmarkEnd w:id="41"/>
      <w:bookmarkEnd w:id="42"/>
      <w:bookmarkEnd w:id="43"/>
    </w:p>
    <w:p w14:paraId="2B219CDE">
      <w:pPr>
        <w:widowControl/>
        <w:spacing w:line="360" w:lineRule="auto"/>
        <w:ind w:firstLine="640" w:firstLineChars="200"/>
        <w:jc w:val="left"/>
        <w:rPr>
          <w:rFonts w:ascii="仿宋_GB2312" w:eastAsia="仿宋_GB2312"/>
          <w:color w:val="auto"/>
          <w:sz w:val="32"/>
          <w:szCs w:val="32"/>
          <w:highlight w:val="none"/>
        </w:rPr>
      </w:pPr>
      <w:r>
        <w:rPr>
          <w:rFonts w:hint="eastAsia" w:ascii="仿宋" w:hAnsi="仿宋" w:eastAsia="仿宋" w:cs="宋体"/>
          <w:color w:val="auto"/>
          <w:sz w:val="32"/>
          <w:szCs w:val="32"/>
          <w:highlight w:val="none"/>
        </w:rPr>
        <w:t>1.采购人信息</w:t>
      </w:r>
    </w:p>
    <w:p w14:paraId="320E9592">
      <w:pPr>
        <w:spacing w:line="360" w:lineRule="auto"/>
        <w:ind w:firstLine="640"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名 称：</w:t>
      </w:r>
      <w:r>
        <w:rPr>
          <w:rFonts w:hint="eastAsia" w:ascii="仿宋" w:hAnsi="仿宋" w:eastAsia="仿宋" w:cs="宋体"/>
          <w:b w:val="0"/>
          <w:bCs w:val="0"/>
          <w:i w:val="0"/>
          <w:iCs w:val="0"/>
          <w:color w:val="auto"/>
          <w:kern w:val="2"/>
          <w:sz w:val="32"/>
          <w:szCs w:val="32"/>
          <w:highlight w:val="none"/>
          <w:u w:val="none"/>
          <w:lang w:val="en-US" w:eastAsia="zh-CN" w:bidi="ar-SA"/>
        </w:rPr>
        <w:t>扶余市消防救援大队</w:t>
      </w:r>
      <w:r>
        <w:rPr>
          <w:rFonts w:hint="eastAsia" w:ascii="仿宋" w:hAnsi="仿宋" w:eastAsia="仿宋"/>
          <w:color w:val="auto"/>
          <w:sz w:val="32"/>
          <w:szCs w:val="32"/>
          <w:highlight w:val="none"/>
          <w:lang w:val="en-US" w:eastAsia="zh-CN"/>
        </w:rPr>
        <w:t xml:space="preserve"> </w:t>
      </w:r>
    </w:p>
    <w:p w14:paraId="12D65DF4">
      <w:pPr>
        <w:spacing w:line="360" w:lineRule="auto"/>
        <w:ind w:firstLine="640"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地 址：</w:t>
      </w:r>
      <w:r>
        <w:rPr>
          <w:rFonts w:hint="eastAsia" w:ascii="仿宋" w:hAnsi="仿宋" w:eastAsia="仿宋"/>
          <w:color w:val="auto"/>
          <w:sz w:val="32"/>
          <w:szCs w:val="32"/>
          <w:highlight w:val="none"/>
          <w:lang w:eastAsia="zh-CN"/>
        </w:rPr>
        <w:t>扶余市</w:t>
      </w:r>
    </w:p>
    <w:p w14:paraId="1E11B6F8">
      <w:pPr>
        <w:spacing w:line="360" w:lineRule="auto"/>
        <w:ind w:firstLine="640" w:firstLineChars="200"/>
        <w:jc w:val="left"/>
        <w:rPr>
          <w:rFonts w:hint="eastAsia" w:ascii="仿宋" w:hAnsi="仿宋" w:eastAsia="仿宋" w:cs="宋体"/>
          <w:b w:val="0"/>
          <w:bCs w:val="0"/>
          <w:i w:val="0"/>
          <w:iCs w:val="0"/>
          <w:color w:val="auto"/>
          <w:kern w:val="2"/>
          <w:sz w:val="32"/>
          <w:szCs w:val="32"/>
          <w:highlight w:val="none"/>
          <w:u w:val="none"/>
          <w:lang w:val="en-US" w:eastAsia="zh-CN" w:bidi="ar-SA"/>
        </w:rPr>
      </w:pPr>
      <w:r>
        <w:rPr>
          <w:rFonts w:hint="eastAsia" w:ascii="仿宋" w:hAnsi="仿宋" w:eastAsia="仿宋"/>
          <w:color w:val="auto"/>
          <w:sz w:val="32"/>
          <w:szCs w:val="32"/>
          <w:highlight w:val="none"/>
        </w:rPr>
        <w:t>联系</w:t>
      </w:r>
      <w:r>
        <w:rPr>
          <w:rFonts w:hint="eastAsia" w:ascii="仿宋" w:hAnsi="仿宋" w:eastAsia="仿宋"/>
          <w:color w:val="auto"/>
          <w:sz w:val="32"/>
          <w:szCs w:val="32"/>
          <w:highlight w:val="none"/>
          <w:lang w:val="en-US" w:eastAsia="zh-CN"/>
        </w:rPr>
        <w:t>人</w:t>
      </w:r>
      <w:r>
        <w:rPr>
          <w:rFonts w:hint="eastAsia" w:ascii="仿宋" w:hAnsi="仿宋" w:eastAsia="仿宋"/>
          <w:color w:val="auto"/>
          <w:sz w:val="32"/>
          <w:szCs w:val="32"/>
          <w:highlight w:val="none"/>
        </w:rPr>
        <w:t>：</w:t>
      </w:r>
      <w:bookmarkStart w:id="44" w:name="_Toc28359009"/>
      <w:bookmarkStart w:id="45" w:name="_Toc28359086"/>
      <w:r>
        <w:rPr>
          <w:rFonts w:hint="eastAsia" w:ascii="仿宋" w:hAnsi="仿宋" w:eastAsia="仿宋" w:cs="宋体"/>
          <w:b w:val="0"/>
          <w:bCs w:val="0"/>
          <w:i w:val="0"/>
          <w:iCs w:val="0"/>
          <w:color w:val="auto"/>
          <w:kern w:val="2"/>
          <w:sz w:val="32"/>
          <w:szCs w:val="32"/>
          <w:highlight w:val="none"/>
          <w:u w:val="none"/>
          <w:lang w:val="en-US" w:eastAsia="zh-CN" w:bidi="ar-SA"/>
        </w:rPr>
        <w:t xml:space="preserve">王轶琦      </w:t>
      </w:r>
    </w:p>
    <w:p w14:paraId="7B64634D">
      <w:pPr>
        <w:spacing w:line="360" w:lineRule="auto"/>
        <w:ind w:firstLine="640" w:firstLineChars="200"/>
        <w:jc w:val="left"/>
        <w:rPr>
          <w:rFonts w:hint="default" w:ascii="仿宋" w:hAnsi="仿宋" w:eastAsia="仿宋"/>
          <w:color w:val="auto"/>
          <w:sz w:val="32"/>
          <w:szCs w:val="32"/>
          <w:highlight w:val="none"/>
          <w:lang w:val="en-US" w:eastAsia="zh-CN"/>
        </w:rPr>
      </w:pPr>
      <w:r>
        <w:rPr>
          <w:rFonts w:hint="eastAsia" w:ascii="仿宋" w:hAnsi="仿宋" w:eastAsia="仿宋" w:cs="宋体"/>
          <w:b w:val="0"/>
          <w:bCs w:val="0"/>
          <w:i w:val="0"/>
          <w:iCs w:val="0"/>
          <w:color w:val="auto"/>
          <w:kern w:val="2"/>
          <w:sz w:val="32"/>
          <w:szCs w:val="32"/>
          <w:highlight w:val="none"/>
          <w:u w:val="none"/>
          <w:lang w:val="en-US" w:eastAsia="zh-CN" w:bidi="ar-SA"/>
        </w:rPr>
        <w:t>电  话：13943890119</w:t>
      </w:r>
    </w:p>
    <w:p w14:paraId="7A2C4714">
      <w:pPr>
        <w:spacing w:line="360" w:lineRule="auto"/>
        <w:ind w:firstLine="640" w:firstLineChars="200"/>
        <w:jc w:val="left"/>
        <w:rPr>
          <w:rFonts w:ascii="仿宋" w:hAnsi="仿宋" w:eastAsia="仿宋"/>
          <w:color w:val="auto"/>
          <w:sz w:val="32"/>
          <w:szCs w:val="32"/>
          <w:highlight w:val="none"/>
        </w:rPr>
      </w:pPr>
      <w:r>
        <w:rPr>
          <w:rFonts w:hint="eastAsia" w:ascii="仿宋" w:hAnsi="仿宋" w:eastAsia="仿宋" w:cs="宋体"/>
          <w:color w:val="auto"/>
          <w:sz w:val="32"/>
          <w:szCs w:val="32"/>
          <w:highlight w:val="none"/>
        </w:rPr>
        <w:t>2.采购代理机构信息</w:t>
      </w:r>
      <w:bookmarkEnd w:id="44"/>
      <w:bookmarkEnd w:id="45"/>
    </w:p>
    <w:p w14:paraId="48C0A101">
      <w:pPr>
        <w:spacing w:line="360" w:lineRule="auto"/>
        <w:ind w:firstLine="640" w:firstLineChars="200"/>
        <w:rPr>
          <w:rFonts w:hint="eastAsia" w:ascii="仿宋" w:hAnsi="仿宋" w:eastAsia="仿宋" w:cs="宋体"/>
          <w:b w:val="0"/>
          <w:bCs w:val="0"/>
          <w:i w:val="0"/>
          <w:iCs w:val="0"/>
          <w:color w:val="auto"/>
          <w:kern w:val="2"/>
          <w:sz w:val="32"/>
          <w:szCs w:val="32"/>
          <w:highlight w:val="none"/>
          <w:u w:val="none"/>
          <w:lang w:val="en-US" w:eastAsia="zh-CN" w:bidi="ar-SA"/>
        </w:rPr>
      </w:pPr>
      <w:r>
        <w:rPr>
          <w:rFonts w:hint="eastAsia" w:ascii="仿宋" w:hAnsi="仿宋" w:eastAsia="仿宋"/>
          <w:color w:val="auto"/>
          <w:sz w:val="32"/>
          <w:szCs w:val="32"/>
          <w:highlight w:val="none"/>
        </w:rPr>
        <w:t xml:space="preserve">名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称：</w:t>
      </w:r>
      <w:r>
        <w:rPr>
          <w:rFonts w:hint="eastAsia" w:ascii="仿宋" w:hAnsi="仿宋" w:eastAsia="仿宋" w:cs="宋体"/>
          <w:b w:val="0"/>
          <w:bCs w:val="0"/>
          <w:i w:val="0"/>
          <w:iCs w:val="0"/>
          <w:color w:val="auto"/>
          <w:kern w:val="2"/>
          <w:sz w:val="32"/>
          <w:szCs w:val="32"/>
          <w:highlight w:val="none"/>
          <w:u w:val="none"/>
          <w:lang w:val="en-US" w:eastAsia="zh-CN" w:bidi="ar-SA"/>
        </w:rPr>
        <w:t>吉林省融合项目管理咨询有限责任公司</w:t>
      </w:r>
    </w:p>
    <w:p w14:paraId="0AE738FD">
      <w:pPr>
        <w:spacing w:line="360" w:lineRule="auto"/>
        <w:ind w:firstLine="640" w:firstLineChars="200"/>
        <w:rPr>
          <w:rFonts w:hint="eastAsia" w:ascii="仿宋" w:hAnsi="仿宋" w:eastAsia="仿宋"/>
          <w:color w:val="auto"/>
          <w:sz w:val="32"/>
          <w:szCs w:val="32"/>
          <w:highlight w:val="none"/>
          <w:lang w:eastAsia="zh-CN"/>
        </w:rPr>
      </w:pPr>
      <w:r>
        <w:rPr>
          <w:rFonts w:hint="eastAsia" w:ascii="仿宋" w:hAnsi="仿宋" w:eastAsia="仿宋" w:cs="宋体"/>
          <w:b w:val="0"/>
          <w:bCs w:val="0"/>
          <w:i w:val="0"/>
          <w:iCs w:val="0"/>
          <w:color w:val="auto"/>
          <w:kern w:val="2"/>
          <w:sz w:val="32"/>
          <w:szCs w:val="32"/>
          <w:highlight w:val="none"/>
          <w:u w:val="none"/>
          <w:lang w:val="en-US" w:eastAsia="zh-CN" w:bidi="ar-SA"/>
        </w:rPr>
        <w:t>地　　址：松原市经济技术开发区兴原街吉粮康郡1幢119</w:t>
      </w:r>
    </w:p>
    <w:p w14:paraId="22E28915">
      <w:pPr>
        <w:spacing w:line="360" w:lineRule="auto"/>
        <w:ind w:firstLine="640" w:firstLineChars="200"/>
        <w:rPr>
          <w:rFonts w:hint="default" w:ascii="仿宋" w:hAnsi="仿宋" w:eastAsia="仿宋"/>
          <w:color w:val="auto"/>
          <w:sz w:val="32"/>
          <w:szCs w:val="32"/>
          <w:highlight w:val="none"/>
          <w:lang w:val="en-US"/>
        </w:rPr>
      </w:pPr>
      <w:r>
        <w:rPr>
          <w:rFonts w:hint="eastAsia" w:ascii="仿宋" w:hAnsi="仿宋" w:eastAsia="仿宋"/>
          <w:color w:val="auto"/>
          <w:sz w:val="32"/>
          <w:szCs w:val="32"/>
          <w:highlight w:val="none"/>
        </w:rPr>
        <w:t>联系方式：</w:t>
      </w:r>
      <w:bookmarkStart w:id="46" w:name="_Toc28359010"/>
      <w:bookmarkStart w:id="47" w:name="_Toc28359087"/>
      <w:r>
        <w:rPr>
          <w:rFonts w:hint="eastAsia" w:ascii="仿宋" w:hAnsi="仿宋" w:eastAsia="仿宋" w:cs="宋体"/>
          <w:b w:val="0"/>
          <w:bCs w:val="0"/>
          <w:i w:val="0"/>
          <w:iCs w:val="0"/>
          <w:color w:val="auto"/>
          <w:kern w:val="2"/>
          <w:sz w:val="32"/>
          <w:szCs w:val="32"/>
          <w:highlight w:val="none"/>
          <w:u w:val="none"/>
          <w:lang w:val="en-US" w:eastAsia="zh-CN" w:bidi="ar-SA"/>
        </w:rPr>
        <w:t>15584565977</w:t>
      </w:r>
    </w:p>
    <w:p w14:paraId="42FAD587">
      <w:pPr>
        <w:spacing w:line="360" w:lineRule="auto"/>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3.项目</w:t>
      </w:r>
      <w:r>
        <w:rPr>
          <w:rFonts w:ascii="仿宋" w:hAnsi="仿宋" w:eastAsia="仿宋" w:cs="宋体"/>
          <w:color w:val="auto"/>
          <w:sz w:val="32"/>
          <w:szCs w:val="32"/>
          <w:highlight w:val="none"/>
        </w:rPr>
        <w:t>联系方式</w:t>
      </w:r>
      <w:bookmarkEnd w:id="46"/>
      <w:bookmarkEnd w:id="47"/>
    </w:p>
    <w:p w14:paraId="66707D0B">
      <w:pPr>
        <w:spacing w:line="360" w:lineRule="auto"/>
        <w:ind w:firstLine="640" w:firstLineChars="200"/>
        <w:rPr>
          <w:rFonts w:hint="default" w:ascii="仿宋" w:hAnsi="仿宋" w:eastAsia="仿宋" w:cs="宋体"/>
          <w:color w:val="auto"/>
          <w:sz w:val="32"/>
          <w:szCs w:val="32"/>
          <w:highlight w:val="none"/>
          <w:lang w:val="en-US" w:eastAsia="zh-CN"/>
        </w:rPr>
      </w:pPr>
      <w:r>
        <w:rPr>
          <w:rFonts w:ascii="仿宋" w:hAnsi="仿宋" w:eastAsia="仿宋" w:cs="宋体"/>
          <w:color w:val="auto"/>
          <w:sz w:val="32"/>
          <w:szCs w:val="32"/>
          <w:highlight w:val="none"/>
        </w:rPr>
        <w:t>项目联系人：</w:t>
      </w:r>
      <w:r>
        <w:rPr>
          <w:rFonts w:hint="eastAsia" w:ascii="仿宋" w:hAnsi="仿宋" w:eastAsia="仿宋" w:cs="宋体"/>
          <w:color w:val="auto"/>
          <w:sz w:val="32"/>
          <w:szCs w:val="32"/>
          <w:highlight w:val="none"/>
          <w:lang w:val="en-US" w:eastAsia="zh-CN"/>
        </w:rPr>
        <w:t>张明惠</w:t>
      </w:r>
    </w:p>
    <w:p w14:paraId="509EC3E3">
      <w:pPr>
        <w:spacing w:line="360" w:lineRule="auto"/>
        <w:ind w:firstLine="640" w:firstLineChars="200"/>
        <w:rPr>
          <w:rFonts w:ascii="Arial" w:hAnsi="Arial" w:cs="Arial"/>
          <w:b/>
          <w:color w:val="auto"/>
          <w:sz w:val="32"/>
          <w:szCs w:val="32"/>
        </w:rPr>
      </w:pPr>
      <w:r>
        <w:rPr>
          <w:rFonts w:hint="eastAsia" w:ascii="仿宋" w:hAnsi="仿宋" w:eastAsia="仿宋"/>
          <w:color w:val="auto"/>
          <w:sz w:val="32"/>
          <w:szCs w:val="32"/>
          <w:highlight w:val="none"/>
        </w:rPr>
        <w:t>电　话：</w:t>
      </w:r>
      <w:r>
        <w:rPr>
          <w:rFonts w:hint="eastAsia" w:ascii="仿宋" w:hAnsi="仿宋" w:eastAsia="仿宋" w:cs="宋体"/>
          <w:b w:val="0"/>
          <w:bCs w:val="0"/>
          <w:i w:val="0"/>
          <w:iCs w:val="0"/>
          <w:color w:val="auto"/>
          <w:kern w:val="2"/>
          <w:sz w:val="32"/>
          <w:szCs w:val="32"/>
          <w:highlight w:val="none"/>
          <w:u w:val="none"/>
          <w:lang w:val="en-US" w:eastAsia="zh-CN" w:bidi="ar-SA"/>
        </w:rPr>
        <w:t>15584565977</w:t>
      </w:r>
    </w:p>
    <w:p w14:paraId="13BF103F">
      <w:pPr>
        <w:pStyle w:val="12"/>
        <w:rPr>
          <w:rFonts w:ascii="Arial" w:hAnsi="Arial" w:cs="Arial"/>
          <w:b/>
          <w:color w:val="auto"/>
          <w:sz w:val="32"/>
          <w:szCs w:val="32"/>
        </w:rPr>
      </w:pPr>
    </w:p>
    <w:p w14:paraId="187D7D4D">
      <w:pPr>
        <w:pStyle w:val="12"/>
        <w:rPr>
          <w:rFonts w:ascii="Arial" w:hAnsi="Arial" w:cs="Arial"/>
          <w:b/>
          <w:color w:val="auto"/>
          <w:sz w:val="32"/>
          <w:szCs w:val="32"/>
        </w:rPr>
      </w:pPr>
    </w:p>
    <w:p w14:paraId="33617E28">
      <w:pPr>
        <w:pStyle w:val="12"/>
        <w:rPr>
          <w:rFonts w:ascii="Arial" w:hAnsi="Arial" w:cs="Arial"/>
          <w:b/>
          <w:color w:val="auto"/>
          <w:sz w:val="32"/>
          <w:szCs w:val="32"/>
        </w:rPr>
      </w:pPr>
    </w:p>
    <w:p w14:paraId="32550EF9">
      <w:pPr>
        <w:pStyle w:val="12"/>
        <w:rPr>
          <w:rFonts w:ascii="Arial" w:hAnsi="Arial" w:cs="Arial"/>
          <w:b/>
          <w:color w:val="auto"/>
          <w:sz w:val="32"/>
          <w:szCs w:val="32"/>
        </w:rPr>
      </w:pPr>
    </w:p>
    <w:p w14:paraId="1C695CA1">
      <w:pPr>
        <w:pStyle w:val="12"/>
        <w:rPr>
          <w:rFonts w:ascii="Arial" w:hAnsi="Arial" w:cs="Arial"/>
          <w:b/>
          <w:color w:val="auto"/>
          <w:sz w:val="32"/>
          <w:szCs w:val="32"/>
        </w:rPr>
      </w:pPr>
    </w:p>
    <w:p w14:paraId="6FBC8EA6">
      <w:pPr>
        <w:pStyle w:val="12"/>
        <w:rPr>
          <w:rFonts w:ascii="Arial" w:hAnsi="Arial" w:cs="Arial"/>
          <w:b/>
          <w:color w:val="auto"/>
          <w:sz w:val="32"/>
          <w:szCs w:val="32"/>
        </w:rPr>
      </w:pPr>
    </w:p>
    <w:p w14:paraId="678B7D64">
      <w:pPr>
        <w:pStyle w:val="12"/>
        <w:rPr>
          <w:rFonts w:ascii="Arial" w:hAnsi="Arial" w:cs="Arial"/>
          <w:b/>
          <w:color w:val="auto"/>
          <w:sz w:val="32"/>
          <w:szCs w:val="32"/>
        </w:rPr>
      </w:pPr>
    </w:p>
    <w:p w14:paraId="65660F88">
      <w:pPr>
        <w:pStyle w:val="12"/>
        <w:rPr>
          <w:rFonts w:ascii="Arial" w:hAnsi="Arial" w:cs="Arial"/>
          <w:b/>
          <w:color w:val="auto"/>
          <w:sz w:val="32"/>
          <w:szCs w:val="32"/>
        </w:rPr>
      </w:pPr>
    </w:p>
    <w:p w14:paraId="278F1A17">
      <w:pPr>
        <w:pStyle w:val="12"/>
        <w:rPr>
          <w:rFonts w:ascii="Arial" w:hAnsi="Arial" w:cs="Arial"/>
          <w:b/>
          <w:color w:val="auto"/>
          <w:sz w:val="32"/>
          <w:szCs w:val="32"/>
        </w:rPr>
      </w:pPr>
    </w:p>
    <w:p w14:paraId="6479C18D">
      <w:pPr>
        <w:pStyle w:val="12"/>
        <w:rPr>
          <w:rFonts w:ascii="Arial" w:hAnsi="Arial" w:cs="Arial"/>
          <w:b/>
          <w:color w:val="auto"/>
          <w:sz w:val="32"/>
          <w:szCs w:val="32"/>
        </w:rPr>
      </w:pPr>
    </w:p>
    <w:p w14:paraId="1C4F4902">
      <w:pPr>
        <w:pStyle w:val="12"/>
        <w:rPr>
          <w:rFonts w:ascii="Arial" w:hAnsi="Arial" w:cs="Arial"/>
          <w:b/>
          <w:color w:val="auto"/>
          <w:sz w:val="32"/>
          <w:szCs w:val="32"/>
        </w:rPr>
      </w:pPr>
    </w:p>
    <w:p w14:paraId="368441C6">
      <w:pPr>
        <w:pStyle w:val="12"/>
        <w:rPr>
          <w:rFonts w:ascii="Arial" w:hAnsi="Arial" w:cs="Arial"/>
          <w:b/>
          <w:color w:val="auto"/>
          <w:sz w:val="32"/>
          <w:szCs w:val="32"/>
        </w:rPr>
      </w:pPr>
    </w:p>
    <w:p w14:paraId="41867885">
      <w:pPr>
        <w:pStyle w:val="12"/>
        <w:rPr>
          <w:rFonts w:ascii="Arial" w:hAnsi="Arial" w:cs="Arial"/>
          <w:b/>
          <w:color w:val="auto"/>
          <w:sz w:val="32"/>
          <w:szCs w:val="32"/>
        </w:rPr>
      </w:pPr>
    </w:p>
    <w:p w14:paraId="6336CC4D">
      <w:pPr>
        <w:pStyle w:val="12"/>
        <w:rPr>
          <w:rFonts w:ascii="Arial" w:hAnsi="Arial" w:cs="Arial"/>
          <w:b/>
          <w:color w:val="auto"/>
          <w:sz w:val="32"/>
          <w:szCs w:val="32"/>
        </w:rPr>
      </w:pPr>
    </w:p>
    <w:p w14:paraId="5E77D955">
      <w:pPr>
        <w:pStyle w:val="12"/>
        <w:rPr>
          <w:rFonts w:ascii="Arial" w:hAnsi="Arial" w:cs="Arial"/>
          <w:b/>
          <w:color w:val="auto"/>
          <w:sz w:val="32"/>
          <w:szCs w:val="32"/>
        </w:rPr>
      </w:pPr>
    </w:p>
    <w:p w14:paraId="0A162DDF">
      <w:pPr>
        <w:pStyle w:val="12"/>
        <w:rPr>
          <w:rFonts w:ascii="Arial" w:hAnsi="Arial" w:cs="Arial"/>
          <w:b/>
          <w:color w:val="auto"/>
          <w:sz w:val="32"/>
          <w:szCs w:val="32"/>
        </w:rPr>
      </w:pPr>
    </w:p>
    <w:p w14:paraId="043641B5">
      <w:pPr>
        <w:pStyle w:val="12"/>
        <w:rPr>
          <w:rFonts w:ascii="Arial" w:hAnsi="Arial" w:cs="Arial"/>
          <w:b/>
          <w:color w:val="auto"/>
          <w:sz w:val="32"/>
          <w:szCs w:val="32"/>
        </w:rPr>
      </w:pPr>
    </w:p>
    <w:p w14:paraId="3C60349D">
      <w:pPr>
        <w:pStyle w:val="12"/>
        <w:rPr>
          <w:rFonts w:ascii="Arial" w:hAnsi="Arial" w:cs="Arial"/>
          <w:b/>
          <w:color w:val="auto"/>
          <w:sz w:val="32"/>
          <w:szCs w:val="32"/>
        </w:rPr>
      </w:pPr>
    </w:p>
    <w:p w14:paraId="2CF3F984">
      <w:pPr>
        <w:pStyle w:val="12"/>
        <w:rPr>
          <w:rFonts w:ascii="Arial" w:hAnsi="Arial" w:cs="Arial"/>
          <w:b/>
          <w:color w:val="auto"/>
          <w:sz w:val="32"/>
          <w:szCs w:val="32"/>
        </w:rPr>
      </w:pPr>
    </w:p>
    <w:p w14:paraId="709A92FE">
      <w:pPr>
        <w:pStyle w:val="12"/>
        <w:rPr>
          <w:rFonts w:ascii="Arial" w:hAnsi="Arial" w:cs="Arial"/>
          <w:b/>
          <w:color w:val="auto"/>
          <w:sz w:val="32"/>
          <w:szCs w:val="32"/>
        </w:rPr>
      </w:pPr>
    </w:p>
    <w:p w14:paraId="59E5C421">
      <w:pPr>
        <w:pStyle w:val="12"/>
        <w:rPr>
          <w:rFonts w:ascii="Arial" w:hAnsi="Arial" w:cs="Arial"/>
          <w:b/>
          <w:color w:val="auto"/>
          <w:sz w:val="32"/>
          <w:szCs w:val="32"/>
        </w:rPr>
      </w:pPr>
    </w:p>
    <w:p w14:paraId="7A46547E">
      <w:pPr>
        <w:pStyle w:val="12"/>
        <w:rPr>
          <w:rFonts w:ascii="Arial" w:hAnsi="Arial" w:cs="Arial"/>
          <w:b/>
          <w:color w:val="auto"/>
          <w:sz w:val="32"/>
          <w:szCs w:val="32"/>
        </w:rPr>
      </w:pPr>
    </w:p>
    <w:p w14:paraId="6D0F89AC">
      <w:pPr>
        <w:pStyle w:val="12"/>
        <w:rPr>
          <w:rFonts w:ascii="Arial" w:hAnsi="Arial" w:cs="Arial"/>
          <w:b/>
          <w:color w:val="auto"/>
          <w:sz w:val="32"/>
          <w:szCs w:val="32"/>
        </w:rPr>
      </w:pPr>
    </w:p>
    <w:p w14:paraId="372AAAF0">
      <w:pPr>
        <w:pStyle w:val="12"/>
        <w:rPr>
          <w:rFonts w:ascii="Arial" w:hAnsi="Arial" w:cs="Arial"/>
          <w:b/>
          <w:color w:val="auto"/>
          <w:sz w:val="32"/>
          <w:szCs w:val="32"/>
        </w:rPr>
      </w:pPr>
    </w:p>
    <w:p w14:paraId="40535A72">
      <w:pPr>
        <w:pStyle w:val="12"/>
        <w:rPr>
          <w:rFonts w:ascii="Arial" w:hAnsi="Arial" w:cs="Arial"/>
          <w:b/>
          <w:color w:val="auto"/>
          <w:sz w:val="32"/>
          <w:szCs w:val="32"/>
        </w:rPr>
      </w:pPr>
    </w:p>
    <w:p w14:paraId="28BB3BC6">
      <w:pPr>
        <w:pStyle w:val="12"/>
        <w:rPr>
          <w:rFonts w:ascii="Arial" w:hAnsi="Arial" w:cs="Arial"/>
          <w:b/>
          <w:color w:val="auto"/>
          <w:sz w:val="32"/>
          <w:szCs w:val="32"/>
        </w:rPr>
      </w:pPr>
    </w:p>
    <w:p w14:paraId="468AA489">
      <w:pPr>
        <w:pStyle w:val="12"/>
        <w:rPr>
          <w:rFonts w:ascii="Arial" w:hAnsi="Arial" w:cs="Arial"/>
          <w:b/>
          <w:color w:val="auto"/>
          <w:sz w:val="32"/>
          <w:szCs w:val="32"/>
        </w:rPr>
      </w:pPr>
    </w:p>
    <w:p w14:paraId="65C87819">
      <w:pPr>
        <w:pStyle w:val="12"/>
        <w:rPr>
          <w:rFonts w:ascii="Arial" w:hAnsi="Arial" w:cs="Arial"/>
          <w:b/>
          <w:color w:val="auto"/>
          <w:sz w:val="32"/>
          <w:szCs w:val="32"/>
        </w:rPr>
      </w:pPr>
    </w:p>
    <w:p w14:paraId="13DBEA00">
      <w:pPr>
        <w:pStyle w:val="12"/>
        <w:rPr>
          <w:rFonts w:ascii="Arial" w:hAnsi="Arial" w:cs="Arial"/>
          <w:b/>
          <w:color w:val="auto"/>
          <w:sz w:val="32"/>
          <w:szCs w:val="32"/>
        </w:rPr>
      </w:pPr>
    </w:p>
    <w:p w14:paraId="66FFD089">
      <w:pPr>
        <w:pStyle w:val="12"/>
        <w:rPr>
          <w:rFonts w:ascii="Arial" w:hAnsi="Arial" w:cs="Arial"/>
          <w:b/>
          <w:color w:val="auto"/>
          <w:sz w:val="32"/>
          <w:szCs w:val="32"/>
        </w:rPr>
      </w:pPr>
    </w:p>
    <w:p w14:paraId="7CE86772">
      <w:pPr>
        <w:pStyle w:val="12"/>
        <w:rPr>
          <w:rFonts w:ascii="Arial" w:hAnsi="Arial" w:cs="Arial"/>
          <w:b/>
          <w:color w:val="auto"/>
          <w:sz w:val="32"/>
          <w:szCs w:val="32"/>
        </w:rPr>
      </w:pPr>
    </w:p>
    <w:p w14:paraId="0C24ECE2">
      <w:pPr>
        <w:pStyle w:val="12"/>
        <w:rPr>
          <w:rFonts w:ascii="Arial" w:hAnsi="Arial" w:cs="Arial"/>
          <w:b/>
          <w:color w:val="auto"/>
          <w:sz w:val="32"/>
          <w:szCs w:val="32"/>
        </w:rPr>
      </w:pPr>
    </w:p>
    <w:p w14:paraId="44EE93F9">
      <w:pPr>
        <w:pStyle w:val="12"/>
        <w:rPr>
          <w:rFonts w:ascii="Arial" w:hAnsi="Arial" w:cs="Arial"/>
          <w:b/>
          <w:color w:val="auto"/>
          <w:sz w:val="32"/>
          <w:szCs w:val="32"/>
        </w:rPr>
      </w:pPr>
    </w:p>
    <w:p w14:paraId="0F136726">
      <w:pPr>
        <w:pStyle w:val="12"/>
        <w:rPr>
          <w:rFonts w:ascii="Arial" w:hAnsi="Arial" w:cs="Arial"/>
          <w:b/>
          <w:color w:val="auto"/>
          <w:sz w:val="32"/>
          <w:szCs w:val="32"/>
        </w:rPr>
      </w:pPr>
    </w:p>
    <w:bookmarkEnd w:id="6"/>
    <w:bookmarkEnd w:id="7"/>
    <w:p w14:paraId="148B2208">
      <w:pPr>
        <w:spacing w:line="320" w:lineRule="atLeast"/>
        <w:ind w:right="-36"/>
        <w:jc w:val="center"/>
        <w:rPr>
          <w:rFonts w:ascii="宋体" w:hAnsi="宋体" w:cs="宋体"/>
          <w:b/>
          <w:bCs/>
          <w:color w:val="auto"/>
          <w:sz w:val="32"/>
          <w:szCs w:val="32"/>
        </w:rPr>
      </w:pPr>
      <w:r>
        <w:rPr>
          <w:rFonts w:hint="eastAsia" w:ascii="宋体" w:hAnsi="宋体" w:cs="宋体"/>
          <w:b/>
          <w:bCs/>
          <w:color w:val="auto"/>
          <w:sz w:val="32"/>
          <w:szCs w:val="32"/>
        </w:rPr>
        <w:t>第二篇  供应商须知</w:t>
      </w:r>
    </w:p>
    <w:p w14:paraId="31C900AA">
      <w:pPr>
        <w:spacing w:line="320" w:lineRule="atLeast"/>
        <w:ind w:right="-36"/>
        <w:jc w:val="center"/>
        <w:rPr>
          <w:rFonts w:ascii="宋体" w:hAnsi="宋体" w:cs="宋体"/>
          <w:b/>
          <w:bCs/>
          <w:color w:val="auto"/>
          <w:sz w:val="32"/>
          <w:szCs w:val="32"/>
        </w:rPr>
      </w:pPr>
    </w:p>
    <w:p w14:paraId="18327519">
      <w:pPr>
        <w:spacing w:line="320" w:lineRule="atLeast"/>
        <w:jc w:val="center"/>
        <w:rPr>
          <w:rFonts w:ascii="宋体" w:hAnsi="宋体" w:cs="宋体"/>
          <w:b/>
          <w:bCs/>
          <w:color w:val="auto"/>
        </w:rPr>
      </w:pPr>
      <w:r>
        <w:rPr>
          <w:rFonts w:hint="eastAsia" w:ascii="宋体" w:hAnsi="宋体" w:cs="宋体"/>
          <w:b/>
          <w:bCs/>
          <w:color w:val="auto"/>
        </w:rPr>
        <w:t>目录</w:t>
      </w:r>
    </w:p>
    <w:p w14:paraId="42B96A65">
      <w:pPr>
        <w:spacing w:line="320" w:lineRule="atLeast"/>
        <w:rPr>
          <w:rFonts w:ascii="宋体" w:hAnsi="宋体" w:cs="宋体"/>
          <w:b/>
          <w:bCs/>
          <w:color w:val="auto"/>
        </w:rPr>
      </w:pPr>
      <w:r>
        <w:rPr>
          <w:rFonts w:hint="eastAsia" w:ascii="宋体" w:hAnsi="宋体" w:cs="宋体"/>
          <w:color w:val="auto"/>
        </w:rPr>
        <w:t>A</w:t>
      </w:r>
      <w:r>
        <w:rPr>
          <w:rFonts w:hint="eastAsia" w:ascii="宋体" w:hAnsi="宋体" w:cs="宋体"/>
          <w:b/>
          <w:bCs/>
          <w:color w:val="auto"/>
        </w:rPr>
        <w:t>总则</w:t>
      </w:r>
    </w:p>
    <w:p w14:paraId="78C67899">
      <w:pPr>
        <w:spacing w:line="320" w:lineRule="atLeast"/>
        <w:ind w:left="397"/>
        <w:rPr>
          <w:rFonts w:ascii="宋体" w:hAnsi="宋体" w:cs="宋体"/>
          <w:color w:val="auto"/>
        </w:rPr>
      </w:pPr>
      <w:bookmarkStart w:id="48" w:name="_Hlt75710482"/>
      <w:r>
        <w:rPr>
          <w:rFonts w:hint="eastAsia" w:ascii="宋体" w:hAnsi="宋体" w:cs="宋体"/>
          <w:color w:val="auto"/>
        </w:rPr>
        <w:t xml:space="preserve">1 </w:t>
      </w:r>
      <w:r>
        <w:rPr>
          <w:color w:val="auto"/>
        </w:rPr>
        <w:fldChar w:fldCharType="begin"/>
      </w:r>
      <w:r>
        <w:rPr>
          <w:color w:val="auto"/>
        </w:rPr>
        <w:instrText xml:space="preserve"> HYPERLINK \l "_Hlk35573614" \s "1,2069,2073,0,,资金来源" </w:instrText>
      </w:r>
      <w:r>
        <w:rPr>
          <w:color w:val="auto"/>
        </w:rPr>
        <w:fldChar w:fldCharType="separate"/>
      </w:r>
      <w:r>
        <w:rPr>
          <w:rFonts w:hint="eastAsia" w:ascii="宋体" w:hAnsi="宋体" w:cs="宋体"/>
          <w:color w:val="auto"/>
        </w:rPr>
        <w:t>资金来源</w:t>
      </w:r>
      <w:r>
        <w:rPr>
          <w:rFonts w:hint="eastAsia" w:ascii="宋体" w:hAnsi="宋体" w:cs="宋体"/>
          <w:color w:val="auto"/>
        </w:rPr>
        <w:fldChar w:fldCharType="end"/>
      </w:r>
      <w:bookmarkEnd w:id="48"/>
    </w:p>
    <w:p w14:paraId="5BBF443E">
      <w:pPr>
        <w:spacing w:line="320" w:lineRule="atLeast"/>
        <w:ind w:left="397"/>
        <w:rPr>
          <w:rFonts w:ascii="宋体" w:hAnsi="宋体" w:cs="宋体"/>
          <w:color w:val="auto"/>
        </w:rPr>
      </w:pPr>
      <w:r>
        <w:rPr>
          <w:rFonts w:hint="eastAsia" w:ascii="宋体" w:hAnsi="宋体" w:cs="宋体"/>
          <w:color w:val="auto"/>
        </w:rPr>
        <w:t xml:space="preserve">2 </w:t>
      </w:r>
      <w:r>
        <w:rPr>
          <w:color w:val="auto"/>
        </w:rPr>
        <w:fldChar w:fldCharType="begin"/>
      </w:r>
      <w:r>
        <w:rPr>
          <w:color w:val="auto"/>
        </w:rPr>
        <w:instrText xml:space="preserve"> HYPERLINK \l "_Hlk35573643" \s "1,2155,2161,0,,合格的投标人" </w:instrText>
      </w:r>
      <w:r>
        <w:rPr>
          <w:color w:val="auto"/>
        </w:rPr>
        <w:fldChar w:fldCharType="separate"/>
      </w:r>
      <w:r>
        <w:rPr>
          <w:rFonts w:hint="eastAsia" w:ascii="宋体" w:hAnsi="宋体" w:cs="宋体"/>
          <w:color w:val="auto"/>
        </w:rPr>
        <w:t>合格</w:t>
      </w:r>
      <w:bookmarkStart w:id="49" w:name="_Hlt75710521"/>
      <w:r>
        <w:rPr>
          <w:rFonts w:hint="eastAsia" w:ascii="宋体" w:hAnsi="宋体" w:cs="宋体"/>
          <w:color w:val="auto"/>
        </w:rPr>
        <w:t>的</w:t>
      </w:r>
      <w:bookmarkEnd w:id="49"/>
      <w:r>
        <w:rPr>
          <w:rFonts w:hint="eastAsia" w:ascii="宋体" w:hAnsi="宋体" w:cs="宋体"/>
          <w:color w:val="auto"/>
        </w:rPr>
        <w:t>供应商</w:t>
      </w:r>
      <w:r>
        <w:rPr>
          <w:rFonts w:hint="eastAsia" w:ascii="宋体" w:hAnsi="宋体" w:cs="宋体"/>
          <w:color w:val="auto"/>
        </w:rPr>
        <w:fldChar w:fldCharType="end"/>
      </w:r>
    </w:p>
    <w:p w14:paraId="032FE4C0">
      <w:pPr>
        <w:spacing w:line="320" w:lineRule="atLeast"/>
        <w:ind w:left="397"/>
        <w:rPr>
          <w:rFonts w:ascii="宋体" w:hAnsi="宋体" w:cs="宋体"/>
          <w:color w:val="auto"/>
        </w:rPr>
      </w:pPr>
      <w:r>
        <w:rPr>
          <w:rFonts w:hint="eastAsia" w:ascii="宋体" w:hAnsi="宋体" w:cs="宋体"/>
          <w:color w:val="auto"/>
        </w:rPr>
        <w:t xml:space="preserve">3 </w:t>
      </w:r>
      <w:r>
        <w:rPr>
          <w:color w:val="auto"/>
        </w:rPr>
        <w:fldChar w:fldCharType="begin"/>
      </w:r>
      <w:r>
        <w:rPr>
          <w:color w:val="auto"/>
        </w:rPr>
        <w:instrText xml:space="preserve"> HYPERLINK \l "_Hlk35574026" \s "1,2304,2312,0,,合格的货物和服务" </w:instrText>
      </w:r>
      <w:r>
        <w:rPr>
          <w:color w:val="auto"/>
        </w:rPr>
        <w:fldChar w:fldCharType="separate"/>
      </w:r>
      <w:r>
        <w:rPr>
          <w:rFonts w:hint="eastAsia" w:ascii="宋体" w:hAnsi="宋体" w:cs="宋体"/>
          <w:color w:val="auto"/>
        </w:rPr>
        <w:t>合格</w:t>
      </w:r>
      <w:bookmarkStart w:id="50" w:name="_Hlt75710535"/>
      <w:r>
        <w:rPr>
          <w:rFonts w:hint="eastAsia" w:ascii="宋体" w:hAnsi="宋体" w:cs="宋体"/>
          <w:color w:val="auto"/>
        </w:rPr>
        <w:t>的</w:t>
      </w:r>
      <w:bookmarkEnd w:id="50"/>
      <w:r>
        <w:rPr>
          <w:rFonts w:hint="eastAsia" w:ascii="宋体" w:hAnsi="宋体" w:cs="宋体"/>
          <w:color w:val="auto"/>
        </w:rPr>
        <w:t>货物和服务</w:t>
      </w:r>
      <w:r>
        <w:rPr>
          <w:rFonts w:hint="eastAsia" w:ascii="宋体" w:hAnsi="宋体" w:cs="宋体"/>
          <w:color w:val="auto"/>
        </w:rPr>
        <w:fldChar w:fldCharType="end"/>
      </w:r>
    </w:p>
    <w:p w14:paraId="4732552B">
      <w:pPr>
        <w:spacing w:line="320" w:lineRule="atLeast"/>
        <w:ind w:left="397"/>
        <w:rPr>
          <w:rFonts w:ascii="宋体" w:hAnsi="宋体" w:cs="宋体"/>
          <w:color w:val="auto"/>
        </w:rPr>
      </w:pPr>
      <w:r>
        <w:rPr>
          <w:rFonts w:hint="eastAsia" w:ascii="宋体" w:hAnsi="宋体" w:cs="宋体"/>
          <w:color w:val="auto"/>
        </w:rPr>
        <w:t xml:space="preserve">4 </w:t>
      </w:r>
      <w:r>
        <w:rPr>
          <w:color w:val="auto"/>
        </w:rPr>
        <w:fldChar w:fldCharType="begin"/>
      </w:r>
      <w:r>
        <w:rPr>
          <w:color w:val="auto"/>
        </w:rPr>
        <w:instrText xml:space="preserve"> HYPERLINK \l "_Hlk35574045" \s "1,2517,2521,0,,投标费用" </w:instrText>
      </w:r>
      <w:r>
        <w:rPr>
          <w:color w:val="auto"/>
        </w:rPr>
        <w:fldChar w:fldCharType="separate"/>
      </w:r>
      <w:r>
        <w:rPr>
          <w:rFonts w:hint="eastAsia" w:ascii="宋体" w:hAnsi="宋体" w:cs="宋体"/>
          <w:color w:val="auto"/>
        </w:rPr>
        <w:t>磋商费用</w:t>
      </w:r>
      <w:r>
        <w:rPr>
          <w:rFonts w:hint="eastAsia" w:ascii="宋体" w:hAnsi="宋体" w:cs="宋体"/>
          <w:color w:val="auto"/>
        </w:rPr>
        <w:fldChar w:fldCharType="end"/>
      </w:r>
    </w:p>
    <w:p w14:paraId="71CEDA71">
      <w:pPr>
        <w:spacing w:line="320" w:lineRule="atLeast"/>
        <w:rPr>
          <w:rFonts w:ascii="宋体" w:hAnsi="宋体" w:cs="宋体"/>
          <w:b/>
          <w:bCs/>
          <w:color w:val="auto"/>
        </w:rPr>
      </w:pPr>
      <w:r>
        <w:rPr>
          <w:rFonts w:hint="eastAsia" w:ascii="宋体" w:hAnsi="宋体" w:cs="宋体"/>
          <w:color w:val="auto"/>
        </w:rPr>
        <w:t>B</w:t>
      </w:r>
      <w:r>
        <w:rPr>
          <w:rFonts w:hint="eastAsia" w:ascii="宋体" w:hAnsi="宋体" w:cs="宋体"/>
          <w:b/>
          <w:bCs/>
          <w:color w:val="auto"/>
        </w:rPr>
        <w:t>磋商文件</w:t>
      </w:r>
    </w:p>
    <w:p w14:paraId="083E2A77">
      <w:pPr>
        <w:spacing w:line="320" w:lineRule="atLeast"/>
        <w:ind w:left="397"/>
        <w:rPr>
          <w:rFonts w:ascii="宋体" w:hAnsi="宋体" w:cs="宋体"/>
          <w:color w:val="auto"/>
        </w:rPr>
      </w:pPr>
      <w:r>
        <w:rPr>
          <w:rFonts w:hint="eastAsia" w:ascii="宋体" w:hAnsi="宋体" w:cs="宋体"/>
          <w:color w:val="auto"/>
        </w:rPr>
        <w:t xml:space="preserve">5 </w:t>
      </w:r>
      <w:r>
        <w:rPr>
          <w:color w:val="auto"/>
        </w:rPr>
        <w:fldChar w:fldCharType="begin"/>
      </w:r>
      <w:r>
        <w:rPr>
          <w:color w:val="auto"/>
        </w:rPr>
        <w:instrText xml:space="preserve"> HYPERLINK \l "_Hlk35574788" \s "1,2644,2651,0,,招标文件的构成" </w:instrText>
      </w:r>
      <w:r>
        <w:rPr>
          <w:color w:val="auto"/>
        </w:rPr>
        <w:fldChar w:fldCharType="separate"/>
      </w:r>
      <w:r>
        <w:rPr>
          <w:rFonts w:hint="eastAsia" w:ascii="宋体" w:hAnsi="宋体" w:cs="宋体"/>
          <w:color w:val="auto"/>
        </w:rPr>
        <w:t>磋商文件的构成</w:t>
      </w:r>
      <w:r>
        <w:rPr>
          <w:rFonts w:hint="eastAsia" w:ascii="宋体" w:hAnsi="宋体" w:cs="宋体"/>
          <w:color w:val="auto"/>
        </w:rPr>
        <w:fldChar w:fldCharType="end"/>
      </w:r>
    </w:p>
    <w:p w14:paraId="002AF734">
      <w:pPr>
        <w:spacing w:line="320" w:lineRule="atLeast"/>
        <w:ind w:left="397" w:leftChars="189"/>
        <w:rPr>
          <w:rFonts w:ascii="宋体" w:hAnsi="宋体" w:cs="宋体"/>
          <w:color w:val="auto"/>
        </w:rPr>
      </w:pPr>
      <w:r>
        <w:rPr>
          <w:rFonts w:hint="eastAsia" w:ascii="宋体" w:hAnsi="宋体" w:cs="宋体"/>
          <w:color w:val="auto"/>
        </w:rPr>
        <w:t xml:space="preserve">6 </w:t>
      </w:r>
      <w:r>
        <w:rPr>
          <w:color w:val="auto"/>
        </w:rPr>
        <w:fldChar w:fldCharType="begin"/>
      </w:r>
      <w:r>
        <w:rPr>
          <w:color w:val="auto"/>
        </w:rPr>
        <w:instrText xml:space="preserve"> HYPERLINK \l "_Hlk35574868" \s "1,2921,2928,0,,招标文件的澄清" </w:instrText>
      </w:r>
      <w:r>
        <w:rPr>
          <w:color w:val="auto"/>
        </w:rPr>
        <w:fldChar w:fldCharType="separate"/>
      </w:r>
      <w:r>
        <w:rPr>
          <w:rFonts w:hint="eastAsia" w:ascii="宋体" w:hAnsi="宋体" w:cs="宋体"/>
          <w:color w:val="auto"/>
        </w:rPr>
        <w:t>磋商文件</w:t>
      </w:r>
      <w:r>
        <w:rPr>
          <w:rFonts w:hint="eastAsia" w:ascii="宋体" w:hAnsi="宋体" w:cs="宋体"/>
          <w:color w:val="auto"/>
        </w:rPr>
        <w:fldChar w:fldCharType="end"/>
      </w:r>
      <w:r>
        <w:rPr>
          <w:rFonts w:hint="eastAsia" w:ascii="宋体" w:hAnsi="宋体" w:cs="宋体"/>
          <w:color w:val="auto"/>
        </w:rPr>
        <w:t>的澄清</w:t>
      </w:r>
    </w:p>
    <w:p w14:paraId="7BD87767">
      <w:pPr>
        <w:spacing w:line="320" w:lineRule="atLeast"/>
        <w:ind w:left="397"/>
        <w:rPr>
          <w:rFonts w:ascii="宋体" w:hAnsi="宋体" w:cs="宋体"/>
          <w:color w:val="auto"/>
        </w:rPr>
      </w:pPr>
      <w:r>
        <w:rPr>
          <w:rFonts w:hint="eastAsia" w:ascii="宋体" w:hAnsi="宋体" w:cs="宋体"/>
          <w:color w:val="auto"/>
        </w:rPr>
        <w:t xml:space="preserve">7 </w:t>
      </w:r>
      <w:r>
        <w:rPr>
          <w:color w:val="auto"/>
        </w:rPr>
        <w:fldChar w:fldCharType="begin"/>
      </w:r>
      <w:r>
        <w:rPr>
          <w:color w:val="auto"/>
        </w:rPr>
        <w:instrText xml:space="preserve"> HYPERLINK \l "_Hlk35575107" \s "1,3133,3140,0,,招标文件的修改" </w:instrText>
      </w:r>
      <w:r>
        <w:rPr>
          <w:color w:val="auto"/>
        </w:rPr>
        <w:fldChar w:fldCharType="separate"/>
      </w:r>
      <w:r>
        <w:rPr>
          <w:rFonts w:hint="eastAsia" w:ascii="宋体" w:hAnsi="宋体" w:cs="宋体"/>
          <w:color w:val="auto"/>
        </w:rPr>
        <w:t>磋商文件的修改</w:t>
      </w:r>
      <w:r>
        <w:rPr>
          <w:rFonts w:hint="eastAsia" w:ascii="宋体" w:hAnsi="宋体" w:cs="宋体"/>
          <w:color w:val="auto"/>
        </w:rPr>
        <w:fldChar w:fldCharType="end"/>
      </w:r>
    </w:p>
    <w:p w14:paraId="20364911">
      <w:pPr>
        <w:spacing w:line="320" w:lineRule="atLeast"/>
        <w:rPr>
          <w:rFonts w:ascii="宋体" w:hAnsi="宋体" w:cs="宋体"/>
          <w:b/>
          <w:bCs/>
          <w:color w:val="auto"/>
        </w:rPr>
      </w:pPr>
      <w:r>
        <w:rPr>
          <w:rFonts w:hint="eastAsia" w:ascii="宋体" w:hAnsi="宋体" w:cs="宋体"/>
          <w:color w:val="auto"/>
        </w:rPr>
        <w:t>C</w:t>
      </w:r>
      <w:r>
        <w:rPr>
          <w:rFonts w:hint="eastAsia" w:ascii="宋体" w:hAnsi="宋体" w:cs="宋体"/>
          <w:b/>
          <w:bCs/>
          <w:color w:val="auto"/>
        </w:rPr>
        <w:t>响应文件的编制</w:t>
      </w:r>
    </w:p>
    <w:p w14:paraId="4B79614B">
      <w:pPr>
        <w:spacing w:line="320" w:lineRule="atLeast"/>
        <w:ind w:firstLine="420" w:firstLineChars="200"/>
        <w:rPr>
          <w:rFonts w:ascii="宋体" w:hAnsi="宋体" w:cs="宋体"/>
          <w:color w:val="auto"/>
        </w:rPr>
      </w:pPr>
      <w:r>
        <w:rPr>
          <w:rFonts w:hint="eastAsia" w:ascii="宋体" w:hAnsi="宋体" w:cs="宋体"/>
          <w:color w:val="auto"/>
        </w:rPr>
        <w:t xml:space="preserve">8 </w:t>
      </w:r>
      <w:r>
        <w:rPr>
          <w:color w:val="auto"/>
        </w:rPr>
        <w:fldChar w:fldCharType="begin"/>
      </w:r>
      <w:r>
        <w:rPr>
          <w:color w:val="auto"/>
        </w:rPr>
        <w:instrText xml:space="preserve"> HYPERLINK \l "_Hlk35575529" \s "1,3377,3384,0,,投标使用的文字" </w:instrText>
      </w:r>
      <w:r>
        <w:rPr>
          <w:color w:val="auto"/>
        </w:rPr>
        <w:fldChar w:fldCharType="separate"/>
      </w:r>
      <w:r>
        <w:rPr>
          <w:rFonts w:hint="eastAsia" w:ascii="宋体" w:hAnsi="宋体" w:cs="宋体"/>
          <w:color w:val="auto"/>
        </w:rPr>
        <w:t>磋商使用的文字</w:t>
      </w:r>
      <w:r>
        <w:rPr>
          <w:rFonts w:hint="eastAsia" w:ascii="宋体" w:hAnsi="宋体" w:cs="宋体"/>
          <w:color w:val="auto"/>
        </w:rPr>
        <w:fldChar w:fldCharType="end"/>
      </w:r>
      <w:r>
        <w:rPr>
          <w:rFonts w:hint="eastAsia" w:ascii="宋体" w:hAnsi="宋体" w:cs="宋体"/>
          <w:color w:val="auto"/>
        </w:rPr>
        <w:t>和单位</w:t>
      </w:r>
    </w:p>
    <w:p w14:paraId="59EC0924">
      <w:pPr>
        <w:spacing w:line="320" w:lineRule="atLeast"/>
        <w:ind w:left="397"/>
        <w:rPr>
          <w:rFonts w:ascii="宋体" w:hAnsi="宋体" w:cs="宋体"/>
          <w:color w:val="auto"/>
        </w:rPr>
      </w:pPr>
      <w:r>
        <w:rPr>
          <w:rFonts w:hint="eastAsia" w:ascii="宋体" w:hAnsi="宋体" w:cs="宋体"/>
          <w:color w:val="auto"/>
        </w:rPr>
        <w:t xml:space="preserve">9 </w:t>
      </w:r>
      <w:r>
        <w:rPr>
          <w:color w:val="auto"/>
        </w:rPr>
        <w:fldChar w:fldCharType="begin"/>
      </w:r>
      <w:r>
        <w:rPr>
          <w:color w:val="auto"/>
        </w:rPr>
        <w:instrText xml:space="preserve"> HYPERLINK \l "_Hlk35575566" \s "1,3466,3473,0,,投标文件的组成" </w:instrText>
      </w:r>
      <w:r>
        <w:rPr>
          <w:color w:val="auto"/>
        </w:rPr>
        <w:fldChar w:fldCharType="separate"/>
      </w:r>
      <w:r>
        <w:rPr>
          <w:rFonts w:hint="eastAsia" w:ascii="宋体" w:hAnsi="宋体" w:cs="宋体"/>
          <w:color w:val="auto"/>
        </w:rPr>
        <w:t>响应文件的组成</w:t>
      </w:r>
      <w:r>
        <w:rPr>
          <w:rFonts w:hint="eastAsia" w:ascii="宋体" w:hAnsi="宋体" w:cs="宋体"/>
          <w:color w:val="auto"/>
        </w:rPr>
        <w:fldChar w:fldCharType="end"/>
      </w:r>
    </w:p>
    <w:p w14:paraId="2674E56D">
      <w:pPr>
        <w:spacing w:line="320" w:lineRule="atLeast"/>
        <w:ind w:left="397"/>
        <w:rPr>
          <w:rFonts w:ascii="宋体" w:hAnsi="宋体" w:cs="宋体"/>
          <w:color w:val="auto"/>
        </w:rPr>
      </w:pPr>
      <w:r>
        <w:rPr>
          <w:rFonts w:hint="eastAsia" w:ascii="宋体" w:hAnsi="宋体" w:cs="宋体"/>
          <w:color w:val="auto"/>
        </w:rPr>
        <w:t xml:space="preserve">10 </w:t>
      </w:r>
      <w:r>
        <w:rPr>
          <w:color w:val="auto"/>
        </w:rPr>
        <w:fldChar w:fldCharType="begin"/>
      </w:r>
      <w:r>
        <w:rPr>
          <w:color w:val="auto"/>
        </w:rPr>
        <w:instrText xml:space="preserve"> HYPERLINK \l "_Hlk35575734" \s "1,3721,3726,0,,投标书格式" </w:instrText>
      </w:r>
      <w:r>
        <w:rPr>
          <w:color w:val="auto"/>
        </w:rPr>
        <w:fldChar w:fldCharType="separate"/>
      </w:r>
      <w:r>
        <w:rPr>
          <w:rFonts w:hint="eastAsia" w:ascii="宋体" w:hAnsi="宋体" w:cs="宋体"/>
          <w:color w:val="auto"/>
        </w:rPr>
        <w:t>响应文件格式</w:t>
      </w:r>
      <w:r>
        <w:rPr>
          <w:rFonts w:hint="eastAsia" w:ascii="宋体" w:hAnsi="宋体" w:cs="宋体"/>
          <w:color w:val="auto"/>
        </w:rPr>
        <w:fldChar w:fldCharType="end"/>
      </w:r>
    </w:p>
    <w:p w14:paraId="56BFD2B6">
      <w:pPr>
        <w:spacing w:line="320" w:lineRule="atLeast"/>
        <w:ind w:left="397"/>
        <w:rPr>
          <w:rFonts w:hint="default" w:ascii="宋体" w:hAnsi="宋体" w:eastAsia="宋体" w:cs="宋体"/>
          <w:color w:val="auto"/>
          <w:lang w:val="en-US" w:eastAsia="zh-CN"/>
        </w:rPr>
      </w:pPr>
      <w:r>
        <w:rPr>
          <w:rFonts w:hint="eastAsia" w:ascii="宋体" w:hAnsi="宋体" w:cs="宋体"/>
          <w:color w:val="auto"/>
        </w:rPr>
        <w:t xml:space="preserve">11 </w:t>
      </w:r>
      <w:r>
        <w:rPr>
          <w:color w:val="auto"/>
        </w:rPr>
        <w:fldChar w:fldCharType="begin"/>
      </w:r>
      <w:r>
        <w:rPr>
          <w:color w:val="auto"/>
        </w:rPr>
        <w:instrText xml:space="preserve"> HYPERLINK \l "_Hlk35576117" \s "1,3911,3915,0,,投标报价" </w:instrText>
      </w:r>
      <w:r>
        <w:rPr>
          <w:color w:val="auto"/>
        </w:rPr>
        <w:fldChar w:fldCharType="separate"/>
      </w:r>
      <w:r>
        <w:rPr>
          <w:rFonts w:hint="eastAsia" w:ascii="宋体" w:hAnsi="宋体" w:cs="宋体"/>
          <w:color w:val="auto"/>
        </w:rPr>
        <w:t>报价</w:t>
      </w:r>
      <w:r>
        <w:rPr>
          <w:rFonts w:hint="eastAsia" w:ascii="宋体" w:hAnsi="宋体" w:cs="宋体"/>
          <w:color w:val="auto"/>
        </w:rPr>
        <w:fldChar w:fldCharType="end"/>
      </w:r>
      <w:r>
        <w:rPr>
          <w:rFonts w:hint="eastAsia" w:ascii="宋体" w:hAnsi="宋体" w:cs="宋体"/>
          <w:color w:val="auto"/>
          <w:lang w:val="en-US" w:eastAsia="zh-CN"/>
        </w:rPr>
        <w:t>(折扣系数)</w:t>
      </w:r>
    </w:p>
    <w:p w14:paraId="2BF24E10">
      <w:pPr>
        <w:spacing w:line="320" w:lineRule="atLeast"/>
        <w:ind w:left="397"/>
        <w:rPr>
          <w:rFonts w:ascii="宋体" w:hAnsi="宋体" w:cs="宋体"/>
          <w:color w:val="auto"/>
        </w:rPr>
      </w:pPr>
      <w:r>
        <w:rPr>
          <w:rFonts w:hint="eastAsia" w:ascii="宋体" w:hAnsi="宋体" w:cs="宋体"/>
          <w:color w:val="auto"/>
        </w:rPr>
        <w:t xml:space="preserve">12 </w:t>
      </w:r>
      <w:r>
        <w:rPr>
          <w:rFonts w:hint="eastAsia" w:ascii="宋体" w:hAnsi="宋体" w:cs="宋体"/>
          <w:color w:val="auto"/>
          <w:lang w:val="en-US" w:eastAsia="zh-CN"/>
        </w:rPr>
        <w:t>折扣系数</w:t>
      </w:r>
    </w:p>
    <w:p w14:paraId="2896D3B4">
      <w:pPr>
        <w:spacing w:line="320" w:lineRule="atLeast"/>
        <w:ind w:left="397"/>
        <w:rPr>
          <w:rFonts w:ascii="宋体" w:hAnsi="宋体" w:cs="宋体"/>
          <w:color w:val="auto"/>
        </w:rPr>
      </w:pPr>
      <w:r>
        <w:rPr>
          <w:rFonts w:hint="eastAsia" w:ascii="宋体" w:hAnsi="宋体" w:cs="宋体"/>
          <w:color w:val="auto"/>
        </w:rPr>
        <w:t xml:space="preserve">13 </w:t>
      </w:r>
      <w:r>
        <w:rPr>
          <w:color w:val="auto"/>
        </w:rPr>
        <w:fldChar w:fldCharType="begin"/>
      </w:r>
      <w:r>
        <w:rPr>
          <w:color w:val="auto"/>
        </w:rPr>
        <w:instrText xml:space="preserve"> HYPERLINK \l "_Hlk35576200" \s "1,4410,4425,0,,投标人的合格性和资格的声明文件" </w:instrText>
      </w:r>
      <w:r>
        <w:rPr>
          <w:color w:val="auto"/>
        </w:rPr>
        <w:fldChar w:fldCharType="separate"/>
      </w:r>
      <w:r>
        <w:rPr>
          <w:rFonts w:hint="eastAsia" w:ascii="宋体" w:hAnsi="宋体" w:cs="宋体"/>
          <w:color w:val="auto"/>
        </w:rPr>
        <w:t>供应商的合格性和资格证明文件</w:t>
      </w:r>
      <w:r>
        <w:rPr>
          <w:rFonts w:hint="eastAsia" w:ascii="宋体" w:hAnsi="宋体" w:cs="宋体"/>
          <w:color w:val="auto"/>
        </w:rPr>
        <w:fldChar w:fldCharType="end"/>
      </w:r>
    </w:p>
    <w:p w14:paraId="6022321B">
      <w:pPr>
        <w:spacing w:line="320" w:lineRule="atLeast"/>
        <w:ind w:left="397"/>
        <w:rPr>
          <w:rFonts w:ascii="宋体" w:hAnsi="宋体" w:cs="宋体"/>
          <w:color w:val="auto"/>
        </w:rPr>
      </w:pPr>
      <w:r>
        <w:rPr>
          <w:rFonts w:hint="eastAsia" w:ascii="宋体" w:hAnsi="宋体" w:cs="宋体"/>
          <w:color w:val="auto"/>
        </w:rPr>
        <w:t xml:space="preserve">14 </w:t>
      </w:r>
      <w:r>
        <w:rPr>
          <w:color w:val="auto"/>
        </w:rPr>
        <w:fldChar w:fldCharType="begin"/>
      </w:r>
      <w:r>
        <w:rPr>
          <w:color w:val="auto"/>
        </w:rPr>
        <w:instrText xml:space="preserve"> HYPERLINK \l "_Hlk35576351" \s "1,4692,4712,0,,货物的合格性并符合招标文件规定的声明文件" </w:instrText>
      </w:r>
      <w:r>
        <w:rPr>
          <w:color w:val="auto"/>
        </w:rPr>
        <w:fldChar w:fldCharType="separate"/>
      </w:r>
      <w:r>
        <w:rPr>
          <w:rFonts w:hint="eastAsia" w:ascii="宋体" w:hAnsi="宋体" w:cs="宋体"/>
          <w:color w:val="auto"/>
        </w:rPr>
        <w:t>货物的合格性并符合磋商文件规定的证明文件</w:t>
      </w:r>
      <w:r>
        <w:rPr>
          <w:rFonts w:hint="eastAsia" w:ascii="宋体" w:hAnsi="宋体" w:cs="宋体"/>
          <w:color w:val="auto"/>
        </w:rPr>
        <w:fldChar w:fldCharType="end"/>
      </w:r>
    </w:p>
    <w:p w14:paraId="061FE356">
      <w:pPr>
        <w:spacing w:line="320" w:lineRule="atLeast"/>
        <w:ind w:left="397"/>
        <w:rPr>
          <w:rFonts w:ascii="宋体" w:hAnsi="宋体" w:cs="宋体"/>
          <w:color w:val="auto"/>
        </w:rPr>
      </w:pPr>
      <w:r>
        <w:rPr>
          <w:rFonts w:hint="eastAsia" w:ascii="宋体" w:hAnsi="宋体" w:cs="宋体"/>
          <w:color w:val="auto"/>
        </w:rPr>
        <w:t xml:space="preserve">15 </w:t>
      </w:r>
      <w:r>
        <w:rPr>
          <w:color w:val="auto"/>
        </w:rPr>
        <w:fldChar w:fldCharType="begin"/>
      </w:r>
      <w:r>
        <w:rPr>
          <w:color w:val="auto"/>
        </w:rPr>
        <w:instrText xml:space="preserve"> HYPERLINK \l "_Hlk35576541" \s "1,5183,5188,0,,投标保证金" </w:instrText>
      </w:r>
      <w:r>
        <w:rPr>
          <w:color w:val="auto"/>
        </w:rPr>
        <w:fldChar w:fldCharType="separate"/>
      </w:r>
      <w:r>
        <w:rPr>
          <w:rFonts w:hint="eastAsia" w:ascii="宋体" w:hAnsi="宋体" w:cs="宋体"/>
          <w:color w:val="auto"/>
        </w:rPr>
        <w:t>磋商保证金</w:t>
      </w:r>
      <w:r>
        <w:rPr>
          <w:rFonts w:hint="eastAsia" w:ascii="宋体" w:hAnsi="宋体" w:cs="宋体"/>
          <w:color w:val="auto"/>
        </w:rPr>
        <w:fldChar w:fldCharType="end"/>
      </w:r>
    </w:p>
    <w:p w14:paraId="41E19AF9">
      <w:pPr>
        <w:spacing w:line="320" w:lineRule="atLeast"/>
        <w:ind w:left="397"/>
        <w:rPr>
          <w:rFonts w:ascii="宋体" w:hAnsi="宋体" w:cs="宋体"/>
          <w:color w:val="auto"/>
        </w:rPr>
      </w:pPr>
      <w:r>
        <w:rPr>
          <w:rFonts w:hint="eastAsia" w:ascii="宋体" w:hAnsi="宋体" w:cs="宋体"/>
          <w:color w:val="auto"/>
        </w:rPr>
        <w:t xml:space="preserve">16 </w:t>
      </w:r>
      <w:r>
        <w:rPr>
          <w:color w:val="auto"/>
        </w:rPr>
        <w:fldChar w:fldCharType="begin"/>
      </w:r>
      <w:r>
        <w:rPr>
          <w:color w:val="auto"/>
        </w:rPr>
        <w:instrText xml:space="preserve"> HYPERLINK \l "_Hlk35576793" \s "1,5712,5717,0,,投标有效期" </w:instrText>
      </w:r>
      <w:r>
        <w:rPr>
          <w:color w:val="auto"/>
        </w:rPr>
        <w:fldChar w:fldCharType="separate"/>
      </w:r>
      <w:r>
        <w:rPr>
          <w:rFonts w:hint="eastAsia" w:ascii="宋体" w:hAnsi="宋体" w:cs="宋体"/>
          <w:color w:val="auto"/>
        </w:rPr>
        <w:t>响应文件有效期</w:t>
      </w:r>
      <w:r>
        <w:rPr>
          <w:rFonts w:hint="eastAsia" w:ascii="宋体" w:hAnsi="宋体" w:cs="宋体"/>
          <w:color w:val="auto"/>
        </w:rPr>
        <w:fldChar w:fldCharType="end"/>
      </w:r>
    </w:p>
    <w:p w14:paraId="6B184415">
      <w:pPr>
        <w:spacing w:line="320" w:lineRule="atLeast"/>
        <w:ind w:left="397"/>
        <w:rPr>
          <w:rFonts w:ascii="宋体" w:hAnsi="宋体" w:cs="宋体"/>
          <w:color w:val="auto"/>
        </w:rPr>
      </w:pPr>
      <w:r>
        <w:rPr>
          <w:rFonts w:hint="eastAsia" w:ascii="宋体" w:hAnsi="宋体" w:cs="宋体"/>
          <w:color w:val="auto"/>
        </w:rPr>
        <w:t xml:space="preserve">17 </w:t>
      </w:r>
      <w:r>
        <w:rPr>
          <w:color w:val="auto"/>
        </w:rPr>
        <w:fldChar w:fldCharType="begin"/>
      </w:r>
      <w:r>
        <w:rPr>
          <w:color w:val="auto"/>
        </w:rPr>
        <w:instrText xml:space="preserve"> HYPERLINK \l "_Hlk35576843" \s "1,5965,5975,0,,投标文件的式样和签署" </w:instrText>
      </w:r>
      <w:r>
        <w:rPr>
          <w:color w:val="auto"/>
        </w:rPr>
        <w:fldChar w:fldCharType="separate"/>
      </w:r>
      <w:r>
        <w:rPr>
          <w:rFonts w:hint="eastAsia" w:ascii="宋体" w:hAnsi="宋体" w:cs="宋体"/>
          <w:color w:val="auto"/>
        </w:rPr>
        <w:t>响应文件的式样和签署</w:t>
      </w:r>
      <w:r>
        <w:rPr>
          <w:rFonts w:hint="eastAsia" w:ascii="宋体" w:hAnsi="宋体" w:cs="宋体"/>
          <w:color w:val="auto"/>
        </w:rPr>
        <w:fldChar w:fldCharType="end"/>
      </w:r>
    </w:p>
    <w:p w14:paraId="157A6E9F">
      <w:pPr>
        <w:spacing w:line="320" w:lineRule="atLeast"/>
        <w:rPr>
          <w:rFonts w:ascii="宋体" w:hAnsi="宋体" w:cs="宋体"/>
          <w:b/>
          <w:bCs/>
          <w:color w:val="auto"/>
        </w:rPr>
      </w:pPr>
      <w:r>
        <w:rPr>
          <w:rFonts w:hint="eastAsia" w:ascii="宋体" w:hAnsi="宋体" w:cs="宋体"/>
          <w:color w:val="auto"/>
        </w:rPr>
        <w:t>D</w:t>
      </w:r>
      <w:r>
        <w:rPr>
          <w:rFonts w:hint="eastAsia" w:ascii="宋体" w:hAnsi="宋体" w:cs="宋体"/>
          <w:b/>
          <w:bCs/>
          <w:color w:val="auto"/>
        </w:rPr>
        <w:t>响应文件的递交</w:t>
      </w:r>
    </w:p>
    <w:p w14:paraId="51474008">
      <w:pPr>
        <w:spacing w:line="320" w:lineRule="atLeast"/>
        <w:ind w:left="397"/>
        <w:rPr>
          <w:rFonts w:ascii="宋体" w:hAnsi="宋体" w:cs="宋体"/>
          <w:color w:val="auto"/>
        </w:rPr>
      </w:pPr>
      <w:r>
        <w:rPr>
          <w:rFonts w:hint="eastAsia" w:ascii="宋体" w:hAnsi="宋体" w:cs="宋体"/>
          <w:color w:val="auto"/>
        </w:rPr>
        <w:t xml:space="preserve">18 </w:t>
      </w:r>
      <w:r>
        <w:rPr>
          <w:color w:val="auto"/>
        </w:rPr>
        <w:fldChar w:fldCharType="begin"/>
      </w:r>
      <w:r>
        <w:rPr>
          <w:color w:val="auto"/>
        </w:rPr>
        <w:instrText xml:space="preserve"> HYPERLINK \l "_Hlk35576100" \s "1,5937,5947,0,,投标文件的密封和标记" </w:instrText>
      </w:r>
      <w:r>
        <w:rPr>
          <w:color w:val="auto"/>
        </w:rPr>
        <w:fldChar w:fldCharType="separate"/>
      </w:r>
      <w:r>
        <w:rPr>
          <w:rFonts w:hint="eastAsia" w:ascii="宋体" w:hAnsi="宋体" w:cs="宋体"/>
          <w:color w:val="auto"/>
        </w:rPr>
        <w:t>响应文件的密封和标记</w:t>
      </w:r>
      <w:r>
        <w:rPr>
          <w:rFonts w:hint="eastAsia" w:ascii="宋体" w:hAnsi="宋体" w:cs="宋体"/>
          <w:color w:val="auto"/>
        </w:rPr>
        <w:fldChar w:fldCharType="end"/>
      </w:r>
    </w:p>
    <w:p w14:paraId="2C354063">
      <w:pPr>
        <w:spacing w:line="320" w:lineRule="atLeast"/>
        <w:ind w:left="397"/>
        <w:rPr>
          <w:rFonts w:ascii="宋体" w:hAnsi="宋体" w:cs="宋体"/>
          <w:color w:val="auto"/>
        </w:rPr>
      </w:pPr>
      <w:r>
        <w:rPr>
          <w:rFonts w:hint="eastAsia" w:ascii="宋体" w:hAnsi="宋体" w:cs="宋体"/>
          <w:color w:val="auto"/>
        </w:rPr>
        <w:t xml:space="preserve">19 </w:t>
      </w:r>
      <w:r>
        <w:rPr>
          <w:color w:val="auto"/>
        </w:rPr>
        <w:fldChar w:fldCharType="begin"/>
      </w:r>
      <w:r>
        <w:rPr>
          <w:color w:val="auto"/>
        </w:rPr>
        <w:instrText xml:space="preserve"> HYPERLINK \l "_Hlk35577008" \s "1,6585,6596,0,,递交投标文件的截止日期" </w:instrText>
      </w:r>
      <w:r>
        <w:rPr>
          <w:color w:val="auto"/>
        </w:rPr>
        <w:fldChar w:fldCharType="separate"/>
      </w:r>
      <w:r>
        <w:rPr>
          <w:rFonts w:hint="eastAsia" w:ascii="宋体" w:hAnsi="宋体" w:cs="宋体"/>
          <w:color w:val="auto"/>
        </w:rPr>
        <w:t>递交响应文件的截止日期</w:t>
      </w:r>
      <w:r>
        <w:rPr>
          <w:rFonts w:hint="eastAsia" w:ascii="宋体" w:hAnsi="宋体" w:cs="宋体"/>
          <w:color w:val="auto"/>
        </w:rPr>
        <w:fldChar w:fldCharType="end"/>
      </w:r>
    </w:p>
    <w:p w14:paraId="69937392">
      <w:pPr>
        <w:spacing w:line="320" w:lineRule="atLeast"/>
        <w:ind w:left="397"/>
        <w:rPr>
          <w:rFonts w:ascii="宋体" w:hAnsi="宋体" w:cs="宋体"/>
          <w:color w:val="auto"/>
        </w:rPr>
      </w:pPr>
      <w:r>
        <w:rPr>
          <w:rFonts w:hint="eastAsia" w:ascii="宋体" w:hAnsi="宋体" w:cs="宋体"/>
          <w:color w:val="auto"/>
        </w:rPr>
        <w:t xml:space="preserve">20 </w:t>
      </w:r>
      <w:r>
        <w:rPr>
          <w:color w:val="auto"/>
        </w:rPr>
        <w:fldChar w:fldCharType="begin"/>
      </w:r>
      <w:r>
        <w:rPr>
          <w:color w:val="auto"/>
        </w:rPr>
        <w:instrText xml:space="preserve"> HYPERLINK \l "_Hlk35577343" \s "1,6774,6781,0,,迟交的投标文件" </w:instrText>
      </w:r>
      <w:r>
        <w:rPr>
          <w:color w:val="auto"/>
        </w:rPr>
        <w:fldChar w:fldCharType="separate"/>
      </w:r>
      <w:r>
        <w:rPr>
          <w:rFonts w:hint="eastAsia" w:ascii="宋体" w:hAnsi="宋体" w:cs="宋体"/>
          <w:color w:val="auto"/>
        </w:rPr>
        <w:t>迟交的响应文件</w:t>
      </w:r>
      <w:r>
        <w:rPr>
          <w:rFonts w:hint="eastAsia" w:ascii="宋体" w:hAnsi="宋体" w:cs="宋体"/>
          <w:color w:val="auto"/>
        </w:rPr>
        <w:fldChar w:fldCharType="end"/>
      </w:r>
    </w:p>
    <w:p w14:paraId="4FE2728D">
      <w:pPr>
        <w:spacing w:line="320" w:lineRule="atLeast"/>
        <w:ind w:left="397"/>
        <w:rPr>
          <w:rFonts w:ascii="宋体" w:hAnsi="宋体" w:cs="宋体"/>
          <w:color w:val="auto"/>
        </w:rPr>
      </w:pPr>
      <w:r>
        <w:rPr>
          <w:rFonts w:hint="eastAsia" w:ascii="宋体" w:hAnsi="宋体" w:cs="宋体"/>
          <w:color w:val="auto"/>
        </w:rPr>
        <w:t xml:space="preserve">21 </w:t>
      </w:r>
      <w:r>
        <w:rPr>
          <w:color w:val="auto"/>
        </w:rPr>
        <w:fldChar w:fldCharType="begin"/>
      </w:r>
      <w:r>
        <w:rPr>
          <w:color w:val="auto"/>
        </w:rPr>
        <w:instrText xml:space="preserve"> HYPERLINK \l "_Hlk35577380" \s "1,6885,6895,0,,投标文件的修改和撤回" </w:instrText>
      </w:r>
      <w:r>
        <w:rPr>
          <w:color w:val="auto"/>
        </w:rPr>
        <w:fldChar w:fldCharType="separate"/>
      </w:r>
      <w:r>
        <w:rPr>
          <w:rFonts w:hint="eastAsia" w:ascii="宋体" w:hAnsi="宋体" w:cs="宋体"/>
          <w:color w:val="auto"/>
        </w:rPr>
        <w:t>响应文件的修改和撤回</w:t>
      </w:r>
      <w:r>
        <w:rPr>
          <w:rFonts w:hint="eastAsia" w:ascii="宋体" w:hAnsi="宋体" w:cs="宋体"/>
          <w:color w:val="auto"/>
        </w:rPr>
        <w:fldChar w:fldCharType="end"/>
      </w:r>
    </w:p>
    <w:p w14:paraId="519A3C98">
      <w:pPr>
        <w:spacing w:line="320" w:lineRule="atLeast"/>
        <w:rPr>
          <w:rFonts w:ascii="宋体" w:hAnsi="宋体" w:cs="宋体"/>
          <w:b/>
          <w:bCs/>
          <w:color w:val="auto"/>
        </w:rPr>
      </w:pPr>
      <w:r>
        <w:rPr>
          <w:rFonts w:hint="eastAsia" w:ascii="宋体" w:hAnsi="宋体" w:cs="宋体"/>
          <w:color w:val="auto"/>
        </w:rPr>
        <w:t>E</w:t>
      </w:r>
      <w:r>
        <w:rPr>
          <w:rFonts w:hint="eastAsia" w:ascii="宋体" w:hAnsi="宋体" w:cs="宋体"/>
          <w:b/>
          <w:bCs/>
          <w:color w:val="auto"/>
        </w:rPr>
        <w:t>响应文件开启与竞争性磋商</w:t>
      </w:r>
    </w:p>
    <w:p w14:paraId="25D43674">
      <w:pPr>
        <w:spacing w:line="320" w:lineRule="atLeast"/>
        <w:ind w:left="397"/>
        <w:rPr>
          <w:rFonts w:ascii="宋体" w:hAnsi="宋体" w:cs="宋体"/>
          <w:color w:val="auto"/>
        </w:rPr>
      </w:pPr>
      <w:r>
        <w:rPr>
          <w:rFonts w:hint="eastAsia" w:ascii="宋体" w:hAnsi="宋体" w:cs="宋体"/>
          <w:color w:val="auto"/>
        </w:rPr>
        <w:t xml:space="preserve">22 </w:t>
      </w:r>
      <w:r>
        <w:rPr>
          <w:color w:val="auto"/>
        </w:rPr>
        <w:fldChar w:fldCharType="begin"/>
      </w:r>
      <w:r>
        <w:rPr>
          <w:color w:val="auto"/>
        </w:rPr>
        <w:instrText xml:space="preserve"> HYPERLINK \l "_Hlk35577538" \s "1,7205,7207,0,,开标" </w:instrText>
      </w:r>
      <w:r>
        <w:rPr>
          <w:color w:val="auto"/>
        </w:rPr>
        <w:fldChar w:fldCharType="separate"/>
      </w:r>
      <w:r>
        <w:rPr>
          <w:rFonts w:hint="eastAsia" w:ascii="宋体" w:hAnsi="宋体" w:cs="宋体"/>
          <w:color w:val="auto"/>
        </w:rPr>
        <w:t>响应文件开启</w:t>
      </w:r>
      <w:r>
        <w:rPr>
          <w:rFonts w:hint="eastAsia" w:ascii="宋体" w:hAnsi="宋体" w:cs="宋体"/>
          <w:color w:val="auto"/>
        </w:rPr>
        <w:fldChar w:fldCharType="end"/>
      </w:r>
    </w:p>
    <w:p w14:paraId="334DEB0D">
      <w:pPr>
        <w:spacing w:line="320" w:lineRule="atLeast"/>
        <w:ind w:left="397"/>
        <w:rPr>
          <w:rFonts w:ascii="宋体" w:hAnsi="宋体" w:cs="宋体"/>
          <w:color w:val="auto"/>
        </w:rPr>
      </w:pPr>
      <w:r>
        <w:rPr>
          <w:rFonts w:hint="eastAsia" w:ascii="宋体" w:hAnsi="宋体" w:cs="宋体"/>
          <w:color w:val="auto"/>
        </w:rPr>
        <w:t xml:space="preserve">23 </w:t>
      </w:r>
      <w:r>
        <w:rPr>
          <w:color w:val="auto"/>
        </w:rPr>
        <w:fldChar w:fldCharType="begin"/>
      </w:r>
      <w:r>
        <w:rPr>
          <w:color w:val="auto"/>
        </w:rPr>
        <w:instrText xml:space="preserve"> HYPERLINK \l "_Hlk35577638" \s "1,7477,7485,0,,评标过程的保密性" </w:instrText>
      </w:r>
      <w:r>
        <w:rPr>
          <w:color w:val="auto"/>
        </w:rPr>
        <w:fldChar w:fldCharType="separate"/>
      </w:r>
      <w:r>
        <w:rPr>
          <w:rFonts w:hint="eastAsia" w:ascii="宋体" w:hAnsi="宋体" w:cs="宋体"/>
          <w:color w:val="auto"/>
        </w:rPr>
        <w:t>评审和磋商过程的保密</w:t>
      </w:r>
      <w:bookmarkStart w:id="51" w:name="_Hlt75758401"/>
      <w:bookmarkStart w:id="52" w:name="_Hlt75758402"/>
      <w:r>
        <w:rPr>
          <w:rFonts w:hint="eastAsia" w:ascii="宋体" w:hAnsi="宋体" w:cs="宋体"/>
          <w:color w:val="auto"/>
        </w:rPr>
        <w:t>性</w:t>
      </w:r>
      <w:bookmarkEnd w:id="51"/>
      <w:bookmarkEnd w:id="52"/>
      <w:r>
        <w:rPr>
          <w:rFonts w:hint="eastAsia" w:ascii="宋体" w:hAnsi="宋体" w:cs="宋体"/>
          <w:color w:val="auto"/>
        </w:rPr>
        <w:fldChar w:fldCharType="end"/>
      </w:r>
    </w:p>
    <w:p w14:paraId="19BC779A">
      <w:pPr>
        <w:spacing w:line="320" w:lineRule="atLeast"/>
        <w:ind w:left="397"/>
        <w:rPr>
          <w:rFonts w:ascii="宋体" w:hAnsi="宋体" w:cs="宋体"/>
          <w:color w:val="auto"/>
        </w:rPr>
      </w:pPr>
      <w:r>
        <w:rPr>
          <w:rFonts w:hint="eastAsia" w:ascii="宋体" w:hAnsi="宋体" w:cs="宋体"/>
          <w:color w:val="auto"/>
        </w:rPr>
        <w:t xml:space="preserve">24 </w:t>
      </w:r>
      <w:r>
        <w:rPr>
          <w:color w:val="auto"/>
        </w:rPr>
        <w:fldChar w:fldCharType="begin"/>
      </w:r>
      <w:r>
        <w:rPr>
          <w:color w:val="auto"/>
        </w:rPr>
        <w:instrText xml:space="preserve"> HYPERLINK \l "_Hlk35577653" \s "1,7679,7686,0,,投标文件的澄清" </w:instrText>
      </w:r>
      <w:r>
        <w:rPr>
          <w:color w:val="auto"/>
        </w:rPr>
        <w:fldChar w:fldCharType="separate"/>
      </w:r>
      <w:r>
        <w:rPr>
          <w:rFonts w:hint="eastAsia" w:ascii="宋体" w:hAnsi="宋体" w:cs="宋体"/>
          <w:color w:val="auto"/>
        </w:rPr>
        <w:t>响应文件的澄清</w:t>
      </w:r>
      <w:r>
        <w:rPr>
          <w:rFonts w:hint="eastAsia" w:ascii="宋体" w:hAnsi="宋体" w:cs="宋体"/>
          <w:color w:val="auto"/>
        </w:rPr>
        <w:fldChar w:fldCharType="end"/>
      </w:r>
      <w:bookmarkStart w:id="53" w:name="_Hlt35577656"/>
      <w:bookmarkEnd w:id="53"/>
    </w:p>
    <w:p w14:paraId="33EBE798">
      <w:pPr>
        <w:spacing w:line="320" w:lineRule="atLeast"/>
        <w:ind w:left="397"/>
        <w:rPr>
          <w:rFonts w:ascii="宋体" w:hAnsi="宋体" w:cs="宋体"/>
          <w:color w:val="auto"/>
        </w:rPr>
      </w:pPr>
      <w:r>
        <w:rPr>
          <w:rFonts w:hint="eastAsia" w:ascii="宋体" w:hAnsi="宋体" w:cs="宋体"/>
          <w:color w:val="auto"/>
        </w:rPr>
        <w:t xml:space="preserve">25 </w:t>
      </w:r>
      <w:r>
        <w:rPr>
          <w:color w:val="auto"/>
        </w:rPr>
        <w:fldChar w:fldCharType="begin"/>
      </w:r>
      <w:r>
        <w:rPr>
          <w:color w:val="auto"/>
        </w:rPr>
        <w:instrText xml:space="preserve"> HYPERLINK \l "_Hlk35577709" \s "1,7832,7839,0,,投标文件的初审" </w:instrText>
      </w:r>
      <w:r>
        <w:rPr>
          <w:color w:val="auto"/>
        </w:rPr>
        <w:fldChar w:fldCharType="separate"/>
      </w:r>
      <w:r>
        <w:rPr>
          <w:rFonts w:hint="eastAsia" w:ascii="宋体" w:hAnsi="宋体" w:cs="宋体"/>
          <w:color w:val="auto"/>
        </w:rPr>
        <w:t>响应文件的初审</w:t>
      </w:r>
      <w:r>
        <w:rPr>
          <w:rFonts w:hint="eastAsia" w:ascii="宋体" w:hAnsi="宋体" w:cs="宋体"/>
          <w:color w:val="auto"/>
        </w:rPr>
        <w:fldChar w:fldCharType="end"/>
      </w:r>
    </w:p>
    <w:p w14:paraId="68C9AED9">
      <w:pPr>
        <w:spacing w:line="320" w:lineRule="atLeast"/>
        <w:ind w:left="397"/>
        <w:rPr>
          <w:rFonts w:ascii="宋体" w:hAnsi="宋体" w:cs="宋体"/>
          <w:color w:val="auto"/>
        </w:rPr>
      </w:pPr>
      <w:r>
        <w:rPr>
          <w:rFonts w:hint="eastAsia" w:ascii="宋体" w:hAnsi="宋体" w:cs="宋体"/>
          <w:color w:val="auto"/>
        </w:rPr>
        <w:t>26 竞争性磋商</w:t>
      </w:r>
    </w:p>
    <w:p w14:paraId="5ADD1D56">
      <w:pPr>
        <w:spacing w:line="320" w:lineRule="atLeast"/>
        <w:ind w:left="397"/>
        <w:rPr>
          <w:rFonts w:ascii="宋体" w:hAnsi="宋体" w:cs="宋体"/>
          <w:color w:val="auto"/>
        </w:rPr>
      </w:pPr>
      <w:r>
        <w:rPr>
          <w:rFonts w:hint="eastAsia" w:ascii="宋体" w:hAnsi="宋体" w:cs="宋体"/>
          <w:color w:val="auto"/>
        </w:rPr>
        <w:t>27 评审的原则和标准</w:t>
      </w:r>
    </w:p>
    <w:p w14:paraId="6882ABFD">
      <w:pPr>
        <w:spacing w:line="320" w:lineRule="atLeast"/>
        <w:rPr>
          <w:rFonts w:ascii="宋体" w:hAnsi="宋体" w:cs="宋体"/>
          <w:b/>
          <w:bCs/>
          <w:color w:val="auto"/>
        </w:rPr>
      </w:pPr>
      <w:r>
        <w:rPr>
          <w:rFonts w:hint="eastAsia" w:ascii="宋体" w:hAnsi="宋体" w:cs="宋体"/>
          <w:color w:val="auto"/>
        </w:rPr>
        <w:t>F</w:t>
      </w:r>
      <w:r>
        <w:rPr>
          <w:rFonts w:hint="eastAsia" w:ascii="宋体" w:hAnsi="宋体" w:cs="宋体"/>
          <w:b/>
          <w:bCs/>
          <w:color w:val="auto"/>
        </w:rPr>
        <w:t>授予合同</w:t>
      </w:r>
    </w:p>
    <w:p w14:paraId="797C6344">
      <w:pPr>
        <w:spacing w:line="320" w:lineRule="atLeast"/>
        <w:ind w:left="397"/>
        <w:rPr>
          <w:rFonts w:ascii="宋体" w:hAnsi="宋体" w:cs="宋体"/>
          <w:color w:val="auto"/>
        </w:rPr>
      </w:pPr>
      <w:r>
        <w:rPr>
          <w:rFonts w:hint="eastAsia" w:ascii="宋体" w:hAnsi="宋体" w:cs="宋体"/>
          <w:color w:val="auto"/>
        </w:rPr>
        <w:t xml:space="preserve">28 </w:t>
      </w:r>
      <w:r>
        <w:rPr>
          <w:color w:val="auto"/>
        </w:rPr>
        <w:fldChar w:fldCharType="begin"/>
      </w:r>
      <w:r>
        <w:rPr>
          <w:color w:val="auto"/>
        </w:rPr>
        <w:instrText xml:space="preserve"> HYPERLINK \l "_Hlk35578044" \s "1,8747,8754,0,,授予合同的准则" </w:instrText>
      </w:r>
      <w:r>
        <w:rPr>
          <w:color w:val="auto"/>
        </w:rPr>
        <w:fldChar w:fldCharType="separate"/>
      </w:r>
      <w:r>
        <w:rPr>
          <w:rFonts w:hint="eastAsia" w:ascii="宋体" w:hAnsi="宋体" w:cs="宋体"/>
          <w:color w:val="auto"/>
        </w:rPr>
        <w:t>授予合同的准则</w:t>
      </w:r>
      <w:r>
        <w:rPr>
          <w:rFonts w:hint="eastAsia" w:ascii="宋体" w:hAnsi="宋体" w:cs="宋体"/>
          <w:color w:val="auto"/>
        </w:rPr>
        <w:fldChar w:fldCharType="end"/>
      </w:r>
    </w:p>
    <w:p w14:paraId="69BE4569">
      <w:pPr>
        <w:spacing w:line="320" w:lineRule="atLeast"/>
        <w:ind w:left="397"/>
        <w:rPr>
          <w:rFonts w:ascii="宋体" w:hAnsi="宋体" w:cs="宋体"/>
          <w:color w:val="auto"/>
        </w:rPr>
      </w:pPr>
      <w:r>
        <w:rPr>
          <w:rFonts w:hint="eastAsia" w:ascii="宋体" w:hAnsi="宋体" w:cs="宋体"/>
          <w:color w:val="auto"/>
        </w:rPr>
        <w:t xml:space="preserve">29 </w:t>
      </w:r>
      <w:r>
        <w:rPr>
          <w:color w:val="auto"/>
        </w:rPr>
        <w:fldChar w:fldCharType="begin"/>
      </w:r>
      <w:r>
        <w:rPr>
          <w:color w:val="auto"/>
        </w:rPr>
        <w:instrText xml:space="preserve"> HYPERLINK \l "_Hlk35578110" \s "1,8890,8894,0,,资格后审" </w:instrText>
      </w:r>
      <w:r>
        <w:rPr>
          <w:color w:val="auto"/>
        </w:rPr>
        <w:fldChar w:fldCharType="separate"/>
      </w:r>
      <w:r>
        <w:rPr>
          <w:rFonts w:hint="eastAsia" w:ascii="宋体" w:hAnsi="宋体" w:cs="宋体"/>
          <w:color w:val="auto"/>
        </w:rPr>
        <w:t>资格后审</w:t>
      </w:r>
      <w:r>
        <w:rPr>
          <w:rFonts w:hint="eastAsia" w:ascii="宋体" w:hAnsi="宋体" w:cs="宋体"/>
          <w:color w:val="auto"/>
        </w:rPr>
        <w:fldChar w:fldCharType="end"/>
      </w:r>
    </w:p>
    <w:p w14:paraId="241B6C13">
      <w:pPr>
        <w:spacing w:line="320" w:lineRule="atLeast"/>
        <w:ind w:left="397"/>
        <w:rPr>
          <w:rFonts w:ascii="宋体" w:hAnsi="宋体" w:cs="宋体"/>
          <w:color w:val="auto"/>
        </w:rPr>
      </w:pPr>
      <w:r>
        <w:rPr>
          <w:rFonts w:hint="eastAsia" w:ascii="宋体" w:hAnsi="宋体" w:cs="宋体"/>
          <w:color w:val="auto"/>
        </w:rPr>
        <w:t xml:space="preserve">30 </w:t>
      </w:r>
      <w:r>
        <w:rPr>
          <w:color w:val="auto"/>
        </w:rPr>
        <w:fldChar w:fldCharType="begin"/>
      </w:r>
      <w:r>
        <w:rPr>
          <w:color w:val="auto"/>
        </w:rPr>
        <w:instrText xml:space="preserve"> HYPERLINK \l "_Hlk35578184" \s "1,9151,9175,0,,招标代理和买方在授予合同时变更采购货物数量的权利" </w:instrText>
      </w:r>
      <w:r>
        <w:rPr>
          <w:color w:val="auto"/>
        </w:rPr>
        <w:fldChar w:fldCharType="separate"/>
      </w:r>
      <w:r>
        <w:rPr>
          <w:rFonts w:hint="eastAsia" w:ascii="宋体" w:hAnsi="宋体" w:cs="宋体"/>
          <w:color w:val="auto"/>
        </w:rPr>
        <w:t>采购人在授予合同时变更采购货物数量的权利</w:t>
      </w:r>
      <w:r>
        <w:rPr>
          <w:rFonts w:hint="eastAsia" w:ascii="宋体" w:hAnsi="宋体" w:cs="宋体"/>
          <w:color w:val="auto"/>
        </w:rPr>
        <w:fldChar w:fldCharType="end"/>
      </w:r>
    </w:p>
    <w:p w14:paraId="3438AA65">
      <w:pPr>
        <w:spacing w:line="320" w:lineRule="atLeast"/>
        <w:ind w:left="397"/>
        <w:rPr>
          <w:rFonts w:ascii="宋体" w:hAnsi="宋体" w:cs="宋体"/>
          <w:color w:val="auto"/>
        </w:rPr>
      </w:pPr>
      <w:r>
        <w:rPr>
          <w:rFonts w:hint="eastAsia" w:ascii="宋体" w:hAnsi="宋体" w:cs="宋体"/>
          <w:color w:val="auto"/>
        </w:rPr>
        <w:t xml:space="preserve">31 </w:t>
      </w:r>
      <w:r>
        <w:rPr>
          <w:color w:val="auto"/>
        </w:rPr>
        <w:fldChar w:fldCharType="begin"/>
      </w:r>
      <w:r>
        <w:rPr>
          <w:color w:val="auto"/>
        </w:rPr>
        <w:instrText xml:space="preserve"> HYPERLINK \l "_Hlk35578300" \s "1,9427,9431,0,,中标通知" </w:instrText>
      </w:r>
      <w:r>
        <w:rPr>
          <w:color w:val="auto"/>
        </w:rPr>
        <w:fldChar w:fldCharType="separate"/>
      </w:r>
      <w:r>
        <w:rPr>
          <w:rFonts w:hint="eastAsia" w:ascii="宋体" w:hAnsi="宋体" w:cs="宋体"/>
          <w:color w:val="auto"/>
        </w:rPr>
        <w:t>成交通知</w:t>
      </w:r>
      <w:r>
        <w:rPr>
          <w:rFonts w:hint="eastAsia" w:ascii="宋体" w:hAnsi="宋体" w:cs="宋体"/>
          <w:color w:val="auto"/>
        </w:rPr>
        <w:fldChar w:fldCharType="end"/>
      </w:r>
    </w:p>
    <w:p w14:paraId="07D895D9">
      <w:pPr>
        <w:spacing w:line="320" w:lineRule="atLeast"/>
        <w:ind w:left="397"/>
        <w:rPr>
          <w:rFonts w:ascii="宋体" w:hAnsi="宋体" w:cs="宋体"/>
          <w:color w:val="auto"/>
        </w:rPr>
      </w:pPr>
      <w:r>
        <w:rPr>
          <w:rFonts w:hint="eastAsia" w:ascii="宋体" w:hAnsi="宋体" w:cs="宋体"/>
          <w:color w:val="auto"/>
        </w:rPr>
        <w:t xml:space="preserve">32 </w:t>
      </w:r>
      <w:r>
        <w:rPr>
          <w:color w:val="auto"/>
        </w:rPr>
        <w:fldChar w:fldCharType="begin"/>
      </w:r>
      <w:r>
        <w:rPr>
          <w:color w:val="auto"/>
        </w:rPr>
        <w:instrText xml:space="preserve"> HYPERLINK \l "_Hlk35578457" \s "1,9684,9688,0,,签署合同" </w:instrText>
      </w:r>
      <w:r>
        <w:rPr>
          <w:color w:val="auto"/>
        </w:rPr>
        <w:fldChar w:fldCharType="separate"/>
      </w:r>
      <w:r>
        <w:rPr>
          <w:rFonts w:hint="eastAsia" w:ascii="宋体" w:hAnsi="宋体" w:cs="宋体"/>
          <w:color w:val="auto"/>
        </w:rPr>
        <w:t>签署合</w:t>
      </w:r>
      <w:bookmarkStart w:id="54" w:name="_Hlt35578460"/>
      <w:r>
        <w:rPr>
          <w:rFonts w:hint="eastAsia" w:ascii="宋体" w:hAnsi="宋体" w:cs="宋体"/>
          <w:color w:val="auto"/>
        </w:rPr>
        <w:t>同</w:t>
      </w:r>
      <w:bookmarkEnd w:id="54"/>
      <w:r>
        <w:rPr>
          <w:rFonts w:hint="eastAsia" w:ascii="宋体" w:hAnsi="宋体" w:cs="宋体"/>
          <w:color w:val="auto"/>
        </w:rPr>
        <w:fldChar w:fldCharType="end"/>
      </w:r>
    </w:p>
    <w:p w14:paraId="1D689EF1">
      <w:pPr>
        <w:spacing w:line="320" w:lineRule="atLeast"/>
        <w:ind w:left="397"/>
        <w:rPr>
          <w:rFonts w:ascii="宋体" w:hAnsi="宋体" w:cs="宋体"/>
          <w:color w:val="auto"/>
        </w:rPr>
      </w:pPr>
      <w:r>
        <w:rPr>
          <w:rFonts w:hint="eastAsia" w:ascii="宋体" w:hAnsi="宋体" w:cs="宋体"/>
          <w:color w:val="auto"/>
        </w:rPr>
        <w:t xml:space="preserve">33 </w:t>
      </w:r>
      <w:r>
        <w:rPr>
          <w:color w:val="auto"/>
        </w:rPr>
        <w:fldChar w:fldCharType="begin"/>
      </w:r>
      <w:r>
        <w:rPr>
          <w:color w:val="auto"/>
        </w:rPr>
        <w:instrText xml:space="preserve"> HYPERLINK \l "_Hlk35578470" \s "1,9848,9853,0,,履约保证金" </w:instrText>
      </w:r>
      <w:r>
        <w:rPr>
          <w:color w:val="auto"/>
        </w:rPr>
        <w:fldChar w:fldCharType="separate"/>
      </w:r>
      <w:r>
        <w:rPr>
          <w:rFonts w:hint="eastAsia" w:ascii="宋体" w:hAnsi="宋体" w:cs="宋体"/>
          <w:color w:val="auto"/>
        </w:rPr>
        <w:t>履约保</w:t>
      </w:r>
      <w:bookmarkStart w:id="55" w:name="_Hlt35578475"/>
      <w:r>
        <w:rPr>
          <w:rFonts w:hint="eastAsia" w:ascii="宋体" w:hAnsi="宋体" w:cs="宋体"/>
          <w:color w:val="auto"/>
        </w:rPr>
        <w:t>证</w:t>
      </w:r>
      <w:bookmarkEnd w:id="55"/>
      <w:r>
        <w:rPr>
          <w:rFonts w:hint="eastAsia" w:ascii="宋体" w:hAnsi="宋体" w:cs="宋体"/>
          <w:color w:val="auto"/>
        </w:rPr>
        <w:t>金</w:t>
      </w:r>
      <w:r>
        <w:rPr>
          <w:rFonts w:hint="eastAsia" w:ascii="宋体" w:hAnsi="宋体" w:cs="宋体"/>
          <w:color w:val="auto"/>
        </w:rPr>
        <w:fldChar w:fldCharType="end"/>
      </w:r>
    </w:p>
    <w:p w14:paraId="1819B8B7">
      <w:pPr>
        <w:spacing w:line="320" w:lineRule="atLeast"/>
        <w:ind w:left="397"/>
        <w:rPr>
          <w:rFonts w:ascii="宋体" w:hAnsi="宋体" w:cs="宋体"/>
          <w:color w:val="auto"/>
        </w:rPr>
      </w:pPr>
      <w:r>
        <w:rPr>
          <w:rFonts w:hint="eastAsia" w:ascii="宋体" w:hAnsi="宋体" w:cs="宋体"/>
          <w:color w:val="auto"/>
        </w:rPr>
        <w:t>34 成交服务费</w:t>
      </w:r>
    </w:p>
    <w:p w14:paraId="2B07A9CE">
      <w:pPr>
        <w:spacing w:line="360" w:lineRule="auto"/>
        <w:rPr>
          <w:rFonts w:ascii="宋体" w:hAnsi="宋体" w:cs="宋体"/>
          <w:color w:val="auto"/>
        </w:rPr>
      </w:pPr>
      <w:r>
        <w:rPr>
          <w:rFonts w:hint="eastAsia" w:ascii="宋体" w:hAnsi="宋体" w:cs="宋体"/>
          <w:b/>
          <w:bCs/>
          <w:color w:val="auto"/>
        </w:rPr>
        <w:t>供应商须知</w:t>
      </w:r>
    </w:p>
    <w:p w14:paraId="4B95C821">
      <w:pPr>
        <w:spacing w:line="360" w:lineRule="auto"/>
        <w:rPr>
          <w:rFonts w:ascii="宋体" w:hAnsi="宋体" w:cs="宋体"/>
          <w:b/>
          <w:bCs/>
          <w:color w:val="auto"/>
        </w:rPr>
      </w:pPr>
      <w:bookmarkStart w:id="56" w:name="_总则"/>
      <w:bookmarkEnd w:id="56"/>
      <w:r>
        <w:rPr>
          <w:rFonts w:hint="eastAsia" w:ascii="宋体" w:hAnsi="宋体" w:cs="宋体"/>
          <w:color w:val="auto"/>
        </w:rPr>
        <w:t>A</w:t>
      </w:r>
      <w:r>
        <w:rPr>
          <w:rFonts w:hint="eastAsia" w:ascii="宋体" w:hAnsi="宋体" w:cs="宋体"/>
          <w:b/>
          <w:bCs/>
          <w:color w:val="auto"/>
        </w:rPr>
        <w:t xml:space="preserve"> 总则</w:t>
      </w:r>
    </w:p>
    <w:p w14:paraId="69540ADD">
      <w:pPr>
        <w:numPr>
          <w:ilvl w:val="0"/>
          <w:numId w:val="3"/>
        </w:numPr>
        <w:spacing w:line="360" w:lineRule="auto"/>
        <w:rPr>
          <w:rFonts w:ascii="宋体" w:hAnsi="宋体" w:cs="宋体"/>
          <w:b/>
          <w:bCs/>
          <w:color w:val="auto"/>
        </w:rPr>
      </w:pPr>
      <w:bookmarkStart w:id="57" w:name="_Hlk35573614"/>
      <w:bookmarkStart w:id="58" w:name="_Hlk35573616"/>
      <w:bookmarkStart w:id="59" w:name="_Hlk35573615"/>
      <w:r>
        <w:rPr>
          <w:rFonts w:hint="eastAsia" w:ascii="宋体" w:hAnsi="宋体" w:cs="宋体"/>
          <w:b/>
          <w:bCs/>
          <w:color w:val="auto"/>
        </w:rPr>
        <w:t>资金来源</w:t>
      </w:r>
      <w:bookmarkEnd w:id="57"/>
      <w:bookmarkEnd w:id="58"/>
      <w:bookmarkEnd w:id="59"/>
      <w:r>
        <w:rPr>
          <w:rFonts w:hint="eastAsia" w:ascii="宋体" w:hAnsi="宋体" w:cs="宋体"/>
          <w:b/>
          <w:bCs/>
          <w:color w:val="auto"/>
        </w:rPr>
        <w:t>：</w:t>
      </w:r>
      <w:bookmarkStart w:id="60" w:name="_Hlk35573643"/>
      <w:bookmarkStart w:id="61" w:name="_Hlk35573644"/>
      <w:bookmarkStart w:id="62" w:name="_Hlk35573645"/>
      <w:r>
        <w:rPr>
          <w:rFonts w:hint="eastAsia" w:ascii="Arial" w:hAnsi="Arial" w:cs="Arial"/>
          <w:b/>
          <w:color w:val="auto"/>
          <w:highlight w:val="none"/>
          <w:lang w:eastAsia="zh-CN"/>
        </w:rPr>
        <w:t>财政资金</w:t>
      </w:r>
    </w:p>
    <w:p w14:paraId="01DBBEED">
      <w:pPr>
        <w:numPr>
          <w:ilvl w:val="255"/>
          <w:numId w:val="0"/>
        </w:numPr>
        <w:spacing w:line="360" w:lineRule="auto"/>
        <w:rPr>
          <w:rFonts w:ascii="宋体" w:hAnsi="宋体" w:cs="宋体"/>
          <w:color w:val="auto"/>
        </w:rPr>
      </w:pPr>
      <w:r>
        <w:rPr>
          <w:rFonts w:hint="eastAsia" w:ascii="宋体" w:hAnsi="宋体" w:cs="宋体"/>
          <w:b/>
          <w:bCs/>
          <w:color w:val="auto"/>
        </w:rPr>
        <w:t>2 合格的</w:t>
      </w:r>
      <w:bookmarkEnd w:id="60"/>
      <w:bookmarkEnd w:id="61"/>
      <w:bookmarkEnd w:id="62"/>
      <w:bookmarkStart w:id="63" w:name="_Hlk35574028"/>
      <w:bookmarkStart w:id="64" w:name="_Hlk35574026"/>
      <w:bookmarkStart w:id="65" w:name="_Hlk35574027"/>
      <w:r>
        <w:rPr>
          <w:rFonts w:hint="eastAsia" w:ascii="宋体" w:hAnsi="宋体" w:cs="宋体"/>
          <w:b/>
          <w:bCs/>
          <w:color w:val="auto"/>
        </w:rPr>
        <w:t>供应商</w:t>
      </w:r>
    </w:p>
    <w:p w14:paraId="3BFAFEDA">
      <w:pPr>
        <w:spacing w:line="360" w:lineRule="auto"/>
        <w:rPr>
          <w:rFonts w:ascii="宋体" w:hAnsi="宋体" w:cs="宋体"/>
          <w:color w:val="auto"/>
        </w:rPr>
      </w:pPr>
      <w:r>
        <w:rPr>
          <w:rFonts w:hint="eastAsia" w:ascii="宋体" w:hAnsi="宋体" w:cs="宋体"/>
          <w:color w:val="auto"/>
        </w:rPr>
        <w:t>2.1应符合竞争性磋商邀请书中合格供应商的全部要求。</w:t>
      </w:r>
    </w:p>
    <w:p w14:paraId="12469C57">
      <w:pPr>
        <w:numPr>
          <w:ilvl w:val="255"/>
          <w:numId w:val="0"/>
        </w:numPr>
        <w:spacing w:line="360" w:lineRule="auto"/>
        <w:rPr>
          <w:rFonts w:ascii="宋体" w:hAnsi="宋体" w:cs="宋体"/>
          <w:color w:val="auto"/>
        </w:rPr>
      </w:pPr>
      <w:r>
        <w:rPr>
          <w:rFonts w:hint="eastAsia" w:ascii="宋体" w:hAnsi="宋体" w:cs="宋体"/>
          <w:color w:val="auto"/>
        </w:rPr>
        <w:t>2.2 必须向采购代理机构机构购买磋商文件并登记备案，未向采购代理机构机构购买磋商文件并登记备案的均无资格参加磋商会议。</w:t>
      </w:r>
    </w:p>
    <w:p w14:paraId="5DDE0C9B">
      <w:pPr>
        <w:spacing w:line="360" w:lineRule="auto"/>
        <w:rPr>
          <w:rFonts w:ascii="宋体" w:hAnsi="宋体" w:cs="宋体"/>
          <w:b/>
          <w:bCs/>
          <w:color w:val="auto"/>
        </w:rPr>
      </w:pPr>
      <w:r>
        <w:rPr>
          <w:rFonts w:hint="eastAsia" w:ascii="宋体" w:hAnsi="宋体" w:cs="宋体"/>
          <w:color w:val="auto"/>
        </w:rPr>
        <w:t xml:space="preserve">3 </w:t>
      </w:r>
      <w:r>
        <w:rPr>
          <w:rFonts w:hint="eastAsia" w:ascii="宋体" w:hAnsi="宋体" w:cs="宋体"/>
          <w:b/>
          <w:bCs/>
          <w:color w:val="auto"/>
        </w:rPr>
        <w:t>合格的货物和服务</w:t>
      </w:r>
      <w:bookmarkEnd w:id="63"/>
      <w:bookmarkEnd w:id="64"/>
      <w:bookmarkEnd w:id="65"/>
    </w:p>
    <w:p w14:paraId="0983F4CA">
      <w:pPr>
        <w:spacing w:line="360" w:lineRule="auto"/>
        <w:rPr>
          <w:rFonts w:ascii="宋体" w:hAnsi="宋体" w:cs="宋体"/>
          <w:color w:val="auto"/>
        </w:rPr>
      </w:pPr>
      <w:r>
        <w:rPr>
          <w:rFonts w:hint="eastAsia" w:ascii="宋体" w:hAnsi="宋体" w:cs="宋体"/>
          <w:color w:val="auto"/>
        </w:rPr>
        <w:t>3.1  合同规定的货物和服务指其来源符合供应商须知第</w:t>
      </w:r>
      <w:bookmarkStart w:id="66" w:name="_Hlt35580350"/>
      <w:bookmarkStart w:id="67" w:name="_Hlt35580353"/>
      <w:r>
        <w:rPr>
          <w:rFonts w:hint="eastAsia" w:ascii="宋体" w:hAnsi="宋体" w:cs="宋体"/>
          <w:color w:val="auto"/>
        </w:rPr>
        <w:t>3款</w:t>
      </w:r>
      <w:bookmarkEnd w:id="66"/>
      <w:bookmarkEnd w:id="67"/>
      <w:r>
        <w:rPr>
          <w:rFonts w:hint="eastAsia" w:ascii="宋体" w:hAnsi="宋体" w:cs="宋体"/>
          <w:color w:val="auto"/>
        </w:rPr>
        <w:t>所规定的货物和服务。</w:t>
      </w:r>
    </w:p>
    <w:p w14:paraId="1E6AD511">
      <w:pPr>
        <w:spacing w:line="360" w:lineRule="auto"/>
        <w:ind w:left="525" w:hanging="525" w:hangingChars="250"/>
        <w:rPr>
          <w:rFonts w:ascii="宋体" w:hAnsi="宋体" w:cs="宋体"/>
          <w:color w:val="auto"/>
        </w:rPr>
      </w:pPr>
      <w:r>
        <w:rPr>
          <w:rFonts w:hint="eastAsia" w:ascii="宋体" w:hAnsi="宋体" w:cs="宋体"/>
          <w:color w:val="auto"/>
        </w:rPr>
        <w:t>3.2  供该条款参考，“原产地”指货物开采、生产或提供辅助服务的地方。所述的货物是指制造、加工或使用重要的和主要的部件装配而成的货物，在商业上公认的产品是指其基本特征、性能或功能与部件有着实质性区别的产品。</w:t>
      </w:r>
    </w:p>
    <w:p w14:paraId="42B158C4">
      <w:pPr>
        <w:spacing w:line="360" w:lineRule="auto"/>
        <w:ind w:left="525" w:hanging="525" w:hangingChars="250"/>
        <w:rPr>
          <w:rFonts w:ascii="宋体" w:hAnsi="宋体" w:cs="宋体"/>
          <w:color w:val="auto"/>
        </w:rPr>
      </w:pPr>
      <w:r>
        <w:rPr>
          <w:rFonts w:hint="eastAsia" w:ascii="宋体" w:hAnsi="宋体" w:cs="宋体"/>
          <w:color w:val="auto"/>
        </w:rPr>
        <w:t>3.3  拟供货设备为国产设备时设备的相关材料如非中文文本视为无效。</w:t>
      </w:r>
    </w:p>
    <w:p w14:paraId="1109A9E1">
      <w:pPr>
        <w:spacing w:line="360" w:lineRule="auto"/>
        <w:rPr>
          <w:rFonts w:ascii="宋体" w:hAnsi="宋体" w:cs="宋体"/>
          <w:b/>
          <w:bCs/>
          <w:color w:val="auto"/>
        </w:rPr>
      </w:pPr>
      <w:bookmarkStart w:id="68" w:name="_Hlk35574047"/>
      <w:bookmarkStart w:id="69" w:name="_Hlk35574046"/>
      <w:bookmarkStart w:id="70" w:name="_Hlk35574045"/>
      <w:r>
        <w:rPr>
          <w:rFonts w:hint="eastAsia" w:ascii="宋体" w:hAnsi="宋体" w:cs="宋体"/>
          <w:color w:val="auto"/>
        </w:rPr>
        <w:t>4</w:t>
      </w:r>
      <w:bookmarkEnd w:id="68"/>
      <w:bookmarkEnd w:id="69"/>
      <w:bookmarkEnd w:id="70"/>
      <w:r>
        <w:rPr>
          <w:rFonts w:hint="eastAsia" w:ascii="宋体" w:hAnsi="宋体" w:cs="宋体"/>
          <w:b/>
          <w:bCs/>
          <w:color w:val="auto"/>
        </w:rPr>
        <w:t>磋商费用</w:t>
      </w:r>
    </w:p>
    <w:p w14:paraId="0C87D18B">
      <w:pPr>
        <w:widowControl/>
        <w:autoSpaceDE w:val="0"/>
        <w:autoSpaceDN w:val="0"/>
        <w:spacing w:line="360" w:lineRule="auto"/>
        <w:ind w:left="525" w:right="53" w:hanging="525" w:hangingChars="250"/>
        <w:jc w:val="left"/>
        <w:textAlignment w:val="bottom"/>
        <w:rPr>
          <w:rFonts w:ascii="宋体" w:hAnsi="宋体" w:cs="宋体"/>
          <w:color w:val="auto"/>
        </w:rPr>
      </w:pPr>
      <w:r>
        <w:rPr>
          <w:rFonts w:hint="eastAsia" w:ascii="宋体" w:hAnsi="宋体" w:cs="宋体"/>
          <w:color w:val="auto"/>
        </w:rPr>
        <w:t>4.1  无论磋商过程中的作法和结果如何，供应商承担所有与编写和递交响应文件有关的费用，采购人和采购代理机构在任何情况下不负担这些费用。</w:t>
      </w:r>
    </w:p>
    <w:p w14:paraId="296CF9A1">
      <w:pPr>
        <w:spacing w:line="360" w:lineRule="auto"/>
        <w:rPr>
          <w:rFonts w:ascii="宋体" w:hAnsi="宋体" w:cs="宋体"/>
          <w:b/>
          <w:bCs/>
          <w:color w:val="auto"/>
        </w:rPr>
      </w:pPr>
      <w:r>
        <w:rPr>
          <w:rFonts w:hint="eastAsia" w:ascii="宋体" w:hAnsi="宋体" w:cs="宋体"/>
          <w:color w:val="auto"/>
        </w:rPr>
        <w:t>B</w:t>
      </w:r>
      <w:r>
        <w:rPr>
          <w:rFonts w:hint="eastAsia" w:ascii="宋体" w:hAnsi="宋体" w:cs="宋体"/>
          <w:b/>
          <w:bCs/>
          <w:color w:val="auto"/>
        </w:rPr>
        <w:t>磋商文件</w:t>
      </w:r>
    </w:p>
    <w:p w14:paraId="6A6E89E8">
      <w:pPr>
        <w:spacing w:line="360" w:lineRule="auto"/>
        <w:rPr>
          <w:rFonts w:ascii="宋体" w:hAnsi="宋体" w:cs="宋体"/>
          <w:b/>
          <w:bCs/>
          <w:color w:val="auto"/>
        </w:rPr>
      </w:pPr>
      <w:bookmarkStart w:id="71" w:name="_Hlk35574788"/>
      <w:bookmarkStart w:id="72" w:name="_Hlk35574789"/>
      <w:bookmarkStart w:id="73" w:name="_Hlk35574790"/>
      <w:r>
        <w:rPr>
          <w:rFonts w:hint="eastAsia" w:ascii="宋体" w:hAnsi="宋体" w:cs="宋体"/>
          <w:color w:val="auto"/>
        </w:rPr>
        <w:t xml:space="preserve">5 </w:t>
      </w:r>
      <w:r>
        <w:rPr>
          <w:rFonts w:hint="eastAsia" w:ascii="宋体" w:hAnsi="宋体" w:cs="宋体"/>
          <w:b/>
          <w:bCs/>
          <w:color w:val="auto"/>
        </w:rPr>
        <w:t>磋商文件的构成</w:t>
      </w:r>
      <w:bookmarkEnd w:id="71"/>
      <w:bookmarkEnd w:id="72"/>
      <w:bookmarkEnd w:id="73"/>
    </w:p>
    <w:p w14:paraId="5602D353">
      <w:pPr>
        <w:spacing w:line="360" w:lineRule="auto"/>
        <w:rPr>
          <w:rFonts w:ascii="宋体" w:hAnsi="宋体" w:cs="宋体"/>
          <w:color w:val="auto"/>
        </w:rPr>
      </w:pPr>
      <w:r>
        <w:rPr>
          <w:rFonts w:hint="eastAsia" w:ascii="宋体" w:hAnsi="宋体" w:cs="宋体"/>
          <w:color w:val="auto"/>
        </w:rPr>
        <w:t>5.1  磋商文件包括：</w:t>
      </w:r>
    </w:p>
    <w:p w14:paraId="0BE655C0">
      <w:pPr>
        <w:tabs>
          <w:tab w:val="left" w:pos="1890"/>
        </w:tabs>
        <w:spacing w:line="360" w:lineRule="auto"/>
        <w:ind w:left="840"/>
        <w:rPr>
          <w:rFonts w:ascii="宋体" w:hAnsi="宋体" w:cs="宋体"/>
          <w:color w:val="auto"/>
        </w:rPr>
      </w:pPr>
      <w:r>
        <w:rPr>
          <w:rFonts w:hint="eastAsia" w:ascii="宋体" w:hAnsi="宋体" w:cs="宋体"/>
          <w:color w:val="auto"/>
        </w:rPr>
        <w:t>第一篇   竞争性磋商邀请书</w:t>
      </w:r>
    </w:p>
    <w:p w14:paraId="6FD94421">
      <w:pPr>
        <w:tabs>
          <w:tab w:val="left" w:pos="1890"/>
        </w:tabs>
        <w:spacing w:line="360" w:lineRule="auto"/>
        <w:ind w:left="840"/>
        <w:rPr>
          <w:rFonts w:ascii="宋体" w:hAnsi="宋体" w:cs="宋体"/>
          <w:color w:val="auto"/>
        </w:rPr>
      </w:pPr>
      <w:r>
        <w:rPr>
          <w:rFonts w:hint="eastAsia" w:ascii="宋体" w:hAnsi="宋体" w:cs="宋体"/>
          <w:color w:val="auto"/>
        </w:rPr>
        <w:t>第二篇   供应商须知</w:t>
      </w:r>
    </w:p>
    <w:p w14:paraId="7F0C9BE1">
      <w:pPr>
        <w:tabs>
          <w:tab w:val="left" w:pos="1890"/>
        </w:tabs>
        <w:spacing w:line="360" w:lineRule="auto"/>
        <w:ind w:left="840"/>
        <w:rPr>
          <w:rFonts w:ascii="宋体" w:hAnsi="宋体" w:cs="宋体"/>
          <w:color w:val="auto"/>
        </w:rPr>
      </w:pPr>
      <w:r>
        <w:rPr>
          <w:rFonts w:hint="eastAsia" w:ascii="宋体" w:hAnsi="宋体" w:cs="宋体"/>
          <w:color w:val="auto"/>
        </w:rPr>
        <w:t>第三篇   响应资料表</w:t>
      </w:r>
    </w:p>
    <w:p w14:paraId="23E53F00">
      <w:pPr>
        <w:tabs>
          <w:tab w:val="left" w:pos="1890"/>
        </w:tabs>
        <w:spacing w:line="360" w:lineRule="auto"/>
        <w:ind w:left="840"/>
        <w:rPr>
          <w:rFonts w:ascii="宋体" w:hAnsi="宋体" w:cs="宋体"/>
          <w:color w:val="auto"/>
        </w:rPr>
      </w:pPr>
      <w:r>
        <w:rPr>
          <w:rFonts w:hint="eastAsia" w:ascii="宋体" w:hAnsi="宋体" w:cs="宋体"/>
          <w:color w:val="auto"/>
        </w:rPr>
        <w:t>第四篇   合同通用条款（参考格式）</w:t>
      </w:r>
    </w:p>
    <w:p w14:paraId="645DF700">
      <w:pPr>
        <w:tabs>
          <w:tab w:val="left" w:pos="1890"/>
        </w:tabs>
        <w:spacing w:line="360" w:lineRule="auto"/>
        <w:ind w:left="840"/>
        <w:rPr>
          <w:rFonts w:ascii="宋体" w:hAnsi="宋体" w:cs="宋体"/>
          <w:color w:val="auto"/>
        </w:rPr>
      </w:pPr>
      <w:r>
        <w:rPr>
          <w:rFonts w:hint="eastAsia" w:ascii="宋体" w:hAnsi="宋体" w:cs="宋体"/>
          <w:color w:val="auto"/>
        </w:rPr>
        <w:t>第五篇   合同通用条款响应一览表</w:t>
      </w:r>
    </w:p>
    <w:p w14:paraId="1EC26058">
      <w:pPr>
        <w:tabs>
          <w:tab w:val="left" w:pos="1890"/>
        </w:tabs>
        <w:spacing w:line="360" w:lineRule="auto"/>
        <w:ind w:left="840"/>
        <w:rPr>
          <w:rFonts w:ascii="宋体" w:hAnsi="宋体" w:cs="宋体"/>
          <w:color w:val="auto"/>
        </w:rPr>
      </w:pPr>
      <w:r>
        <w:rPr>
          <w:rFonts w:hint="eastAsia" w:ascii="宋体" w:hAnsi="宋体" w:cs="宋体"/>
          <w:color w:val="auto"/>
        </w:rPr>
        <w:t>第六篇   合同格式</w:t>
      </w:r>
    </w:p>
    <w:p w14:paraId="6BDCCE92">
      <w:pPr>
        <w:tabs>
          <w:tab w:val="left" w:pos="1890"/>
        </w:tabs>
        <w:spacing w:line="360" w:lineRule="auto"/>
        <w:ind w:left="840"/>
        <w:rPr>
          <w:rFonts w:ascii="宋体" w:hAnsi="宋体" w:cs="宋体"/>
          <w:color w:val="auto"/>
        </w:rPr>
      </w:pPr>
      <w:r>
        <w:rPr>
          <w:rFonts w:hint="eastAsia" w:ascii="宋体" w:hAnsi="宋体" w:cs="宋体"/>
          <w:color w:val="auto"/>
        </w:rPr>
        <w:t>第七篇   货物需求一览表</w:t>
      </w:r>
    </w:p>
    <w:p w14:paraId="32F2DFD4">
      <w:pPr>
        <w:tabs>
          <w:tab w:val="left" w:pos="1890"/>
        </w:tabs>
        <w:spacing w:line="360" w:lineRule="auto"/>
        <w:ind w:left="840"/>
        <w:rPr>
          <w:rFonts w:ascii="宋体" w:hAnsi="宋体" w:cs="宋体"/>
          <w:color w:val="auto"/>
        </w:rPr>
      </w:pPr>
      <w:r>
        <w:rPr>
          <w:rFonts w:hint="eastAsia" w:ascii="宋体" w:hAnsi="宋体" w:cs="宋体"/>
          <w:color w:val="auto"/>
        </w:rPr>
        <w:t>第八篇   货物的技术规格与要求</w:t>
      </w:r>
    </w:p>
    <w:p w14:paraId="494A6ED0">
      <w:pPr>
        <w:tabs>
          <w:tab w:val="left" w:pos="1890"/>
        </w:tabs>
        <w:spacing w:line="360" w:lineRule="auto"/>
        <w:ind w:left="840"/>
        <w:rPr>
          <w:rFonts w:ascii="宋体" w:hAnsi="宋体" w:cs="宋体"/>
          <w:color w:val="auto"/>
        </w:rPr>
      </w:pPr>
      <w:r>
        <w:rPr>
          <w:rFonts w:hint="eastAsia" w:ascii="宋体" w:hAnsi="宋体" w:cs="宋体"/>
          <w:color w:val="auto"/>
        </w:rPr>
        <w:t>第九篇   附表</w:t>
      </w:r>
    </w:p>
    <w:p w14:paraId="21C0650B">
      <w:pPr>
        <w:spacing w:line="360" w:lineRule="auto"/>
        <w:ind w:left="630" w:hanging="630" w:hangingChars="300"/>
        <w:rPr>
          <w:rFonts w:ascii="宋体" w:hAnsi="宋体" w:cs="宋体"/>
          <w:color w:val="auto"/>
        </w:rPr>
      </w:pPr>
      <w:r>
        <w:rPr>
          <w:rFonts w:hint="eastAsia" w:ascii="宋体" w:hAnsi="宋体" w:cs="宋体"/>
          <w:color w:val="auto"/>
        </w:rPr>
        <w:t>5.2  供应商应认真、全面审阅磋商文件中所有须知、格式、条款和规格。供应商未按磋商文件要求提</w:t>
      </w:r>
    </w:p>
    <w:p w14:paraId="3A757390">
      <w:pPr>
        <w:spacing w:line="360" w:lineRule="auto"/>
        <w:ind w:left="525" w:leftChars="250"/>
        <w:rPr>
          <w:rFonts w:ascii="宋体" w:hAnsi="宋体" w:cs="宋体"/>
          <w:color w:val="auto"/>
        </w:rPr>
      </w:pPr>
      <w:r>
        <w:rPr>
          <w:rFonts w:hint="eastAsia" w:ascii="宋体" w:hAnsi="宋体" w:cs="宋体"/>
          <w:color w:val="auto"/>
        </w:rPr>
        <w:t>供全部资料或提交的响应文件未对磋商文件做出实质性响应，那么供应商将承担其风险并有可能根据第25款导致响应文件被拒绝。</w:t>
      </w:r>
    </w:p>
    <w:p w14:paraId="64DB090E">
      <w:pPr>
        <w:spacing w:line="360" w:lineRule="auto"/>
        <w:rPr>
          <w:rFonts w:ascii="宋体" w:hAnsi="宋体" w:cs="宋体"/>
          <w:b/>
          <w:bCs/>
          <w:color w:val="auto"/>
        </w:rPr>
      </w:pPr>
      <w:bookmarkStart w:id="74" w:name="_Hlk35574869"/>
      <w:bookmarkStart w:id="75" w:name="_Hlk35574868"/>
      <w:bookmarkStart w:id="76" w:name="_Hlk35574870"/>
      <w:r>
        <w:rPr>
          <w:rFonts w:hint="eastAsia" w:ascii="宋体" w:hAnsi="宋体" w:cs="宋体"/>
          <w:color w:val="auto"/>
        </w:rPr>
        <w:t>6</w:t>
      </w:r>
      <w:bookmarkEnd w:id="74"/>
      <w:bookmarkEnd w:id="75"/>
      <w:bookmarkEnd w:id="76"/>
      <w:r>
        <w:rPr>
          <w:rFonts w:hint="eastAsia" w:ascii="宋体" w:hAnsi="宋体" w:cs="宋体"/>
          <w:b/>
          <w:bCs/>
          <w:color w:val="auto"/>
        </w:rPr>
        <w:t>供应商要求澄清磋商文件</w:t>
      </w:r>
    </w:p>
    <w:p w14:paraId="75A8DA1A">
      <w:pPr>
        <w:spacing w:line="360" w:lineRule="auto"/>
        <w:ind w:left="525" w:hanging="525" w:hangingChars="250"/>
        <w:rPr>
          <w:rFonts w:ascii="宋体" w:hAnsi="宋体" w:cs="宋体"/>
          <w:color w:val="auto"/>
        </w:rPr>
      </w:pPr>
      <w:r>
        <w:rPr>
          <w:rFonts w:hint="eastAsia" w:ascii="宋体" w:hAnsi="宋体" w:cs="宋体"/>
          <w:color w:val="auto"/>
        </w:rPr>
        <w:t>6.1  任何要求对磋商文件提出澄清的供应商，应在递交响应文件截止日期３个工作日前按磋商文件中载明的地址以书面形式（加盖公章）通知采购代理机构。采购代理机构对递交响应文件截止日期３个工作日前收到的任何澄清要求以书面形式予以答复，如有必要并将不标明来源的书面答复告知已购买磋商文件的每一潜在供应商。</w:t>
      </w:r>
    </w:p>
    <w:p w14:paraId="189649D5">
      <w:pPr>
        <w:spacing w:line="360" w:lineRule="auto"/>
        <w:rPr>
          <w:rFonts w:ascii="宋体" w:hAnsi="宋体" w:cs="宋体"/>
          <w:color w:val="auto"/>
        </w:rPr>
      </w:pPr>
      <w:r>
        <w:rPr>
          <w:rFonts w:hint="eastAsia" w:ascii="宋体" w:hAnsi="宋体" w:cs="宋体"/>
          <w:color w:val="auto"/>
        </w:rPr>
        <w:t>6.2  供应商要求解释和澄清的问题均应形成书面文件，并有法定代表人或其授权人签字/盖章和日期。</w:t>
      </w:r>
    </w:p>
    <w:p w14:paraId="3B717838">
      <w:pPr>
        <w:numPr>
          <w:ilvl w:val="0"/>
          <w:numId w:val="4"/>
        </w:numPr>
        <w:spacing w:line="360" w:lineRule="auto"/>
        <w:rPr>
          <w:rFonts w:ascii="宋体" w:hAnsi="宋体" w:cs="宋体"/>
          <w:b/>
          <w:bCs/>
          <w:color w:val="auto"/>
        </w:rPr>
      </w:pPr>
      <w:r>
        <w:rPr>
          <w:rFonts w:hint="eastAsia" w:ascii="宋体" w:hAnsi="宋体" w:cs="宋体"/>
          <w:b/>
          <w:bCs/>
          <w:color w:val="auto"/>
        </w:rPr>
        <w:t>对磋商文件的澄清或修改</w:t>
      </w:r>
    </w:p>
    <w:p w14:paraId="36AC7FB1">
      <w:pPr>
        <w:spacing w:line="360" w:lineRule="auto"/>
        <w:ind w:left="525" w:hanging="525" w:hangingChars="250"/>
        <w:rPr>
          <w:rFonts w:ascii="宋体" w:hAnsi="宋体" w:cs="宋体"/>
          <w:color w:val="auto"/>
        </w:rPr>
      </w:pPr>
      <w:r>
        <w:rPr>
          <w:rFonts w:hint="eastAsia" w:ascii="宋体" w:hAnsi="宋体" w:cs="宋体"/>
          <w:color w:val="auto"/>
        </w:rPr>
        <w:t>7.1  采购人、采购代理机构机构可以对已发出的磋商文件进行必要的澄清或者修改，澄清或者修改的内容作为磋商文件的组成部分。采购代理机构在递交响应文件截止日期之前发布的有关磋商文件的一切有效的书面通知、澄清、修改及补充均为磋商文件不可分割的组成部分，与磋商文件具有同等法律效力。当文件间的内容相矛盾时，以后期的文件为准。</w:t>
      </w:r>
    </w:p>
    <w:p w14:paraId="3F80CA16">
      <w:pPr>
        <w:spacing w:line="360" w:lineRule="auto"/>
        <w:ind w:left="525" w:hanging="525" w:hangingChars="250"/>
        <w:rPr>
          <w:rFonts w:ascii="宋体" w:hAnsi="宋体" w:cs="宋体"/>
          <w:b/>
          <w:bCs/>
          <w:color w:val="auto"/>
        </w:rPr>
      </w:pPr>
      <w:r>
        <w:rPr>
          <w:rFonts w:hint="eastAsia" w:ascii="宋体" w:hAnsi="宋体" w:cs="宋体"/>
          <w:color w:val="auto"/>
        </w:rPr>
        <w:t>7.2  对磋商文件的澄清或修改将以书面形式告知所有购买磋商文件的潜在供应商，并对其具有约束力，</w:t>
      </w:r>
      <w:r>
        <w:rPr>
          <w:rFonts w:hint="eastAsia" w:ascii="宋体" w:hAnsi="宋体" w:cs="宋体"/>
          <w:b/>
          <w:bCs/>
          <w:color w:val="auto"/>
        </w:rPr>
        <w:t>对方必须立即以传真或电子邮件的形式确认已收到该修改，否则视为认同该修改，从而导致的一切后果由供应商自行承担。</w:t>
      </w:r>
    </w:p>
    <w:p w14:paraId="65436FE1">
      <w:pPr>
        <w:spacing w:line="360" w:lineRule="auto"/>
        <w:rPr>
          <w:rFonts w:ascii="宋体" w:hAnsi="宋体" w:cs="宋体"/>
          <w:color w:val="auto"/>
        </w:rPr>
      </w:pPr>
      <w:r>
        <w:rPr>
          <w:rFonts w:hint="eastAsia" w:ascii="宋体" w:hAnsi="宋体" w:cs="宋体"/>
          <w:color w:val="auto"/>
        </w:rPr>
        <w:t>7.3  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02242BD">
      <w:pPr>
        <w:spacing w:line="360" w:lineRule="auto"/>
        <w:rPr>
          <w:rFonts w:ascii="宋体" w:hAnsi="宋体" w:cs="宋体"/>
          <w:b/>
          <w:bCs/>
          <w:color w:val="auto"/>
        </w:rPr>
      </w:pPr>
      <w:bookmarkStart w:id="77" w:name="_投标文件的编制"/>
      <w:bookmarkEnd w:id="77"/>
      <w:r>
        <w:rPr>
          <w:rFonts w:hint="eastAsia" w:ascii="宋体" w:hAnsi="宋体" w:cs="宋体"/>
          <w:color w:val="auto"/>
        </w:rPr>
        <w:t>C</w:t>
      </w:r>
      <w:r>
        <w:rPr>
          <w:rFonts w:hint="eastAsia" w:ascii="宋体" w:hAnsi="宋体" w:cs="宋体"/>
          <w:b/>
          <w:bCs/>
          <w:color w:val="auto"/>
        </w:rPr>
        <w:t>响应文件的编制</w:t>
      </w:r>
    </w:p>
    <w:p w14:paraId="121393DA">
      <w:pPr>
        <w:spacing w:line="360" w:lineRule="auto"/>
        <w:rPr>
          <w:rFonts w:ascii="宋体" w:hAnsi="宋体" w:cs="宋体"/>
          <w:b/>
          <w:bCs/>
          <w:color w:val="auto"/>
        </w:rPr>
      </w:pPr>
      <w:bookmarkStart w:id="78" w:name="_Hlk35575531"/>
      <w:bookmarkStart w:id="79" w:name="_Hlk35575530"/>
      <w:bookmarkStart w:id="80" w:name="_Hlk35575529"/>
      <w:r>
        <w:rPr>
          <w:rFonts w:hint="eastAsia" w:ascii="宋体" w:hAnsi="宋体" w:cs="宋体"/>
          <w:color w:val="auto"/>
        </w:rPr>
        <w:t xml:space="preserve">8 </w:t>
      </w:r>
      <w:bookmarkEnd w:id="78"/>
      <w:bookmarkEnd w:id="79"/>
      <w:bookmarkEnd w:id="80"/>
      <w:r>
        <w:rPr>
          <w:rFonts w:hint="eastAsia" w:ascii="宋体" w:hAnsi="宋体" w:cs="宋体"/>
          <w:b/>
          <w:bCs/>
          <w:color w:val="auto"/>
        </w:rPr>
        <w:t>磋商使用的文字和单位</w:t>
      </w:r>
    </w:p>
    <w:p w14:paraId="1144B18A">
      <w:pPr>
        <w:spacing w:line="360" w:lineRule="auto"/>
        <w:rPr>
          <w:rFonts w:ascii="宋体" w:hAnsi="宋体" w:cs="宋体"/>
          <w:color w:val="auto"/>
        </w:rPr>
      </w:pPr>
      <w:r>
        <w:rPr>
          <w:rFonts w:hint="eastAsia" w:ascii="宋体" w:hAnsi="宋体" w:cs="宋体"/>
          <w:color w:val="auto"/>
        </w:rPr>
        <w:t>8.1  响应文件所有部分均应以中文编制。度量衡采用国家法定单位制（即国际单位制）。</w:t>
      </w:r>
    </w:p>
    <w:p w14:paraId="3AC2FD8A">
      <w:pPr>
        <w:spacing w:line="360" w:lineRule="auto"/>
        <w:rPr>
          <w:rFonts w:ascii="宋体" w:hAnsi="宋体" w:cs="宋体"/>
          <w:b/>
          <w:bCs/>
          <w:color w:val="auto"/>
        </w:rPr>
      </w:pPr>
      <w:bookmarkStart w:id="81" w:name="_Hlk35575566"/>
      <w:bookmarkStart w:id="82" w:name="_Hlk35575567"/>
      <w:bookmarkStart w:id="83" w:name="_Hlk35575568"/>
      <w:r>
        <w:rPr>
          <w:rFonts w:hint="eastAsia" w:ascii="宋体" w:hAnsi="宋体" w:cs="宋体"/>
          <w:color w:val="auto"/>
        </w:rPr>
        <w:t xml:space="preserve">9 </w:t>
      </w:r>
      <w:r>
        <w:rPr>
          <w:rFonts w:hint="eastAsia" w:ascii="宋体" w:hAnsi="宋体" w:cs="宋体"/>
          <w:b/>
          <w:bCs/>
          <w:color w:val="auto"/>
        </w:rPr>
        <w:t>响应文件的组成</w:t>
      </w:r>
      <w:bookmarkEnd w:id="81"/>
      <w:bookmarkEnd w:id="82"/>
      <w:bookmarkEnd w:id="83"/>
    </w:p>
    <w:p w14:paraId="3DF17317">
      <w:pPr>
        <w:spacing w:line="360" w:lineRule="auto"/>
        <w:ind w:firstLine="525" w:firstLineChars="250"/>
        <w:rPr>
          <w:rFonts w:ascii="宋体" w:hAnsi="宋体" w:cs="宋体"/>
          <w:color w:val="auto"/>
        </w:rPr>
      </w:pPr>
      <w:r>
        <w:rPr>
          <w:rFonts w:hint="eastAsia" w:ascii="宋体" w:hAnsi="宋体" w:cs="宋体"/>
          <w:color w:val="auto"/>
        </w:rPr>
        <w:t>供应商编制的响应文件必须包括以下部分，但不限于以下部分：</w:t>
      </w:r>
    </w:p>
    <w:p w14:paraId="276A87F6">
      <w:pPr>
        <w:spacing w:line="360" w:lineRule="auto"/>
        <w:rPr>
          <w:rFonts w:ascii="宋体" w:hAnsi="宋体" w:cs="宋体"/>
          <w:color w:val="auto"/>
        </w:rPr>
      </w:pPr>
      <w:r>
        <w:rPr>
          <w:rFonts w:hint="eastAsia" w:ascii="宋体" w:hAnsi="宋体" w:cs="宋体"/>
          <w:color w:val="auto"/>
        </w:rPr>
        <w:t>9.1  商务部分：</w:t>
      </w:r>
    </w:p>
    <w:p w14:paraId="4992886F">
      <w:pPr>
        <w:spacing w:line="360" w:lineRule="auto"/>
        <w:ind w:left="1050" w:hanging="1050" w:hangingChars="500"/>
        <w:rPr>
          <w:rFonts w:ascii="宋体" w:hAnsi="宋体" w:cs="宋体"/>
          <w:color w:val="auto"/>
        </w:rPr>
      </w:pPr>
      <w:r>
        <w:rPr>
          <w:rFonts w:hint="eastAsia" w:ascii="宋体" w:hAnsi="宋体" w:cs="宋体"/>
          <w:color w:val="auto"/>
        </w:rPr>
        <w:t xml:space="preserve">      1） 首次报价一览表和按照本须知第15款规定提交的磋商保证金（独立于响应文件之外，分别单独密封）</w:t>
      </w:r>
      <w:r>
        <w:rPr>
          <w:rFonts w:hint="eastAsia" w:ascii="Arial" w:hAnsi="Arial" w:cs="Arial"/>
          <w:color w:val="auto"/>
          <w:highlight w:val="none"/>
          <w:lang w:val="en-US" w:eastAsia="zh-CN"/>
        </w:rPr>
        <w:t>(无需提供）</w:t>
      </w:r>
    </w:p>
    <w:p w14:paraId="083D101D">
      <w:pPr>
        <w:spacing w:line="360" w:lineRule="auto"/>
        <w:ind w:left="397" w:leftChars="189" w:firstLine="231" w:firstLineChars="110"/>
        <w:rPr>
          <w:rFonts w:ascii="宋体" w:hAnsi="宋体" w:cs="宋体"/>
          <w:color w:val="auto"/>
        </w:rPr>
      </w:pPr>
      <w:r>
        <w:rPr>
          <w:rFonts w:hint="eastAsia" w:ascii="宋体" w:hAnsi="宋体" w:cs="宋体"/>
          <w:color w:val="auto"/>
        </w:rPr>
        <w:t>2） 响应文件、磋商分项报价表（按照本须知第10、11和12款要求填写）</w:t>
      </w:r>
    </w:p>
    <w:p w14:paraId="544BB83A">
      <w:pPr>
        <w:spacing w:line="360" w:lineRule="auto"/>
        <w:ind w:left="397" w:leftChars="189" w:firstLine="231" w:firstLineChars="110"/>
        <w:rPr>
          <w:rFonts w:ascii="宋体" w:hAnsi="宋体" w:cs="宋体"/>
          <w:b/>
          <w:bCs/>
          <w:color w:val="auto"/>
        </w:rPr>
      </w:pPr>
      <w:r>
        <w:rPr>
          <w:rFonts w:hint="eastAsia" w:ascii="宋体" w:hAnsi="宋体" w:cs="宋体"/>
          <w:color w:val="auto"/>
        </w:rPr>
        <w:t>3） 资格证明文件（按照本须知第13款要求出具）</w:t>
      </w:r>
    </w:p>
    <w:p w14:paraId="53821355">
      <w:pPr>
        <w:spacing w:line="360" w:lineRule="auto"/>
        <w:ind w:left="397" w:leftChars="189" w:firstLine="231" w:firstLineChars="110"/>
        <w:rPr>
          <w:rFonts w:ascii="宋体" w:hAnsi="宋体" w:cs="宋体"/>
          <w:color w:val="auto"/>
        </w:rPr>
      </w:pPr>
      <w:r>
        <w:rPr>
          <w:rFonts w:hint="eastAsia" w:ascii="宋体" w:hAnsi="宋体" w:cs="宋体"/>
          <w:color w:val="auto"/>
        </w:rPr>
        <w:t>4） 货物说明一览表</w:t>
      </w:r>
    </w:p>
    <w:p w14:paraId="1F31D222">
      <w:pPr>
        <w:spacing w:line="360" w:lineRule="auto"/>
        <w:ind w:firstLine="630" w:firstLineChars="300"/>
        <w:rPr>
          <w:rFonts w:ascii="宋体" w:hAnsi="宋体" w:cs="宋体"/>
          <w:color w:val="auto"/>
        </w:rPr>
      </w:pPr>
      <w:r>
        <w:rPr>
          <w:rFonts w:hint="eastAsia" w:ascii="宋体" w:hAnsi="宋体" w:cs="宋体"/>
          <w:color w:val="auto"/>
        </w:rPr>
        <w:t>5） 合同条款响应一览表</w:t>
      </w:r>
    </w:p>
    <w:p w14:paraId="0E13ADBC">
      <w:pPr>
        <w:spacing w:line="360" w:lineRule="auto"/>
        <w:ind w:left="397" w:leftChars="189" w:firstLine="231" w:firstLineChars="110"/>
        <w:rPr>
          <w:rFonts w:ascii="宋体" w:hAnsi="宋体" w:cs="宋体"/>
          <w:color w:val="auto"/>
        </w:rPr>
      </w:pPr>
      <w:r>
        <w:rPr>
          <w:rFonts w:hint="eastAsia" w:ascii="宋体" w:hAnsi="宋体" w:cs="宋体"/>
          <w:color w:val="auto"/>
        </w:rPr>
        <w:t>6） 成交服务费承诺书</w:t>
      </w:r>
    </w:p>
    <w:p w14:paraId="547B1170">
      <w:pPr>
        <w:spacing w:line="360" w:lineRule="auto"/>
        <w:ind w:left="397" w:leftChars="189" w:firstLine="231" w:firstLineChars="110"/>
        <w:rPr>
          <w:rFonts w:ascii="宋体" w:hAnsi="宋体" w:cs="宋体"/>
          <w:color w:val="auto"/>
        </w:rPr>
      </w:pPr>
      <w:r>
        <w:rPr>
          <w:rFonts w:hint="eastAsia" w:ascii="宋体" w:hAnsi="宋体" w:cs="宋体"/>
          <w:color w:val="auto"/>
        </w:rPr>
        <w:t>7） 磋商文件内要求的其它文件（</w:t>
      </w:r>
      <w:r>
        <w:rPr>
          <w:rFonts w:hint="eastAsia" w:ascii="宋体" w:hAnsi="宋体" w:cs="宋体"/>
          <w:b/>
          <w:bCs/>
          <w:color w:val="auto"/>
        </w:rPr>
        <w:t>包括附表中提供的所有格式，但不局限于附表</w:t>
      </w:r>
      <w:r>
        <w:rPr>
          <w:rFonts w:hint="eastAsia" w:ascii="宋体" w:hAnsi="宋体" w:cs="宋体"/>
          <w:color w:val="auto"/>
        </w:rPr>
        <w:t>）</w:t>
      </w:r>
    </w:p>
    <w:p w14:paraId="4E9D37C5">
      <w:pPr>
        <w:spacing w:line="360" w:lineRule="auto"/>
        <w:rPr>
          <w:rFonts w:ascii="宋体" w:hAnsi="宋体" w:cs="宋体"/>
          <w:color w:val="auto"/>
        </w:rPr>
      </w:pPr>
      <w:r>
        <w:rPr>
          <w:rFonts w:hint="eastAsia" w:ascii="宋体" w:hAnsi="宋体" w:cs="宋体"/>
          <w:color w:val="auto"/>
        </w:rPr>
        <w:t>9.3  技术部分：</w:t>
      </w:r>
    </w:p>
    <w:p w14:paraId="6EE199E7">
      <w:pPr>
        <w:spacing w:line="360" w:lineRule="auto"/>
        <w:ind w:left="1050" w:leftChars="300" w:hanging="420" w:hangingChars="200"/>
        <w:rPr>
          <w:rFonts w:ascii="宋体" w:hAnsi="宋体" w:cs="宋体"/>
          <w:color w:val="auto"/>
        </w:rPr>
      </w:pPr>
      <w:r>
        <w:rPr>
          <w:rFonts w:hint="eastAsia" w:ascii="宋体" w:hAnsi="宋体" w:cs="宋体"/>
          <w:color w:val="auto"/>
        </w:rPr>
        <w:t>1）按照本须知第14款对磋商文件的书面应答，包括技术描述（含原理性介绍）、技术规范、技术方案、技术参数、技术文件、图纸、安装介绍、工期进度安排，以及供应商认为有必要说明的其他内容。</w:t>
      </w:r>
    </w:p>
    <w:p w14:paraId="6B7E10E9">
      <w:pPr>
        <w:spacing w:line="360" w:lineRule="auto"/>
        <w:ind w:left="1050" w:leftChars="300" w:hanging="420" w:hangingChars="200"/>
        <w:rPr>
          <w:rFonts w:ascii="宋体" w:hAnsi="宋体" w:cs="宋体"/>
          <w:b/>
          <w:bCs/>
          <w:color w:val="auto"/>
        </w:rPr>
      </w:pPr>
      <w:r>
        <w:rPr>
          <w:rFonts w:hint="eastAsia" w:ascii="宋体" w:hAnsi="宋体" w:cs="宋体"/>
          <w:color w:val="auto"/>
        </w:rPr>
        <w:t>2） 供应商应响应磋商文件。在此前提下，还可提出补充建议或说明，提出比磋商文件的要求更为合理的建议方案，单列于“供应商需要说明的其他问题”中，同时应说明对技术条件、价格、运行、维护、检修、安装等方面的影响。</w:t>
      </w:r>
      <w:r>
        <w:rPr>
          <w:rFonts w:hint="eastAsia" w:ascii="宋体" w:hAnsi="宋体" w:cs="宋体"/>
          <w:b/>
          <w:bCs/>
          <w:color w:val="auto"/>
        </w:rPr>
        <w:t>如有任何优惠条件，须在首次报价一览表中阐明，评标时方将予以承认。</w:t>
      </w:r>
    </w:p>
    <w:p w14:paraId="35042EAD">
      <w:pPr>
        <w:spacing w:line="360" w:lineRule="auto"/>
        <w:rPr>
          <w:rFonts w:ascii="宋体" w:hAnsi="宋体" w:cs="宋体"/>
          <w:color w:val="auto"/>
        </w:rPr>
      </w:pPr>
      <w:r>
        <w:rPr>
          <w:rFonts w:hint="eastAsia" w:ascii="宋体" w:hAnsi="宋体" w:cs="宋体"/>
          <w:color w:val="auto"/>
        </w:rPr>
        <w:t>9.4  供应商</w:t>
      </w:r>
      <w:r>
        <w:rPr>
          <w:rFonts w:hint="eastAsia" w:ascii="宋体" w:hAnsi="宋体" w:cs="宋体"/>
          <w:b/>
          <w:bCs/>
          <w:color w:val="auto"/>
        </w:rPr>
        <w:t>须以上述顺序编制</w:t>
      </w:r>
      <w:r>
        <w:rPr>
          <w:rFonts w:hint="eastAsia" w:ascii="宋体" w:hAnsi="宋体" w:cs="宋体"/>
          <w:color w:val="auto"/>
        </w:rPr>
        <w:t>响应文件。</w:t>
      </w:r>
    </w:p>
    <w:p w14:paraId="1ACC4FB9">
      <w:pPr>
        <w:spacing w:line="360" w:lineRule="auto"/>
        <w:rPr>
          <w:rFonts w:ascii="宋体" w:hAnsi="宋体" w:cs="宋体"/>
          <w:b/>
          <w:bCs/>
          <w:color w:val="auto"/>
        </w:rPr>
      </w:pPr>
      <w:bookmarkStart w:id="84" w:name="_Hlk35575735"/>
      <w:bookmarkStart w:id="85" w:name="_Hlk35575734"/>
      <w:bookmarkStart w:id="86" w:name="_Hlk35575736"/>
      <w:r>
        <w:rPr>
          <w:rFonts w:hint="eastAsia" w:ascii="宋体" w:hAnsi="宋体" w:cs="宋体"/>
          <w:color w:val="auto"/>
        </w:rPr>
        <w:t>10</w:t>
      </w:r>
      <w:r>
        <w:rPr>
          <w:rFonts w:hint="eastAsia" w:ascii="宋体" w:hAnsi="宋体" w:cs="宋体"/>
          <w:b/>
          <w:bCs/>
          <w:color w:val="auto"/>
        </w:rPr>
        <w:t>响应文件格式</w:t>
      </w:r>
      <w:bookmarkEnd w:id="84"/>
      <w:bookmarkEnd w:id="85"/>
      <w:bookmarkEnd w:id="86"/>
    </w:p>
    <w:p w14:paraId="1325F2DF">
      <w:pPr>
        <w:spacing w:line="360" w:lineRule="auto"/>
        <w:ind w:left="630" w:hanging="630" w:hangingChars="300"/>
        <w:rPr>
          <w:rFonts w:ascii="宋体" w:hAnsi="宋体" w:cs="宋体"/>
          <w:color w:val="auto"/>
        </w:rPr>
      </w:pPr>
      <w:r>
        <w:rPr>
          <w:rFonts w:hint="eastAsia" w:ascii="宋体" w:hAnsi="宋体" w:cs="宋体"/>
          <w:color w:val="auto"/>
        </w:rPr>
        <w:t>10.1  供应商应填写磋商文件中第九篇“响应文件、首次报价一览表和磋商分项报价表”中的各种表，注明提供的货物，货物简介，原产地，数量和价格；</w:t>
      </w:r>
      <w:r>
        <w:rPr>
          <w:rFonts w:hint="eastAsia" w:ascii="宋体" w:hAnsi="宋体" w:cs="宋体"/>
          <w:b/>
          <w:bCs/>
          <w:color w:val="auto"/>
        </w:rPr>
        <w:t>并按上述表格格式填写</w:t>
      </w:r>
      <w:r>
        <w:rPr>
          <w:rFonts w:hint="eastAsia" w:ascii="宋体" w:hAnsi="宋体" w:cs="宋体"/>
          <w:color w:val="auto"/>
        </w:rPr>
        <w:t>。</w:t>
      </w:r>
    </w:p>
    <w:p w14:paraId="083F86D2">
      <w:pPr>
        <w:spacing w:line="360" w:lineRule="auto"/>
        <w:rPr>
          <w:rFonts w:ascii="宋体" w:hAnsi="宋体" w:cs="宋体"/>
          <w:b/>
          <w:bCs/>
          <w:color w:val="auto"/>
        </w:rPr>
      </w:pPr>
      <w:bookmarkStart w:id="87" w:name="_Hlk35576119"/>
      <w:bookmarkStart w:id="88" w:name="_Hlk35576117"/>
      <w:bookmarkStart w:id="89" w:name="_Hlk35576118"/>
      <w:r>
        <w:rPr>
          <w:rFonts w:hint="eastAsia" w:ascii="宋体" w:hAnsi="宋体" w:cs="宋体"/>
          <w:color w:val="auto"/>
        </w:rPr>
        <w:t xml:space="preserve">11 </w:t>
      </w:r>
      <w:bookmarkEnd w:id="87"/>
      <w:bookmarkEnd w:id="88"/>
      <w:bookmarkEnd w:id="89"/>
      <w:r>
        <w:rPr>
          <w:rFonts w:hint="eastAsia" w:ascii="宋体" w:hAnsi="宋体" w:cs="宋体"/>
          <w:b/>
          <w:bCs/>
          <w:color w:val="auto"/>
        </w:rPr>
        <w:t>报价</w:t>
      </w:r>
    </w:p>
    <w:p w14:paraId="1C918BA7">
      <w:pPr>
        <w:spacing w:line="360" w:lineRule="auto"/>
        <w:ind w:left="630" w:leftChars="300"/>
        <w:rPr>
          <w:rFonts w:ascii="宋体" w:hAnsi="宋体" w:cs="宋体"/>
          <w:color w:val="auto"/>
        </w:rPr>
      </w:pPr>
      <w:r>
        <w:rPr>
          <w:rFonts w:hint="eastAsia" w:ascii="宋体" w:hAnsi="宋体" w:cs="宋体"/>
          <w:color w:val="auto"/>
        </w:rPr>
        <w:t>11.1  供应商应在响应文件所附的磋商分项报价表上写明</w:t>
      </w:r>
      <w:r>
        <w:rPr>
          <w:rFonts w:hint="eastAsia" w:ascii="宋体" w:hAnsi="宋体" w:cs="宋体"/>
          <w:color w:val="auto"/>
          <w:lang w:eastAsia="zh-CN"/>
        </w:rPr>
        <w:t>折扣字数</w:t>
      </w:r>
      <w:r>
        <w:rPr>
          <w:rFonts w:hint="eastAsia" w:ascii="宋体" w:hAnsi="宋体" w:cs="宋体"/>
          <w:b/>
          <w:bCs/>
          <w:color w:val="auto"/>
        </w:rPr>
        <w:t>，只允许有一个报价。</w:t>
      </w:r>
    </w:p>
    <w:p w14:paraId="031BF74B">
      <w:pPr>
        <w:widowControl/>
        <w:autoSpaceDE w:val="0"/>
        <w:autoSpaceDN w:val="0"/>
        <w:spacing w:line="360" w:lineRule="auto"/>
        <w:ind w:left="630" w:right="-34" w:hanging="630" w:hangingChars="300"/>
        <w:textAlignment w:val="bottom"/>
        <w:rPr>
          <w:rFonts w:ascii="宋体" w:hAnsi="宋体" w:cs="宋体"/>
          <w:color w:val="auto"/>
        </w:rPr>
      </w:pPr>
      <w:r>
        <w:rPr>
          <w:rFonts w:hint="eastAsia" w:ascii="宋体" w:hAnsi="宋体" w:cs="宋体"/>
          <w:color w:val="auto"/>
        </w:rPr>
        <w:t>11.2  本磋商文件所列的全部条款凡涉及报价的，供应商均应在报价中计列，供应商的报价采购人认为是各项费用和含税综合计算的结果。除非另有规定，供应商在报价分项价格表上所填的价格在稍后的竞争性磋商过程中并非是固定不变的，固定的不可磋商的报价将根据第25条规定被采购代理机构拒绝。</w:t>
      </w:r>
    </w:p>
    <w:p w14:paraId="40975806">
      <w:pPr>
        <w:spacing w:line="360" w:lineRule="auto"/>
        <w:ind w:left="630" w:hanging="630" w:hangingChars="300"/>
        <w:rPr>
          <w:rFonts w:ascii="宋体" w:hAnsi="宋体" w:cs="宋体"/>
          <w:color w:val="auto"/>
        </w:rPr>
      </w:pPr>
      <w:r>
        <w:rPr>
          <w:rFonts w:hint="eastAsia" w:ascii="宋体" w:hAnsi="宋体" w:cs="宋体"/>
          <w:color w:val="auto"/>
        </w:rPr>
        <w:t>11.3  供应商承担全部材料、包装、保险、运输、装卸、中转、存储、交货等所发生的一切费用。</w:t>
      </w:r>
    </w:p>
    <w:p w14:paraId="64CF8AC3">
      <w:pPr>
        <w:spacing w:line="360" w:lineRule="auto"/>
        <w:ind w:left="630" w:hanging="630" w:hangingChars="300"/>
        <w:rPr>
          <w:rFonts w:ascii="Arial" w:hAnsi="Arial" w:cs="Arial"/>
          <w:color w:val="auto"/>
        </w:rPr>
      </w:pPr>
      <w:r>
        <w:rPr>
          <w:rFonts w:hint="eastAsia" w:ascii="宋体" w:hAnsi="宋体" w:cs="宋体"/>
          <w:color w:val="auto"/>
        </w:rPr>
        <w:t>11.</w:t>
      </w:r>
      <w:r>
        <w:rPr>
          <w:rFonts w:hint="eastAsia" w:ascii="宋体" w:hAnsi="宋体" w:cs="宋体"/>
          <w:color w:val="auto"/>
          <w:lang w:val="en-US" w:eastAsia="zh-CN"/>
        </w:rPr>
        <w:t>4</w:t>
      </w:r>
      <w:r>
        <w:rPr>
          <w:rFonts w:hint="eastAsia" w:ascii="宋体" w:hAnsi="宋体" w:cs="宋体"/>
          <w:color w:val="auto"/>
        </w:rPr>
        <w:t xml:space="preserve">  </w:t>
      </w:r>
      <w:r>
        <w:rPr>
          <w:rFonts w:hint="eastAsia" w:ascii="Arial" w:hAnsi="Arial" w:cs="Arial"/>
          <w:color w:val="auto"/>
        </w:rPr>
        <w:t>政府采购进口产品的规定</w:t>
      </w:r>
    </w:p>
    <w:p w14:paraId="6477B3E2">
      <w:pPr>
        <w:spacing w:line="360" w:lineRule="auto"/>
        <w:ind w:left="609" w:leftChars="290"/>
        <w:rPr>
          <w:rFonts w:ascii="Arial" w:hAnsi="Arial" w:cs="Arial"/>
          <w:color w:val="auto"/>
        </w:rPr>
      </w:pPr>
      <w:r>
        <w:rPr>
          <w:rFonts w:ascii="Arial" w:hAnsi="Arial" w:cs="Arial"/>
          <w:color w:val="auto"/>
        </w:rPr>
        <w:t>1）</w:t>
      </w:r>
      <w:r>
        <w:rPr>
          <w:rFonts w:hint="eastAsia" w:ascii="Arial" w:hAnsi="Arial" w:cs="Arial"/>
          <w:color w:val="auto"/>
        </w:rPr>
        <w:t>按照财政部《政府采购进口产品管理办法》第一章第四条关于“政府采购应当采购本国产品，确需采购进口产品（指通过中国海关报关验放进入中国境内且产自关境外的产品）的，实行审核管理”的规定，采购文件中凡未明确标明采购进口产品的，均为采购本国产品，供应商必须提供本国产品，提供进口产品的为无效投标。在中国境内生产或组装的外国品牌产品须标明该产品在中国国内制造厂商名称。否则，按进口产品对待。</w:t>
      </w:r>
    </w:p>
    <w:p w14:paraId="1572428D">
      <w:pPr>
        <w:spacing w:line="360" w:lineRule="auto"/>
        <w:ind w:left="630" w:hanging="630" w:hangingChars="300"/>
        <w:rPr>
          <w:rFonts w:ascii="Arial" w:hAnsi="Arial" w:cs="Arial"/>
          <w:color w:val="auto"/>
        </w:rPr>
      </w:pPr>
      <w:r>
        <w:rPr>
          <w:rFonts w:hint="eastAsia" w:ascii="Arial" w:hAnsi="Arial" w:cs="Arial"/>
          <w:color w:val="auto"/>
        </w:rPr>
        <w:t>11.</w:t>
      </w:r>
      <w:r>
        <w:rPr>
          <w:rFonts w:hint="eastAsia" w:ascii="Arial" w:hAnsi="Arial" w:cs="Arial"/>
          <w:color w:val="auto"/>
          <w:lang w:val="en-US" w:eastAsia="zh-CN"/>
        </w:rPr>
        <w:t>5</w:t>
      </w:r>
      <w:r>
        <w:rPr>
          <w:rFonts w:hint="eastAsia" w:ascii="Arial" w:hAnsi="Arial" w:cs="Arial"/>
          <w:color w:val="auto"/>
        </w:rPr>
        <w:t xml:space="preserve">  政府强制采购节能产品的规定</w:t>
      </w:r>
    </w:p>
    <w:p w14:paraId="59718E12">
      <w:pPr>
        <w:spacing w:line="360" w:lineRule="auto"/>
        <w:ind w:left="630" w:leftChars="300"/>
        <w:rPr>
          <w:rFonts w:ascii="Arial" w:hAnsi="Arial" w:cs="Arial"/>
          <w:color w:val="auto"/>
        </w:rPr>
      </w:pPr>
      <w:r>
        <w:rPr>
          <w:rFonts w:ascii="Arial" w:hAnsi="Arial" w:cs="Arial"/>
          <w:color w:val="auto"/>
        </w:rPr>
        <w:t>1）</w:t>
      </w:r>
      <w:r>
        <w:rPr>
          <w:rFonts w:hint="eastAsia" w:ascii="Arial" w:hAnsi="Arial" w:cs="Arial"/>
          <w:color w:val="auto"/>
        </w:rPr>
        <w:t>按照财政部、发展改革委最新发布执行的《节能产品政府采购清单》的规定，《货物需求及技术规格要求》中凡包含强制采购产品的，供应商必须提供列入《节能产品政府采购清单》的产品，否则无效。</w:t>
      </w:r>
    </w:p>
    <w:p w14:paraId="20F5131D">
      <w:pPr>
        <w:spacing w:line="360" w:lineRule="auto"/>
        <w:ind w:left="630" w:leftChars="300"/>
        <w:rPr>
          <w:rFonts w:ascii="Arial" w:hAnsi="Arial" w:cs="Arial"/>
          <w:color w:val="auto"/>
        </w:rPr>
      </w:pPr>
      <w:r>
        <w:rPr>
          <w:rFonts w:hint="eastAsia" w:ascii="Arial" w:hAnsi="Arial" w:cs="Arial"/>
          <w:color w:val="auto"/>
        </w:rPr>
        <w:t>2</w:t>
      </w:r>
      <w:r>
        <w:rPr>
          <w:rFonts w:ascii="Arial" w:hAnsi="Arial" w:cs="Arial"/>
          <w:color w:val="auto"/>
        </w:rPr>
        <w:t>）</w:t>
      </w:r>
      <w:r>
        <w:rPr>
          <w:rFonts w:hint="eastAsia" w:ascii="Arial" w:hAnsi="Arial" w:cs="Arial"/>
          <w:color w:val="auto"/>
        </w:rPr>
        <w:t>《货物需求及技术规格要求》中包含计算机设备的，供应商必须提供预装正版操作系统软件的计算机产品，否则无效。</w:t>
      </w:r>
    </w:p>
    <w:p w14:paraId="77EE2614">
      <w:pPr>
        <w:spacing w:line="360" w:lineRule="auto"/>
        <w:ind w:left="630" w:hanging="630" w:hangingChars="300"/>
        <w:rPr>
          <w:rFonts w:ascii="Arial" w:hAnsi="Arial" w:cs="Arial"/>
          <w:color w:val="auto"/>
        </w:rPr>
      </w:pPr>
      <w:r>
        <w:rPr>
          <w:rFonts w:ascii="Arial" w:hAnsi="Arial" w:cs="Arial"/>
          <w:color w:val="auto"/>
        </w:rPr>
        <w:t>11.</w:t>
      </w:r>
      <w:r>
        <w:rPr>
          <w:rFonts w:hint="eastAsia" w:ascii="Arial" w:hAnsi="Arial" w:cs="Arial"/>
          <w:color w:val="auto"/>
          <w:lang w:val="en-US" w:eastAsia="zh-CN"/>
        </w:rPr>
        <w:t>6</w:t>
      </w:r>
      <w:r>
        <w:rPr>
          <w:rFonts w:hint="eastAsia" w:ascii="Arial" w:hAnsi="Arial" w:cs="Arial"/>
          <w:color w:val="auto"/>
        </w:rPr>
        <w:t>供应商</w:t>
      </w:r>
      <w:r>
        <w:rPr>
          <w:rFonts w:ascii="Arial" w:hAnsi="Arial" w:cs="Arial"/>
          <w:color w:val="auto"/>
        </w:rPr>
        <w:t>根据</w:t>
      </w:r>
      <w:r>
        <w:rPr>
          <w:color w:val="auto"/>
        </w:rPr>
        <w:fldChar w:fldCharType="begin"/>
      </w:r>
      <w:r>
        <w:rPr>
          <w:color w:val="auto"/>
        </w:rPr>
        <w:instrText xml:space="preserve"> HYPERLINK \l "_投标文件的编制" \o "投标价格表填写方式" </w:instrText>
      </w:r>
      <w:r>
        <w:rPr>
          <w:color w:val="auto"/>
        </w:rPr>
        <w:fldChar w:fldCharType="separate"/>
      </w:r>
      <w:r>
        <w:rPr>
          <w:rFonts w:ascii="Arial" w:hAnsi="Arial" w:cs="Arial"/>
          <w:color w:val="auto"/>
        </w:rPr>
        <w:t>第11.1款</w:t>
      </w:r>
      <w:r>
        <w:rPr>
          <w:rFonts w:ascii="Arial" w:hAnsi="Arial" w:cs="Arial"/>
          <w:color w:val="auto"/>
        </w:rPr>
        <w:fldChar w:fldCharType="end"/>
      </w:r>
      <w:r>
        <w:rPr>
          <w:rFonts w:ascii="Arial" w:hAnsi="Arial" w:cs="Arial"/>
          <w:color w:val="auto"/>
        </w:rPr>
        <w:t>做出的价格分项报价仅供</w:t>
      </w:r>
      <w:r>
        <w:rPr>
          <w:rFonts w:hint="eastAsia" w:ascii="Arial" w:hAnsi="Arial" w:cs="Arial"/>
          <w:color w:val="auto"/>
        </w:rPr>
        <w:t>采购代理机构评审</w:t>
      </w:r>
      <w:r>
        <w:rPr>
          <w:rFonts w:ascii="Arial" w:hAnsi="Arial" w:cs="Arial"/>
          <w:color w:val="auto"/>
        </w:rPr>
        <w:t>时使用</w:t>
      </w:r>
      <w:r>
        <w:rPr>
          <w:rFonts w:hint="eastAsia" w:ascii="Arial" w:hAnsi="Arial" w:cs="Arial"/>
          <w:color w:val="auto"/>
        </w:rPr>
        <w:t>，</w:t>
      </w:r>
      <w:r>
        <w:rPr>
          <w:rFonts w:ascii="Arial" w:hAnsi="Arial" w:cs="Arial"/>
          <w:color w:val="auto"/>
        </w:rPr>
        <w:t>在任何情况下不限制采购人以不同的条件成交的权利。</w:t>
      </w:r>
    </w:p>
    <w:p w14:paraId="45B324D4">
      <w:pPr>
        <w:spacing w:line="360" w:lineRule="auto"/>
        <w:ind w:left="630" w:hanging="630" w:hangingChars="300"/>
        <w:rPr>
          <w:rFonts w:ascii="Arial" w:hAnsi="Arial"/>
          <w:bCs/>
          <w:color w:val="auto"/>
        </w:rPr>
      </w:pPr>
      <w:r>
        <w:rPr>
          <w:rFonts w:hint="eastAsia" w:ascii="Arial" w:hAnsi="Arial" w:cs="Arial"/>
          <w:color w:val="auto"/>
        </w:rPr>
        <w:t>11.</w:t>
      </w:r>
      <w:r>
        <w:rPr>
          <w:rFonts w:hint="eastAsia" w:ascii="Arial" w:hAnsi="Arial" w:cs="Arial"/>
          <w:color w:val="auto"/>
          <w:lang w:val="en-US" w:eastAsia="zh-CN"/>
        </w:rPr>
        <w:t>7磋商</w:t>
      </w:r>
      <w:r>
        <w:rPr>
          <w:rFonts w:hint="eastAsia" w:ascii="Arial" w:hAnsi="Arial" w:cs="Arial"/>
          <w:color w:val="auto"/>
        </w:rPr>
        <w:t>小组在评审时，价格分加分：</w:t>
      </w:r>
    </w:p>
    <w:p w14:paraId="0C94BB3D">
      <w:pPr>
        <w:spacing w:line="360" w:lineRule="auto"/>
        <w:ind w:left="552" w:leftChars="263"/>
        <w:rPr>
          <w:rFonts w:ascii="Arial" w:hAnsi="Arial"/>
          <w:bCs/>
          <w:color w:val="auto"/>
        </w:rPr>
      </w:pPr>
      <w:r>
        <w:rPr>
          <w:rFonts w:hint="eastAsia" w:ascii="Arial" w:hAnsi="Arial" w:cs="Arial"/>
          <w:color w:val="auto"/>
        </w:rPr>
        <w:t>1</w:t>
      </w:r>
      <w:r>
        <w:rPr>
          <w:rFonts w:hint="eastAsia" w:ascii="Arial" w:hAnsi="Arial"/>
          <w:bCs/>
          <w:color w:val="auto"/>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42AD2902">
      <w:pPr>
        <w:spacing w:line="360" w:lineRule="auto"/>
        <w:ind w:left="552" w:leftChars="263"/>
        <w:rPr>
          <w:rFonts w:ascii="Arial" w:hAnsi="Arial"/>
          <w:color w:val="auto"/>
        </w:rPr>
      </w:pPr>
      <w:r>
        <w:rPr>
          <w:rFonts w:hint="eastAsia" w:ascii="Arial" w:hAnsi="Arial"/>
          <w:color w:val="auto"/>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2F6945C5">
      <w:pPr>
        <w:spacing w:line="360" w:lineRule="auto"/>
        <w:ind w:left="552" w:leftChars="263"/>
        <w:rPr>
          <w:rFonts w:ascii="Arial" w:hAnsi="Arial"/>
          <w:color w:val="auto"/>
        </w:rPr>
      </w:pPr>
      <w:r>
        <w:rPr>
          <w:rFonts w:hint="eastAsia" w:ascii="Arial" w:hAnsi="Arial"/>
          <w:color w:val="auto"/>
        </w:rPr>
        <w:t>3）、对于</w:t>
      </w:r>
      <w:r>
        <w:rPr>
          <w:rFonts w:hint="eastAsia" w:ascii="Arial" w:hAnsi="Arial"/>
          <w:bCs/>
          <w:color w:val="auto"/>
        </w:rPr>
        <w:t>供应商所提供产品</w:t>
      </w:r>
      <w:r>
        <w:rPr>
          <w:rFonts w:hint="eastAsia" w:ascii="Arial" w:hAnsi="Arial"/>
          <w:color w:val="auto"/>
        </w:rPr>
        <w:t>纳入财政部公布的《政府采购自主创新产品目录》的产品，按照《财政部关于印发〈自主创新产品政府采购评审办法〉的通知》（财库[2008]30号）文件规定执行。采购项目或者分包中既包含自主创新产品也包含非自主创新产品的，只对纳入《政府采购自主创新产品目录》的产品按其在总报价中所占的比例给予价格扣除。</w:t>
      </w:r>
    </w:p>
    <w:p w14:paraId="7563BDA1">
      <w:pPr>
        <w:spacing w:line="360" w:lineRule="auto"/>
        <w:ind w:left="552" w:leftChars="263"/>
        <w:rPr>
          <w:rFonts w:ascii="Arial" w:hAnsi="Arial"/>
          <w:color w:val="auto"/>
        </w:rPr>
      </w:pPr>
      <w:r>
        <w:rPr>
          <w:rFonts w:hint="eastAsia" w:ascii="Arial" w:hAnsi="Arial"/>
          <w:color w:val="auto"/>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1666481F">
      <w:pPr>
        <w:spacing w:line="360" w:lineRule="auto"/>
        <w:ind w:left="552" w:leftChars="263"/>
        <w:rPr>
          <w:rFonts w:ascii="Arial" w:hAnsi="Arial"/>
          <w:color w:val="auto"/>
        </w:rPr>
      </w:pPr>
      <w:r>
        <w:rPr>
          <w:rFonts w:hint="eastAsia" w:ascii="Arial" w:hAnsi="Arial"/>
          <w:color w:val="auto"/>
        </w:rPr>
        <w:t>5）、提供产品同时列入上述多个清单的，将上述规定的价格扣除比例叠加后计算价格扣除。</w:t>
      </w:r>
    </w:p>
    <w:p w14:paraId="5933F74B">
      <w:pPr>
        <w:spacing w:line="360" w:lineRule="auto"/>
        <w:ind w:left="552" w:leftChars="263"/>
        <w:rPr>
          <w:rFonts w:ascii="Arial" w:hAnsi="Arial"/>
          <w:color w:val="auto"/>
        </w:rPr>
      </w:pPr>
      <w:r>
        <w:rPr>
          <w:rFonts w:hint="eastAsia" w:ascii="宋体" w:hAnsi="宋体" w:cs="宋体"/>
          <w:b/>
          <w:bCs/>
          <w:color w:val="auto"/>
        </w:rPr>
        <w:t>注：如符合以上情况的产品均需在响应文件中提供国家颁布相关资质证明。</w:t>
      </w:r>
    </w:p>
    <w:p w14:paraId="65771FE7">
      <w:pPr>
        <w:spacing w:line="360" w:lineRule="auto"/>
        <w:ind w:left="552" w:leftChars="263"/>
        <w:rPr>
          <w:rFonts w:ascii="Arial" w:hAnsi="Arial"/>
          <w:color w:val="auto"/>
        </w:rPr>
      </w:pPr>
      <w:r>
        <w:rPr>
          <w:rFonts w:hint="eastAsia" w:ascii="Arial" w:hAnsi="Arial"/>
          <w:color w:val="auto"/>
        </w:rPr>
        <w:t>6）、根据财库【2011】181号文件规定，对小型和微型企业的产品给予6%的价格扣除，并按照扣除后的价格参加排序。根据财库【2014】68号文件规定，在政府采购活动中，监狱企业视同小型、微型企业，享受预留份额、评审中价格扣除等政府采购促进中小企业发展的政府采购政策。向监狱企业采购的金额，计入面向中小企业采购的统计数据。</w:t>
      </w:r>
    </w:p>
    <w:p w14:paraId="02F189AD">
      <w:pPr>
        <w:spacing w:line="360" w:lineRule="auto"/>
        <w:ind w:left="552" w:leftChars="263"/>
        <w:rPr>
          <w:rFonts w:ascii="Arial" w:hAnsi="Arial"/>
          <w:color w:val="auto"/>
        </w:rPr>
      </w:pPr>
      <w:r>
        <w:rPr>
          <w:rFonts w:hint="eastAsia" w:ascii="Arial" w:hAnsi="Arial"/>
          <w:color w:val="auto"/>
        </w:rPr>
        <w:t>7）、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w:t>
      </w:r>
      <w:r>
        <w:rPr>
          <w:rFonts w:hint="eastAsia" w:ascii="Arial" w:hAnsi="Arial"/>
          <w:color w:val="auto"/>
        </w:rPr>
        <w:br w:type="textWrapping"/>
      </w:r>
      <w:r>
        <w:rPr>
          <w:rFonts w:hint="eastAsia" w:ascii="Arial" w:hAnsi="Arial"/>
          <w:color w:val="auto"/>
        </w:rPr>
        <w:t>　　联合体各方均为小型、微型企业的，联合体视同为小型、微型企业享受(财库〔2011〕181号)第四条、第五条规定的扶持政策。</w:t>
      </w:r>
      <w:r>
        <w:rPr>
          <w:rFonts w:hint="eastAsia" w:ascii="Arial" w:hAnsi="Arial"/>
          <w:color w:val="auto"/>
        </w:rPr>
        <w:br w:type="textWrapping"/>
      </w:r>
      <w:r>
        <w:rPr>
          <w:rFonts w:hint="eastAsia" w:ascii="Arial" w:hAnsi="Arial"/>
          <w:color w:val="auto"/>
        </w:rPr>
        <w:t>　　组成联合体的大中型企业和其他自然人、法人或者其他组织，与小型、微型企业之间不得存在投资关系。</w:t>
      </w:r>
    </w:p>
    <w:p w14:paraId="331A4F80">
      <w:pPr>
        <w:spacing w:line="360" w:lineRule="auto"/>
        <w:ind w:left="552" w:leftChars="263"/>
        <w:rPr>
          <w:rFonts w:ascii="Arial" w:hAnsi="Arial"/>
          <w:color w:val="auto"/>
        </w:rPr>
      </w:pPr>
      <w:r>
        <w:rPr>
          <w:rFonts w:hint="eastAsia" w:ascii="Arial" w:hAnsi="Arial"/>
          <w:color w:val="auto"/>
        </w:rPr>
        <w:t>8）、本条款中6）和7）两种价格扣除规则不得同时适用。</w:t>
      </w:r>
    </w:p>
    <w:p w14:paraId="449F8F40">
      <w:pPr>
        <w:spacing w:line="360" w:lineRule="auto"/>
        <w:ind w:left="609" w:leftChars="290"/>
        <w:rPr>
          <w:rFonts w:ascii="Arial" w:hAnsi="Arial" w:cs="Arial"/>
          <w:b/>
          <w:color w:val="auto"/>
        </w:rPr>
      </w:pPr>
      <w:r>
        <w:rPr>
          <w:rFonts w:hint="eastAsia" w:ascii="Arial" w:hAnsi="Arial" w:cs="Arial"/>
          <w:b/>
          <w:color w:val="auto"/>
        </w:rPr>
        <w:t>注：A、价格扣除的依据，第1）至4）条提供货物相关认证证书复印件加盖供应商公章。第6）条提供中小企业声明函，及县级以上行政主管部门批复的证明文件。或提供由省级以上监狱管理局、戒毒管理局（含新疆生产建设兵团）出具的属于监狱企业的证明文件。7）条提供联合协议、各成员中小企业声明函(如有)及投资关系情况说明。</w:t>
      </w:r>
    </w:p>
    <w:p w14:paraId="502896F5">
      <w:pPr>
        <w:spacing w:line="360" w:lineRule="auto"/>
        <w:ind w:left="609" w:leftChars="290"/>
        <w:rPr>
          <w:rFonts w:ascii="Arial" w:hAnsi="Arial" w:cs="Arial"/>
          <w:b/>
          <w:color w:val="auto"/>
        </w:rPr>
      </w:pPr>
      <w:r>
        <w:rPr>
          <w:rFonts w:hint="eastAsia" w:ascii="Arial" w:hAnsi="Arial" w:cs="Arial"/>
          <w:b/>
          <w:color w:val="auto"/>
        </w:rPr>
        <w:t>B、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124A36">
      <w:pPr>
        <w:spacing w:line="360" w:lineRule="auto"/>
        <w:ind w:right="-115" w:rightChars="-55"/>
        <w:rPr>
          <w:rFonts w:ascii="宋体" w:hAnsi="宋体" w:cs="宋体"/>
          <w:b/>
          <w:bCs/>
          <w:color w:val="auto"/>
        </w:rPr>
      </w:pPr>
      <w:bookmarkStart w:id="90" w:name="_Hlk35576152"/>
      <w:bookmarkStart w:id="91" w:name="_Hlk35576154"/>
      <w:bookmarkStart w:id="92" w:name="_Hlk35576153"/>
      <w:r>
        <w:rPr>
          <w:rFonts w:hint="eastAsia" w:ascii="宋体" w:hAnsi="宋体" w:cs="宋体"/>
          <w:color w:val="auto"/>
        </w:rPr>
        <w:t>12</w:t>
      </w:r>
      <w:bookmarkEnd w:id="90"/>
      <w:bookmarkEnd w:id="91"/>
      <w:bookmarkEnd w:id="92"/>
      <w:r>
        <w:rPr>
          <w:rFonts w:hint="eastAsia" w:ascii="宋体" w:hAnsi="宋体" w:cs="宋体"/>
          <w:b/>
          <w:bCs/>
          <w:color w:val="auto"/>
        </w:rPr>
        <w:t>货币</w:t>
      </w:r>
    </w:p>
    <w:p w14:paraId="17095086">
      <w:pPr>
        <w:spacing w:line="360" w:lineRule="auto"/>
        <w:ind w:left="630" w:hanging="630" w:hangingChars="300"/>
        <w:rPr>
          <w:rFonts w:ascii="宋体" w:hAnsi="宋体" w:cs="宋体"/>
          <w:color w:val="auto"/>
        </w:rPr>
      </w:pPr>
      <w:r>
        <w:rPr>
          <w:rFonts w:hint="eastAsia" w:ascii="宋体" w:hAnsi="宋体" w:cs="宋体"/>
          <w:color w:val="auto"/>
        </w:rPr>
        <w:t>12.1  响应文件、首次报价一览表及磋商分项报价表上的价格须以</w:t>
      </w:r>
      <w:r>
        <w:rPr>
          <w:rFonts w:hint="eastAsia" w:ascii="宋体" w:hAnsi="宋体" w:cs="宋体"/>
          <w:color w:val="auto"/>
          <w:lang w:eastAsia="zh-CN"/>
        </w:rPr>
        <w:t>折扣系数</w:t>
      </w:r>
      <w:r>
        <w:rPr>
          <w:rFonts w:hint="eastAsia" w:ascii="宋体" w:hAnsi="宋体" w:cs="宋体"/>
          <w:color w:val="auto"/>
        </w:rPr>
        <w:t>报价，以其它形式标价的将予以拒绝。</w:t>
      </w:r>
    </w:p>
    <w:p w14:paraId="75F0F4FF">
      <w:pPr>
        <w:spacing w:line="360" w:lineRule="auto"/>
        <w:rPr>
          <w:rFonts w:ascii="宋体" w:hAnsi="宋体" w:cs="宋体"/>
          <w:color w:val="auto"/>
        </w:rPr>
      </w:pPr>
      <w:bookmarkStart w:id="93" w:name="_Hlk35576200"/>
      <w:bookmarkStart w:id="94" w:name="_Hlk35576201"/>
      <w:bookmarkStart w:id="95" w:name="_Hlk35576202"/>
      <w:r>
        <w:rPr>
          <w:rFonts w:hint="eastAsia" w:ascii="宋体" w:hAnsi="宋体" w:cs="宋体"/>
          <w:color w:val="auto"/>
        </w:rPr>
        <w:t>13</w:t>
      </w:r>
      <w:r>
        <w:rPr>
          <w:rFonts w:hint="eastAsia" w:ascii="宋体" w:hAnsi="宋体" w:cs="宋体"/>
          <w:b/>
          <w:bCs/>
          <w:color w:val="auto"/>
        </w:rPr>
        <w:t>供应商的合格性和资格证明文件</w:t>
      </w:r>
      <w:bookmarkEnd w:id="93"/>
      <w:bookmarkEnd w:id="94"/>
      <w:bookmarkEnd w:id="95"/>
      <w:r>
        <w:rPr>
          <w:rFonts w:hint="eastAsia" w:ascii="宋体" w:hAnsi="宋体" w:cs="宋体"/>
          <w:color w:val="auto"/>
        </w:rPr>
        <w:t>（按磋商文件要求提供但不限于此，并列出目录）：</w:t>
      </w:r>
    </w:p>
    <w:p w14:paraId="1A992889">
      <w:pPr>
        <w:spacing w:line="360" w:lineRule="auto"/>
        <w:ind w:left="630" w:hanging="630" w:hangingChars="300"/>
        <w:rPr>
          <w:rFonts w:ascii="宋体" w:hAnsi="宋体" w:cs="宋体"/>
          <w:color w:val="auto"/>
        </w:rPr>
      </w:pPr>
      <w:r>
        <w:rPr>
          <w:rFonts w:hint="eastAsia" w:ascii="宋体" w:hAnsi="宋体" w:cs="宋体"/>
          <w:color w:val="auto"/>
        </w:rPr>
        <w:t>13.1  根据</w:t>
      </w:r>
      <w:bookmarkStart w:id="96" w:name="_Hlt35582168"/>
      <w:r>
        <w:rPr>
          <w:rFonts w:hint="eastAsia" w:ascii="宋体" w:hAnsi="宋体" w:cs="宋体"/>
          <w:color w:val="auto"/>
        </w:rPr>
        <w:fldChar w:fldCharType="begin"/>
      </w:r>
      <w:r>
        <w:rPr>
          <w:rFonts w:hint="eastAsia" w:ascii="宋体" w:hAnsi="宋体" w:cs="宋体"/>
          <w:color w:val="auto"/>
        </w:rPr>
        <w:instrText xml:space="preserve"> HYPERLINK  \l "_投标文件的编制" \o "使招标代理满意的资格声明文件"</w:instrText>
      </w:r>
      <w:r>
        <w:rPr>
          <w:rFonts w:hint="eastAsia" w:ascii="宋体" w:hAnsi="宋体" w:cs="宋体"/>
          <w:color w:val="auto"/>
        </w:rPr>
        <w:fldChar w:fldCharType="separate"/>
      </w:r>
      <w:r>
        <w:rPr>
          <w:rFonts w:hint="eastAsia" w:ascii="宋体" w:hAnsi="宋体" w:cs="宋体"/>
          <w:color w:val="auto"/>
        </w:rPr>
        <w:t>第13.2款</w:t>
      </w:r>
      <w:r>
        <w:rPr>
          <w:rFonts w:hint="eastAsia" w:ascii="宋体" w:hAnsi="宋体" w:cs="宋体"/>
          <w:color w:val="auto"/>
        </w:rPr>
        <w:fldChar w:fldCharType="end"/>
      </w:r>
      <w:bookmarkEnd w:id="96"/>
      <w:r>
        <w:rPr>
          <w:rFonts w:hint="eastAsia" w:ascii="宋体" w:hAnsi="宋体" w:cs="宋体"/>
          <w:color w:val="auto"/>
        </w:rPr>
        <w:t>规定，供应商须提交证明其有资格进行供货和有能力履行合同的文件，作为响应文件的一部分。</w:t>
      </w:r>
    </w:p>
    <w:p w14:paraId="758A746B">
      <w:pPr>
        <w:spacing w:line="360" w:lineRule="auto"/>
        <w:rPr>
          <w:rFonts w:ascii="宋体" w:hAnsi="宋体" w:cs="宋体"/>
          <w:color w:val="auto"/>
        </w:rPr>
      </w:pPr>
      <w:r>
        <w:rPr>
          <w:rFonts w:hint="eastAsia" w:ascii="宋体" w:hAnsi="宋体" w:cs="宋体"/>
          <w:color w:val="auto"/>
        </w:rPr>
        <w:t>13.2  供应商提供的履行合同的资格证明文件：</w:t>
      </w:r>
    </w:p>
    <w:p w14:paraId="39C51206">
      <w:pPr>
        <w:numPr>
          <w:ilvl w:val="0"/>
          <w:numId w:val="5"/>
        </w:numPr>
        <w:spacing w:line="360" w:lineRule="auto"/>
        <w:rPr>
          <w:rFonts w:ascii="宋体" w:hAnsi="宋体" w:cs="宋体"/>
          <w:bCs/>
          <w:color w:val="auto"/>
        </w:rPr>
      </w:pPr>
      <w:r>
        <w:rPr>
          <w:rFonts w:hint="eastAsia" w:ascii="宋体" w:hAnsi="宋体" w:cs="宋体"/>
          <w:bCs/>
          <w:color w:val="auto"/>
        </w:rPr>
        <w:t>供应商营业执照</w:t>
      </w:r>
      <w:r>
        <w:rPr>
          <w:rFonts w:hint="eastAsia" w:ascii="宋体" w:hAnsi="宋体" w:cs="宋体"/>
          <w:color w:val="auto"/>
        </w:rPr>
        <w:t>（加盖公章）；</w:t>
      </w:r>
    </w:p>
    <w:p w14:paraId="36D74BB9">
      <w:pPr>
        <w:numPr>
          <w:ilvl w:val="0"/>
          <w:numId w:val="5"/>
        </w:numPr>
        <w:spacing w:line="360" w:lineRule="auto"/>
        <w:rPr>
          <w:rFonts w:ascii="宋体" w:hAnsi="宋体" w:cs="宋体"/>
          <w:bCs/>
          <w:color w:val="auto"/>
        </w:rPr>
      </w:pPr>
      <w:r>
        <w:rPr>
          <w:rFonts w:hint="eastAsia" w:ascii="宋体" w:hAnsi="宋体" w:cs="宋体"/>
          <w:bCs/>
          <w:color w:val="auto"/>
        </w:rPr>
        <w:t>开户许可证</w:t>
      </w:r>
      <w:r>
        <w:rPr>
          <w:rFonts w:hint="eastAsia" w:ascii="宋体" w:hAnsi="宋体" w:cs="宋体"/>
          <w:color w:val="auto"/>
        </w:rPr>
        <w:t>（加盖公章）；</w:t>
      </w:r>
    </w:p>
    <w:p w14:paraId="19F42E86">
      <w:pPr>
        <w:numPr>
          <w:ilvl w:val="0"/>
          <w:numId w:val="5"/>
        </w:numPr>
        <w:spacing w:line="360" w:lineRule="auto"/>
        <w:rPr>
          <w:rFonts w:ascii="宋体" w:hAnsi="宋体" w:cs="宋体"/>
          <w:bCs/>
          <w:color w:val="auto"/>
        </w:rPr>
      </w:pPr>
      <w:r>
        <w:rPr>
          <w:rFonts w:hint="eastAsia" w:ascii="宋体" w:hAnsi="宋体" w:cs="宋体"/>
          <w:bCs/>
          <w:color w:val="auto"/>
        </w:rPr>
        <w:t>参加政府采购活动前三年内，在经营活动中没有重大违法记录；（格式自拟，附由法定代表人或负责人签字和加盖公章的承诺书）；</w:t>
      </w:r>
      <w:r>
        <w:rPr>
          <w:rFonts w:hint="eastAsia" w:ascii="宋体" w:hAnsi="宋体" w:cs="宋体"/>
          <w:color w:val="auto"/>
        </w:rPr>
        <w:t>；</w:t>
      </w:r>
    </w:p>
    <w:p w14:paraId="4ED50DED">
      <w:pPr>
        <w:numPr>
          <w:ilvl w:val="0"/>
          <w:numId w:val="5"/>
        </w:numPr>
        <w:spacing w:line="360" w:lineRule="auto"/>
        <w:rPr>
          <w:rFonts w:ascii="宋体" w:hAnsi="宋体" w:cs="宋体"/>
          <w:bCs/>
          <w:color w:val="auto"/>
        </w:rPr>
      </w:pPr>
      <w:r>
        <w:rPr>
          <w:rFonts w:hint="eastAsia" w:ascii="宋体" w:hAnsi="宋体" w:cs="宋体"/>
          <w:color w:val="auto"/>
        </w:rPr>
        <w:t>供应商提供2023年12月至2024年12月内任意一个月依法缴纳社会保险和缴税证明材料（或提供免税证明材料）；</w:t>
      </w:r>
    </w:p>
    <w:p w14:paraId="4AB13CD6">
      <w:pPr>
        <w:numPr>
          <w:ilvl w:val="0"/>
          <w:numId w:val="5"/>
        </w:numPr>
        <w:spacing w:line="360" w:lineRule="auto"/>
        <w:rPr>
          <w:rFonts w:ascii="宋体" w:hAnsi="宋体" w:cs="宋体"/>
          <w:bCs/>
          <w:color w:val="auto"/>
        </w:rPr>
      </w:pPr>
      <w:r>
        <w:rPr>
          <w:rFonts w:hint="eastAsia" w:ascii="宋体" w:hAnsi="宋体" w:cs="宋体"/>
          <w:color w:val="auto"/>
        </w:rPr>
        <w:t>供应商提供近三年（2021年度、2022年度、2023年度）经会计师事务所或审计机构审计的财务审计报告或银行资信证明，财务状况良好。（新成立年限不足三年的企业提供自成立之日起至2023年12月31日）经会计事务所或审计机构审计的财务审计报告或银行资信证明。如公司为2023年以后成立的公司无财务审计报告的，须提供成立之日至今银行资信证明；单位负责人授权委托书、</w:t>
      </w:r>
      <w:r>
        <w:rPr>
          <w:rFonts w:hint="eastAsia" w:ascii="宋体" w:hAnsi="宋体" w:cs="宋体"/>
          <w:bCs/>
          <w:color w:val="auto"/>
        </w:rPr>
        <w:t>被授权人身份证</w:t>
      </w:r>
      <w:r>
        <w:rPr>
          <w:rFonts w:hint="eastAsia" w:ascii="宋体" w:hAnsi="宋体" w:cs="宋体"/>
          <w:color w:val="auto"/>
        </w:rPr>
        <w:t>（加盖公章）；</w:t>
      </w:r>
    </w:p>
    <w:p w14:paraId="036C5DCA">
      <w:pPr>
        <w:numPr>
          <w:ilvl w:val="0"/>
          <w:numId w:val="5"/>
        </w:numPr>
        <w:spacing w:line="360" w:lineRule="auto"/>
        <w:rPr>
          <w:rFonts w:ascii="宋体" w:hAnsi="宋体" w:cs="宋体"/>
          <w:bCs/>
          <w:color w:val="auto"/>
        </w:rPr>
      </w:pPr>
      <w:r>
        <w:rPr>
          <w:rFonts w:hint="eastAsia" w:ascii="宋体" w:hAnsi="宋体" w:cs="宋体"/>
          <w:bCs/>
          <w:color w:val="auto"/>
        </w:rPr>
        <w:t>与采购人存在利害关系可能影响招标公正性的法人、其他组织或者个人，不得参加投标。单位负责人为同一人或者存在控股、管理关系的不同单位，不得参加同一标段投标或者未划分标段的同一招标项目投标。违反任何一款规定，相关投标均无效。</w:t>
      </w:r>
    </w:p>
    <w:p w14:paraId="7D12F7CB">
      <w:pPr>
        <w:numPr>
          <w:ilvl w:val="0"/>
          <w:numId w:val="5"/>
        </w:numPr>
        <w:spacing w:line="360" w:lineRule="auto"/>
        <w:rPr>
          <w:rFonts w:ascii="宋体" w:hAnsi="宋体" w:cs="宋体"/>
          <w:bCs/>
          <w:color w:val="auto"/>
        </w:rPr>
      </w:pPr>
      <w:r>
        <w:rPr>
          <w:rFonts w:hint="eastAsia" w:ascii="宋体" w:hAnsi="宋体" w:cs="宋体"/>
          <w:color w:val="auto"/>
        </w:rPr>
        <w:t>本文件要求的其它证明文件和资料</w:t>
      </w:r>
    </w:p>
    <w:p w14:paraId="4320CC52">
      <w:pPr>
        <w:spacing w:line="360" w:lineRule="auto"/>
        <w:rPr>
          <w:rFonts w:ascii="宋体" w:hAnsi="宋体" w:cs="宋体"/>
          <w:color w:val="auto"/>
        </w:rPr>
      </w:pPr>
      <w:bookmarkStart w:id="97" w:name="_Hlk35576353"/>
      <w:bookmarkStart w:id="98" w:name="_Hlk35576352"/>
      <w:bookmarkStart w:id="99" w:name="_Hlk35576351"/>
      <w:r>
        <w:rPr>
          <w:rFonts w:hint="eastAsia" w:ascii="宋体" w:hAnsi="宋体" w:cs="宋体"/>
          <w:color w:val="auto"/>
        </w:rPr>
        <w:t xml:space="preserve">14 </w:t>
      </w:r>
      <w:r>
        <w:rPr>
          <w:rFonts w:hint="eastAsia" w:ascii="宋体" w:hAnsi="宋体" w:cs="宋体"/>
          <w:b/>
          <w:bCs/>
          <w:color w:val="auto"/>
        </w:rPr>
        <w:t>货物的合格性并符合磋商文件规定的证明文件</w:t>
      </w:r>
      <w:bookmarkEnd w:id="97"/>
      <w:bookmarkEnd w:id="98"/>
      <w:bookmarkEnd w:id="99"/>
      <w:r>
        <w:rPr>
          <w:rFonts w:hint="eastAsia" w:ascii="宋体" w:hAnsi="宋体" w:cs="宋体"/>
          <w:color w:val="auto"/>
        </w:rPr>
        <w:t>（按磋商文件要求提供但不限于此，并列出目录）：</w:t>
      </w:r>
    </w:p>
    <w:p w14:paraId="5D577FEA">
      <w:pPr>
        <w:spacing w:line="360" w:lineRule="auto"/>
        <w:ind w:left="630" w:hanging="630" w:hangingChars="300"/>
        <w:rPr>
          <w:rFonts w:ascii="宋体" w:hAnsi="宋体" w:cs="宋体"/>
          <w:color w:val="auto"/>
        </w:rPr>
      </w:pPr>
      <w:r>
        <w:rPr>
          <w:rFonts w:hint="eastAsia" w:ascii="宋体" w:hAnsi="宋体" w:cs="宋体"/>
          <w:color w:val="auto"/>
        </w:rPr>
        <w:t>14.1  供应商须提交证明其拟供合同项下货物和辅助服务的合格性并符合磋商文件规定的证明文件，</w:t>
      </w:r>
    </w:p>
    <w:p w14:paraId="275E684B">
      <w:pPr>
        <w:spacing w:line="360" w:lineRule="auto"/>
        <w:ind w:left="630" w:leftChars="300"/>
        <w:rPr>
          <w:rFonts w:ascii="宋体" w:hAnsi="宋体" w:cs="宋体"/>
          <w:color w:val="auto"/>
        </w:rPr>
      </w:pPr>
      <w:r>
        <w:rPr>
          <w:rFonts w:hint="eastAsia" w:ascii="宋体" w:hAnsi="宋体" w:cs="宋体"/>
          <w:color w:val="auto"/>
        </w:rPr>
        <w:t>作为响应文件的一部分。</w:t>
      </w:r>
    </w:p>
    <w:p w14:paraId="295B0015">
      <w:pPr>
        <w:spacing w:line="360" w:lineRule="auto"/>
        <w:rPr>
          <w:rFonts w:ascii="宋体" w:hAnsi="宋体" w:cs="宋体"/>
          <w:b/>
          <w:bCs/>
          <w:color w:val="auto"/>
        </w:rPr>
      </w:pPr>
      <w:bookmarkStart w:id="100" w:name="_Hlk35576542"/>
      <w:bookmarkStart w:id="101" w:name="_Hlk35576543"/>
      <w:bookmarkStart w:id="102" w:name="_Hlk35576541"/>
      <w:r>
        <w:rPr>
          <w:rFonts w:hint="eastAsia" w:ascii="宋体" w:hAnsi="宋体" w:cs="宋体"/>
          <w:color w:val="auto"/>
        </w:rPr>
        <w:t>15</w:t>
      </w:r>
      <w:bookmarkEnd w:id="100"/>
      <w:bookmarkEnd w:id="101"/>
      <w:bookmarkEnd w:id="102"/>
      <w:r>
        <w:rPr>
          <w:rFonts w:hint="eastAsia" w:ascii="宋体" w:hAnsi="宋体" w:cs="宋体"/>
          <w:b/>
          <w:bCs/>
          <w:color w:val="auto"/>
        </w:rPr>
        <w:t>磋商保证金</w:t>
      </w:r>
    </w:p>
    <w:p w14:paraId="1C0057F2">
      <w:pPr>
        <w:spacing w:line="360" w:lineRule="auto"/>
        <w:ind w:firstLine="420" w:firstLineChars="200"/>
        <w:rPr>
          <w:rFonts w:hint="eastAsia" w:ascii="Arial" w:hAnsi="Arial" w:cs="Arial"/>
          <w:color w:val="auto"/>
          <w:highlight w:val="none"/>
          <w:lang w:val="en-US" w:eastAsia="zh-CN"/>
        </w:rPr>
      </w:pPr>
      <w:bookmarkStart w:id="103" w:name="_Hlk35576795"/>
      <w:bookmarkStart w:id="104" w:name="_Hlk35576794"/>
      <w:bookmarkStart w:id="105" w:name="_Hlk35576793"/>
      <w:r>
        <w:rPr>
          <w:rFonts w:ascii="Arial" w:hAnsi="Arial" w:cs="Arial"/>
          <w:color w:val="auto"/>
          <w:highlight w:val="none"/>
        </w:rPr>
        <w:t xml:space="preserve"> </w:t>
      </w:r>
      <w:r>
        <w:rPr>
          <w:rFonts w:hint="eastAsia" w:ascii="Arial" w:hAnsi="Arial" w:cs="Arial"/>
          <w:color w:val="auto"/>
          <w:highlight w:val="none"/>
          <w:lang w:val="en-US" w:eastAsia="zh-CN"/>
        </w:rPr>
        <w:t>按照《松原市优化提升营商环境建设60条》和《关于印发&lt;松原市政府集中采购目录及标准&gt;的通知》（松财办〔2021〕186号）要求，预算金额在500万元以下的政府采购项目，不收取投标保证金。</w:t>
      </w:r>
    </w:p>
    <w:p w14:paraId="7D9C8A5E">
      <w:pPr>
        <w:spacing w:line="360" w:lineRule="auto"/>
        <w:rPr>
          <w:rFonts w:ascii="宋体" w:hAnsi="宋体" w:cs="宋体"/>
          <w:b/>
          <w:bCs/>
          <w:color w:val="auto"/>
        </w:rPr>
      </w:pPr>
      <w:r>
        <w:rPr>
          <w:rFonts w:hint="eastAsia" w:ascii="宋体" w:hAnsi="宋体" w:cs="宋体"/>
          <w:color w:val="auto"/>
        </w:rPr>
        <w:t>16</w:t>
      </w:r>
      <w:bookmarkEnd w:id="103"/>
      <w:bookmarkEnd w:id="104"/>
      <w:bookmarkEnd w:id="105"/>
      <w:r>
        <w:rPr>
          <w:rFonts w:hint="eastAsia" w:ascii="宋体" w:hAnsi="宋体" w:cs="宋体"/>
          <w:b/>
          <w:bCs/>
          <w:color w:val="auto"/>
        </w:rPr>
        <w:t>响应文件有效期</w:t>
      </w:r>
    </w:p>
    <w:p w14:paraId="7135E4CF">
      <w:pPr>
        <w:spacing w:line="360" w:lineRule="auto"/>
        <w:ind w:left="630" w:hanging="630" w:hangingChars="300"/>
        <w:rPr>
          <w:rFonts w:ascii="宋体" w:hAnsi="宋体" w:cs="宋体"/>
          <w:color w:val="auto"/>
        </w:rPr>
      </w:pPr>
      <w:r>
        <w:rPr>
          <w:rFonts w:hint="eastAsia" w:ascii="宋体" w:hAnsi="宋体" w:cs="宋体"/>
          <w:color w:val="auto"/>
        </w:rPr>
        <w:t>16.1  响应文件将在</w:t>
      </w:r>
      <w:r>
        <w:rPr>
          <w:rFonts w:hint="eastAsia" w:ascii="宋体" w:hAnsi="宋体" w:cs="宋体"/>
          <w:b/>
          <w:bCs/>
          <w:color w:val="auto"/>
        </w:rPr>
        <w:t>响应文件开启日期后</w:t>
      </w:r>
      <w:r>
        <w:rPr>
          <w:rFonts w:hint="eastAsia" w:ascii="宋体" w:hAnsi="宋体" w:cs="宋体"/>
          <w:color w:val="auto"/>
          <w:u w:val="single"/>
        </w:rPr>
        <w:t>90</w:t>
      </w:r>
      <w:r>
        <w:rPr>
          <w:rFonts w:hint="eastAsia" w:ascii="宋体" w:hAnsi="宋体" w:cs="宋体"/>
          <w:b/>
          <w:bCs/>
          <w:color w:val="auto"/>
        </w:rPr>
        <w:t>天内有效</w:t>
      </w:r>
      <w:r>
        <w:rPr>
          <w:rFonts w:hint="eastAsia" w:ascii="宋体" w:hAnsi="宋体" w:cs="宋体"/>
          <w:color w:val="auto"/>
        </w:rPr>
        <w:t>。响应文件有效期比规定短的可以视为非响应标予以拒绝。在响应文件有效期内，供应商不得要求更改、修改响应文件或撤回响应文件。</w:t>
      </w:r>
    </w:p>
    <w:p w14:paraId="7FAA7F0F">
      <w:pPr>
        <w:spacing w:line="360" w:lineRule="auto"/>
        <w:ind w:left="630" w:hanging="630" w:hangingChars="300"/>
        <w:rPr>
          <w:rFonts w:ascii="宋体" w:hAnsi="宋体" w:cs="宋体"/>
          <w:color w:val="auto"/>
        </w:rPr>
      </w:pPr>
      <w:r>
        <w:rPr>
          <w:rFonts w:hint="eastAsia" w:ascii="宋体" w:hAnsi="宋体" w:cs="宋体"/>
          <w:color w:val="auto"/>
        </w:rPr>
        <w:t>16.2  在特殊情况下，采购代理机构可于响应文件有效期满之前书面要求供应商同意延长有效期。要求与答复均应为书面形式往来。供应商可以拒绝上述要求而其磋商保证金不被没收。对于同意该要求的供应商，既不要求也不允许其修改响应文件，但将要求其响应延长磋商保证金的有效期。</w:t>
      </w:r>
    </w:p>
    <w:p w14:paraId="6335E367">
      <w:pPr>
        <w:spacing w:line="360" w:lineRule="auto"/>
        <w:rPr>
          <w:rFonts w:ascii="宋体" w:hAnsi="宋体" w:cs="宋体"/>
          <w:b/>
          <w:bCs/>
          <w:color w:val="auto"/>
        </w:rPr>
      </w:pPr>
      <w:bookmarkStart w:id="106" w:name="_Hlk35576844"/>
      <w:bookmarkStart w:id="107" w:name="_Hlk35576845"/>
      <w:bookmarkStart w:id="108" w:name="_Hlk35576843"/>
      <w:r>
        <w:rPr>
          <w:rFonts w:hint="eastAsia" w:ascii="宋体" w:hAnsi="宋体" w:cs="宋体"/>
          <w:color w:val="auto"/>
        </w:rPr>
        <w:t>17</w:t>
      </w:r>
      <w:r>
        <w:rPr>
          <w:rFonts w:hint="eastAsia" w:ascii="宋体" w:hAnsi="宋体" w:cs="宋体"/>
          <w:b/>
          <w:bCs/>
          <w:color w:val="auto"/>
        </w:rPr>
        <w:t>响应文件的式样和签署</w:t>
      </w:r>
      <w:bookmarkEnd w:id="106"/>
      <w:bookmarkEnd w:id="107"/>
      <w:bookmarkEnd w:id="108"/>
      <w:r>
        <w:rPr>
          <w:rFonts w:hint="eastAsia" w:ascii="Arial" w:hAnsi="Arial" w:cs="Arial"/>
          <w:b/>
          <w:color w:val="auto"/>
          <w:highlight w:val="none"/>
          <w:lang w:eastAsia="zh-CN"/>
        </w:rPr>
        <w:t>（</w:t>
      </w:r>
      <w:r>
        <w:rPr>
          <w:rFonts w:hint="eastAsia" w:ascii="Arial" w:hAnsi="Arial" w:cs="Arial"/>
          <w:b/>
          <w:color w:val="auto"/>
          <w:highlight w:val="none"/>
          <w:lang w:val="en-US" w:eastAsia="zh-CN"/>
        </w:rPr>
        <w:t>不适用电子标）</w:t>
      </w:r>
    </w:p>
    <w:p w14:paraId="04BB25C3">
      <w:pPr>
        <w:spacing w:line="360" w:lineRule="auto"/>
        <w:ind w:left="630" w:hanging="630" w:hangingChars="300"/>
        <w:rPr>
          <w:rFonts w:ascii="宋体" w:hAnsi="宋体" w:cs="宋体"/>
          <w:color w:val="auto"/>
        </w:rPr>
      </w:pPr>
      <w:r>
        <w:rPr>
          <w:rFonts w:hint="eastAsia" w:ascii="宋体" w:hAnsi="宋体" w:cs="宋体"/>
          <w:color w:val="auto"/>
        </w:rPr>
        <w:t>17.1  供应商应按照本须知的要求编制响应文件，逐项逐条响应磋商文件。</w:t>
      </w:r>
      <w:r>
        <w:rPr>
          <w:rFonts w:hint="eastAsia" w:ascii="宋体" w:hAnsi="宋体" w:cs="宋体"/>
          <w:color w:val="auto"/>
          <w:lang w:eastAsia="zh-CN"/>
        </w:rPr>
        <w:t>响应文件</w:t>
      </w:r>
      <w:r>
        <w:rPr>
          <w:rFonts w:hint="eastAsia" w:ascii="宋体" w:hAnsi="宋体" w:cs="宋体"/>
          <w:color w:val="auto"/>
        </w:rPr>
        <w:t>应按第九章“</w:t>
      </w:r>
      <w:r>
        <w:rPr>
          <w:rFonts w:hint="eastAsia" w:ascii="宋体" w:hAnsi="宋体" w:cs="宋体"/>
          <w:color w:val="auto"/>
          <w:lang w:eastAsia="zh-CN"/>
        </w:rPr>
        <w:t>响应文件</w:t>
      </w:r>
      <w:r>
        <w:rPr>
          <w:rFonts w:hint="eastAsia" w:ascii="宋体" w:hAnsi="宋体" w:cs="宋体"/>
          <w:color w:val="auto"/>
        </w:rPr>
        <w:t>格式”进行编写，并在文件中填写目录与页码，如有必要，可以增加附页，作为</w:t>
      </w:r>
      <w:r>
        <w:rPr>
          <w:rFonts w:hint="eastAsia" w:ascii="宋体" w:hAnsi="宋体" w:cs="宋体"/>
          <w:color w:val="auto"/>
          <w:lang w:eastAsia="zh-CN"/>
        </w:rPr>
        <w:t>响应文件</w:t>
      </w:r>
      <w:r>
        <w:rPr>
          <w:rFonts w:hint="eastAsia" w:ascii="宋体" w:hAnsi="宋体" w:cs="宋体"/>
          <w:color w:val="auto"/>
        </w:rPr>
        <w:t>的组成部分。编制页眉页脚，并须编制目录及页码（目录中须编制页码，整体</w:t>
      </w:r>
      <w:r>
        <w:rPr>
          <w:rFonts w:hint="eastAsia" w:ascii="宋体" w:hAnsi="宋体" w:cs="宋体"/>
          <w:color w:val="auto"/>
          <w:lang w:eastAsia="zh-CN"/>
        </w:rPr>
        <w:t>响应文件</w:t>
      </w:r>
      <w:r>
        <w:rPr>
          <w:rFonts w:hint="eastAsia" w:ascii="宋体" w:hAnsi="宋体" w:cs="宋体"/>
          <w:color w:val="auto"/>
        </w:rPr>
        <w:t>应编制连续不间断页码且须与目录中页码相对应，否则按无效</w:t>
      </w:r>
      <w:r>
        <w:rPr>
          <w:rFonts w:hint="eastAsia" w:ascii="宋体" w:hAnsi="宋体" w:cs="宋体"/>
          <w:color w:val="auto"/>
          <w:lang w:eastAsia="zh-CN"/>
        </w:rPr>
        <w:t>响应文件</w:t>
      </w:r>
      <w:r>
        <w:rPr>
          <w:rFonts w:hint="eastAsia" w:ascii="宋体" w:hAnsi="宋体" w:cs="宋体"/>
          <w:color w:val="auto"/>
        </w:rPr>
        <w:t>处理）。其中，投标函附录在满足招标文件实质性要求的基础上，可以提出比招标文件要求更有利于招标人的承诺。</w:t>
      </w:r>
    </w:p>
    <w:p w14:paraId="09FA0C72">
      <w:pPr>
        <w:spacing w:line="360" w:lineRule="auto"/>
        <w:ind w:left="630" w:hanging="630" w:hangingChars="300"/>
        <w:rPr>
          <w:rFonts w:ascii="宋体" w:hAnsi="宋体" w:cs="宋体"/>
          <w:color w:val="auto"/>
        </w:rPr>
      </w:pPr>
      <w:r>
        <w:rPr>
          <w:rFonts w:hint="eastAsia" w:ascii="宋体" w:hAnsi="宋体" w:cs="宋体"/>
          <w:color w:val="auto"/>
        </w:rPr>
        <w:t>17.2  供应商应准备一份正本和</w:t>
      </w:r>
      <w:r>
        <w:rPr>
          <w:rFonts w:hint="eastAsia" w:ascii="宋体" w:hAnsi="宋体" w:cs="宋体"/>
          <w:color w:val="auto"/>
          <w:u w:val="single"/>
          <w:lang w:eastAsia="zh-CN"/>
        </w:rPr>
        <w:t>三</w:t>
      </w:r>
      <w:r>
        <w:rPr>
          <w:rFonts w:hint="eastAsia" w:ascii="宋体" w:hAnsi="宋体" w:cs="宋体"/>
          <w:color w:val="auto"/>
        </w:rPr>
        <w:t>份副本响应文件，在每一份响应文件上编上页次，装订成册，并要明确注明“正本”和“副本”，一旦正本和副本发现差异，以正本为准。</w:t>
      </w:r>
    </w:p>
    <w:p w14:paraId="16306317">
      <w:pPr>
        <w:spacing w:line="360" w:lineRule="auto"/>
        <w:ind w:left="630" w:hanging="630" w:hangingChars="300"/>
        <w:rPr>
          <w:rFonts w:ascii="宋体" w:hAnsi="宋体" w:cs="宋体"/>
          <w:b/>
          <w:bCs/>
          <w:color w:val="auto"/>
        </w:rPr>
      </w:pPr>
      <w:r>
        <w:rPr>
          <w:rFonts w:hint="eastAsia" w:ascii="宋体" w:hAnsi="宋体" w:cs="宋体"/>
          <w:color w:val="auto"/>
        </w:rPr>
        <w:t>17.3  响应文件正本须打印或用不退色墨水书写并由法定代表人（单位负责人）或经其正式授权并对供应商有合同约束力的人签字，后者须将法定代表人（单位负责人）“授权委托书”以书面形式附在响应文件中。响应文件的副本可采用正本的复印件。未经有效签署的响应文件将被作为非实质响应而被拒绝。</w:t>
      </w:r>
    </w:p>
    <w:p w14:paraId="4CFF1AC4">
      <w:pPr>
        <w:spacing w:line="360" w:lineRule="auto"/>
        <w:ind w:left="630" w:hanging="630" w:hangingChars="300"/>
        <w:rPr>
          <w:rFonts w:ascii="宋体" w:hAnsi="宋体" w:cs="宋体"/>
          <w:color w:val="auto"/>
        </w:rPr>
      </w:pPr>
      <w:r>
        <w:rPr>
          <w:rFonts w:hint="eastAsia" w:ascii="宋体" w:hAnsi="宋体" w:cs="宋体"/>
          <w:color w:val="auto"/>
        </w:rPr>
        <w:t>17.4  除供应商对错处作必要修改外，响应文件中不许有加行、涂抹或改写。若有修改须由签署响应文件的被授权代表在旁边签字才有效。</w:t>
      </w:r>
    </w:p>
    <w:p w14:paraId="2FC73B05">
      <w:pPr>
        <w:spacing w:line="360" w:lineRule="auto"/>
        <w:rPr>
          <w:rFonts w:ascii="宋体" w:hAnsi="宋体" w:cs="宋体"/>
          <w:b/>
          <w:bCs/>
          <w:color w:val="auto"/>
        </w:rPr>
      </w:pPr>
      <w:bookmarkStart w:id="109" w:name="_投标文件的递交"/>
      <w:bookmarkEnd w:id="109"/>
      <w:r>
        <w:rPr>
          <w:rFonts w:hint="eastAsia" w:ascii="宋体" w:hAnsi="宋体" w:cs="宋体"/>
          <w:color w:val="auto"/>
        </w:rPr>
        <w:t>D</w:t>
      </w:r>
      <w:r>
        <w:rPr>
          <w:rFonts w:hint="eastAsia" w:ascii="宋体" w:hAnsi="宋体" w:cs="宋体"/>
          <w:b/>
          <w:bCs/>
          <w:color w:val="auto"/>
        </w:rPr>
        <w:t>响应文件的递交</w:t>
      </w:r>
      <w:r>
        <w:rPr>
          <w:rFonts w:hint="eastAsia" w:ascii="Arial" w:hAnsi="Arial" w:cs="Arial"/>
          <w:b/>
          <w:color w:val="auto"/>
          <w:highlight w:val="none"/>
          <w:lang w:eastAsia="zh-CN"/>
        </w:rPr>
        <w:t>（</w:t>
      </w:r>
      <w:r>
        <w:rPr>
          <w:rFonts w:hint="eastAsia" w:ascii="Arial" w:hAnsi="Arial" w:cs="Arial"/>
          <w:b/>
          <w:color w:val="auto"/>
          <w:highlight w:val="none"/>
          <w:lang w:val="en-US" w:eastAsia="zh-CN"/>
        </w:rPr>
        <w:t>不适用电子标）</w:t>
      </w:r>
    </w:p>
    <w:p w14:paraId="710D95BD">
      <w:pPr>
        <w:spacing w:line="360" w:lineRule="auto"/>
        <w:rPr>
          <w:rFonts w:ascii="宋体" w:hAnsi="宋体" w:cs="宋体"/>
          <w:b/>
          <w:bCs/>
          <w:color w:val="auto"/>
        </w:rPr>
      </w:pPr>
      <w:bookmarkStart w:id="110" w:name="_Hlk35576102"/>
      <w:bookmarkStart w:id="111" w:name="_Hlk35576100"/>
      <w:bookmarkStart w:id="112" w:name="_Hlk35576101"/>
      <w:r>
        <w:rPr>
          <w:rFonts w:hint="eastAsia" w:ascii="宋体" w:hAnsi="宋体" w:cs="宋体"/>
          <w:color w:val="auto"/>
        </w:rPr>
        <w:t>18</w:t>
      </w:r>
      <w:r>
        <w:rPr>
          <w:rFonts w:hint="eastAsia" w:ascii="宋体" w:hAnsi="宋体" w:cs="宋体"/>
          <w:b/>
          <w:bCs/>
          <w:color w:val="auto"/>
        </w:rPr>
        <w:t>响应文件的密封和标记</w:t>
      </w:r>
      <w:bookmarkEnd w:id="110"/>
      <w:bookmarkEnd w:id="111"/>
      <w:bookmarkEnd w:id="112"/>
      <w:r>
        <w:rPr>
          <w:rFonts w:hint="eastAsia" w:ascii="Arial" w:hAnsi="Arial" w:cs="Arial"/>
          <w:b/>
          <w:color w:val="auto"/>
          <w:highlight w:val="none"/>
          <w:lang w:eastAsia="zh-CN"/>
        </w:rPr>
        <w:t>（</w:t>
      </w:r>
      <w:r>
        <w:rPr>
          <w:rFonts w:hint="eastAsia" w:ascii="Arial" w:hAnsi="Arial" w:cs="Arial"/>
          <w:b/>
          <w:color w:val="auto"/>
          <w:highlight w:val="none"/>
          <w:lang w:val="en-US" w:eastAsia="zh-CN"/>
        </w:rPr>
        <w:t>不适用电子标）</w:t>
      </w:r>
    </w:p>
    <w:p w14:paraId="04579C21">
      <w:pPr>
        <w:widowControl/>
        <w:autoSpaceDE w:val="0"/>
        <w:autoSpaceDN w:val="0"/>
        <w:spacing w:line="360" w:lineRule="auto"/>
        <w:ind w:left="630" w:right="18" w:hanging="630" w:hangingChars="300"/>
        <w:textAlignment w:val="bottom"/>
        <w:rPr>
          <w:rFonts w:ascii="宋体" w:hAnsi="宋体" w:cs="宋体"/>
          <w:b/>
          <w:bCs/>
          <w:color w:val="auto"/>
        </w:rPr>
      </w:pPr>
      <w:r>
        <w:rPr>
          <w:rFonts w:hint="eastAsia" w:ascii="宋体" w:hAnsi="宋体" w:cs="宋体"/>
          <w:color w:val="auto"/>
        </w:rPr>
        <w:t xml:space="preserve">18.1 </w:t>
      </w:r>
      <w:r>
        <w:rPr>
          <w:rFonts w:hint="eastAsia" w:ascii="宋体" w:hAnsi="宋体" w:cs="宋体"/>
          <w:b/>
          <w:bCs/>
          <w:color w:val="auto"/>
        </w:rPr>
        <w:t>供应商应将响应文件正本和所有副本分开密封装在单独的信封中，并在信封上标明“正本”或“副本”，然后再将所有信封装在一个外信封中。</w:t>
      </w:r>
    </w:p>
    <w:p w14:paraId="028CF757">
      <w:pPr>
        <w:widowControl/>
        <w:numPr>
          <w:ilvl w:val="1"/>
          <w:numId w:val="6"/>
        </w:numPr>
        <w:autoSpaceDE w:val="0"/>
        <w:autoSpaceDN w:val="0"/>
        <w:spacing w:line="360" w:lineRule="auto"/>
        <w:ind w:right="18"/>
        <w:textAlignment w:val="bottom"/>
        <w:rPr>
          <w:rFonts w:ascii="宋体" w:hAnsi="宋体" w:cs="宋体"/>
          <w:color w:val="auto"/>
        </w:rPr>
      </w:pPr>
      <w:r>
        <w:rPr>
          <w:rFonts w:hint="eastAsia" w:ascii="宋体" w:hAnsi="宋体" w:cs="宋体"/>
          <w:color w:val="auto"/>
        </w:rPr>
        <w:t xml:space="preserve">  内外信封均应：</w:t>
      </w:r>
    </w:p>
    <w:p w14:paraId="6FDC7FB7">
      <w:pPr>
        <w:widowControl/>
        <w:numPr>
          <w:ilvl w:val="3"/>
          <w:numId w:val="7"/>
        </w:numPr>
        <w:autoSpaceDE w:val="0"/>
        <w:autoSpaceDN w:val="0"/>
        <w:spacing w:line="360" w:lineRule="auto"/>
        <w:ind w:right="893" w:hanging="221"/>
        <w:textAlignment w:val="bottom"/>
        <w:rPr>
          <w:rFonts w:ascii="宋体" w:hAnsi="宋体" w:cs="宋体"/>
          <w:color w:val="auto"/>
        </w:rPr>
      </w:pPr>
      <w:r>
        <w:rPr>
          <w:rFonts w:hint="eastAsia" w:ascii="宋体" w:hAnsi="宋体" w:cs="宋体"/>
          <w:color w:val="auto"/>
        </w:rPr>
        <w:t>按第三篇“响应资料表”所示地址递交采购代理机构。</w:t>
      </w:r>
    </w:p>
    <w:p w14:paraId="267B1C87">
      <w:pPr>
        <w:widowControl/>
        <w:numPr>
          <w:ilvl w:val="3"/>
          <w:numId w:val="7"/>
        </w:numPr>
        <w:autoSpaceDE w:val="0"/>
        <w:autoSpaceDN w:val="0"/>
        <w:spacing w:line="360" w:lineRule="auto"/>
        <w:ind w:right="-120" w:hanging="221"/>
        <w:textAlignment w:val="bottom"/>
        <w:rPr>
          <w:rFonts w:ascii="宋体" w:hAnsi="宋体" w:cs="宋体"/>
          <w:color w:val="auto"/>
        </w:rPr>
      </w:pPr>
      <w:r>
        <w:rPr>
          <w:rFonts w:hint="eastAsia" w:ascii="宋体" w:hAnsi="宋体" w:cs="宋体"/>
          <w:color w:val="auto"/>
        </w:rPr>
        <w:t>标明项目名称、项目编号及“响应资料表”中规定的响应文件开启日期和时间前“不准启封”的字样。</w:t>
      </w:r>
    </w:p>
    <w:p w14:paraId="48A51AA8">
      <w:pPr>
        <w:widowControl/>
        <w:numPr>
          <w:ilvl w:val="3"/>
          <w:numId w:val="7"/>
        </w:numPr>
        <w:autoSpaceDE w:val="0"/>
        <w:autoSpaceDN w:val="0"/>
        <w:spacing w:line="360" w:lineRule="auto"/>
        <w:ind w:right="-120" w:hanging="221"/>
        <w:textAlignment w:val="bottom"/>
        <w:rPr>
          <w:rFonts w:ascii="宋体" w:hAnsi="宋体" w:cs="宋体"/>
          <w:color w:val="auto"/>
        </w:rPr>
      </w:pPr>
      <w:r>
        <w:rPr>
          <w:rFonts w:hint="eastAsia" w:ascii="宋体" w:hAnsi="宋体" w:cs="宋体"/>
          <w:color w:val="auto"/>
        </w:rPr>
        <w:t>写明供应商名称和地址，以便原封退还迟交的响应文件。</w:t>
      </w:r>
    </w:p>
    <w:p w14:paraId="359F5974">
      <w:pPr>
        <w:widowControl/>
        <w:numPr>
          <w:ilvl w:val="1"/>
          <w:numId w:val="8"/>
        </w:numPr>
        <w:autoSpaceDE w:val="0"/>
        <w:autoSpaceDN w:val="0"/>
        <w:spacing w:line="360" w:lineRule="auto"/>
        <w:ind w:right="18"/>
        <w:textAlignment w:val="bottom"/>
        <w:rPr>
          <w:rFonts w:ascii="宋体" w:hAnsi="宋体" w:cs="宋体"/>
          <w:color w:val="auto"/>
        </w:rPr>
      </w:pPr>
      <w:r>
        <w:rPr>
          <w:rFonts w:hint="eastAsia" w:ascii="宋体" w:hAnsi="宋体" w:cs="宋体"/>
          <w:color w:val="auto"/>
        </w:rPr>
        <w:t xml:space="preserve">  如果外信封未按第18.2款规定密封和标记，采购代理机构对响应文件的误投或提前拆封不负责任。 </w:t>
      </w:r>
    </w:p>
    <w:p w14:paraId="30919EEE">
      <w:pPr>
        <w:widowControl/>
        <w:autoSpaceDE w:val="0"/>
        <w:autoSpaceDN w:val="0"/>
        <w:spacing w:line="360" w:lineRule="auto"/>
        <w:ind w:right="18" w:firstLine="630" w:firstLineChars="300"/>
        <w:textAlignment w:val="bottom"/>
        <w:rPr>
          <w:rFonts w:ascii="宋体" w:hAnsi="宋体" w:cs="宋体"/>
          <w:color w:val="auto"/>
        </w:rPr>
      </w:pPr>
      <w:r>
        <w:rPr>
          <w:rFonts w:hint="eastAsia" w:ascii="宋体" w:hAnsi="宋体" w:cs="宋体"/>
          <w:color w:val="auto"/>
        </w:rPr>
        <w:t>对由此造成提前开封的响应文件，采购代理机构将予以拒绝，并退回供应商。</w:t>
      </w:r>
    </w:p>
    <w:p w14:paraId="383D3039">
      <w:pPr>
        <w:widowControl/>
        <w:numPr>
          <w:ilvl w:val="1"/>
          <w:numId w:val="8"/>
        </w:numPr>
        <w:autoSpaceDE w:val="0"/>
        <w:autoSpaceDN w:val="0"/>
        <w:spacing w:line="360" w:lineRule="auto"/>
        <w:ind w:right="18"/>
        <w:textAlignment w:val="bottom"/>
        <w:rPr>
          <w:rFonts w:ascii="宋体" w:hAnsi="宋体" w:cs="宋体"/>
          <w:color w:val="auto"/>
        </w:rPr>
      </w:pPr>
      <w:r>
        <w:rPr>
          <w:rFonts w:hint="eastAsia" w:ascii="宋体" w:hAnsi="宋体" w:cs="宋体"/>
          <w:color w:val="auto"/>
        </w:rPr>
        <w:t xml:space="preserve">磋商保证金和首次报价一览表，应分别以单独信封密封，并独立于响应文件之外。 </w:t>
      </w:r>
    </w:p>
    <w:p w14:paraId="3709ADDF">
      <w:pPr>
        <w:spacing w:line="360" w:lineRule="auto"/>
        <w:rPr>
          <w:rFonts w:ascii="宋体" w:hAnsi="宋体" w:cs="宋体"/>
          <w:b/>
          <w:bCs/>
          <w:color w:val="auto"/>
        </w:rPr>
      </w:pPr>
      <w:bookmarkStart w:id="113" w:name="_Hlk35577009"/>
      <w:bookmarkStart w:id="114" w:name="_Hlk35577008"/>
      <w:bookmarkStart w:id="115" w:name="_Hlk35577010"/>
      <w:r>
        <w:rPr>
          <w:rFonts w:hint="eastAsia" w:ascii="宋体" w:hAnsi="宋体" w:cs="宋体"/>
          <w:color w:val="auto"/>
        </w:rPr>
        <w:t>19</w:t>
      </w:r>
      <w:r>
        <w:rPr>
          <w:rFonts w:hint="eastAsia" w:ascii="宋体" w:hAnsi="宋体" w:cs="宋体"/>
          <w:b/>
          <w:bCs/>
          <w:color w:val="auto"/>
        </w:rPr>
        <w:t xml:space="preserve"> 递交响应文件的截止</w:t>
      </w:r>
      <w:bookmarkEnd w:id="113"/>
      <w:bookmarkEnd w:id="114"/>
      <w:bookmarkEnd w:id="115"/>
      <w:r>
        <w:rPr>
          <w:rFonts w:hint="eastAsia" w:ascii="宋体" w:hAnsi="宋体" w:cs="宋体"/>
          <w:b/>
          <w:bCs/>
          <w:color w:val="auto"/>
        </w:rPr>
        <w:t>时间</w:t>
      </w:r>
    </w:p>
    <w:p w14:paraId="134DE660">
      <w:pPr>
        <w:spacing w:line="360" w:lineRule="auto"/>
        <w:rPr>
          <w:rFonts w:ascii="宋体" w:hAnsi="宋体" w:cs="宋体"/>
          <w:color w:val="auto"/>
        </w:rPr>
      </w:pPr>
      <w:r>
        <w:rPr>
          <w:rFonts w:hint="eastAsia" w:ascii="宋体" w:hAnsi="宋体" w:cs="宋体"/>
          <w:color w:val="auto"/>
        </w:rPr>
        <w:t>19.1  采购代理机构收到响应文件的时间不得迟于</w:t>
      </w:r>
      <w:r>
        <w:rPr>
          <w:color w:val="auto"/>
        </w:rPr>
        <w:fldChar w:fldCharType="begin"/>
      </w:r>
      <w:r>
        <w:rPr>
          <w:color w:val="auto"/>
        </w:rPr>
        <w:instrText xml:space="preserve"> HYPERLINK \l "_Hlk35583058" \s "1,11363,11368,0,,投标资料表" </w:instrText>
      </w:r>
      <w:r>
        <w:rPr>
          <w:color w:val="auto"/>
        </w:rPr>
        <w:fldChar w:fldCharType="separate"/>
      </w:r>
      <w:r>
        <w:rPr>
          <w:rFonts w:hint="eastAsia" w:ascii="宋体" w:hAnsi="宋体" w:cs="宋体"/>
          <w:color w:val="auto"/>
        </w:rPr>
        <w:t>第三篇“响应资料表”</w:t>
      </w:r>
      <w:r>
        <w:rPr>
          <w:rFonts w:hint="eastAsia" w:ascii="宋体" w:hAnsi="宋体" w:cs="宋体"/>
          <w:color w:val="auto"/>
        </w:rPr>
        <w:fldChar w:fldCharType="end"/>
      </w:r>
      <w:r>
        <w:rPr>
          <w:rFonts w:hint="eastAsia" w:ascii="宋体" w:hAnsi="宋体" w:cs="宋体"/>
          <w:color w:val="auto"/>
        </w:rPr>
        <w:t>中规定的截止时间。</w:t>
      </w:r>
    </w:p>
    <w:p w14:paraId="2E568B86">
      <w:pPr>
        <w:spacing w:line="360" w:lineRule="auto"/>
        <w:ind w:left="630" w:hanging="630" w:hangingChars="300"/>
        <w:rPr>
          <w:rFonts w:ascii="宋体" w:hAnsi="宋体" w:cs="宋体"/>
          <w:color w:val="auto"/>
        </w:rPr>
      </w:pPr>
      <w:r>
        <w:rPr>
          <w:rFonts w:hint="eastAsia" w:ascii="宋体" w:hAnsi="宋体" w:cs="宋体"/>
          <w:color w:val="auto"/>
        </w:rPr>
        <w:t>19.2  采购代理机构可按照第7款的规定修改磋商文件并酌情延长提交响应文件的截止时间，因此，业已规定的采购代理机构和供应商的一切权利和义务将按延期后的递交响应文件截止时间履行。</w:t>
      </w:r>
    </w:p>
    <w:p w14:paraId="55E2D523">
      <w:pPr>
        <w:spacing w:line="360" w:lineRule="auto"/>
        <w:rPr>
          <w:rFonts w:ascii="宋体" w:hAnsi="宋体" w:cs="宋体"/>
          <w:b/>
          <w:bCs/>
          <w:color w:val="auto"/>
        </w:rPr>
      </w:pPr>
      <w:bookmarkStart w:id="116" w:name="_Hlk35577343"/>
      <w:bookmarkStart w:id="117" w:name="_Hlk35577345"/>
      <w:bookmarkStart w:id="118" w:name="_Hlk35577344"/>
      <w:r>
        <w:rPr>
          <w:rFonts w:hint="eastAsia" w:ascii="宋体" w:hAnsi="宋体" w:cs="宋体"/>
          <w:color w:val="auto"/>
        </w:rPr>
        <w:t>20</w:t>
      </w:r>
      <w:r>
        <w:rPr>
          <w:rFonts w:hint="eastAsia" w:ascii="宋体" w:hAnsi="宋体" w:cs="宋体"/>
          <w:b/>
          <w:bCs/>
          <w:color w:val="auto"/>
        </w:rPr>
        <w:t xml:space="preserve"> 迟交的</w:t>
      </w:r>
      <w:bookmarkEnd w:id="116"/>
      <w:bookmarkEnd w:id="117"/>
      <w:bookmarkEnd w:id="118"/>
      <w:r>
        <w:rPr>
          <w:rFonts w:hint="eastAsia" w:ascii="宋体" w:hAnsi="宋体" w:cs="宋体"/>
          <w:b/>
          <w:bCs/>
          <w:color w:val="auto"/>
        </w:rPr>
        <w:t>响应文件</w:t>
      </w:r>
    </w:p>
    <w:p w14:paraId="5F68BF0A">
      <w:pPr>
        <w:widowControl/>
        <w:autoSpaceDE w:val="0"/>
        <w:autoSpaceDN w:val="0"/>
        <w:spacing w:line="360" w:lineRule="auto"/>
        <w:ind w:left="630" w:hanging="630" w:hangingChars="300"/>
        <w:textAlignment w:val="bottom"/>
        <w:rPr>
          <w:rFonts w:ascii="宋体" w:hAnsi="宋体" w:cs="宋体"/>
          <w:color w:val="auto"/>
        </w:rPr>
      </w:pPr>
      <w:r>
        <w:rPr>
          <w:rFonts w:hint="eastAsia" w:ascii="宋体" w:hAnsi="宋体" w:cs="宋体"/>
          <w:color w:val="auto"/>
        </w:rPr>
        <w:t>20.1  根据第19款规定，采购代理机构将拒绝任何晚于递交响应文件的截止时间交到的响应文件。</w:t>
      </w:r>
    </w:p>
    <w:p w14:paraId="3B780178">
      <w:pPr>
        <w:spacing w:line="360" w:lineRule="auto"/>
        <w:rPr>
          <w:rFonts w:ascii="宋体" w:hAnsi="宋体" w:cs="宋体"/>
          <w:b/>
          <w:bCs/>
          <w:color w:val="auto"/>
        </w:rPr>
      </w:pPr>
      <w:bookmarkStart w:id="119" w:name="_Hlk35577381"/>
      <w:bookmarkStart w:id="120" w:name="_Hlk35577382"/>
      <w:bookmarkStart w:id="121" w:name="_Hlk35577380"/>
      <w:r>
        <w:rPr>
          <w:rFonts w:hint="eastAsia" w:ascii="宋体" w:hAnsi="宋体" w:cs="宋体"/>
          <w:color w:val="auto"/>
        </w:rPr>
        <w:t>21</w:t>
      </w:r>
      <w:r>
        <w:rPr>
          <w:rFonts w:hint="eastAsia" w:ascii="宋体" w:hAnsi="宋体" w:cs="宋体"/>
          <w:b/>
          <w:bCs/>
          <w:color w:val="auto"/>
        </w:rPr>
        <w:t>响应文件的修改和撤回</w:t>
      </w:r>
      <w:bookmarkEnd w:id="119"/>
      <w:bookmarkEnd w:id="120"/>
      <w:bookmarkEnd w:id="121"/>
      <w:r>
        <w:rPr>
          <w:rFonts w:hint="eastAsia" w:ascii="Arial" w:hAnsi="Arial" w:cs="Arial"/>
          <w:b/>
          <w:color w:val="auto"/>
          <w:highlight w:val="none"/>
          <w:lang w:eastAsia="zh-CN"/>
        </w:rPr>
        <w:t>（</w:t>
      </w:r>
      <w:r>
        <w:rPr>
          <w:rFonts w:hint="eastAsia" w:ascii="Arial" w:hAnsi="Arial" w:cs="Arial"/>
          <w:b/>
          <w:color w:val="auto"/>
          <w:highlight w:val="none"/>
          <w:lang w:val="en-US" w:eastAsia="zh-CN"/>
        </w:rPr>
        <w:t>不适用电子标）</w:t>
      </w:r>
    </w:p>
    <w:p w14:paraId="181E095D">
      <w:pPr>
        <w:widowControl/>
        <w:autoSpaceDE w:val="0"/>
        <w:autoSpaceDN w:val="0"/>
        <w:spacing w:line="360" w:lineRule="auto"/>
        <w:ind w:left="630" w:right="18" w:hanging="630" w:hangingChars="300"/>
        <w:textAlignment w:val="bottom"/>
        <w:rPr>
          <w:rFonts w:ascii="宋体" w:hAnsi="宋体" w:cs="宋体"/>
          <w:color w:val="auto"/>
        </w:rPr>
      </w:pPr>
      <w:r>
        <w:rPr>
          <w:rFonts w:hint="eastAsia" w:ascii="宋体" w:hAnsi="宋体" w:cs="宋体"/>
          <w:color w:val="auto"/>
        </w:rPr>
        <w:t>21.1  供应商在提交响应文件后可对其响应文件进行修改或撤回，但采购代理机构须在提交响应文件截止时间前收到该修改或撤回的书面通知。</w:t>
      </w:r>
    </w:p>
    <w:p w14:paraId="2E40CA63">
      <w:pPr>
        <w:widowControl/>
        <w:autoSpaceDE w:val="0"/>
        <w:autoSpaceDN w:val="0"/>
        <w:spacing w:line="360" w:lineRule="auto"/>
        <w:ind w:left="630" w:right="18" w:hanging="630" w:hangingChars="300"/>
        <w:textAlignment w:val="bottom"/>
        <w:rPr>
          <w:rFonts w:ascii="宋体" w:hAnsi="宋体" w:cs="宋体"/>
          <w:color w:val="auto"/>
        </w:rPr>
      </w:pPr>
      <w:r>
        <w:rPr>
          <w:rFonts w:hint="eastAsia" w:ascii="宋体" w:hAnsi="宋体" w:cs="宋体"/>
          <w:color w:val="auto"/>
        </w:rPr>
        <w:t>21.2  供应商对响应文件的修改或撤回的通知应按</w:t>
      </w:r>
      <w:r>
        <w:rPr>
          <w:color w:val="auto"/>
        </w:rPr>
        <w:fldChar w:fldCharType="begin"/>
      </w:r>
      <w:r>
        <w:rPr>
          <w:color w:val="auto"/>
        </w:rPr>
        <w:instrText xml:space="preserve"> HYPERLINK \l "_投标文件的编制" \o "投标文件的式样和签署" </w:instrText>
      </w:r>
      <w:r>
        <w:rPr>
          <w:color w:val="auto"/>
        </w:rPr>
        <w:fldChar w:fldCharType="separate"/>
      </w:r>
      <w:r>
        <w:rPr>
          <w:rFonts w:hint="eastAsia" w:ascii="宋体" w:hAnsi="宋体" w:cs="宋体"/>
          <w:color w:val="auto"/>
        </w:rPr>
        <w:t>第17款</w:t>
      </w:r>
      <w:r>
        <w:rPr>
          <w:rFonts w:hint="eastAsia" w:ascii="宋体" w:hAnsi="宋体" w:cs="宋体"/>
          <w:color w:val="auto"/>
        </w:rPr>
        <w:fldChar w:fldCharType="end"/>
      </w:r>
      <w:r>
        <w:rPr>
          <w:rFonts w:hint="eastAsia" w:ascii="宋体" w:hAnsi="宋体" w:cs="宋体"/>
          <w:color w:val="auto"/>
        </w:rPr>
        <w:t>和</w:t>
      </w:r>
      <w:r>
        <w:rPr>
          <w:color w:val="auto"/>
        </w:rPr>
        <w:fldChar w:fldCharType="begin"/>
      </w:r>
      <w:r>
        <w:rPr>
          <w:color w:val="auto"/>
        </w:rPr>
        <w:instrText xml:space="preserve"> HYPERLINK \l "_投标文件的编制" \o "投标文件的密封和标记" </w:instrText>
      </w:r>
      <w:r>
        <w:rPr>
          <w:color w:val="auto"/>
        </w:rPr>
        <w:fldChar w:fldCharType="separate"/>
      </w:r>
      <w:r>
        <w:rPr>
          <w:rFonts w:hint="eastAsia" w:ascii="宋体" w:hAnsi="宋体" w:cs="宋体"/>
          <w:color w:val="auto"/>
        </w:rPr>
        <w:t>第</w:t>
      </w:r>
      <w:bookmarkStart w:id="122" w:name="_Hlt37766105"/>
      <w:r>
        <w:rPr>
          <w:rFonts w:hint="eastAsia" w:ascii="宋体" w:hAnsi="宋体" w:cs="宋体"/>
          <w:color w:val="auto"/>
        </w:rPr>
        <w:t>1</w:t>
      </w:r>
      <w:bookmarkEnd w:id="122"/>
      <w:r>
        <w:rPr>
          <w:rFonts w:hint="eastAsia" w:ascii="宋体" w:hAnsi="宋体" w:cs="宋体"/>
          <w:color w:val="auto"/>
        </w:rPr>
        <w:t>8款</w:t>
      </w:r>
      <w:r>
        <w:rPr>
          <w:rFonts w:hint="eastAsia" w:ascii="宋体" w:hAnsi="宋体" w:cs="宋体"/>
          <w:color w:val="auto"/>
        </w:rPr>
        <w:fldChar w:fldCharType="end"/>
      </w:r>
      <w:r>
        <w:rPr>
          <w:rFonts w:hint="eastAsia" w:ascii="宋体" w:hAnsi="宋体" w:cs="宋体"/>
          <w:color w:val="auto"/>
        </w:rPr>
        <w:t>规定进行准备，密封，标注和递送。</w:t>
      </w:r>
    </w:p>
    <w:p w14:paraId="0563A114">
      <w:pPr>
        <w:widowControl/>
        <w:autoSpaceDE w:val="0"/>
        <w:autoSpaceDN w:val="0"/>
        <w:spacing w:line="360" w:lineRule="auto"/>
        <w:ind w:right="18"/>
        <w:textAlignment w:val="bottom"/>
        <w:rPr>
          <w:rFonts w:ascii="宋体" w:hAnsi="宋体" w:cs="宋体"/>
          <w:color w:val="auto"/>
        </w:rPr>
      </w:pPr>
      <w:r>
        <w:rPr>
          <w:rFonts w:hint="eastAsia" w:ascii="宋体" w:hAnsi="宋体" w:cs="宋体"/>
          <w:color w:val="auto"/>
        </w:rPr>
        <w:t>21.3  递交响应文件截止时间后不得修改响应文件。</w:t>
      </w:r>
    </w:p>
    <w:p w14:paraId="21ACEA3A">
      <w:pPr>
        <w:widowControl/>
        <w:autoSpaceDE w:val="0"/>
        <w:autoSpaceDN w:val="0"/>
        <w:spacing w:line="360" w:lineRule="auto"/>
        <w:ind w:left="630" w:right="18" w:hanging="630" w:hangingChars="300"/>
        <w:textAlignment w:val="bottom"/>
        <w:rPr>
          <w:rFonts w:ascii="宋体" w:hAnsi="宋体" w:cs="宋体"/>
          <w:color w:val="auto"/>
        </w:rPr>
      </w:pPr>
      <w:r>
        <w:rPr>
          <w:rFonts w:hint="eastAsia" w:ascii="宋体" w:hAnsi="宋体" w:cs="宋体"/>
          <w:color w:val="auto"/>
        </w:rPr>
        <w:t>21.4  供应商不得在递交响应文件截止日起至</w:t>
      </w:r>
      <w:r>
        <w:rPr>
          <w:color w:val="auto"/>
        </w:rPr>
        <w:fldChar w:fldCharType="begin"/>
      </w:r>
      <w:r>
        <w:rPr>
          <w:color w:val="auto"/>
        </w:rPr>
        <w:instrText xml:space="preserve"> HYPERLINK \l "_投标文件的编制" \o "投标有效期" </w:instrText>
      </w:r>
      <w:r>
        <w:rPr>
          <w:color w:val="auto"/>
        </w:rPr>
        <w:fldChar w:fldCharType="separate"/>
      </w:r>
      <w:r>
        <w:rPr>
          <w:rFonts w:hint="eastAsia" w:ascii="宋体" w:hAnsi="宋体" w:cs="宋体"/>
          <w:color w:val="auto"/>
        </w:rPr>
        <w:t>第16款</w:t>
      </w:r>
      <w:r>
        <w:rPr>
          <w:rFonts w:hint="eastAsia" w:ascii="宋体" w:hAnsi="宋体" w:cs="宋体"/>
          <w:color w:val="auto"/>
        </w:rPr>
        <w:fldChar w:fldCharType="end"/>
      </w:r>
      <w:r>
        <w:rPr>
          <w:rFonts w:hint="eastAsia" w:ascii="宋体" w:hAnsi="宋体" w:cs="宋体"/>
          <w:color w:val="auto"/>
        </w:rPr>
        <w:t>规定的响应文件有效期期满前撤销响应文件，否则采购代理机构将按</w:t>
      </w:r>
      <w:r>
        <w:rPr>
          <w:color w:val="auto"/>
        </w:rPr>
        <w:fldChar w:fldCharType="begin"/>
      </w:r>
      <w:r>
        <w:rPr>
          <w:color w:val="auto"/>
        </w:rPr>
        <w:instrText xml:space="preserve"> HYPERLINK \l "_开标与评标（细则参见财政部《_政府采购招标投标管理暂行办法_》及中华人民共和国" \o "投标有效期内撤回投标" </w:instrText>
      </w:r>
      <w:r>
        <w:rPr>
          <w:color w:val="auto"/>
        </w:rPr>
        <w:fldChar w:fldCharType="separate"/>
      </w:r>
      <w:r>
        <w:rPr>
          <w:rFonts w:hint="eastAsia" w:ascii="宋体" w:hAnsi="宋体" w:cs="宋体"/>
          <w:color w:val="auto"/>
        </w:rPr>
        <w:t>第15.7（1）款</w:t>
      </w:r>
      <w:r>
        <w:rPr>
          <w:rFonts w:hint="eastAsia" w:ascii="宋体" w:hAnsi="宋体" w:cs="宋体"/>
          <w:color w:val="auto"/>
        </w:rPr>
        <w:fldChar w:fldCharType="end"/>
      </w:r>
      <w:r>
        <w:rPr>
          <w:rFonts w:hint="eastAsia" w:ascii="宋体" w:hAnsi="宋体" w:cs="宋体"/>
          <w:color w:val="auto"/>
        </w:rPr>
        <w:t>规定没收其磋商保证金。</w:t>
      </w:r>
    </w:p>
    <w:p w14:paraId="72B50076">
      <w:pPr>
        <w:widowControl/>
        <w:autoSpaceDE w:val="0"/>
        <w:autoSpaceDN w:val="0"/>
        <w:spacing w:line="360" w:lineRule="auto"/>
        <w:ind w:right="18"/>
        <w:textAlignment w:val="bottom"/>
        <w:rPr>
          <w:rFonts w:ascii="宋体" w:hAnsi="宋体" w:cs="宋体"/>
          <w:color w:val="auto"/>
        </w:rPr>
      </w:pPr>
      <w:r>
        <w:rPr>
          <w:rFonts w:hint="eastAsia" w:ascii="宋体" w:hAnsi="宋体" w:cs="宋体"/>
          <w:color w:val="auto"/>
        </w:rPr>
        <w:t>21.5  不论成交与否，被采购代理机构接受的响应文件一律不予退还。</w:t>
      </w:r>
    </w:p>
    <w:p w14:paraId="6DAE64DC">
      <w:pPr>
        <w:widowControl/>
        <w:autoSpaceDE w:val="0"/>
        <w:autoSpaceDN w:val="0"/>
        <w:spacing w:line="360" w:lineRule="auto"/>
        <w:ind w:left="630" w:right="18" w:hanging="630" w:hangingChars="300"/>
        <w:textAlignment w:val="bottom"/>
        <w:rPr>
          <w:rFonts w:ascii="宋体" w:hAnsi="宋体" w:cs="宋体"/>
          <w:color w:val="auto"/>
        </w:rPr>
      </w:pPr>
      <w:r>
        <w:rPr>
          <w:rFonts w:hint="eastAsia" w:ascii="宋体" w:hAnsi="宋体" w:cs="宋体"/>
          <w:color w:val="auto"/>
        </w:rPr>
        <w:t>21.6  经供应商确认的响应文件具有法律效力。与采购代理机构及采购人的任何个人的口头协议均不能影响响应文件的任何条款与内容。</w:t>
      </w:r>
    </w:p>
    <w:p w14:paraId="784BB5EF">
      <w:pPr>
        <w:widowControl/>
        <w:autoSpaceDE w:val="0"/>
        <w:autoSpaceDN w:val="0"/>
        <w:spacing w:line="360" w:lineRule="auto"/>
        <w:ind w:right="-34"/>
        <w:textAlignment w:val="bottom"/>
        <w:rPr>
          <w:rFonts w:ascii="宋体" w:hAnsi="宋体" w:cs="宋体"/>
          <w:b/>
          <w:bCs/>
          <w:color w:val="auto"/>
        </w:rPr>
      </w:pPr>
      <w:r>
        <w:rPr>
          <w:rFonts w:hint="eastAsia" w:ascii="宋体" w:hAnsi="宋体" w:cs="宋体"/>
          <w:color w:val="auto"/>
        </w:rPr>
        <w:t>E</w:t>
      </w:r>
      <w:r>
        <w:rPr>
          <w:rFonts w:hint="eastAsia" w:ascii="宋体" w:hAnsi="宋体" w:cs="宋体"/>
          <w:b/>
          <w:bCs/>
          <w:color w:val="auto"/>
        </w:rPr>
        <w:t>响应文件开启与竞争性磋商</w:t>
      </w:r>
    </w:p>
    <w:p w14:paraId="28AD2B0C">
      <w:pPr>
        <w:autoSpaceDE w:val="0"/>
        <w:autoSpaceDN w:val="0"/>
        <w:spacing w:line="360" w:lineRule="auto"/>
        <w:ind w:right="-34"/>
        <w:textAlignment w:val="bottom"/>
        <w:rPr>
          <w:rFonts w:ascii="宋体" w:hAnsi="宋体" w:cs="宋体"/>
          <w:color w:val="auto"/>
        </w:rPr>
      </w:pPr>
      <w:r>
        <w:rPr>
          <w:rFonts w:hint="eastAsia" w:ascii="宋体" w:hAnsi="宋体" w:cs="宋体"/>
          <w:color w:val="auto"/>
        </w:rPr>
        <w:t xml:space="preserve">22 </w:t>
      </w:r>
      <w:r>
        <w:rPr>
          <w:rFonts w:hint="eastAsia" w:ascii="宋体" w:hAnsi="宋体" w:cs="宋体"/>
          <w:b/>
          <w:bCs/>
          <w:color w:val="auto"/>
        </w:rPr>
        <w:t>响应文件开启</w:t>
      </w:r>
    </w:p>
    <w:p w14:paraId="3819CE0F">
      <w:pPr>
        <w:autoSpaceDE w:val="0"/>
        <w:autoSpaceDN w:val="0"/>
        <w:spacing w:line="360" w:lineRule="auto"/>
        <w:ind w:left="525" w:right="-34" w:hanging="525" w:hangingChars="250"/>
        <w:textAlignment w:val="bottom"/>
        <w:rPr>
          <w:rFonts w:ascii="宋体" w:hAnsi="宋体" w:cs="宋体"/>
          <w:color w:val="auto"/>
        </w:rPr>
      </w:pPr>
      <w:r>
        <w:rPr>
          <w:rFonts w:hint="eastAsia" w:ascii="宋体" w:hAnsi="宋体" w:cs="宋体"/>
          <w:color w:val="auto"/>
        </w:rPr>
        <w:t>22.1 采购代理机构在供应商代表出席的情况下，在“响应资料表”规定的地点和时间响应文件开启，出席代表需登记以示出席。</w:t>
      </w:r>
    </w:p>
    <w:p w14:paraId="7299D1A2">
      <w:pPr>
        <w:autoSpaceDE w:val="0"/>
        <w:autoSpaceDN w:val="0"/>
        <w:spacing w:line="360" w:lineRule="auto"/>
        <w:ind w:right="-34"/>
        <w:textAlignment w:val="bottom"/>
        <w:rPr>
          <w:rFonts w:ascii="宋体" w:hAnsi="宋体" w:cs="宋体"/>
          <w:color w:val="auto"/>
          <w:u w:val="single"/>
        </w:rPr>
      </w:pPr>
      <w:r>
        <w:rPr>
          <w:rFonts w:hint="eastAsia" w:ascii="宋体" w:hAnsi="宋体" w:cs="宋体"/>
          <w:color w:val="auto"/>
        </w:rPr>
        <w:t>22.2 按照第21款规定，提交了可接受的“撤回”通知的报价将不予开封。</w:t>
      </w:r>
    </w:p>
    <w:p w14:paraId="7F9A0020">
      <w:pPr>
        <w:autoSpaceDE w:val="0"/>
        <w:autoSpaceDN w:val="0"/>
        <w:spacing w:line="360" w:lineRule="auto"/>
        <w:ind w:left="527" w:right="-34" w:hanging="527" w:hangingChars="250"/>
        <w:textAlignment w:val="bottom"/>
        <w:rPr>
          <w:rFonts w:ascii="宋体" w:hAnsi="宋体" w:cs="宋体"/>
          <w:b/>
          <w:bCs/>
          <w:color w:val="auto"/>
        </w:rPr>
      </w:pPr>
      <w:r>
        <w:rPr>
          <w:rFonts w:hint="eastAsia" w:ascii="宋体" w:hAnsi="宋体" w:cs="宋体"/>
          <w:b/>
          <w:bCs/>
          <w:color w:val="auto"/>
        </w:rPr>
        <w:t>22.3 响应文件开启时，采购代理机构对各供应商的首次报价不进行公开宣读。</w:t>
      </w:r>
    </w:p>
    <w:p w14:paraId="0CFBC80D">
      <w:pPr>
        <w:widowControl/>
        <w:autoSpaceDE w:val="0"/>
        <w:autoSpaceDN w:val="0"/>
        <w:spacing w:line="360" w:lineRule="auto"/>
        <w:ind w:left="525" w:right="-34" w:hanging="525" w:hangingChars="250"/>
        <w:textAlignment w:val="bottom"/>
        <w:rPr>
          <w:rFonts w:ascii="宋体" w:hAnsi="宋体" w:cs="宋体"/>
          <w:color w:val="auto"/>
        </w:rPr>
      </w:pPr>
      <w:r>
        <w:rPr>
          <w:rFonts w:hint="eastAsia" w:ascii="宋体" w:hAnsi="宋体" w:cs="宋体"/>
          <w:color w:val="auto"/>
        </w:rPr>
        <w:t>22.4 采购代理机构将做记录，记录包括供应商名称、报价、是否有磋商保证金等。最后由专家评委签字确认。</w:t>
      </w:r>
    </w:p>
    <w:p w14:paraId="7607E266">
      <w:pPr>
        <w:widowControl/>
        <w:autoSpaceDE w:val="0"/>
        <w:autoSpaceDN w:val="0"/>
        <w:spacing w:line="360" w:lineRule="auto"/>
        <w:ind w:right="-34"/>
        <w:textAlignment w:val="bottom"/>
        <w:rPr>
          <w:rFonts w:ascii="宋体" w:hAnsi="宋体" w:cs="宋体"/>
          <w:color w:val="auto"/>
        </w:rPr>
      </w:pPr>
      <w:r>
        <w:rPr>
          <w:rFonts w:hint="eastAsia" w:ascii="宋体" w:hAnsi="宋体" w:cs="宋体"/>
          <w:color w:val="auto"/>
        </w:rPr>
        <w:t xml:space="preserve">23 </w:t>
      </w:r>
      <w:r>
        <w:rPr>
          <w:rFonts w:hint="eastAsia" w:ascii="宋体" w:hAnsi="宋体" w:cs="宋体"/>
          <w:b/>
          <w:bCs/>
          <w:color w:val="auto"/>
        </w:rPr>
        <w:t>评审和磋商过程的保密性</w:t>
      </w:r>
    </w:p>
    <w:p w14:paraId="1AF5BA3D">
      <w:pPr>
        <w:widowControl/>
        <w:autoSpaceDE w:val="0"/>
        <w:autoSpaceDN w:val="0"/>
        <w:spacing w:line="360" w:lineRule="auto"/>
        <w:ind w:left="540" w:right="-34" w:hanging="539" w:hangingChars="257"/>
        <w:textAlignment w:val="bottom"/>
        <w:rPr>
          <w:rFonts w:ascii="宋体" w:hAnsi="宋体" w:cs="宋体"/>
          <w:color w:val="auto"/>
        </w:rPr>
      </w:pPr>
      <w:r>
        <w:rPr>
          <w:rFonts w:hint="eastAsia" w:ascii="宋体" w:hAnsi="宋体" w:cs="宋体"/>
          <w:color w:val="auto"/>
        </w:rPr>
        <w:t>23.1 响应文件开启后，直至向成交的供应商授予合同时止，凡与审查，澄清，评估和竞争性磋商的有关资料以及有关授予合同的意向等，均不得向供应商及与磋商小组无关的其他人透露。</w:t>
      </w:r>
    </w:p>
    <w:p w14:paraId="417293C2">
      <w:pPr>
        <w:widowControl/>
        <w:autoSpaceDE w:val="0"/>
        <w:autoSpaceDN w:val="0"/>
        <w:spacing w:line="360" w:lineRule="auto"/>
        <w:ind w:left="540" w:right="-34" w:hanging="539" w:hangingChars="257"/>
        <w:textAlignment w:val="bottom"/>
        <w:rPr>
          <w:rFonts w:ascii="宋体" w:hAnsi="宋体" w:cs="宋体"/>
          <w:color w:val="auto"/>
        </w:rPr>
      </w:pPr>
      <w:r>
        <w:rPr>
          <w:rFonts w:hint="eastAsia" w:ascii="宋体" w:hAnsi="宋体" w:cs="宋体"/>
          <w:color w:val="auto"/>
        </w:rPr>
        <w:t>23.2 在评审和磋商过程中，如果供应商试图在响应文件审查，澄清，竞争性磋商及授予合同方面向采购代理机构和磋商小组成员施加任何影响，以不正当手段参与竞争，其报价及在磋商中的任何承诺将被拒绝。</w:t>
      </w:r>
    </w:p>
    <w:p w14:paraId="3F23C0F8">
      <w:pPr>
        <w:widowControl/>
        <w:autoSpaceDE w:val="0"/>
        <w:autoSpaceDN w:val="0"/>
        <w:spacing w:line="360" w:lineRule="auto"/>
        <w:ind w:right="-34"/>
        <w:textAlignment w:val="bottom"/>
        <w:rPr>
          <w:rFonts w:ascii="宋体" w:hAnsi="宋体" w:cs="宋体"/>
          <w:color w:val="auto"/>
        </w:rPr>
      </w:pPr>
      <w:r>
        <w:rPr>
          <w:rFonts w:hint="eastAsia" w:ascii="宋体" w:hAnsi="宋体" w:cs="宋体"/>
          <w:color w:val="auto"/>
        </w:rPr>
        <w:t xml:space="preserve">24 </w:t>
      </w:r>
      <w:r>
        <w:rPr>
          <w:rFonts w:hint="eastAsia" w:ascii="宋体" w:hAnsi="宋体" w:cs="宋体"/>
          <w:b/>
          <w:bCs/>
          <w:color w:val="auto"/>
        </w:rPr>
        <w:t>响应文件的澄清</w:t>
      </w:r>
    </w:p>
    <w:p w14:paraId="06DF6114">
      <w:pPr>
        <w:widowControl/>
        <w:autoSpaceDE w:val="0"/>
        <w:autoSpaceDN w:val="0"/>
        <w:spacing w:line="360" w:lineRule="auto"/>
        <w:ind w:left="540" w:right="-34" w:hanging="539" w:hangingChars="257"/>
        <w:textAlignment w:val="bottom"/>
        <w:rPr>
          <w:rFonts w:ascii="宋体" w:hAnsi="宋体" w:cs="宋体"/>
          <w:b/>
          <w:bCs/>
          <w:color w:val="auto"/>
          <w:u w:val="single"/>
        </w:rPr>
      </w:pPr>
      <w:r>
        <w:rPr>
          <w:rFonts w:hint="eastAsia" w:ascii="宋体" w:hAnsi="宋体" w:cs="宋体"/>
          <w:color w:val="auto"/>
        </w:rPr>
        <w:t>24.1 为有助于对响应文件的审查、评估和比较，采购代理机构可以请供应商澄清其报价内容。提出澄清的要求与答复均应是书面的。</w:t>
      </w:r>
    </w:p>
    <w:p w14:paraId="74E79F75">
      <w:pPr>
        <w:widowControl/>
        <w:autoSpaceDE w:val="0"/>
        <w:autoSpaceDN w:val="0"/>
        <w:spacing w:line="360" w:lineRule="auto"/>
        <w:ind w:left="900" w:right="-34" w:hanging="900"/>
        <w:textAlignment w:val="bottom"/>
        <w:rPr>
          <w:rFonts w:ascii="宋体" w:hAnsi="宋体" w:cs="宋体"/>
          <w:b/>
          <w:bCs/>
          <w:color w:val="auto"/>
        </w:rPr>
      </w:pPr>
      <w:r>
        <w:rPr>
          <w:rFonts w:hint="eastAsia" w:ascii="宋体" w:hAnsi="宋体" w:cs="宋体"/>
          <w:color w:val="auto"/>
        </w:rPr>
        <w:t xml:space="preserve">25 </w:t>
      </w:r>
      <w:r>
        <w:rPr>
          <w:rFonts w:hint="eastAsia" w:ascii="宋体" w:hAnsi="宋体" w:cs="宋体"/>
          <w:b/>
          <w:bCs/>
          <w:color w:val="auto"/>
        </w:rPr>
        <w:t>响应文件的初审</w:t>
      </w:r>
    </w:p>
    <w:p w14:paraId="5C10490F">
      <w:pPr>
        <w:widowControl/>
        <w:autoSpaceDE w:val="0"/>
        <w:autoSpaceDN w:val="0"/>
        <w:spacing w:line="360" w:lineRule="auto"/>
        <w:ind w:left="525" w:right="-34" w:hanging="525" w:hangingChars="250"/>
        <w:textAlignment w:val="bottom"/>
        <w:rPr>
          <w:rFonts w:ascii="宋体" w:hAnsi="宋体" w:cs="宋体"/>
          <w:color w:val="auto"/>
        </w:rPr>
      </w:pPr>
      <w:r>
        <w:rPr>
          <w:rFonts w:hint="eastAsia" w:ascii="宋体" w:hAnsi="宋体" w:cs="宋体"/>
          <w:color w:val="auto"/>
        </w:rPr>
        <w:t>25.1 响应文件开启后，竞争性磋商小组将审查响应文件是否完整；有无提供所需的磋商保证金；是否恰当地签署；有否计算错误；是否大致编排有序等。</w:t>
      </w:r>
    </w:p>
    <w:p w14:paraId="50A0D642">
      <w:pPr>
        <w:widowControl/>
        <w:autoSpaceDE w:val="0"/>
        <w:autoSpaceDN w:val="0"/>
        <w:spacing w:line="360" w:lineRule="auto"/>
        <w:ind w:left="525" w:right="-34" w:hanging="525" w:hangingChars="250"/>
        <w:textAlignment w:val="bottom"/>
        <w:rPr>
          <w:rFonts w:ascii="宋体" w:hAnsi="宋体" w:cs="宋体"/>
          <w:color w:val="auto"/>
        </w:rPr>
      </w:pPr>
      <w:r>
        <w:rPr>
          <w:rFonts w:hint="eastAsia" w:ascii="宋体" w:hAnsi="宋体" w:cs="宋体"/>
          <w:color w:val="auto"/>
        </w:rPr>
        <w:t>25.2 根据26款规定对报价展开竞争性磋商之前，竞争性磋商小组将确定每一报价是否对磋商文件的要求做出了实质性的响应。所谓做出实质性响应的报价指的是符合磋商文件要求的全部条款、条件和规格而无任何重大偏离或保留。重大偏离或保留系指实质上影响到合同项下的供货范围、质量和性能，或指与磋商文件有实质不一致，限制了合同项下采购人的权利和供应商的义务，或对该重大偏离的修改对提交实质性响应报价的供应商将不公平。竞争性磋商小组决定响应文件的响应性是基于响应文件的内容本身而不靠外部的证据。</w:t>
      </w:r>
    </w:p>
    <w:p w14:paraId="34E20897">
      <w:pPr>
        <w:widowControl/>
        <w:autoSpaceDE w:val="0"/>
        <w:autoSpaceDN w:val="0"/>
        <w:spacing w:line="360" w:lineRule="auto"/>
        <w:ind w:left="525" w:right="-34" w:hanging="525" w:hangingChars="250"/>
        <w:textAlignment w:val="bottom"/>
        <w:rPr>
          <w:rFonts w:ascii="宋体" w:hAnsi="宋体" w:cs="宋体"/>
          <w:color w:val="auto"/>
        </w:rPr>
      </w:pPr>
      <w:r>
        <w:rPr>
          <w:rFonts w:hint="eastAsia" w:ascii="宋体" w:hAnsi="宋体" w:cs="宋体"/>
          <w:color w:val="auto"/>
        </w:rPr>
        <w:t>25.3 竞争性磋商小组将拒绝被定为非响应性的报价，供应商不能通过修正或撤销不符之处而使其报价成为响应性报价。</w:t>
      </w:r>
    </w:p>
    <w:p w14:paraId="705F95A6">
      <w:pPr>
        <w:widowControl/>
        <w:autoSpaceDE w:val="0"/>
        <w:autoSpaceDN w:val="0"/>
        <w:spacing w:line="360" w:lineRule="auto"/>
        <w:ind w:left="525" w:right="-34" w:hanging="525" w:hangingChars="250"/>
        <w:textAlignment w:val="bottom"/>
        <w:rPr>
          <w:rFonts w:ascii="宋体" w:hAnsi="宋体" w:cs="宋体"/>
          <w:color w:val="auto"/>
        </w:rPr>
      </w:pPr>
      <w:r>
        <w:rPr>
          <w:rFonts w:hint="eastAsia" w:ascii="宋体" w:hAnsi="宋体" w:cs="宋体"/>
          <w:color w:val="auto"/>
        </w:rPr>
        <w:t>25.4 竞争性磋商小组将对确定为实质上响应的报价进行审核，看其是否有计算上和累加上的算术错误，修正错误的原则如下：</w:t>
      </w:r>
    </w:p>
    <w:p w14:paraId="47B37A5B">
      <w:pPr>
        <w:widowControl/>
        <w:numPr>
          <w:ilvl w:val="0"/>
          <w:numId w:val="9"/>
        </w:numPr>
        <w:autoSpaceDE w:val="0"/>
        <w:autoSpaceDN w:val="0"/>
        <w:spacing w:line="360" w:lineRule="auto"/>
        <w:ind w:left="900" w:right="-34" w:hanging="540"/>
        <w:textAlignment w:val="bottom"/>
        <w:rPr>
          <w:rFonts w:ascii="宋体" w:hAnsi="宋体" w:cs="宋体"/>
          <w:color w:val="auto"/>
        </w:rPr>
      </w:pPr>
      <w:r>
        <w:rPr>
          <w:rFonts w:hint="eastAsia" w:ascii="宋体" w:hAnsi="宋体" w:cs="宋体"/>
          <w:color w:val="auto"/>
        </w:rPr>
        <w:t>如果用数字表示的金额和用文字表示的金额不一致，应以文字表示的金额为准。</w:t>
      </w:r>
    </w:p>
    <w:p w14:paraId="0AEA5DEE">
      <w:pPr>
        <w:widowControl/>
        <w:numPr>
          <w:ilvl w:val="0"/>
          <w:numId w:val="9"/>
        </w:numPr>
        <w:autoSpaceDE w:val="0"/>
        <w:autoSpaceDN w:val="0"/>
        <w:spacing w:line="360" w:lineRule="auto"/>
        <w:ind w:left="900" w:right="-34" w:hanging="540"/>
        <w:textAlignment w:val="bottom"/>
        <w:rPr>
          <w:rFonts w:ascii="宋体" w:hAnsi="宋体" w:cs="宋体"/>
          <w:color w:val="auto"/>
        </w:rPr>
      </w:pPr>
      <w:r>
        <w:rPr>
          <w:rFonts w:hint="eastAsia" w:ascii="宋体" w:hAnsi="宋体" w:cs="宋体"/>
          <w:color w:val="auto"/>
        </w:rPr>
        <w:t>当单价和数量的乘积和总价不一致时，以单价为准，并修正总价。</w:t>
      </w:r>
    </w:p>
    <w:p w14:paraId="2D30FB89">
      <w:pPr>
        <w:widowControl/>
        <w:autoSpaceDE w:val="0"/>
        <w:autoSpaceDN w:val="0"/>
        <w:spacing w:line="360" w:lineRule="auto"/>
        <w:ind w:left="525" w:right="-34" w:hanging="525" w:hangingChars="250"/>
        <w:textAlignment w:val="bottom"/>
        <w:rPr>
          <w:rFonts w:ascii="宋体" w:hAnsi="宋体" w:cs="宋体"/>
          <w:color w:val="auto"/>
        </w:rPr>
      </w:pPr>
      <w:r>
        <w:rPr>
          <w:rFonts w:hint="eastAsia" w:ascii="宋体" w:hAnsi="宋体" w:cs="宋体"/>
          <w:color w:val="auto"/>
        </w:rPr>
        <w:t>25.5 竞争性磋商小组将按上述修正错误的方法调整响应文件中的分项报价，调整后的价格在磋商之前应对供应商具有约束力。如果供应商不接受修正后的价格，则其报价将被拒绝，其参加磋商的资格将被取消，其磋商保证金将被没收。</w:t>
      </w:r>
    </w:p>
    <w:p w14:paraId="3EE63141">
      <w:pPr>
        <w:widowControl/>
        <w:autoSpaceDE w:val="0"/>
        <w:autoSpaceDN w:val="0"/>
        <w:spacing w:line="360" w:lineRule="auto"/>
        <w:ind w:left="525" w:right="-34" w:hanging="525" w:hangingChars="250"/>
        <w:textAlignment w:val="bottom"/>
        <w:rPr>
          <w:rFonts w:ascii="宋体" w:hAnsi="宋体" w:cs="宋体"/>
          <w:color w:val="auto"/>
        </w:rPr>
      </w:pPr>
      <w:r>
        <w:rPr>
          <w:rFonts w:hint="eastAsia" w:ascii="宋体" w:hAnsi="宋体" w:cs="宋体"/>
          <w:color w:val="auto"/>
        </w:rPr>
        <w:t>25.6 竞争性磋商小组将允许修正响应文件中不构成重大偏离的，微小的，非正规的，不一致的或不规则的地方，但这些修正不能影响任何供应商在磋商开始前相应的名次排列。</w:t>
      </w:r>
    </w:p>
    <w:p w14:paraId="227BEE02">
      <w:pPr>
        <w:widowControl/>
        <w:autoSpaceDE w:val="0"/>
        <w:autoSpaceDN w:val="0"/>
        <w:spacing w:line="360" w:lineRule="auto"/>
        <w:ind w:left="525" w:right="-34" w:hanging="525" w:hangingChars="250"/>
        <w:textAlignment w:val="bottom"/>
        <w:rPr>
          <w:rFonts w:ascii="宋体" w:hAnsi="宋体" w:cs="宋体"/>
          <w:color w:val="auto"/>
        </w:rPr>
      </w:pPr>
      <w:r>
        <w:rPr>
          <w:rFonts w:hint="eastAsia" w:ascii="宋体" w:hAnsi="宋体" w:cs="宋体"/>
          <w:color w:val="auto"/>
        </w:rPr>
        <w:t>25.7 响应文件开启结束，竞争性磋商小组将对供应商的响应文件进行初步评审。</w:t>
      </w:r>
    </w:p>
    <w:p w14:paraId="3F6422A7">
      <w:pPr>
        <w:widowControl/>
        <w:autoSpaceDE w:val="0"/>
        <w:autoSpaceDN w:val="0"/>
        <w:spacing w:line="360" w:lineRule="auto"/>
        <w:ind w:left="525" w:right="-34" w:hanging="525" w:hangingChars="250"/>
        <w:textAlignment w:val="bottom"/>
        <w:rPr>
          <w:rFonts w:ascii="宋体" w:hAnsi="宋体" w:cs="宋体"/>
          <w:color w:val="auto"/>
        </w:rPr>
      </w:pPr>
      <w:r>
        <w:rPr>
          <w:rFonts w:hint="eastAsia" w:ascii="宋体" w:hAnsi="宋体" w:cs="宋体"/>
          <w:color w:val="auto"/>
        </w:rPr>
        <w:t>供应商若不符合下述要求中任何一项，其初步评审不合格，响应文件将被否决：</w:t>
      </w:r>
    </w:p>
    <w:p w14:paraId="042765C6">
      <w:pPr>
        <w:widowControl/>
        <w:autoSpaceDE w:val="0"/>
        <w:autoSpaceDN w:val="0"/>
        <w:spacing w:line="360" w:lineRule="auto"/>
        <w:ind w:left="525" w:leftChars="200" w:right="-34" w:hanging="105" w:hangingChars="50"/>
        <w:textAlignment w:val="bottom"/>
        <w:rPr>
          <w:rFonts w:ascii="宋体" w:hAnsi="宋体" w:cs="宋体"/>
          <w:color w:val="auto"/>
        </w:rPr>
      </w:pPr>
      <w:r>
        <w:rPr>
          <w:rFonts w:hint="eastAsia" w:ascii="宋体" w:hAnsi="宋体" w:cs="宋体"/>
          <w:color w:val="auto"/>
        </w:rPr>
        <w:t>（1） 供应商未提交磋商保证金或金额不足；</w:t>
      </w:r>
    </w:p>
    <w:p w14:paraId="579A923E">
      <w:pPr>
        <w:widowControl/>
        <w:autoSpaceDE w:val="0"/>
        <w:autoSpaceDN w:val="0"/>
        <w:spacing w:line="360" w:lineRule="auto"/>
        <w:ind w:right="-34" w:firstLine="420" w:firstLineChars="200"/>
        <w:textAlignment w:val="bottom"/>
        <w:rPr>
          <w:rFonts w:ascii="宋体" w:hAnsi="宋体" w:cs="宋体"/>
          <w:color w:val="auto"/>
        </w:rPr>
      </w:pPr>
      <w:r>
        <w:rPr>
          <w:rFonts w:hint="eastAsia" w:ascii="宋体" w:hAnsi="宋体" w:cs="宋体"/>
          <w:color w:val="auto"/>
        </w:rPr>
        <w:t xml:space="preserve">（2） 响应文件有效期不足的； </w:t>
      </w:r>
    </w:p>
    <w:p w14:paraId="0DC7321D">
      <w:pPr>
        <w:widowControl/>
        <w:autoSpaceDE w:val="0"/>
        <w:autoSpaceDN w:val="0"/>
        <w:spacing w:line="360" w:lineRule="auto"/>
        <w:ind w:left="525" w:leftChars="200" w:right="-34" w:hanging="105" w:hangingChars="50"/>
        <w:textAlignment w:val="bottom"/>
        <w:rPr>
          <w:rFonts w:ascii="宋体" w:hAnsi="宋体" w:cs="宋体"/>
          <w:color w:val="auto"/>
        </w:rPr>
      </w:pPr>
      <w:r>
        <w:rPr>
          <w:rFonts w:hint="eastAsia" w:ascii="宋体" w:hAnsi="宋体" w:cs="宋体"/>
          <w:color w:val="auto"/>
        </w:rPr>
        <w:t>（3） 未按照磋商文件规定要求密封、签署、盖章；</w:t>
      </w:r>
    </w:p>
    <w:p w14:paraId="65E86D35">
      <w:pPr>
        <w:widowControl/>
        <w:autoSpaceDE w:val="0"/>
        <w:autoSpaceDN w:val="0"/>
        <w:spacing w:line="360" w:lineRule="auto"/>
        <w:ind w:left="525" w:leftChars="200" w:right="-34" w:hanging="105" w:hangingChars="50"/>
        <w:textAlignment w:val="bottom"/>
        <w:rPr>
          <w:rFonts w:ascii="宋体" w:hAnsi="宋体" w:cs="宋体"/>
          <w:color w:val="auto"/>
        </w:rPr>
      </w:pPr>
      <w:r>
        <w:rPr>
          <w:rFonts w:hint="eastAsia" w:ascii="宋体" w:hAnsi="宋体" w:cs="宋体"/>
          <w:color w:val="auto"/>
        </w:rPr>
        <w:t>（4） 未按照磋商文件规定提供合格的法定代表人授权书或法定代表人授权人的转授权书的；</w:t>
      </w:r>
    </w:p>
    <w:p w14:paraId="78DA9B50">
      <w:pPr>
        <w:widowControl/>
        <w:autoSpaceDE w:val="0"/>
        <w:autoSpaceDN w:val="0"/>
        <w:spacing w:line="360" w:lineRule="auto"/>
        <w:ind w:left="525" w:leftChars="200" w:right="-34" w:hanging="105" w:hangingChars="50"/>
        <w:textAlignment w:val="bottom"/>
        <w:rPr>
          <w:rFonts w:ascii="宋体" w:hAnsi="宋体" w:cs="宋体"/>
          <w:color w:val="auto"/>
        </w:rPr>
      </w:pPr>
      <w:r>
        <w:rPr>
          <w:rFonts w:hint="eastAsia" w:ascii="宋体" w:hAnsi="宋体" w:cs="宋体"/>
          <w:color w:val="auto"/>
        </w:rPr>
        <w:t>（5） 供应商有违法违纪行为，或在过去三年中有重大的质量、信誉等问题；</w:t>
      </w:r>
    </w:p>
    <w:p w14:paraId="5AABA6F7">
      <w:pPr>
        <w:widowControl/>
        <w:autoSpaceDE w:val="0"/>
        <w:autoSpaceDN w:val="0"/>
        <w:spacing w:line="360" w:lineRule="auto"/>
        <w:ind w:left="525" w:leftChars="200" w:right="-34" w:hanging="105" w:hangingChars="50"/>
        <w:textAlignment w:val="bottom"/>
        <w:rPr>
          <w:rFonts w:ascii="宋体" w:hAnsi="宋体" w:cs="宋体"/>
          <w:color w:val="auto"/>
        </w:rPr>
      </w:pPr>
      <w:r>
        <w:rPr>
          <w:rFonts w:hint="eastAsia" w:ascii="宋体" w:hAnsi="宋体" w:cs="宋体"/>
          <w:color w:val="auto"/>
        </w:rPr>
        <w:t>（6） 响应文件中提供虚假或失实资料的；</w:t>
      </w:r>
    </w:p>
    <w:p w14:paraId="6959125D">
      <w:pPr>
        <w:widowControl/>
        <w:autoSpaceDE w:val="0"/>
        <w:autoSpaceDN w:val="0"/>
        <w:spacing w:line="360" w:lineRule="auto"/>
        <w:ind w:left="525" w:leftChars="200" w:right="-34" w:hanging="105" w:hangingChars="50"/>
        <w:textAlignment w:val="bottom"/>
        <w:rPr>
          <w:rFonts w:ascii="宋体" w:hAnsi="宋体" w:cs="宋体"/>
          <w:color w:val="auto"/>
        </w:rPr>
      </w:pPr>
      <w:r>
        <w:rPr>
          <w:rFonts w:hint="eastAsia" w:ascii="宋体" w:hAnsi="宋体" w:cs="宋体"/>
          <w:color w:val="auto"/>
        </w:rPr>
        <w:t>（7） 供应商以明显低于成本价的价格恶意竞争的；</w:t>
      </w:r>
    </w:p>
    <w:p w14:paraId="7F87A89C">
      <w:pPr>
        <w:widowControl/>
        <w:autoSpaceDE w:val="0"/>
        <w:autoSpaceDN w:val="0"/>
        <w:spacing w:line="360" w:lineRule="auto"/>
        <w:ind w:left="525" w:leftChars="200" w:right="-34" w:hanging="105" w:hangingChars="50"/>
        <w:textAlignment w:val="bottom"/>
        <w:rPr>
          <w:rFonts w:ascii="宋体" w:hAnsi="宋体" w:cs="宋体"/>
          <w:color w:val="auto"/>
        </w:rPr>
      </w:pPr>
      <w:r>
        <w:rPr>
          <w:rFonts w:hint="eastAsia" w:ascii="宋体" w:hAnsi="宋体" w:cs="宋体"/>
          <w:color w:val="auto"/>
        </w:rPr>
        <w:t>（8） 不符合法律、法规。</w:t>
      </w:r>
    </w:p>
    <w:p w14:paraId="76620E76">
      <w:pPr>
        <w:widowControl/>
        <w:autoSpaceDE w:val="0"/>
        <w:autoSpaceDN w:val="0"/>
        <w:spacing w:line="400" w:lineRule="exact"/>
        <w:ind w:left="525" w:right="-34" w:hanging="525" w:hangingChars="250"/>
        <w:jc w:val="center"/>
        <w:textAlignment w:val="bottom"/>
        <w:rPr>
          <w:rFonts w:ascii="宋体" w:hAnsi="宋体" w:cs="宋体"/>
          <w:color w:val="auto"/>
        </w:rPr>
      </w:pPr>
      <w:r>
        <w:rPr>
          <w:rFonts w:hint="eastAsia" w:ascii="宋体" w:hAnsi="宋体" w:cs="宋体"/>
          <w:color w:val="auto"/>
        </w:rPr>
        <w:t>初审表</w:t>
      </w:r>
    </w:p>
    <w:tbl>
      <w:tblPr>
        <w:tblStyle w:val="15"/>
        <w:tblW w:w="9085" w:type="dxa"/>
        <w:jc w:val="center"/>
        <w:tblLayout w:type="fixed"/>
        <w:tblCellMar>
          <w:top w:w="0" w:type="dxa"/>
          <w:left w:w="108" w:type="dxa"/>
          <w:bottom w:w="0" w:type="dxa"/>
          <w:right w:w="108" w:type="dxa"/>
        </w:tblCellMar>
      </w:tblPr>
      <w:tblGrid>
        <w:gridCol w:w="752"/>
        <w:gridCol w:w="5903"/>
        <w:gridCol w:w="2430"/>
      </w:tblGrid>
      <w:tr w14:paraId="4DD36E68">
        <w:tblPrEx>
          <w:tblCellMar>
            <w:top w:w="0" w:type="dxa"/>
            <w:left w:w="108" w:type="dxa"/>
            <w:bottom w:w="0" w:type="dxa"/>
            <w:right w:w="108" w:type="dxa"/>
          </w:tblCellMar>
        </w:tblPrEx>
        <w:trPr>
          <w:trHeight w:val="638" w:hRule="atLeast"/>
          <w:jc w:val="center"/>
        </w:trPr>
        <w:tc>
          <w:tcPr>
            <w:tcW w:w="6655" w:type="dxa"/>
            <w:gridSpan w:val="2"/>
            <w:vMerge w:val="restart"/>
            <w:tcBorders>
              <w:top w:val="single" w:color="auto" w:sz="6" w:space="0"/>
              <w:left w:val="single" w:color="auto" w:sz="6" w:space="0"/>
              <w:bottom w:val="single" w:color="auto" w:sz="6" w:space="0"/>
              <w:right w:val="single" w:color="auto" w:sz="6" w:space="0"/>
            </w:tcBorders>
            <w:shd w:val="pct30" w:color="auto" w:fill="auto"/>
            <w:vAlign w:val="center"/>
          </w:tcPr>
          <w:p w14:paraId="7D65D519">
            <w:pPr>
              <w:widowControl/>
              <w:autoSpaceDE w:val="0"/>
              <w:autoSpaceDN w:val="0"/>
              <w:spacing w:line="400" w:lineRule="exact"/>
              <w:ind w:right="-34"/>
              <w:jc w:val="center"/>
              <w:textAlignment w:val="bottom"/>
              <w:rPr>
                <w:rFonts w:ascii="Arial" w:hAnsi="Arial" w:cs="Arial"/>
                <w:color w:val="auto"/>
              </w:rPr>
            </w:pPr>
            <w:r>
              <w:rPr>
                <w:rFonts w:hint="eastAsia" w:ascii="Arial" w:hAnsi="Arial" w:cs="Arial"/>
                <w:color w:val="auto"/>
              </w:rPr>
              <w:t>检查内容</w:t>
            </w:r>
          </w:p>
        </w:tc>
        <w:tc>
          <w:tcPr>
            <w:tcW w:w="2430" w:type="dxa"/>
            <w:tcBorders>
              <w:top w:val="single" w:color="auto" w:sz="6" w:space="0"/>
              <w:left w:val="single" w:color="auto" w:sz="6" w:space="0"/>
              <w:bottom w:val="single" w:color="auto" w:sz="6" w:space="0"/>
              <w:right w:val="single" w:color="auto" w:sz="4" w:space="0"/>
            </w:tcBorders>
            <w:shd w:val="pct30" w:color="auto" w:fill="auto"/>
            <w:vAlign w:val="center"/>
          </w:tcPr>
          <w:p w14:paraId="6B84E4A9">
            <w:pPr>
              <w:widowControl/>
              <w:autoSpaceDE w:val="0"/>
              <w:autoSpaceDN w:val="0"/>
              <w:spacing w:line="400" w:lineRule="exact"/>
              <w:ind w:left="525" w:right="-34" w:hanging="525" w:hangingChars="250"/>
              <w:jc w:val="center"/>
              <w:textAlignment w:val="bottom"/>
              <w:rPr>
                <w:rFonts w:ascii="Arial" w:hAnsi="Arial" w:cs="Arial"/>
                <w:color w:val="auto"/>
              </w:rPr>
            </w:pPr>
            <w:r>
              <w:rPr>
                <w:rFonts w:hint="eastAsia" w:ascii="Arial" w:hAnsi="Arial" w:cs="Arial"/>
                <w:color w:val="auto"/>
              </w:rPr>
              <w:t>供应商</w:t>
            </w:r>
          </w:p>
        </w:tc>
      </w:tr>
      <w:tr w14:paraId="18A08B17">
        <w:tblPrEx>
          <w:tblCellMar>
            <w:top w:w="0" w:type="dxa"/>
            <w:left w:w="108" w:type="dxa"/>
            <w:bottom w:w="0" w:type="dxa"/>
            <w:right w:w="108" w:type="dxa"/>
          </w:tblCellMar>
        </w:tblPrEx>
        <w:trPr>
          <w:trHeight w:val="397" w:hRule="atLeast"/>
          <w:jc w:val="center"/>
        </w:trPr>
        <w:tc>
          <w:tcPr>
            <w:tcW w:w="6655" w:type="dxa"/>
            <w:gridSpan w:val="2"/>
            <w:vMerge w:val="continue"/>
            <w:tcBorders>
              <w:top w:val="single" w:color="auto" w:sz="6" w:space="0"/>
              <w:left w:val="single" w:color="auto" w:sz="6" w:space="0"/>
              <w:bottom w:val="single" w:color="auto" w:sz="6" w:space="0"/>
              <w:right w:val="single" w:color="auto" w:sz="6" w:space="0"/>
            </w:tcBorders>
            <w:shd w:val="pct30" w:color="auto" w:fill="auto"/>
            <w:vAlign w:val="center"/>
          </w:tcPr>
          <w:p w14:paraId="56617D4E">
            <w:pPr>
              <w:widowControl/>
              <w:autoSpaceDE w:val="0"/>
              <w:autoSpaceDN w:val="0"/>
              <w:spacing w:line="400" w:lineRule="exact"/>
              <w:ind w:left="525" w:right="-34" w:hanging="525" w:hangingChars="250"/>
              <w:textAlignment w:val="bottom"/>
              <w:rPr>
                <w:rFonts w:ascii="Arial" w:hAnsi="Arial" w:cs="Arial"/>
                <w:color w:val="auto"/>
              </w:rPr>
            </w:pPr>
          </w:p>
        </w:tc>
        <w:tc>
          <w:tcPr>
            <w:tcW w:w="2430" w:type="dxa"/>
            <w:tcBorders>
              <w:top w:val="single" w:color="auto" w:sz="6" w:space="0"/>
              <w:left w:val="single" w:color="auto" w:sz="6" w:space="0"/>
              <w:bottom w:val="single" w:color="auto" w:sz="6" w:space="0"/>
              <w:right w:val="single" w:color="auto" w:sz="4" w:space="0"/>
            </w:tcBorders>
            <w:shd w:val="pct30" w:color="auto" w:fill="auto"/>
          </w:tcPr>
          <w:p w14:paraId="2DB471D6">
            <w:pPr>
              <w:widowControl/>
              <w:autoSpaceDE w:val="0"/>
              <w:autoSpaceDN w:val="0"/>
              <w:spacing w:line="400" w:lineRule="exact"/>
              <w:ind w:right="-34"/>
              <w:jc w:val="center"/>
              <w:textAlignment w:val="bottom"/>
              <w:rPr>
                <w:rFonts w:ascii="Arial" w:hAnsi="Arial" w:cs="Arial"/>
                <w:color w:val="auto"/>
              </w:rPr>
            </w:pPr>
          </w:p>
        </w:tc>
      </w:tr>
      <w:tr w14:paraId="5F84DB27">
        <w:tblPrEx>
          <w:tblCellMar>
            <w:top w:w="0" w:type="dxa"/>
            <w:left w:w="108" w:type="dxa"/>
            <w:bottom w:w="0" w:type="dxa"/>
            <w:right w:w="108" w:type="dxa"/>
          </w:tblCellMar>
        </w:tblPrEx>
        <w:trPr>
          <w:trHeight w:val="652" w:hRule="atLeast"/>
          <w:jc w:val="center"/>
        </w:trPr>
        <w:tc>
          <w:tcPr>
            <w:tcW w:w="752" w:type="dxa"/>
            <w:vMerge w:val="restart"/>
            <w:tcBorders>
              <w:top w:val="single" w:color="auto" w:sz="6" w:space="0"/>
              <w:left w:val="single" w:color="auto" w:sz="6" w:space="0"/>
              <w:right w:val="single" w:color="auto" w:sz="4" w:space="0"/>
            </w:tcBorders>
            <w:vAlign w:val="center"/>
          </w:tcPr>
          <w:p w14:paraId="4E94824C">
            <w:pPr>
              <w:widowControl/>
              <w:autoSpaceDE w:val="0"/>
              <w:autoSpaceDN w:val="0"/>
              <w:spacing w:line="360" w:lineRule="auto"/>
              <w:ind w:right="-34"/>
              <w:jc w:val="center"/>
              <w:textAlignment w:val="bottom"/>
              <w:rPr>
                <w:rFonts w:ascii="Arial" w:hAnsi="Arial" w:cs="Arial"/>
                <w:color w:val="auto"/>
              </w:rPr>
            </w:pPr>
            <w:r>
              <w:rPr>
                <w:rFonts w:hint="eastAsia" w:ascii="Arial" w:hAnsi="Arial" w:cs="Arial"/>
                <w:color w:val="auto"/>
              </w:rPr>
              <w:t>资格</w:t>
            </w:r>
          </w:p>
          <w:p w14:paraId="653F2C06">
            <w:pPr>
              <w:widowControl/>
              <w:autoSpaceDE w:val="0"/>
              <w:autoSpaceDN w:val="0"/>
              <w:spacing w:line="360" w:lineRule="auto"/>
              <w:ind w:right="-34"/>
              <w:jc w:val="center"/>
              <w:textAlignment w:val="bottom"/>
              <w:rPr>
                <w:rFonts w:ascii="Arial" w:hAnsi="Arial" w:cs="Arial"/>
                <w:color w:val="auto"/>
              </w:rPr>
            </w:pPr>
            <w:r>
              <w:rPr>
                <w:rFonts w:hint="eastAsia" w:ascii="Arial" w:hAnsi="Arial" w:cs="Arial"/>
                <w:color w:val="auto"/>
              </w:rPr>
              <w:t>性审</w:t>
            </w:r>
          </w:p>
          <w:p w14:paraId="048E4451">
            <w:pPr>
              <w:widowControl/>
              <w:autoSpaceDE w:val="0"/>
              <w:autoSpaceDN w:val="0"/>
              <w:spacing w:line="360" w:lineRule="auto"/>
              <w:ind w:right="-34"/>
              <w:jc w:val="center"/>
              <w:textAlignment w:val="bottom"/>
              <w:rPr>
                <w:rFonts w:ascii="Arial" w:hAnsi="Arial" w:cs="Arial"/>
                <w:color w:val="auto"/>
              </w:rPr>
            </w:pPr>
            <w:r>
              <w:rPr>
                <w:rFonts w:hint="eastAsia" w:ascii="Arial" w:hAnsi="Arial" w:cs="Arial"/>
                <w:color w:val="auto"/>
              </w:rPr>
              <w:t>查</w:t>
            </w:r>
          </w:p>
        </w:tc>
        <w:tc>
          <w:tcPr>
            <w:tcW w:w="5903" w:type="dxa"/>
            <w:tcBorders>
              <w:top w:val="single" w:color="auto" w:sz="6" w:space="0"/>
              <w:left w:val="single" w:color="auto" w:sz="4" w:space="0"/>
              <w:bottom w:val="single" w:color="auto" w:sz="6" w:space="0"/>
              <w:right w:val="single" w:color="auto" w:sz="6" w:space="0"/>
            </w:tcBorders>
            <w:vAlign w:val="center"/>
          </w:tcPr>
          <w:p w14:paraId="4F791355">
            <w:pPr>
              <w:widowControl/>
              <w:autoSpaceDE w:val="0"/>
              <w:autoSpaceDN w:val="0"/>
              <w:spacing w:line="360" w:lineRule="auto"/>
              <w:ind w:right="-34"/>
              <w:textAlignment w:val="bottom"/>
              <w:rPr>
                <w:rFonts w:hint="eastAsia" w:ascii="宋体" w:hAnsi="宋体" w:eastAsia="宋体" w:cs="宋体"/>
                <w:color w:val="auto"/>
              </w:rPr>
            </w:pPr>
            <w:r>
              <w:rPr>
                <w:rFonts w:hint="eastAsia" w:ascii="宋体" w:hAnsi="宋体" w:eastAsia="宋体" w:cs="宋体"/>
                <w:color w:val="auto"/>
              </w:rPr>
              <w:t>法人或者其他组织的营业执照等证明文件</w:t>
            </w:r>
            <w:r>
              <w:rPr>
                <w:rFonts w:hint="eastAsia" w:ascii="宋体" w:hAnsi="宋体" w:eastAsia="宋体" w:cs="宋体"/>
                <w:color w:val="auto"/>
                <w:lang w:val="zh-CN"/>
              </w:rPr>
              <w:t>。</w:t>
            </w:r>
            <w:r>
              <w:rPr>
                <w:rFonts w:hint="eastAsia" w:ascii="宋体" w:hAnsi="宋体" w:cs="宋体"/>
                <w:color w:val="auto"/>
                <w:lang w:val="zh-CN"/>
              </w:rPr>
              <w:t>响应文件</w:t>
            </w:r>
            <w:r>
              <w:rPr>
                <w:rFonts w:hint="eastAsia" w:ascii="宋体" w:hAnsi="宋体" w:eastAsia="宋体" w:cs="宋体"/>
                <w:color w:val="auto"/>
                <w:lang w:val="zh-CN"/>
              </w:rPr>
              <w:t>内提交证明资料并加盖公章。</w:t>
            </w:r>
          </w:p>
        </w:tc>
        <w:tc>
          <w:tcPr>
            <w:tcW w:w="2430" w:type="dxa"/>
            <w:tcBorders>
              <w:top w:val="single" w:color="auto" w:sz="6" w:space="0"/>
              <w:left w:val="single" w:color="auto" w:sz="6" w:space="0"/>
              <w:bottom w:val="single" w:color="auto" w:sz="6" w:space="0"/>
              <w:right w:val="single" w:color="auto" w:sz="4" w:space="0"/>
            </w:tcBorders>
            <w:vAlign w:val="center"/>
          </w:tcPr>
          <w:p w14:paraId="68F51FA6">
            <w:pPr>
              <w:widowControl/>
              <w:autoSpaceDE w:val="0"/>
              <w:autoSpaceDN w:val="0"/>
              <w:spacing w:line="400" w:lineRule="exact"/>
              <w:ind w:left="525" w:right="-34" w:hanging="525" w:hangingChars="250"/>
              <w:textAlignment w:val="bottom"/>
              <w:rPr>
                <w:rFonts w:ascii="Arial" w:hAnsi="Arial" w:cs="Arial"/>
                <w:color w:val="auto"/>
              </w:rPr>
            </w:pPr>
          </w:p>
        </w:tc>
      </w:tr>
      <w:tr w14:paraId="2A6527E3">
        <w:tblPrEx>
          <w:tblCellMar>
            <w:top w:w="0" w:type="dxa"/>
            <w:left w:w="108" w:type="dxa"/>
            <w:bottom w:w="0" w:type="dxa"/>
            <w:right w:w="108" w:type="dxa"/>
          </w:tblCellMar>
        </w:tblPrEx>
        <w:trPr>
          <w:trHeight w:val="397" w:hRule="atLeast"/>
          <w:jc w:val="center"/>
        </w:trPr>
        <w:tc>
          <w:tcPr>
            <w:tcW w:w="752" w:type="dxa"/>
            <w:vMerge w:val="continue"/>
            <w:tcBorders>
              <w:left w:val="single" w:color="auto" w:sz="6" w:space="0"/>
              <w:right w:val="single" w:color="auto" w:sz="4" w:space="0"/>
            </w:tcBorders>
            <w:vAlign w:val="center"/>
          </w:tcPr>
          <w:p w14:paraId="45A329DB">
            <w:pPr>
              <w:widowControl/>
              <w:autoSpaceDE w:val="0"/>
              <w:autoSpaceDN w:val="0"/>
              <w:spacing w:line="360" w:lineRule="auto"/>
              <w:ind w:right="-34"/>
              <w:jc w:val="center"/>
              <w:textAlignment w:val="bottom"/>
              <w:rPr>
                <w:rFonts w:ascii="Arial" w:hAnsi="Arial" w:cs="Arial"/>
                <w:color w:val="auto"/>
              </w:rPr>
            </w:pPr>
          </w:p>
        </w:tc>
        <w:tc>
          <w:tcPr>
            <w:tcW w:w="5903" w:type="dxa"/>
            <w:tcBorders>
              <w:top w:val="single" w:color="auto" w:sz="6" w:space="0"/>
              <w:left w:val="single" w:color="auto" w:sz="4" w:space="0"/>
              <w:bottom w:val="single" w:color="auto" w:sz="6" w:space="0"/>
              <w:right w:val="single" w:color="auto" w:sz="6" w:space="0"/>
            </w:tcBorders>
            <w:vAlign w:val="center"/>
          </w:tcPr>
          <w:p w14:paraId="351E8E0A">
            <w:pPr>
              <w:widowControl/>
              <w:autoSpaceDE w:val="0"/>
              <w:autoSpaceDN w:val="0"/>
              <w:spacing w:line="360" w:lineRule="auto"/>
              <w:ind w:right="-34"/>
              <w:textAlignment w:val="bottom"/>
              <w:rPr>
                <w:rFonts w:hint="eastAsia" w:ascii="宋体" w:hAnsi="宋体" w:eastAsia="宋体" w:cs="宋体"/>
                <w:color w:val="auto"/>
              </w:rPr>
            </w:pPr>
            <w:r>
              <w:rPr>
                <w:rFonts w:hint="eastAsia" w:ascii="宋体" w:hAnsi="宋体" w:eastAsia="宋体" w:cs="宋体"/>
                <w:color w:val="auto"/>
                <w:lang w:val="en-US" w:eastAsia="zh-CN"/>
              </w:rPr>
              <w:t>具有良好的商业信誉和健全的财务会计制度</w:t>
            </w:r>
          </w:p>
        </w:tc>
        <w:tc>
          <w:tcPr>
            <w:tcW w:w="2430" w:type="dxa"/>
            <w:tcBorders>
              <w:top w:val="single" w:color="auto" w:sz="6" w:space="0"/>
              <w:left w:val="single" w:color="auto" w:sz="6" w:space="0"/>
              <w:bottom w:val="single" w:color="auto" w:sz="6" w:space="0"/>
              <w:right w:val="single" w:color="auto" w:sz="4" w:space="0"/>
            </w:tcBorders>
            <w:vAlign w:val="center"/>
          </w:tcPr>
          <w:p w14:paraId="4D58D35A">
            <w:pPr>
              <w:widowControl/>
              <w:autoSpaceDE w:val="0"/>
              <w:autoSpaceDN w:val="0"/>
              <w:spacing w:line="400" w:lineRule="exact"/>
              <w:ind w:left="525" w:right="-34" w:hanging="525" w:hangingChars="250"/>
              <w:textAlignment w:val="bottom"/>
              <w:rPr>
                <w:rFonts w:ascii="Arial" w:hAnsi="Arial" w:cs="Arial"/>
                <w:color w:val="auto"/>
              </w:rPr>
            </w:pPr>
          </w:p>
        </w:tc>
      </w:tr>
      <w:tr w14:paraId="6E29A474">
        <w:tblPrEx>
          <w:tblCellMar>
            <w:top w:w="0" w:type="dxa"/>
            <w:left w:w="108" w:type="dxa"/>
            <w:bottom w:w="0" w:type="dxa"/>
            <w:right w:w="108" w:type="dxa"/>
          </w:tblCellMar>
        </w:tblPrEx>
        <w:trPr>
          <w:trHeight w:val="397" w:hRule="atLeast"/>
          <w:jc w:val="center"/>
        </w:trPr>
        <w:tc>
          <w:tcPr>
            <w:tcW w:w="752" w:type="dxa"/>
            <w:vMerge w:val="continue"/>
            <w:tcBorders>
              <w:left w:val="single" w:color="auto" w:sz="6" w:space="0"/>
              <w:right w:val="single" w:color="auto" w:sz="4" w:space="0"/>
            </w:tcBorders>
            <w:vAlign w:val="center"/>
          </w:tcPr>
          <w:p w14:paraId="327DAB88">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903" w:type="dxa"/>
            <w:tcBorders>
              <w:top w:val="single" w:color="auto" w:sz="6" w:space="0"/>
              <w:left w:val="single" w:color="auto" w:sz="4" w:space="0"/>
              <w:bottom w:val="single" w:color="auto" w:sz="6" w:space="0"/>
              <w:right w:val="single" w:color="auto" w:sz="6" w:space="0"/>
            </w:tcBorders>
            <w:vAlign w:val="center"/>
          </w:tcPr>
          <w:p w14:paraId="74B47E5F">
            <w:pPr>
              <w:widowControl/>
              <w:autoSpaceDE w:val="0"/>
              <w:autoSpaceDN w:val="0"/>
              <w:spacing w:line="360" w:lineRule="auto"/>
              <w:ind w:right="-34"/>
              <w:textAlignment w:val="bottom"/>
              <w:rPr>
                <w:rFonts w:hint="eastAsia" w:ascii="宋体" w:hAnsi="宋体" w:eastAsia="宋体" w:cs="宋体"/>
                <w:color w:val="auto"/>
              </w:rPr>
            </w:pPr>
            <w:r>
              <w:rPr>
                <w:rFonts w:hint="eastAsia" w:ascii="宋体" w:hAnsi="宋体" w:eastAsia="宋体" w:cs="宋体"/>
                <w:color w:val="auto"/>
                <w:lang w:val="en-US" w:eastAsia="zh-CN"/>
              </w:rPr>
              <w:t>具有依法缴纳税收和社会保障资金的良好记录</w:t>
            </w:r>
          </w:p>
        </w:tc>
        <w:tc>
          <w:tcPr>
            <w:tcW w:w="2430" w:type="dxa"/>
            <w:tcBorders>
              <w:top w:val="single" w:color="auto" w:sz="6" w:space="0"/>
              <w:left w:val="single" w:color="auto" w:sz="6" w:space="0"/>
              <w:bottom w:val="single" w:color="auto" w:sz="6" w:space="0"/>
              <w:right w:val="single" w:color="auto" w:sz="4" w:space="0"/>
            </w:tcBorders>
            <w:vAlign w:val="center"/>
          </w:tcPr>
          <w:p w14:paraId="0DE750EA">
            <w:pPr>
              <w:widowControl/>
              <w:autoSpaceDE w:val="0"/>
              <w:autoSpaceDN w:val="0"/>
              <w:spacing w:line="400" w:lineRule="exact"/>
              <w:ind w:left="525" w:right="-34" w:hanging="525" w:hangingChars="250"/>
              <w:textAlignment w:val="bottom"/>
              <w:rPr>
                <w:rFonts w:ascii="Arial" w:hAnsi="Arial" w:cs="Arial"/>
                <w:color w:val="auto"/>
              </w:rPr>
            </w:pPr>
          </w:p>
        </w:tc>
      </w:tr>
      <w:tr w14:paraId="6F3732DB">
        <w:tblPrEx>
          <w:tblCellMar>
            <w:top w:w="0" w:type="dxa"/>
            <w:left w:w="108" w:type="dxa"/>
            <w:bottom w:w="0" w:type="dxa"/>
            <w:right w:w="108" w:type="dxa"/>
          </w:tblCellMar>
        </w:tblPrEx>
        <w:trPr>
          <w:trHeight w:val="213" w:hRule="atLeast"/>
          <w:jc w:val="center"/>
        </w:trPr>
        <w:tc>
          <w:tcPr>
            <w:tcW w:w="752" w:type="dxa"/>
            <w:vMerge w:val="continue"/>
            <w:tcBorders>
              <w:left w:val="single" w:color="auto" w:sz="6" w:space="0"/>
              <w:right w:val="single" w:color="auto" w:sz="4" w:space="0"/>
            </w:tcBorders>
            <w:vAlign w:val="center"/>
          </w:tcPr>
          <w:p w14:paraId="1363C381">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903" w:type="dxa"/>
            <w:tcBorders>
              <w:top w:val="single" w:color="auto" w:sz="6" w:space="0"/>
              <w:left w:val="single" w:color="auto" w:sz="4" w:space="0"/>
              <w:bottom w:val="single" w:color="auto" w:sz="6" w:space="0"/>
              <w:right w:val="single" w:color="auto" w:sz="6" w:space="0"/>
            </w:tcBorders>
            <w:vAlign w:val="center"/>
          </w:tcPr>
          <w:p w14:paraId="09DBB4E8">
            <w:pPr>
              <w:widowControl/>
              <w:autoSpaceDE w:val="0"/>
              <w:autoSpaceDN w:val="0"/>
              <w:spacing w:line="360" w:lineRule="auto"/>
              <w:ind w:right="-34"/>
              <w:textAlignment w:val="bottom"/>
              <w:rPr>
                <w:rFonts w:hint="eastAsia" w:ascii="宋体" w:hAnsi="宋体" w:eastAsia="宋体" w:cs="宋体"/>
                <w:color w:val="auto"/>
              </w:rPr>
            </w:pPr>
            <w:r>
              <w:rPr>
                <w:rFonts w:hint="eastAsia" w:ascii="宋体" w:hAnsi="宋体" w:eastAsia="宋体" w:cs="宋体"/>
                <w:color w:val="auto"/>
                <w:lang w:val="en-US" w:eastAsia="zh-CN"/>
              </w:rPr>
              <w:t>具有履行合同所必需的设备和专业技术能力</w:t>
            </w:r>
          </w:p>
        </w:tc>
        <w:tc>
          <w:tcPr>
            <w:tcW w:w="2430" w:type="dxa"/>
            <w:tcBorders>
              <w:top w:val="single" w:color="auto" w:sz="6" w:space="0"/>
              <w:left w:val="single" w:color="auto" w:sz="6" w:space="0"/>
              <w:bottom w:val="single" w:color="auto" w:sz="6" w:space="0"/>
              <w:right w:val="single" w:color="auto" w:sz="4" w:space="0"/>
            </w:tcBorders>
            <w:vAlign w:val="center"/>
          </w:tcPr>
          <w:p w14:paraId="3ECF349D">
            <w:pPr>
              <w:widowControl/>
              <w:autoSpaceDE w:val="0"/>
              <w:autoSpaceDN w:val="0"/>
              <w:spacing w:line="400" w:lineRule="exact"/>
              <w:ind w:left="525" w:right="-34" w:hanging="525" w:hangingChars="250"/>
              <w:textAlignment w:val="bottom"/>
              <w:rPr>
                <w:rFonts w:ascii="Arial" w:hAnsi="Arial" w:cs="Arial"/>
                <w:color w:val="auto"/>
              </w:rPr>
            </w:pPr>
          </w:p>
        </w:tc>
      </w:tr>
      <w:tr w14:paraId="746CBFD1">
        <w:tblPrEx>
          <w:tblCellMar>
            <w:top w:w="0" w:type="dxa"/>
            <w:left w:w="108" w:type="dxa"/>
            <w:bottom w:w="0" w:type="dxa"/>
            <w:right w:w="108" w:type="dxa"/>
          </w:tblCellMar>
        </w:tblPrEx>
        <w:trPr>
          <w:trHeight w:val="397" w:hRule="atLeast"/>
          <w:jc w:val="center"/>
        </w:trPr>
        <w:tc>
          <w:tcPr>
            <w:tcW w:w="752" w:type="dxa"/>
            <w:vMerge w:val="continue"/>
            <w:tcBorders>
              <w:left w:val="single" w:color="auto" w:sz="6" w:space="0"/>
              <w:right w:val="single" w:color="auto" w:sz="4" w:space="0"/>
            </w:tcBorders>
            <w:vAlign w:val="center"/>
          </w:tcPr>
          <w:p w14:paraId="7A84F749">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903" w:type="dxa"/>
            <w:tcBorders>
              <w:top w:val="single" w:color="auto" w:sz="6" w:space="0"/>
              <w:left w:val="single" w:color="auto" w:sz="4" w:space="0"/>
              <w:bottom w:val="single" w:color="auto" w:sz="6" w:space="0"/>
              <w:right w:val="single" w:color="auto" w:sz="6" w:space="0"/>
            </w:tcBorders>
            <w:vAlign w:val="center"/>
          </w:tcPr>
          <w:p w14:paraId="5EACD344">
            <w:pPr>
              <w:widowControl/>
              <w:autoSpaceDE w:val="0"/>
              <w:autoSpaceDN w:val="0"/>
              <w:spacing w:line="360" w:lineRule="auto"/>
              <w:ind w:right="-34"/>
              <w:textAlignment w:val="bottom"/>
              <w:rPr>
                <w:rFonts w:hint="eastAsia" w:ascii="宋体" w:hAnsi="宋体" w:eastAsia="宋体" w:cs="宋体"/>
                <w:color w:val="auto"/>
              </w:rPr>
            </w:pPr>
            <w:r>
              <w:rPr>
                <w:rFonts w:hint="eastAsia" w:ascii="宋体" w:hAnsi="宋体" w:eastAsia="宋体" w:cs="宋体"/>
                <w:color w:val="auto"/>
                <w:lang w:val="en-US" w:eastAsia="zh-CN"/>
              </w:rPr>
              <w:t>参加政府采购活动前三年内，在经营活动中没有重大违法记录</w:t>
            </w:r>
          </w:p>
        </w:tc>
        <w:tc>
          <w:tcPr>
            <w:tcW w:w="2430" w:type="dxa"/>
            <w:tcBorders>
              <w:top w:val="single" w:color="auto" w:sz="6" w:space="0"/>
              <w:left w:val="single" w:color="auto" w:sz="6" w:space="0"/>
              <w:bottom w:val="single" w:color="auto" w:sz="6" w:space="0"/>
              <w:right w:val="single" w:color="auto" w:sz="4" w:space="0"/>
            </w:tcBorders>
            <w:vAlign w:val="center"/>
          </w:tcPr>
          <w:p w14:paraId="02F5059B">
            <w:pPr>
              <w:widowControl/>
              <w:autoSpaceDE w:val="0"/>
              <w:autoSpaceDN w:val="0"/>
              <w:spacing w:line="400" w:lineRule="exact"/>
              <w:ind w:left="525" w:right="-34" w:hanging="525" w:hangingChars="250"/>
              <w:textAlignment w:val="bottom"/>
              <w:rPr>
                <w:rFonts w:ascii="Arial" w:hAnsi="Arial" w:cs="Arial"/>
                <w:color w:val="auto"/>
              </w:rPr>
            </w:pPr>
          </w:p>
        </w:tc>
      </w:tr>
      <w:tr w14:paraId="2A1B9E5C">
        <w:tblPrEx>
          <w:tblCellMar>
            <w:top w:w="0" w:type="dxa"/>
            <w:left w:w="108" w:type="dxa"/>
            <w:bottom w:w="0" w:type="dxa"/>
            <w:right w:w="108" w:type="dxa"/>
          </w:tblCellMar>
        </w:tblPrEx>
        <w:trPr>
          <w:trHeight w:val="397" w:hRule="atLeast"/>
          <w:jc w:val="center"/>
        </w:trPr>
        <w:tc>
          <w:tcPr>
            <w:tcW w:w="752" w:type="dxa"/>
            <w:vMerge w:val="continue"/>
            <w:tcBorders>
              <w:left w:val="single" w:color="auto" w:sz="6" w:space="0"/>
              <w:right w:val="single" w:color="auto" w:sz="4" w:space="0"/>
            </w:tcBorders>
            <w:vAlign w:val="center"/>
          </w:tcPr>
          <w:p w14:paraId="7746389D">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903" w:type="dxa"/>
            <w:tcBorders>
              <w:top w:val="single" w:color="auto" w:sz="6" w:space="0"/>
              <w:left w:val="single" w:color="auto" w:sz="4" w:space="0"/>
              <w:bottom w:val="single" w:color="auto" w:sz="6" w:space="0"/>
              <w:right w:val="single" w:color="auto" w:sz="6" w:space="0"/>
            </w:tcBorders>
            <w:vAlign w:val="center"/>
          </w:tcPr>
          <w:p w14:paraId="1849C6B3">
            <w:pPr>
              <w:widowControl/>
              <w:autoSpaceDE w:val="0"/>
              <w:autoSpaceDN w:val="0"/>
              <w:spacing w:line="360" w:lineRule="auto"/>
              <w:ind w:right="-34"/>
              <w:textAlignment w:val="bottom"/>
              <w:rPr>
                <w:rFonts w:hint="eastAsia" w:ascii="宋体" w:hAnsi="宋体" w:eastAsia="宋体" w:cs="宋体"/>
                <w:color w:val="auto"/>
              </w:rPr>
            </w:pPr>
            <w:r>
              <w:rPr>
                <w:rFonts w:hint="eastAsia" w:ascii="宋体" w:hAnsi="宋体" w:eastAsia="宋体" w:cs="宋体"/>
                <w:color w:val="auto"/>
              </w:rPr>
              <w:t>按照</w:t>
            </w:r>
            <w:r>
              <w:rPr>
                <w:rFonts w:hint="eastAsia" w:ascii="宋体" w:hAnsi="宋体" w:cs="宋体"/>
                <w:color w:val="auto"/>
                <w:lang w:val="en-US" w:eastAsia="zh-CN"/>
              </w:rPr>
              <w:t>磋商</w:t>
            </w:r>
            <w:r>
              <w:rPr>
                <w:rFonts w:hint="eastAsia" w:ascii="宋体" w:hAnsi="宋体" w:eastAsia="宋体" w:cs="宋体"/>
                <w:color w:val="auto"/>
              </w:rPr>
              <w:t>文件规定要求、签署、盖章</w:t>
            </w:r>
          </w:p>
        </w:tc>
        <w:tc>
          <w:tcPr>
            <w:tcW w:w="2430" w:type="dxa"/>
            <w:tcBorders>
              <w:top w:val="single" w:color="auto" w:sz="6" w:space="0"/>
              <w:left w:val="single" w:color="auto" w:sz="6" w:space="0"/>
              <w:bottom w:val="single" w:color="auto" w:sz="6" w:space="0"/>
              <w:right w:val="single" w:color="auto" w:sz="4" w:space="0"/>
            </w:tcBorders>
            <w:vAlign w:val="center"/>
          </w:tcPr>
          <w:p w14:paraId="49F21561">
            <w:pPr>
              <w:widowControl/>
              <w:autoSpaceDE w:val="0"/>
              <w:autoSpaceDN w:val="0"/>
              <w:spacing w:line="400" w:lineRule="exact"/>
              <w:ind w:left="525" w:right="-34" w:hanging="525" w:hangingChars="250"/>
              <w:textAlignment w:val="bottom"/>
              <w:rPr>
                <w:rFonts w:ascii="Arial" w:hAnsi="Arial" w:cs="Arial"/>
                <w:color w:val="auto"/>
              </w:rPr>
            </w:pPr>
          </w:p>
        </w:tc>
      </w:tr>
      <w:tr w14:paraId="4CE3280D">
        <w:tblPrEx>
          <w:tblCellMar>
            <w:top w:w="0" w:type="dxa"/>
            <w:left w:w="108" w:type="dxa"/>
            <w:bottom w:w="0" w:type="dxa"/>
            <w:right w:w="108" w:type="dxa"/>
          </w:tblCellMar>
        </w:tblPrEx>
        <w:trPr>
          <w:trHeight w:val="397" w:hRule="atLeast"/>
          <w:jc w:val="center"/>
        </w:trPr>
        <w:tc>
          <w:tcPr>
            <w:tcW w:w="752" w:type="dxa"/>
            <w:vMerge w:val="continue"/>
            <w:tcBorders>
              <w:left w:val="single" w:color="auto" w:sz="6" w:space="0"/>
              <w:right w:val="single" w:color="auto" w:sz="4" w:space="0"/>
            </w:tcBorders>
            <w:vAlign w:val="center"/>
          </w:tcPr>
          <w:p w14:paraId="67AACB21">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903" w:type="dxa"/>
            <w:tcBorders>
              <w:top w:val="single" w:color="auto" w:sz="6" w:space="0"/>
              <w:left w:val="single" w:color="auto" w:sz="4" w:space="0"/>
              <w:bottom w:val="single" w:color="auto" w:sz="6" w:space="0"/>
              <w:right w:val="single" w:color="auto" w:sz="6" w:space="0"/>
            </w:tcBorders>
            <w:vAlign w:val="center"/>
          </w:tcPr>
          <w:p w14:paraId="256EAEEA">
            <w:pPr>
              <w:widowControl/>
              <w:autoSpaceDE w:val="0"/>
              <w:autoSpaceDN w:val="0"/>
              <w:spacing w:line="360" w:lineRule="auto"/>
              <w:ind w:right="-34"/>
              <w:textAlignment w:val="bottom"/>
              <w:rPr>
                <w:rFonts w:hint="eastAsia" w:ascii="宋体" w:hAnsi="宋体" w:eastAsia="宋体" w:cs="宋体"/>
                <w:color w:val="auto"/>
              </w:rPr>
            </w:pPr>
            <w:r>
              <w:rPr>
                <w:rFonts w:hint="eastAsia" w:ascii="宋体" w:hAnsi="宋体" w:cs="宋体"/>
                <w:color w:val="auto"/>
                <w:lang w:eastAsia="zh-CN"/>
              </w:rPr>
              <w:t>供应商</w:t>
            </w:r>
            <w:r>
              <w:rPr>
                <w:rFonts w:hint="eastAsia" w:ascii="宋体" w:hAnsi="宋体" w:eastAsia="宋体" w:cs="宋体"/>
                <w:color w:val="auto"/>
              </w:rPr>
              <w:t>不能列入失信被执行人、重大税收违法案件当事人名单、政府采购严重违法失信行为记录名单（详见财库【2016】125号，通过“信用中国”网站（www.creditchina.gov.cn）、中国政府采购网（www.ccgp.gov.cn）渠道查询相关信用记录的网站截图证明，</w:t>
            </w:r>
            <w:r>
              <w:rPr>
                <w:rFonts w:hint="eastAsia" w:ascii="宋体" w:hAnsi="宋体" w:cs="宋体"/>
                <w:color w:val="auto"/>
                <w:lang w:eastAsia="zh-CN"/>
              </w:rPr>
              <w:t>查询时间自公告发出之日起至响应</w:t>
            </w:r>
            <w:r>
              <w:rPr>
                <w:rFonts w:hint="eastAsia" w:ascii="宋体" w:hAnsi="宋体" w:eastAsia="宋体" w:cs="宋体"/>
                <w:color w:val="auto"/>
              </w:rPr>
              <w:t>截止时间。</w:t>
            </w:r>
          </w:p>
        </w:tc>
        <w:tc>
          <w:tcPr>
            <w:tcW w:w="2430" w:type="dxa"/>
            <w:tcBorders>
              <w:top w:val="single" w:color="auto" w:sz="6" w:space="0"/>
              <w:left w:val="single" w:color="auto" w:sz="6" w:space="0"/>
              <w:bottom w:val="single" w:color="auto" w:sz="6" w:space="0"/>
              <w:right w:val="single" w:color="auto" w:sz="4" w:space="0"/>
            </w:tcBorders>
            <w:vAlign w:val="center"/>
          </w:tcPr>
          <w:p w14:paraId="30086F7D">
            <w:pPr>
              <w:widowControl/>
              <w:autoSpaceDE w:val="0"/>
              <w:autoSpaceDN w:val="0"/>
              <w:spacing w:line="400" w:lineRule="exact"/>
              <w:ind w:left="525" w:right="-34" w:hanging="525" w:hangingChars="250"/>
              <w:textAlignment w:val="bottom"/>
              <w:rPr>
                <w:rFonts w:ascii="Arial" w:hAnsi="Arial" w:cs="Arial"/>
                <w:color w:val="auto"/>
              </w:rPr>
            </w:pPr>
          </w:p>
        </w:tc>
      </w:tr>
      <w:tr w14:paraId="6C085BFF">
        <w:tblPrEx>
          <w:tblCellMar>
            <w:top w:w="0" w:type="dxa"/>
            <w:left w:w="108" w:type="dxa"/>
            <w:bottom w:w="0" w:type="dxa"/>
            <w:right w:w="108" w:type="dxa"/>
          </w:tblCellMar>
        </w:tblPrEx>
        <w:trPr>
          <w:trHeight w:val="397" w:hRule="atLeast"/>
          <w:jc w:val="center"/>
        </w:trPr>
        <w:tc>
          <w:tcPr>
            <w:tcW w:w="752" w:type="dxa"/>
            <w:vMerge w:val="continue"/>
            <w:tcBorders>
              <w:left w:val="single" w:color="auto" w:sz="6" w:space="0"/>
              <w:bottom w:val="single" w:color="auto" w:sz="6" w:space="0"/>
              <w:right w:val="single" w:color="auto" w:sz="4" w:space="0"/>
            </w:tcBorders>
            <w:vAlign w:val="center"/>
          </w:tcPr>
          <w:p w14:paraId="01B43C04">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903" w:type="dxa"/>
            <w:tcBorders>
              <w:top w:val="single" w:color="auto" w:sz="6" w:space="0"/>
              <w:left w:val="single" w:color="auto" w:sz="4" w:space="0"/>
              <w:bottom w:val="single" w:color="auto" w:sz="6" w:space="0"/>
              <w:right w:val="single" w:color="auto" w:sz="6" w:space="0"/>
            </w:tcBorders>
            <w:vAlign w:val="center"/>
          </w:tcPr>
          <w:p w14:paraId="33E3340F">
            <w:pPr>
              <w:widowControl/>
              <w:autoSpaceDE w:val="0"/>
              <w:autoSpaceDN w:val="0"/>
              <w:spacing w:line="360" w:lineRule="auto"/>
              <w:ind w:right="-34"/>
              <w:textAlignment w:val="bottom"/>
              <w:rPr>
                <w:rFonts w:hint="eastAsia" w:ascii="宋体" w:hAnsi="宋体" w:eastAsia="宋体" w:cs="宋体"/>
                <w:color w:val="auto"/>
              </w:rPr>
            </w:pPr>
            <w:r>
              <w:rPr>
                <w:rFonts w:hint="eastAsia" w:ascii="宋体" w:hAnsi="宋体" w:eastAsia="宋体" w:cs="宋体"/>
                <w:color w:val="auto"/>
              </w:rPr>
              <w:t>投标报价未超出采购预算</w:t>
            </w:r>
          </w:p>
        </w:tc>
        <w:tc>
          <w:tcPr>
            <w:tcW w:w="2430" w:type="dxa"/>
            <w:tcBorders>
              <w:top w:val="single" w:color="auto" w:sz="6" w:space="0"/>
              <w:left w:val="single" w:color="auto" w:sz="6" w:space="0"/>
              <w:bottom w:val="single" w:color="auto" w:sz="6" w:space="0"/>
              <w:right w:val="single" w:color="auto" w:sz="4" w:space="0"/>
            </w:tcBorders>
            <w:vAlign w:val="center"/>
          </w:tcPr>
          <w:p w14:paraId="1C3FD165">
            <w:pPr>
              <w:widowControl/>
              <w:autoSpaceDE w:val="0"/>
              <w:autoSpaceDN w:val="0"/>
              <w:spacing w:line="400" w:lineRule="exact"/>
              <w:ind w:left="525" w:right="-34" w:hanging="525" w:hangingChars="250"/>
              <w:textAlignment w:val="bottom"/>
              <w:rPr>
                <w:rFonts w:ascii="Arial" w:hAnsi="Arial" w:cs="Arial"/>
                <w:color w:val="auto"/>
              </w:rPr>
            </w:pPr>
          </w:p>
        </w:tc>
      </w:tr>
      <w:tr w14:paraId="7225E46F">
        <w:tblPrEx>
          <w:tblCellMar>
            <w:top w:w="0" w:type="dxa"/>
            <w:left w:w="108" w:type="dxa"/>
            <w:bottom w:w="0" w:type="dxa"/>
            <w:right w:w="108" w:type="dxa"/>
          </w:tblCellMar>
        </w:tblPrEx>
        <w:trPr>
          <w:trHeight w:val="397" w:hRule="atLeast"/>
          <w:jc w:val="center"/>
        </w:trPr>
        <w:tc>
          <w:tcPr>
            <w:tcW w:w="752" w:type="dxa"/>
            <w:vMerge w:val="restart"/>
            <w:tcBorders>
              <w:top w:val="single" w:color="auto" w:sz="6" w:space="0"/>
              <w:left w:val="single" w:color="auto" w:sz="6" w:space="0"/>
              <w:right w:val="single" w:color="auto" w:sz="4" w:space="0"/>
            </w:tcBorders>
            <w:vAlign w:val="center"/>
          </w:tcPr>
          <w:p w14:paraId="1CE7189C">
            <w:pPr>
              <w:widowControl/>
              <w:autoSpaceDE w:val="0"/>
              <w:autoSpaceDN w:val="0"/>
              <w:spacing w:line="360" w:lineRule="auto"/>
              <w:ind w:right="-34"/>
              <w:jc w:val="center"/>
              <w:textAlignment w:val="bottom"/>
              <w:rPr>
                <w:rFonts w:ascii="Arial" w:hAnsi="Arial" w:cs="Arial"/>
                <w:color w:val="auto"/>
              </w:rPr>
            </w:pPr>
            <w:r>
              <w:rPr>
                <w:rFonts w:hint="eastAsia" w:ascii="Arial" w:hAnsi="Arial" w:cs="Arial"/>
                <w:color w:val="auto"/>
              </w:rPr>
              <w:t>符合</w:t>
            </w:r>
          </w:p>
          <w:p w14:paraId="367A7C66">
            <w:pPr>
              <w:widowControl/>
              <w:autoSpaceDE w:val="0"/>
              <w:autoSpaceDN w:val="0"/>
              <w:spacing w:line="360" w:lineRule="auto"/>
              <w:ind w:right="-34"/>
              <w:jc w:val="center"/>
              <w:textAlignment w:val="bottom"/>
              <w:rPr>
                <w:rFonts w:ascii="Arial" w:hAnsi="Arial" w:cs="Arial"/>
                <w:color w:val="auto"/>
              </w:rPr>
            </w:pPr>
            <w:r>
              <w:rPr>
                <w:rFonts w:hint="eastAsia" w:ascii="Arial" w:hAnsi="Arial" w:cs="Arial"/>
                <w:color w:val="auto"/>
              </w:rPr>
              <w:t>性审</w:t>
            </w:r>
          </w:p>
          <w:p w14:paraId="25E95568">
            <w:pPr>
              <w:widowControl/>
              <w:autoSpaceDE w:val="0"/>
              <w:autoSpaceDN w:val="0"/>
              <w:spacing w:line="360" w:lineRule="auto"/>
              <w:ind w:right="-34"/>
              <w:jc w:val="center"/>
              <w:textAlignment w:val="bottom"/>
              <w:rPr>
                <w:rFonts w:ascii="Arial" w:hAnsi="Arial" w:cs="Arial"/>
                <w:color w:val="auto"/>
              </w:rPr>
            </w:pPr>
            <w:r>
              <w:rPr>
                <w:rFonts w:hint="eastAsia" w:ascii="Arial" w:hAnsi="Arial" w:cs="Arial"/>
                <w:color w:val="auto"/>
              </w:rPr>
              <w:t>查</w:t>
            </w:r>
          </w:p>
        </w:tc>
        <w:tc>
          <w:tcPr>
            <w:tcW w:w="5903" w:type="dxa"/>
            <w:tcBorders>
              <w:top w:val="single" w:color="auto" w:sz="6" w:space="0"/>
              <w:left w:val="single" w:color="auto" w:sz="4" w:space="0"/>
              <w:bottom w:val="single" w:color="auto" w:sz="6" w:space="0"/>
              <w:right w:val="single" w:color="auto" w:sz="6" w:space="0"/>
            </w:tcBorders>
            <w:vAlign w:val="center"/>
          </w:tcPr>
          <w:p w14:paraId="013D0EAF">
            <w:pPr>
              <w:widowControl/>
              <w:autoSpaceDE w:val="0"/>
              <w:autoSpaceDN w:val="0"/>
              <w:spacing w:line="360" w:lineRule="auto"/>
              <w:ind w:right="-34"/>
              <w:textAlignment w:val="bottom"/>
              <w:rPr>
                <w:rFonts w:hint="eastAsia" w:ascii="宋体" w:hAnsi="宋体" w:eastAsia="宋体" w:cs="宋体"/>
                <w:color w:val="auto"/>
              </w:rPr>
            </w:pPr>
            <w:r>
              <w:rPr>
                <w:rFonts w:hint="eastAsia" w:ascii="宋体" w:hAnsi="宋体" w:eastAsia="宋体" w:cs="宋体"/>
                <w:color w:val="auto"/>
              </w:rPr>
              <w:t>提交的投标价格为非可调整的价格</w:t>
            </w:r>
          </w:p>
        </w:tc>
        <w:tc>
          <w:tcPr>
            <w:tcW w:w="2430" w:type="dxa"/>
            <w:tcBorders>
              <w:top w:val="single" w:color="auto" w:sz="6" w:space="0"/>
              <w:left w:val="single" w:color="auto" w:sz="6" w:space="0"/>
              <w:bottom w:val="single" w:color="auto" w:sz="6" w:space="0"/>
              <w:right w:val="single" w:color="auto" w:sz="4" w:space="0"/>
            </w:tcBorders>
            <w:vAlign w:val="center"/>
          </w:tcPr>
          <w:p w14:paraId="3F4FEA17">
            <w:pPr>
              <w:widowControl/>
              <w:autoSpaceDE w:val="0"/>
              <w:autoSpaceDN w:val="0"/>
              <w:spacing w:line="400" w:lineRule="exact"/>
              <w:ind w:left="525" w:right="-34" w:hanging="525" w:hangingChars="250"/>
              <w:textAlignment w:val="bottom"/>
              <w:rPr>
                <w:rFonts w:ascii="Arial" w:hAnsi="Arial" w:cs="Arial"/>
                <w:color w:val="auto"/>
              </w:rPr>
            </w:pPr>
          </w:p>
        </w:tc>
      </w:tr>
      <w:tr w14:paraId="35792383">
        <w:tblPrEx>
          <w:tblCellMar>
            <w:top w:w="0" w:type="dxa"/>
            <w:left w:w="108" w:type="dxa"/>
            <w:bottom w:w="0" w:type="dxa"/>
            <w:right w:w="108" w:type="dxa"/>
          </w:tblCellMar>
        </w:tblPrEx>
        <w:trPr>
          <w:trHeight w:val="325" w:hRule="atLeast"/>
          <w:jc w:val="center"/>
        </w:trPr>
        <w:tc>
          <w:tcPr>
            <w:tcW w:w="752" w:type="dxa"/>
            <w:vMerge w:val="continue"/>
            <w:tcBorders>
              <w:left w:val="single" w:color="auto" w:sz="6" w:space="0"/>
              <w:right w:val="single" w:color="auto" w:sz="4" w:space="0"/>
            </w:tcBorders>
            <w:vAlign w:val="center"/>
          </w:tcPr>
          <w:p w14:paraId="78B221B2">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903" w:type="dxa"/>
            <w:tcBorders>
              <w:top w:val="single" w:color="auto" w:sz="6" w:space="0"/>
              <w:left w:val="single" w:color="auto" w:sz="4" w:space="0"/>
              <w:bottom w:val="single" w:color="auto" w:sz="6" w:space="0"/>
              <w:right w:val="single" w:color="auto" w:sz="6" w:space="0"/>
            </w:tcBorders>
            <w:vAlign w:val="center"/>
          </w:tcPr>
          <w:p w14:paraId="15B5658B">
            <w:pPr>
              <w:widowControl/>
              <w:autoSpaceDE w:val="0"/>
              <w:autoSpaceDN w:val="0"/>
              <w:spacing w:line="360" w:lineRule="auto"/>
              <w:ind w:right="-34"/>
              <w:textAlignment w:val="bottom"/>
              <w:rPr>
                <w:rFonts w:hint="eastAsia" w:ascii="宋体" w:hAnsi="宋体" w:eastAsia="宋体" w:cs="宋体"/>
                <w:color w:val="auto"/>
              </w:rPr>
            </w:pPr>
            <w:r>
              <w:rPr>
                <w:rFonts w:hint="eastAsia" w:ascii="宋体" w:hAnsi="宋体" w:eastAsia="宋体" w:cs="宋体"/>
                <w:color w:val="auto"/>
              </w:rPr>
              <w:t>逐条对</w:t>
            </w:r>
            <w:r>
              <w:rPr>
                <w:rFonts w:hint="eastAsia" w:ascii="宋体" w:hAnsi="宋体" w:cs="宋体"/>
                <w:color w:val="auto"/>
                <w:lang w:val="en-US" w:eastAsia="zh-CN"/>
              </w:rPr>
              <w:t>磋商</w:t>
            </w:r>
            <w:r>
              <w:rPr>
                <w:rFonts w:hint="eastAsia" w:ascii="宋体" w:hAnsi="宋体" w:eastAsia="宋体" w:cs="宋体"/>
                <w:color w:val="auto"/>
              </w:rPr>
              <w:t>文件要求的商务和</w:t>
            </w:r>
            <w:r>
              <w:rPr>
                <w:rFonts w:hint="eastAsia" w:ascii="宋体" w:hAnsi="宋体" w:eastAsia="宋体" w:cs="宋体"/>
                <w:color w:val="auto"/>
                <w:lang w:val="en-US" w:eastAsia="zh-CN"/>
              </w:rPr>
              <w:t>技术</w:t>
            </w:r>
            <w:r>
              <w:rPr>
                <w:rFonts w:hint="eastAsia" w:ascii="宋体" w:hAnsi="宋体" w:eastAsia="宋体" w:cs="宋体"/>
                <w:color w:val="auto"/>
              </w:rPr>
              <w:t>需求进行应答，详细填写“</w:t>
            </w:r>
            <w:r>
              <w:rPr>
                <w:rFonts w:hint="eastAsia" w:ascii="宋体" w:hAnsi="宋体" w:eastAsia="宋体" w:cs="宋体"/>
                <w:color w:val="auto"/>
                <w:lang w:eastAsia="zh-CN"/>
              </w:rPr>
              <w:t>服务需求</w:t>
            </w:r>
            <w:r>
              <w:rPr>
                <w:rFonts w:hint="eastAsia" w:ascii="宋体" w:hAnsi="宋体" w:eastAsia="宋体" w:cs="宋体"/>
                <w:color w:val="auto"/>
              </w:rPr>
              <w:t>偏离表、商务条款偏离表”。</w:t>
            </w:r>
          </w:p>
        </w:tc>
        <w:tc>
          <w:tcPr>
            <w:tcW w:w="2430" w:type="dxa"/>
            <w:tcBorders>
              <w:top w:val="single" w:color="auto" w:sz="6" w:space="0"/>
              <w:left w:val="single" w:color="auto" w:sz="6" w:space="0"/>
              <w:bottom w:val="single" w:color="auto" w:sz="6" w:space="0"/>
              <w:right w:val="single" w:color="auto" w:sz="4" w:space="0"/>
            </w:tcBorders>
            <w:vAlign w:val="center"/>
          </w:tcPr>
          <w:p w14:paraId="54560246">
            <w:pPr>
              <w:widowControl/>
              <w:autoSpaceDE w:val="0"/>
              <w:autoSpaceDN w:val="0"/>
              <w:spacing w:line="400" w:lineRule="exact"/>
              <w:ind w:left="525" w:right="-34" w:hanging="525" w:hangingChars="250"/>
              <w:textAlignment w:val="bottom"/>
              <w:rPr>
                <w:rFonts w:ascii="Arial" w:hAnsi="Arial" w:cs="Arial"/>
                <w:color w:val="auto"/>
              </w:rPr>
            </w:pPr>
          </w:p>
        </w:tc>
      </w:tr>
      <w:tr w14:paraId="61896095">
        <w:tblPrEx>
          <w:tblCellMar>
            <w:top w:w="0" w:type="dxa"/>
            <w:left w:w="108" w:type="dxa"/>
            <w:bottom w:w="0" w:type="dxa"/>
            <w:right w:w="108" w:type="dxa"/>
          </w:tblCellMar>
        </w:tblPrEx>
        <w:trPr>
          <w:trHeight w:val="361" w:hRule="atLeast"/>
          <w:jc w:val="center"/>
        </w:trPr>
        <w:tc>
          <w:tcPr>
            <w:tcW w:w="752" w:type="dxa"/>
            <w:vMerge w:val="continue"/>
            <w:tcBorders>
              <w:left w:val="single" w:color="auto" w:sz="6" w:space="0"/>
              <w:right w:val="single" w:color="auto" w:sz="4" w:space="0"/>
            </w:tcBorders>
            <w:vAlign w:val="center"/>
          </w:tcPr>
          <w:p w14:paraId="017E4376">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903" w:type="dxa"/>
            <w:tcBorders>
              <w:top w:val="single" w:color="auto" w:sz="6" w:space="0"/>
              <w:left w:val="single" w:color="auto" w:sz="4" w:space="0"/>
              <w:bottom w:val="single" w:color="auto" w:sz="6" w:space="0"/>
              <w:right w:val="single" w:color="auto" w:sz="6" w:space="0"/>
            </w:tcBorders>
            <w:vAlign w:val="center"/>
          </w:tcPr>
          <w:p w14:paraId="12D9F0EF">
            <w:pPr>
              <w:widowControl/>
              <w:autoSpaceDE w:val="0"/>
              <w:autoSpaceDN w:val="0"/>
              <w:spacing w:line="360" w:lineRule="auto"/>
              <w:ind w:right="-34"/>
              <w:textAlignment w:val="bottom"/>
              <w:rPr>
                <w:rFonts w:hint="eastAsia" w:ascii="宋体" w:hAnsi="宋体" w:eastAsia="宋体" w:cs="宋体"/>
                <w:color w:val="auto"/>
              </w:rPr>
            </w:pPr>
            <w:r>
              <w:rPr>
                <w:rFonts w:hint="eastAsia" w:ascii="宋体" w:hAnsi="宋体" w:cs="宋体"/>
                <w:color w:val="auto"/>
                <w:lang w:eastAsia="zh-CN"/>
              </w:rPr>
              <w:t>响应文件</w:t>
            </w:r>
            <w:r>
              <w:rPr>
                <w:rFonts w:hint="eastAsia" w:ascii="宋体" w:hAnsi="宋体" w:eastAsia="宋体" w:cs="宋体"/>
                <w:color w:val="auto"/>
              </w:rPr>
              <w:t>的有效性、完整性满足</w:t>
            </w:r>
            <w:r>
              <w:rPr>
                <w:rFonts w:hint="eastAsia" w:ascii="宋体" w:hAnsi="宋体" w:cs="宋体"/>
                <w:color w:val="auto"/>
                <w:lang w:val="en-US" w:eastAsia="zh-CN"/>
              </w:rPr>
              <w:t>磋商</w:t>
            </w:r>
            <w:r>
              <w:rPr>
                <w:rFonts w:hint="eastAsia" w:ascii="宋体" w:hAnsi="宋体" w:eastAsia="宋体" w:cs="宋体"/>
                <w:color w:val="auto"/>
              </w:rPr>
              <w:t>文件要求</w:t>
            </w:r>
          </w:p>
        </w:tc>
        <w:tc>
          <w:tcPr>
            <w:tcW w:w="2430" w:type="dxa"/>
            <w:tcBorders>
              <w:top w:val="single" w:color="auto" w:sz="6" w:space="0"/>
              <w:left w:val="single" w:color="auto" w:sz="6" w:space="0"/>
              <w:bottom w:val="single" w:color="auto" w:sz="6" w:space="0"/>
              <w:right w:val="single" w:color="auto" w:sz="4" w:space="0"/>
            </w:tcBorders>
            <w:vAlign w:val="center"/>
          </w:tcPr>
          <w:p w14:paraId="150372AC">
            <w:pPr>
              <w:widowControl/>
              <w:autoSpaceDE w:val="0"/>
              <w:autoSpaceDN w:val="0"/>
              <w:spacing w:line="400" w:lineRule="exact"/>
              <w:ind w:left="525" w:right="-34" w:hanging="525" w:hangingChars="250"/>
              <w:textAlignment w:val="bottom"/>
              <w:rPr>
                <w:rFonts w:ascii="Arial" w:hAnsi="Arial" w:cs="Arial"/>
                <w:color w:val="auto"/>
              </w:rPr>
            </w:pPr>
          </w:p>
        </w:tc>
      </w:tr>
      <w:tr w14:paraId="11A39329">
        <w:tblPrEx>
          <w:tblCellMar>
            <w:top w:w="0" w:type="dxa"/>
            <w:left w:w="108" w:type="dxa"/>
            <w:bottom w:w="0" w:type="dxa"/>
            <w:right w:w="108" w:type="dxa"/>
          </w:tblCellMar>
        </w:tblPrEx>
        <w:trPr>
          <w:trHeight w:val="325" w:hRule="atLeast"/>
          <w:jc w:val="center"/>
        </w:trPr>
        <w:tc>
          <w:tcPr>
            <w:tcW w:w="752" w:type="dxa"/>
            <w:vMerge w:val="continue"/>
            <w:tcBorders>
              <w:left w:val="single" w:color="auto" w:sz="6" w:space="0"/>
              <w:right w:val="single" w:color="auto" w:sz="4" w:space="0"/>
            </w:tcBorders>
            <w:vAlign w:val="center"/>
          </w:tcPr>
          <w:p w14:paraId="17528AB1">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903" w:type="dxa"/>
            <w:tcBorders>
              <w:top w:val="single" w:color="auto" w:sz="6" w:space="0"/>
              <w:left w:val="single" w:color="auto" w:sz="4" w:space="0"/>
              <w:bottom w:val="single" w:color="auto" w:sz="6" w:space="0"/>
              <w:right w:val="single" w:color="auto" w:sz="6" w:space="0"/>
            </w:tcBorders>
            <w:vAlign w:val="center"/>
          </w:tcPr>
          <w:p w14:paraId="5CF840EF">
            <w:pPr>
              <w:widowControl/>
              <w:autoSpaceDE w:val="0"/>
              <w:autoSpaceDN w:val="0"/>
              <w:spacing w:line="360" w:lineRule="auto"/>
              <w:ind w:right="-34"/>
              <w:textAlignment w:val="bottom"/>
              <w:rPr>
                <w:rFonts w:hint="eastAsia" w:ascii="宋体" w:hAnsi="宋体" w:eastAsia="宋体" w:cs="宋体"/>
                <w:color w:val="auto"/>
              </w:rPr>
            </w:pPr>
            <w:r>
              <w:rPr>
                <w:rFonts w:hint="eastAsia" w:ascii="宋体" w:hAnsi="宋体" w:eastAsia="宋体" w:cs="宋体"/>
                <w:color w:val="auto"/>
              </w:rPr>
              <w:t>符合</w:t>
            </w:r>
            <w:r>
              <w:rPr>
                <w:rFonts w:hint="eastAsia" w:ascii="宋体" w:hAnsi="宋体" w:cs="宋体"/>
                <w:color w:val="auto"/>
                <w:lang w:val="en-US" w:eastAsia="zh-CN"/>
              </w:rPr>
              <w:t>磋商</w:t>
            </w:r>
            <w:r>
              <w:rPr>
                <w:rFonts w:hint="eastAsia" w:ascii="宋体" w:hAnsi="宋体" w:eastAsia="宋体" w:cs="宋体"/>
                <w:color w:val="auto"/>
              </w:rPr>
              <w:t>文件中</w:t>
            </w:r>
            <w:r>
              <w:rPr>
                <w:rFonts w:hint="eastAsia" w:ascii="宋体" w:hAnsi="宋体" w:eastAsia="宋体" w:cs="宋体"/>
                <w:color w:val="auto"/>
                <w:lang w:eastAsia="zh-CN"/>
              </w:rPr>
              <w:t>服务</w:t>
            </w:r>
            <w:r>
              <w:rPr>
                <w:rFonts w:hint="eastAsia" w:ascii="宋体" w:hAnsi="宋体" w:eastAsia="宋体" w:cs="宋体"/>
                <w:color w:val="auto"/>
              </w:rPr>
              <w:t>期的要求</w:t>
            </w:r>
          </w:p>
        </w:tc>
        <w:tc>
          <w:tcPr>
            <w:tcW w:w="2430" w:type="dxa"/>
            <w:tcBorders>
              <w:top w:val="single" w:color="auto" w:sz="6" w:space="0"/>
              <w:left w:val="single" w:color="auto" w:sz="6" w:space="0"/>
              <w:bottom w:val="single" w:color="auto" w:sz="6" w:space="0"/>
              <w:right w:val="single" w:color="auto" w:sz="4" w:space="0"/>
            </w:tcBorders>
            <w:vAlign w:val="center"/>
          </w:tcPr>
          <w:p w14:paraId="621B629B">
            <w:pPr>
              <w:widowControl/>
              <w:autoSpaceDE w:val="0"/>
              <w:autoSpaceDN w:val="0"/>
              <w:spacing w:line="400" w:lineRule="exact"/>
              <w:ind w:left="525" w:right="-34" w:hanging="525" w:hangingChars="250"/>
              <w:textAlignment w:val="bottom"/>
              <w:rPr>
                <w:rFonts w:ascii="Arial" w:hAnsi="Arial" w:cs="Arial"/>
                <w:color w:val="auto"/>
              </w:rPr>
            </w:pPr>
          </w:p>
        </w:tc>
      </w:tr>
      <w:tr w14:paraId="506D453E">
        <w:tblPrEx>
          <w:tblCellMar>
            <w:top w:w="0" w:type="dxa"/>
            <w:left w:w="108" w:type="dxa"/>
            <w:bottom w:w="0" w:type="dxa"/>
            <w:right w:w="108" w:type="dxa"/>
          </w:tblCellMar>
        </w:tblPrEx>
        <w:trPr>
          <w:trHeight w:val="325" w:hRule="atLeast"/>
          <w:jc w:val="center"/>
        </w:trPr>
        <w:tc>
          <w:tcPr>
            <w:tcW w:w="752" w:type="dxa"/>
            <w:vMerge w:val="continue"/>
            <w:tcBorders>
              <w:left w:val="single" w:color="auto" w:sz="6" w:space="0"/>
              <w:right w:val="single" w:color="auto" w:sz="4" w:space="0"/>
            </w:tcBorders>
            <w:vAlign w:val="center"/>
          </w:tcPr>
          <w:p w14:paraId="21520919">
            <w:pPr>
              <w:widowControl/>
              <w:autoSpaceDE w:val="0"/>
              <w:autoSpaceDN w:val="0"/>
              <w:spacing w:line="360" w:lineRule="auto"/>
              <w:ind w:left="525" w:leftChars="200" w:right="-34" w:hanging="105" w:hangingChars="50"/>
              <w:jc w:val="center"/>
              <w:textAlignment w:val="bottom"/>
              <w:rPr>
                <w:rFonts w:ascii="Arial" w:hAnsi="Arial" w:cs="Arial"/>
                <w:color w:val="auto"/>
              </w:rPr>
            </w:pPr>
          </w:p>
        </w:tc>
        <w:tc>
          <w:tcPr>
            <w:tcW w:w="5903" w:type="dxa"/>
            <w:tcBorders>
              <w:top w:val="single" w:color="auto" w:sz="6" w:space="0"/>
              <w:left w:val="single" w:color="auto" w:sz="4" w:space="0"/>
              <w:bottom w:val="single" w:color="auto" w:sz="6" w:space="0"/>
              <w:right w:val="single" w:color="auto" w:sz="6" w:space="0"/>
            </w:tcBorders>
            <w:vAlign w:val="center"/>
          </w:tcPr>
          <w:p w14:paraId="330C65C5">
            <w:pPr>
              <w:widowControl/>
              <w:autoSpaceDE w:val="0"/>
              <w:autoSpaceDN w:val="0"/>
              <w:spacing w:line="360" w:lineRule="auto"/>
              <w:ind w:right="-34"/>
              <w:textAlignment w:val="bottom"/>
              <w:rPr>
                <w:rFonts w:hint="eastAsia" w:ascii="宋体" w:hAnsi="宋体" w:eastAsia="宋体" w:cs="宋体"/>
                <w:color w:val="auto"/>
              </w:rPr>
            </w:pPr>
            <w:r>
              <w:rPr>
                <w:rFonts w:hint="eastAsia" w:ascii="宋体" w:hAnsi="宋体" w:eastAsia="宋体" w:cs="宋体"/>
                <w:color w:val="auto"/>
              </w:rPr>
              <w:t>对</w:t>
            </w:r>
            <w:r>
              <w:rPr>
                <w:rFonts w:hint="eastAsia" w:ascii="宋体" w:hAnsi="宋体" w:cs="宋体"/>
                <w:color w:val="auto"/>
                <w:lang w:val="en-US" w:eastAsia="zh-CN"/>
              </w:rPr>
              <w:t>磋商</w:t>
            </w:r>
            <w:r>
              <w:rPr>
                <w:rFonts w:hint="eastAsia" w:ascii="宋体" w:hAnsi="宋体" w:eastAsia="宋体" w:cs="宋体"/>
                <w:color w:val="auto"/>
              </w:rPr>
              <w:t>文件的实质性要求作出响应</w:t>
            </w:r>
          </w:p>
        </w:tc>
        <w:tc>
          <w:tcPr>
            <w:tcW w:w="2430" w:type="dxa"/>
            <w:tcBorders>
              <w:top w:val="single" w:color="auto" w:sz="6" w:space="0"/>
              <w:left w:val="single" w:color="auto" w:sz="6" w:space="0"/>
              <w:bottom w:val="single" w:color="auto" w:sz="6" w:space="0"/>
              <w:right w:val="single" w:color="auto" w:sz="4" w:space="0"/>
            </w:tcBorders>
            <w:vAlign w:val="center"/>
          </w:tcPr>
          <w:p w14:paraId="488C7617">
            <w:pPr>
              <w:widowControl/>
              <w:autoSpaceDE w:val="0"/>
              <w:autoSpaceDN w:val="0"/>
              <w:spacing w:line="400" w:lineRule="exact"/>
              <w:ind w:left="525" w:right="-34" w:hanging="525" w:hangingChars="250"/>
              <w:textAlignment w:val="bottom"/>
              <w:rPr>
                <w:rFonts w:ascii="Arial" w:hAnsi="Arial" w:cs="Arial"/>
                <w:color w:val="auto"/>
              </w:rPr>
            </w:pPr>
          </w:p>
        </w:tc>
      </w:tr>
      <w:tr w14:paraId="03F8B54A">
        <w:tblPrEx>
          <w:tblCellMar>
            <w:top w:w="0" w:type="dxa"/>
            <w:left w:w="108" w:type="dxa"/>
            <w:bottom w:w="0" w:type="dxa"/>
            <w:right w:w="108" w:type="dxa"/>
          </w:tblCellMar>
        </w:tblPrEx>
        <w:trPr>
          <w:trHeight w:val="397" w:hRule="atLeast"/>
          <w:jc w:val="center"/>
        </w:trPr>
        <w:tc>
          <w:tcPr>
            <w:tcW w:w="6655" w:type="dxa"/>
            <w:gridSpan w:val="2"/>
            <w:tcBorders>
              <w:top w:val="single" w:color="auto" w:sz="6" w:space="0"/>
              <w:left w:val="single" w:color="auto" w:sz="6" w:space="0"/>
              <w:bottom w:val="single" w:color="auto" w:sz="6" w:space="0"/>
              <w:right w:val="single" w:color="auto" w:sz="6" w:space="0"/>
            </w:tcBorders>
            <w:vAlign w:val="center"/>
          </w:tcPr>
          <w:p w14:paraId="693B8B31">
            <w:pPr>
              <w:widowControl/>
              <w:autoSpaceDE w:val="0"/>
              <w:autoSpaceDN w:val="0"/>
              <w:spacing w:line="360" w:lineRule="auto"/>
              <w:ind w:right="-34"/>
              <w:textAlignment w:val="bottom"/>
              <w:rPr>
                <w:rFonts w:ascii="Arial" w:hAnsi="Arial" w:cs="Arial"/>
                <w:color w:val="auto"/>
              </w:rPr>
            </w:pPr>
            <w:r>
              <w:rPr>
                <w:rFonts w:hint="eastAsia" w:ascii="Arial" w:hAnsi="Arial" w:cs="Arial"/>
                <w:color w:val="auto"/>
              </w:rPr>
              <w:t>结论</w:t>
            </w:r>
          </w:p>
        </w:tc>
        <w:tc>
          <w:tcPr>
            <w:tcW w:w="2430" w:type="dxa"/>
            <w:tcBorders>
              <w:top w:val="single" w:color="auto" w:sz="6" w:space="0"/>
              <w:left w:val="single" w:color="auto" w:sz="6" w:space="0"/>
              <w:bottom w:val="single" w:color="auto" w:sz="6" w:space="0"/>
              <w:right w:val="single" w:color="auto" w:sz="4" w:space="0"/>
            </w:tcBorders>
            <w:vAlign w:val="center"/>
          </w:tcPr>
          <w:p w14:paraId="20997DAB">
            <w:pPr>
              <w:widowControl/>
              <w:autoSpaceDE w:val="0"/>
              <w:autoSpaceDN w:val="0"/>
              <w:spacing w:line="400" w:lineRule="exact"/>
              <w:ind w:left="525" w:right="-34" w:hanging="525" w:hangingChars="250"/>
              <w:textAlignment w:val="bottom"/>
              <w:rPr>
                <w:rFonts w:ascii="Arial" w:hAnsi="Arial" w:cs="Arial"/>
                <w:color w:val="auto"/>
              </w:rPr>
            </w:pPr>
          </w:p>
        </w:tc>
      </w:tr>
    </w:tbl>
    <w:p w14:paraId="59EEEA3A">
      <w:pPr>
        <w:widowControl/>
        <w:autoSpaceDE w:val="0"/>
        <w:autoSpaceDN w:val="0"/>
        <w:spacing w:line="400" w:lineRule="exact"/>
        <w:ind w:left="525" w:right="-34" w:hanging="525" w:hangingChars="250"/>
        <w:jc w:val="center"/>
        <w:textAlignment w:val="bottom"/>
        <w:rPr>
          <w:rFonts w:ascii="宋体" w:hAnsi="宋体" w:cs="宋体"/>
          <w:color w:val="auto"/>
        </w:rPr>
      </w:pPr>
    </w:p>
    <w:p w14:paraId="605C34BF">
      <w:pPr>
        <w:widowControl/>
        <w:autoSpaceDE w:val="0"/>
        <w:autoSpaceDN w:val="0"/>
        <w:spacing w:line="360" w:lineRule="auto"/>
        <w:ind w:left="525" w:right="-34" w:hanging="525" w:hangingChars="250"/>
        <w:textAlignment w:val="bottom"/>
        <w:rPr>
          <w:rFonts w:ascii="宋体" w:hAnsi="宋体" w:cs="宋体"/>
          <w:color w:val="auto"/>
        </w:rPr>
      </w:pPr>
      <w:r>
        <w:rPr>
          <w:rFonts w:hint="eastAsia" w:ascii="宋体" w:hAnsi="宋体" w:cs="宋体"/>
          <w:color w:val="auto"/>
        </w:rPr>
        <w:t>注：本表中符合评审内容要求的写“√”，不符合评审内容要求的写“×”。结论为“合格”或“不合格。</w:t>
      </w:r>
    </w:p>
    <w:p w14:paraId="34319561">
      <w:pPr>
        <w:spacing w:line="360" w:lineRule="auto"/>
        <w:ind w:firstLine="420" w:firstLineChars="200"/>
        <w:jc w:val="center"/>
        <w:rPr>
          <w:rFonts w:ascii="宋体" w:hAnsi="宋体" w:cs="宋体"/>
          <w:color w:val="auto"/>
          <w:sz w:val="24"/>
        </w:rPr>
      </w:pPr>
      <w:r>
        <w:rPr>
          <w:rFonts w:hint="eastAsia" w:ascii="宋体" w:hAnsi="宋体" w:cs="宋体"/>
          <w:color w:val="auto"/>
        </w:rPr>
        <w:br w:type="page"/>
      </w:r>
      <w:r>
        <w:rPr>
          <w:rFonts w:hint="eastAsia" w:ascii="宋体" w:hAnsi="宋体" w:cs="宋体"/>
          <w:color w:val="auto"/>
        </w:rPr>
        <w:t>详细评审表</w:t>
      </w:r>
    </w:p>
    <w:tbl>
      <w:tblPr>
        <w:tblStyle w:val="15"/>
        <w:tblW w:w="9235" w:type="dxa"/>
        <w:jc w:val="center"/>
        <w:tblLayout w:type="fixed"/>
        <w:tblCellMar>
          <w:top w:w="0" w:type="dxa"/>
          <w:left w:w="108" w:type="dxa"/>
          <w:bottom w:w="0" w:type="dxa"/>
          <w:right w:w="108" w:type="dxa"/>
        </w:tblCellMar>
      </w:tblPr>
      <w:tblGrid>
        <w:gridCol w:w="945"/>
        <w:gridCol w:w="2118"/>
        <w:gridCol w:w="5062"/>
        <w:gridCol w:w="1110"/>
      </w:tblGrid>
      <w:tr w14:paraId="12FCBA93">
        <w:tblPrEx>
          <w:tblCellMar>
            <w:top w:w="0" w:type="dxa"/>
            <w:left w:w="108" w:type="dxa"/>
            <w:bottom w:w="0" w:type="dxa"/>
            <w:right w:w="108" w:type="dxa"/>
          </w:tblCellMar>
        </w:tblPrEx>
        <w:trPr>
          <w:trHeight w:val="397" w:hRule="atLeast"/>
          <w:jc w:val="center"/>
        </w:trPr>
        <w:tc>
          <w:tcPr>
            <w:tcW w:w="945" w:type="dxa"/>
            <w:tcBorders>
              <w:top w:val="single" w:color="000000" w:sz="4" w:space="0"/>
              <w:left w:val="single" w:color="000000" w:sz="4" w:space="0"/>
              <w:bottom w:val="single" w:color="000000" w:sz="4" w:space="0"/>
              <w:right w:val="single" w:color="auto" w:sz="4" w:space="0"/>
            </w:tcBorders>
            <w:vAlign w:val="center"/>
          </w:tcPr>
          <w:p w14:paraId="5CC80B22">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118" w:type="dxa"/>
            <w:tcBorders>
              <w:top w:val="single" w:color="auto" w:sz="4" w:space="0"/>
              <w:left w:val="single" w:color="auto" w:sz="4" w:space="0"/>
              <w:bottom w:val="single" w:color="auto" w:sz="4" w:space="0"/>
              <w:right w:val="single" w:color="auto" w:sz="4" w:space="0"/>
            </w:tcBorders>
            <w:vAlign w:val="center"/>
          </w:tcPr>
          <w:p w14:paraId="767249DC">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评审项目</w:t>
            </w:r>
          </w:p>
        </w:tc>
        <w:tc>
          <w:tcPr>
            <w:tcW w:w="5062" w:type="dxa"/>
            <w:tcBorders>
              <w:top w:val="single" w:color="auto" w:sz="4" w:space="0"/>
              <w:left w:val="single" w:color="auto" w:sz="4" w:space="0"/>
              <w:bottom w:val="single" w:color="auto" w:sz="4" w:space="0"/>
              <w:right w:val="single" w:color="auto" w:sz="4" w:space="0"/>
            </w:tcBorders>
            <w:vAlign w:val="center"/>
          </w:tcPr>
          <w:p w14:paraId="695F2756">
            <w:pPr>
              <w:widowControl/>
              <w:spacing w:line="360" w:lineRule="exact"/>
              <w:jc w:val="center"/>
              <w:rPr>
                <w:rFonts w:ascii="宋体" w:hAnsi="宋体" w:cs="宋体"/>
                <w:color w:val="auto"/>
                <w:sz w:val="24"/>
                <w:highlight w:val="none"/>
              </w:rPr>
            </w:pPr>
            <w:r>
              <w:rPr>
                <w:rFonts w:hint="eastAsia" w:ascii="宋体" w:hAnsi="宋体" w:cs="宋体"/>
                <w:color w:val="auto"/>
                <w:kern w:val="0"/>
                <w:sz w:val="24"/>
                <w:highlight w:val="none"/>
              </w:rPr>
              <w:t>标    准</w:t>
            </w:r>
          </w:p>
        </w:tc>
        <w:tc>
          <w:tcPr>
            <w:tcW w:w="1110" w:type="dxa"/>
            <w:tcBorders>
              <w:top w:val="single" w:color="auto" w:sz="4" w:space="0"/>
              <w:left w:val="single" w:color="auto" w:sz="4" w:space="0"/>
              <w:bottom w:val="single" w:color="auto" w:sz="4" w:space="0"/>
              <w:right w:val="single" w:color="auto" w:sz="4" w:space="0"/>
            </w:tcBorders>
            <w:vAlign w:val="center"/>
          </w:tcPr>
          <w:p w14:paraId="50B2C740">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分值</w:t>
            </w:r>
          </w:p>
        </w:tc>
      </w:tr>
      <w:tr w14:paraId="7004456D">
        <w:tblPrEx>
          <w:tblCellMar>
            <w:top w:w="0" w:type="dxa"/>
            <w:left w:w="108" w:type="dxa"/>
            <w:bottom w:w="0" w:type="dxa"/>
            <w:right w:w="108" w:type="dxa"/>
          </w:tblCellMar>
        </w:tblPrEx>
        <w:trPr>
          <w:trHeight w:val="397" w:hRule="atLeast"/>
          <w:jc w:val="center"/>
        </w:trPr>
        <w:tc>
          <w:tcPr>
            <w:tcW w:w="945" w:type="dxa"/>
            <w:tcBorders>
              <w:top w:val="single" w:color="000000" w:sz="4" w:space="0"/>
              <w:left w:val="single" w:color="000000" w:sz="4" w:space="0"/>
              <w:bottom w:val="single" w:color="000000" w:sz="4" w:space="0"/>
              <w:right w:val="single" w:color="auto" w:sz="4" w:space="0"/>
            </w:tcBorders>
            <w:vAlign w:val="center"/>
          </w:tcPr>
          <w:p w14:paraId="14C88138">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18" w:type="dxa"/>
            <w:tcBorders>
              <w:top w:val="single" w:color="auto" w:sz="4" w:space="0"/>
              <w:left w:val="single" w:color="auto" w:sz="4" w:space="0"/>
              <w:bottom w:val="single" w:color="auto" w:sz="4" w:space="0"/>
              <w:right w:val="single" w:color="auto" w:sz="4" w:space="0"/>
            </w:tcBorders>
            <w:vAlign w:val="center"/>
          </w:tcPr>
          <w:p w14:paraId="1DE51723">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报价得分</w:t>
            </w:r>
          </w:p>
        </w:tc>
        <w:tc>
          <w:tcPr>
            <w:tcW w:w="5062" w:type="dxa"/>
            <w:tcBorders>
              <w:top w:val="single" w:color="auto" w:sz="4" w:space="0"/>
              <w:left w:val="single" w:color="auto" w:sz="4" w:space="0"/>
              <w:bottom w:val="single" w:color="auto" w:sz="4" w:space="0"/>
              <w:right w:val="single" w:color="auto" w:sz="4" w:space="0"/>
            </w:tcBorders>
            <w:vAlign w:val="center"/>
          </w:tcPr>
          <w:p w14:paraId="776D913C">
            <w:pPr>
              <w:rPr>
                <w:rFonts w:ascii="宋体" w:hAnsi="宋体" w:cs="宋体"/>
                <w:color w:val="auto"/>
                <w:kern w:val="0"/>
                <w:sz w:val="24"/>
                <w:highlight w:val="none"/>
              </w:rPr>
            </w:pPr>
            <w:r>
              <w:rPr>
                <w:rFonts w:hint="eastAsia" w:ascii="宋体" w:hAnsi="宋体" w:cs="宋体"/>
                <w:color w:val="auto"/>
                <w:kern w:val="0"/>
                <w:sz w:val="24"/>
                <w:highlight w:val="none"/>
              </w:rPr>
              <w:t>价格分统一采用低价优先法计算，即满足磋商文件要求且最后报价最低的供应商的价格为磋商基准价，其价格分为满分。其他供应商的价格分统一按照下列公式计算：</w:t>
            </w:r>
          </w:p>
          <w:p w14:paraId="7E93D4B9">
            <w:pPr>
              <w:rPr>
                <w:rFonts w:ascii="宋体" w:hAnsi="宋体" w:cs="宋体"/>
                <w:color w:val="auto"/>
                <w:kern w:val="0"/>
                <w:sz w:val="24"/>
                <w:highlight w:val="none"/>
              </w:rPr>
            </w:pPr>
            <w:r>
              <w:rPr>
                <w:rFonts w:hint="eastAsia" w:ascii="宋体" w:hAnsi="宋体" w:cs="宋体"/>
                <w:color w:val="auto"/>
                <w:kern w:val="0"/>
                <w:sz w:val="24"/>
                <w:highlight w:val="none"/>
              </w:rPr>
              <w:t>磋商报价得分=（磋商基准价/最后磋商报价）×30分×100%</w:t>
            </w:r>
          </w:p>
          <w:p w14:paraId="4C67FDD1">
            <w:pPr>
              <w:rPr>
                <w:rFonts w:ascii="宋体" w:hAnsi="宋体" w:cs="宋体"/>
                <w:color w:val="auto"/>
                <w:kern w:val="0"/>
                <w:sz w:val="24"/>
                <w:highlight w:val="none"/>
              </w:rPr>
            </w:pPr>
            <w:r>
              <w:rPr>
                <w:rFonts w:hint="eastAsia" w:ascii="宋体" w:hAnsi="宋体" w:cs="宋体"/>
                <w:color w:val="auto"/>
                <w:kern w:val="0"/>
                <w:sz w:val="24"/>
                <w:highlight w:val="none"/>
              </w:rPr>
              <w:t>项目评审过程中，不得去掉最后报价中的最高报价和最低报价。（计算结果精确到小数点后两位）</w:t>
            </w:r>
          </w:p>
        </w:tc>
        <w:tc>
          <w:tcPr>
            <w:tcW w:w="1110" w:type="dxa"/>
            <w:tcBorders>
              <w:top w:val="single" w:color="auto" w:sz="4" w:space="0"/>
              <w:left w:val="single" w:color="auto" w:sz="4" w:space="0"/>
              <w:bottom w:val="single" w:color="auto" w:sz="4" w:space="0"/>
              <w:right w:val="single" w:color="auto" w:sz="4" w:space="0"/>
            </w:tcBorders>
            <w:vAlign w:val="center"/>
          </w:tcPr>
          <w:p w14:paraId="6B42DC23">
            <w:pPr>
              <w:spacing w:line="36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30</w:t>
            </w:r>
          </w:p>
        </w:tc>
      </w:tr>
      <w:tr w14:paraId="3BA34AFD">
        <w:tblPrEx>
          <w:tblCellMar>
            <w:top w:w="0" w:type="dxa"/>
            <w:left w:w="108" w:type="dxa"/>
            <w:bottom w:w="0" w:type="dxa"/>
            <w:right w:w="108" w:type="dxa"/>
          </w:tblCellMar>
        </w:tblPrEx>
        <w:trPr>
          <w:trHeight w:val="397"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7859CFDE">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18" w:type="dxa"/>
            <w:tcBorders>
              <w:top w:val="single" w:color="auto" w:sz="4" w:space="0"/>
              <w:left w:val="nil"/>
              <w:bottom w:val="single" w:color="000000" w:sz="4" w:space="0"/>
              <w:right w:val="single" w:color="000000" w:sz="4" w:space="0"/>
            </w:tcBorders>
            <w:vAlign w:val="center"/>
          </w:tcPr>
          <w:p w14:paraId="26B6AEA8">
            <w:pPr>
              <w:autoSpaceDE w:val="0"/>
              <w:autoSpaceDN w:val="0"/>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企业业绩</w:t>
            </w:r>
          </w:p>
          <w:p w14:paraId="21C15E8F">
            <w:pPr>
              <w:autoSpaceDE w:val="0"/>
              <w:autoSpaceDN w:val="0"/>
              <w:spacing w:line="360" w:lineRule="exact"/>
              <w:jc w:val="center"/>
              <w:rPr>
                <w:rFonts w:ascii="宋体" w:hAnsi="宋体" w:cs="宋体"/>
                <w:color w:val="auto"/>
                <w:kern w:val="0"/>
                <w:sz w:val="24"/>
                <w:highlight w:val="none"/>
              </w:rPr>
            </w:pPr>
          </w:p>
        </w:tc>
        <w:tc>
          <w:tcPr>
            <w:tcW w:w="5062" w:type="dxa"/>
            <w:tcBorders>
              <w:top w:val="single" w:color="auto" w:sz="4" w:space="0"/>
              <w:left w:val="nil"/>
              <w:bottom w:val="single" w:color="000000" w:sz="4" w:space="0"/>
              <w:right w:val="single" w:color="000000" w:sz="4" w:space="0"/>
            </w:tcBorders>
            <w:vAlign w:val="center"/>
          </w:tcPr>
          <w:p w14:paraId="152D8529">
            <w:pPr>
              <w:topLinePunct/>
              <w:spacing w:line="360" w:lineRule="exac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供应商</w:t>
            </w:r>
            <w:r>
              <w:rPr>
                <w:rFonts w:hint="eastAsia" w:ascii="Times New Roman" w:hAnsi="Times New Roman" w:eastAsia="宋体" w:cs="Times New Roman"/>
                <w:color w:val="auto"/>
                <w:highlight w:val="none"/>
              </w:rPr>
              <w:t>提供20</w:t>
            </w:r>
            <w:r>
              <w:rPr>
                <w:rFonts w:hint="eastAsia" w:ascii="Times New Roman" w:hAnsi="Times New Roman" w:eastAsia="宋体" w:cs="Times New Roman"/>
                <w:color w:val="auto"/>
                <w:highlight w:val="none"/>
                <w:lang w:val="en-US" w:eastAsia="zh-CN"/>
              </w:rPr>
              <w:t>21</w:t>
            </w:r>
            <w:r>
              <w:rPr>
                <w:rFonts w:hint="eastAsia" w:ascii="Times New Roman" w:hAnsi="Times New Roman" w:eastAsia="宋体" w:cs="Times New Roman"/>
                <w:color w:val="auto"/>
                <w:highlight w:val="none"/>
              </w:rPr>
              <w:t>年至今的类似项目业绩，每增加一项得</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分，最高得</w:t>
            </w:r>
            <w:r>
              <w:rPr>
                <w:rFonts w:hint="eastAsia" w:ascii="Times New Roman" w:hAnsi="Times New Roman" w:eastAsia="宋体" w:cs="Times New Roman"/>
                <w:color w:val="auto"/>
                <w:highlight w:val="none"/>
                <w:lang w:val="en-US" w:eastAsia="zh-CN"/>
              </w:rPr>
              <w:t>10</w:t>
            </w:r>
            <w:r>
              <w:rPr>
                <w:rFonts w:hint="eastAsia" w:ascii="Times New Roman" w:hAnsi="Times New Roman" w:eastAsia="宋体" w:cs="Times New Roman"/>
                <w:color w:val="auto"/>
                <w:highlight w:val="none"/>
              </w:rPr>
              <w:t>分。</w:t>
            </w:r>
          </w:p>
          <w:p w14:paraId="4DC9EA79">
            <w:pPr>
              <w:spacing w:line="360" w:lineRule="exact"/>
              <w:rPr>
                <w:rFonts w:ascii="宋体" w:hAnsi="宋体" w:cs="宋体"/>
                <w:color w:val="auto"/>
                <w:kern w:val="0"/>
                <w:sz w:val="24"/>
                <w:highlight w:val="none"/>
              </w:rPr>
            </w:pPr>
            <w:r>
              <w:rPr>
                <w:rFonts w:hint="eastAsia" w:ascii="Times New Roman" w:hAnsi="Times New Roman" w:eastAsia="宋体" w:cs="Times New Roman"/>
                <w:color w:val="auto"/>
              </w:rPr>
              <w:t>注：</w:t>
            </w:r>
            <w:r>
              <w:rPr>
                <w:rFonts w:hint="eastAsia" w:ascii="Times New Roman" w:hAnsi="Times New Roman" w:eastAsia="宋体" w:cs="Times New Roman"/>
                <w:color w:val="auto"/>
                <w:lang w:eastAsia="zh-CN"/>
              </w:rPr>
              <w:t>响应文件</w:t>
            </w:r>
            <w:r>
              <w:rPr>
                <w:rFonts w:hint="eastAsia" w:ascii="Times New Roman" w:hAnsi="Times New Roman" w:eastAsia="宋体" w:cs="Times New Roman"/>
                <w:color w:val="auto"/>
              </w:rPr>
              <w:t>内附保单或中标通知书或合同协议书复印件加盖公章，提供不完整、不清晰不得分。</w:t>
            </w:r>
          </w:p>
        </w:tc>
        <w:tc>
          <w:tcPr>
            <w:tcW w:w="1110" w:type="dxa"/>
            <w:tcBorders>
              <w:top w:val="single" w:color="auto" w:sz="4" w:space="0"/>
              <w:left w:val="nil"/>
              <w:bottom w:val="single" w:color="000000" w:sz="4" w:space="0"/>
              <w:right w:val="single" w:color="000000" w:sz="4" w:space="0"/>
            </w:tcBorders>
            <w:vAlign w:val="center"/>
          </w:tcPr>
          <w:p w14:paraId="5FC56C97">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624A8CA4">
        <w:tblPrEx>
          <w:tblCellMar>
            <w:top w:w="0" w:type="dxa"/>
            <w:left w:w="108" w:type="dxa"/>
            <w:bottom w:w="0" w:type="dxa"/>
            <w:right w:w="108" w:type="dxa"/>
          </w:tblCellMar>
        </w:tblPrEx>
        <w:trPr>
          <w:trHeight w:val="397"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3683C76C">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18" w:type="dxa"/>
            <w:tcBorders>
              <w:top w:val="single" w:color="auto" w:sz="4" w:space="0"/>
              <w:left w:val="nil"/>
              <w:bottom w:val="single" w:color="000000" w:sz="4" w:space="0"/>
              <w:right w:val="single" w:color="000000" w:sz="4" w:space="0"/>
            </w:tcBorders>
            <w:vAlign w:val="center"/>
          </w:tcPr>
          <w:p w14:paraId="28C64E92">
            <w:pPr>
              <w:widowControl/>
              <w:spacing w:line="360" w:lineRule="exact"/>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服务团队</w:t>
            </w:r>
          </w:p>
          <w:p w14:paraId="63F2EC8E">
            <w:pPr>
              <w:widowControl/>
              <w:spacing w:line="360" w:lineRule="exact"/>
              <w:jc w:val="center"/>
              <w:rPr>
                <w:rFonts w:ascii="宋体" w:hAnsi="宋体" w:cs="宋体"/>
                <w:color w:val="auto"/>
                <w:kern w:val="0"/>
                <w:sz w:val="24"/>
                <w:highlight w:val="none"/>
              </w:rPr>
            </w:pPr>
          </w:p>
        </w:tc>
        <w:tc>
          <w:tcPr>
            <w:tcW w:w="5062" w:type="dxa"/>
            <w:tcBorders>
              <w:top w:val="single" w:color="auto" w:sz="4" w:space="0"/>
              <w:left w:val="nil"/>
              <w:bottom w:val="single" w:color="000000" w:sz="4" w:space="0"/>
              <w:right w:val="single" w:color="000000" w:sz="4" w:space="0"/>
            </w:tcBorders>
            <w:vAlign w:val="center"/>
          </w:tcPr>
          <w:p w14:paraId="1BD0EDF4">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应合理安排服务团队，</w:t>
            </w:r>
            <w:r>
              <w:rPr>
                <w:rFonts w:hint="eastAsia" w:ascii="宋体" w:hAnsi="宋体" w:cs="宋体"/>
                <w:color w:val="auto"/>
                <w:kern w:val="0"/>
                <w:sz w:val="24"/>
                <w:highlight w:val="none"/>
                <w:lang w:val="en-US" w:eastAsia="zh-CN"/>
              </w:rPr>
              <w:t>有明确的人员分工管理方案，人员应具备健康证，方案合理的情况下每提供一人相关证明得1分，满分10分，没有不得分。方案设置不合理不得分。</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内附证明材料复印件并加盖公章，所有复印件必须要清晰、字迹清楚。</w:t>
            </w:r>
            <w:r>
              <w:rPr>
                <w:rFonts w:hint="eastAsia" w:ascii="宋体" w:hAnsi="宋体" w:cs="宋体"/>
                <w:color w:val="auto"/>
                <w:kern w:val="0"/>
                <w:sz w:val="24"/>
                <w:highlight w:val="none"/>
                <w:lang w:eastAsia="zh-CN"/>
              </w:rPr>
              <w:t>）</w:t>
            </w:r>
          </w:p>
        </w:tc>
        <w:tc>
          <w:tcPr>
            <w:tcW w:w="1110" w:type="dxa"/>
            <w:tcBorders>
              <w:top w:val="single" w:color="auto" w:sz="4" w:space="0"/>
              <w:left w:val="nil"/>
              <w:bottom w:val="single" w:color="000000" w:sz="4" w:space="0"/>
              <w:right w:val="single" w:color="000000" w:sz="4" w:space="0"/>
            </w:tcBorders>
            <w:vAlign w:val="center"/>
          </w:tcPr>
          <w:p w14:paraId="5CA07FB4">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r>
      <w:tr w14:paraId="1072BA2B">
        <w:tblPrEx>
          <w:tblCellMar>
            <w:top w:w="0" w:type="dxa"/>
            <w:left w:w="108" w:type="dxa"/>
            <w:bottom w:w="0" w:type="dxa"/>
            <w:right w:w="108" w:type="dxa"/>
          </w:tblCellMar>
        </w:tblPrEx>
        <w:trPr>
          <w:trHeight w:val="397" w:hRule="atLeast"/>
          <w:jc w:val="center"/>
        </w:trPr>
        <w:tc>
          <w:tcPr>
            <w:tcW w:w="945" w:type="dxa"/>
            <w:tcBorders>
              <w:top w:val="single" w:color="000000" w:sz="4" w:space="0"/>
              <w:left w:val="single" w:color="000000" w:sz="4" w:space="0"/>
              <w:bottom w:val="single" w:color="000000" w:sz="4" w:space="0"/>
              <w:right w:val="single" w:color="000000" w:sz="4" w:space="0"/>
            </w:tcBorders>
            <w:vAlign w:val="center"/>
          </w:tcPr>
          <w:p w14:paraId="73EE50C0">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118" w:type="dxa"/>
            <w:tcBorders>
              <w:top w:val="single" w:color="auto" w:sz="4" w:space="0"/>
              <w:left w:val="nil"/>
              <w:bottom w:val="single" w:color="000000" w:sz="4" w:space="0"/>
              <w:right w:val="single" w:color="000000" w:sz="4" w:space="0"/>
            </w:tcBorders>
            <w:vAlign w:val="center"/>
          </w:tcPr>
          <w:p w14:paraId="1B47D4CD">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响应文件制作</w:t>
            </w:r>
          </w:p>
        </w:tc>
        <w:tc>
          <w:tcPr>
            <w:tcW w:w="5062" w:type="dxa"/>
            <w:tcBorders>
              <w:top w:val="single" w:color="auto" w:sz="4" w:space="0"/>
              <w:left w:val="nil"/>
              <w:bottom w:val="single" w:color="000000" w:sz="4" w:space="0"/>
              <w:right w:val="single" w:color="000000" w:sz="4" w:space="0"/>
            </w:tcBorders>
            <w:vAlign w:val="center"/>
          </w:tcPr>
          <w:p w14:paraId="244867F0">
            <w:pPr>
              <w:spacing w:line="360" w:lineRule="exact"/>
              <w:rPr>
                <w:rFonts w:ascii="宋体" w:hAnsi="宋体" w:cs="宋体"/>
                <w:color w:val="auto"/>
                <w:kern w:val="0"/>
                <w:sz w:val="24"/>
                <w:highlight w:val="none"/>
              </w:rPr>
            </w:pPr>
            <w:r>
              <w:rPr>
                <w:rFonts w:hint="eastAsia" w:ascii="宋体" w:hAnsi="宋体" w:cs="宋体"/>
                <w:color w:val="auto"/>
                <w:sz w:val="24"/>
                <w:highlight w:val="none"/>
              </w:rPr>
              <w:t>比较各供应商响应文件制作响应程度、完整性、条理性</w:t>
            </w:r>
            <w:r>
              <w:rPr>
                <w:rFonts w:hint="eastAsia" w:ascii="宋体" w:hAnsi="宋体" w:cs="宋体"/>
                <w:color w:val="auto"/>
                <w:sz w:val="24"/>
                <w:highlight w:val="none"/>
                <w:lang w:eastAsia="zh-CN"/>
              </w:rPr>
              <w:t>合理得</w:t>
            </w:r>
            <w:r>
              <w:rPr>
                <w:rFonts w:hint="eastAsia" w:ascii="宋体" w:hAnsi="宋体" w:cs="宋体"/>
                <w:color w:val="auto"/>
                <w:kern w:val="0"/>
                <w:sz w:val="24"/>
                <w:highlight w:val="none"/>
              </w:rPr>
              <w:t>5分；</w:t>
            </w:r>
            <w:r>
              <w:rPr>
                <w:rFonts w:hint="eastAsia" w:ascii="宋体" w:hAnsi="宋体" w:cs="宋体"/>
                <w:color w:val="auto"/>
                <w:kern w:val="0"/>
                <w:sz w:val="24"/>
                <w:highlight w:val="none"/>
                <w:lang w:eastAsia="zh-CN"/>
              </w:rPr>
              <w:t>比较合理的</w:t>
            </w:r>
            <w:r>
              <w:rPr>
                <w:rFonts w:hint="eastAsia" w:ascii="宋体" w:hAnsi="宋体" w:cs="宋体"/>
                <w:color w:val="auto"/>
                <w:kern w:val="0"/>
                <w:sz w:val="24"/>
                <w:highlight w:val="none"/>
                <w:lang w:val="en-US" w:eastAsia="zh-CN"/>
              </w:rPr>
              <w:t>3分</w:t>
            </w:r>
            <w:r>
              <w:rPr>
                <w:rFonts w:hint="eastAsia" w:ascii="宋体" w:hAnsi="宋体" w:cs="宋体"/>
                <w:color w:val="auto"/>
                <w:kern w:val="0"/>
                <w:sz w:val="24"/>
                <w:highlight w:val="none"/>
              </w:rPr>
              <w:t>；差1分。</w:t>
            </w:r>
          </w:p>
        </w:tc>
        <w:tc>
          <w:tcPr>
            <w:tcW w:w="1110" w:type="dxa"/>
            <w:tcBorders>
              <w:top w:val="single" w:color="auto" w:sz="4" w:space="0"/>
              <w:left w:val="nil"/>
              <w:bottom w:val="single" w:color="000000" w:sz="4" w:space="0"/>
              <w:right w:val="single" w:color="000000" w:sz="4" w:space="0"/>
            </w:tcBorders>
            <w:vAlign w:val="center"/>
          </w:tcPr>
          <w:p w14:paraId="130C0F25">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r>
      <w:tr w14:paraId="7C6E5AB4">
        <w:tblPrEx>
          <w:tblCellMar>
            <w:top w:w="0" w:type="dxa"/>
            <w:left w:w="108" w:type="dxa"/>
            <w:bottom w:w="0" w:type="dxa"/>
            <w:right w:w="108" w:type="dxa"/>
          </w:tblCellMar>
        </w:tblPrEx>
        <w:trPr>
          <w:trHeight w:val="397" w:hRule="atLeast"/>
          <w:jc w:val="center"/>
        </w:trPr>
        <w:tc>
          <w:tcPr>
            <w:tcW w:w="945" w:type="dxa"/>
            <w:tcBorders>
              <w:top w:val="single" w:color="000000" w:sz="4" w:space="0"/>
              <w:left w:val="single" w:color="000000" w:sz="4" w:space="0"/>
              <w:right w:val="single" w:color="000000" w:sz="4" w:space="0"/>
            </w:tcBorders>
            <w:vAlign w:val="center"/>
          </w:tcPr>
          <w:p w14:paraId="32412627">
            <w:pPr>
              <w:widowControl/>
              <w:spacing w:line="36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2118" w:type="dxa"/>
            <w:tcBorders>
              <w:top w:val="single" w:color="000000" w:sz="4" w:space="0"/>
              <w:left w:val="nil"/>
              <w:right w:val="single" w:color="000000" w:sz="4" w:space="0"/>
            </w:tcBorders>
            <w:vAlign w:val="center"/>
          </w:tcPr>
          <w:p w14:paraId="15A674CC">
            <w:pPr>
              <w:widowControl/>
              <w:spacing w:line="360" w:lineRule="exact"/>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服务方案</w:t>
            </w:r>
          </w:p>
          <w:p w14:paraId="5692DA38">
            <w:pPr>
              <w:widowControl/>
              <w:spacing w:line="360" w:lineRule="exact"/>
              <w:jc w:val="center"/>
              <w:rPr>
                <w:rFonts w:ascii="宋体" w:hAnsi="宋体" w:cs="宋体"/>
                <w:color w:val="auto"/>
                <w:kern w:val="0"/>
                <w:sz w:val="24"/>
                <w:highlight w:val="none"/>
              </w:rPr>
            </w:pPr>
          </w:p>
        </w:tc>
        <w:tc>
          <w:tcPr>
            <w:tcW w:w="5062" w:type="dxa"/>
            <w:tcBorders>
              <w:top w:val="single" w:color="000000" w:sz="4" w:space="0"/>
              <w:left w:val="nil"/>
              <w:right w:val="single" w:color="000000" w:sz="4" w:space="0"/>
            </w:tcBorders>
            <w:vAlign w:val="center"/>
          </w:tcPr>
          <w:p w14:paraId="344E688A">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主要比较企业根据本项目所制定的服务方案细则、措施是否完善，确保具备此次采购的履约能力、采购需求。评分依据：根据投标企业所提供的方案内容及证明文件，方案合理、内容全面、措施得当的得</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分，方案较合理、内容较全面、有措施得当的得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分，方案一般，内容不够全面的得1分。没提供不得分。</w:t>
            </w:r>
          </w:p>
        </w:tc>
        <w:tc>
          <w:tcPr>
            <w:tcW w:w="1110" w:type="dxa"/>
            <w:tcBorders>
              <w:top w:val="single" w:color="000000" w:sz="4" w:space="0"/>
              <w:left w:val="nil"/>
              <w:right w:val="single" w:color="000000" w:sz="4" w:space="0"/>
            </w:tcBorders>
            <w:vAlign w:val="center"/>
          </w:tcPr>
          <w:p w14:paraId="4F5447B4">
            <w:pPr>
              <w:widowControl/>
              <w:spacing w:line="360" w:lineRule="exact"/>
              <w:jc w:val="center"/>
              <w:rPr>
                <w:rFonts w:hint="default" w:ascii="宋体" w:hAnsi="宋体" w:cs="宋体"/>
                <w:color w:val="auto"/>
                <w:kern w:val="0"/>
                <w:sz w:val="24"/>
                <w:highlight w:val="none"/>
                <w:lang w:val="en-US"/>
              </w:rPr>
            </w:pPr>
            <w:r>
              <w:rPr>
                <w:rFonts w:hint="eastAsia" w:ascii="宋体" w:hAnsi="宋体" w:cs="宋体"/>
                <w:color w:val="auto"/>
                <w:kern w:val="0"/>
                <w:sz w:val="24"/>
                <w:highlight w:val="none"/>
                <w:lang w:val="en-US" w:eastAsia="zh-CN"/>
              </w:rPr>
              <w:t>10</w:t>
            </w:r>
          </w:p>
        </w:tc>
      </w:tr>
      <w:tr w14:paraId="3CDA4CF8">
        <w:tblPrEx>
          <w:tblCellMar>
            <w:top w:w="0" w:type="dxa"/>
            <w:left w:w="108" w:type="dxa"/>
            <w:bottom w:w="0" w:type="dxa"/>
            <w:right w:w="108" w:type="dxa"/>
          </w:tblCellMar>
        </w:tblPrEx>
        <w:trPr>
          <w:trHeight w:val="397" w:hRule="atLeast"/>
          <w:jc w:val="center"/>
        </w:trPr>
        <w:tc>
          <w:tcPr>
            <w:tcW w:w="945" w:type="dxa"/>
            <w:tcBorders>
              <w:top w:val="single" w:color="000000" w:sz="4" w:space="0"/>
              <w:left w:val="single" w:color="000000" w:sz="4" w:space="0"/>
              <w:right w:val="single" w:color="000000" w:sz="4" w:space="0"/>
            </w:tcBorders>
            <w:vAlign w:val="center"/>
          </w:tcPr>
          <w:p w14:paraId="08DAAC04">
            <w:pPr>
              <w:widowControl/>
              <w:spacing w:line="36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2118" w:type="dxa"/>
            <w:tcBorders>
              <w:top w:val="single" w:color="000000" w:sz="4" w:space="0"/>
              <w:left w:val="nil"/>
              <w:right w:val="single" w:color="000000" w:sz="4" w:space="0"/>
            </w:tcBorders>
            <w:vAlign w:val="center"/>
          </w:tcPr>
          <w:p w14:paraId="47B31CE0">
            <w:pPr>
              <w:widowControl/>
              <w:spacing w:line="3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配送</w:t>
            </w:r>
            <w:r>
              <w:rPr>
                <w:rFonts w:hint="eastAsia" w:ascii="宋体" w:hAnsi="宋体" w:cs="宋体"/>
                <w:color w:val="auto"/>
                <w:kern w:val="0"/>
                <w:sz w:val="24"/>
                <w:highlight w:val="none"/>
              </w:rPr>
              <w:t>方案</w:t>
            </w:r>
          </w:p>
          <w:p w14:paraId="77D7143A">
            <w:pPr>
              <w:widowControl/>
              <w:spacing w:line="360" w:lineRule="exact"/>
              <w:rPr>
                <w:rFonts w:ascii="宋体" w:hAnsi="宋体" w:cs="宋体"/>
                <w:color w:val="auto"/>
                <w:kern w:val="0"/>
                <w:sz w:val="24"/>
                <w:highlight w:val="none"/>
              </w:rPr>
            </w:pPr>
          </w:p>
        </w:tc>
        <w:tc>
          <w:tcPr>
            <w:tcW w:w="5062" w:type="dxa"/>
            <w:tcBorders>
              <w:top w:val="single" w:color="000000" w:sz="4" w:space="0"/>
              <w:left w:val="nil"/>
              <w:right w:val="single" w:color="000000" w:sz="4" w:space="0"/>
            </w:tcBorders>
            <w:vAlign w:val="center"/>
          </w:tcPr>
          <w:p w14:paraId="69394D98">
            <w:pPr>
              <w:widowControl/>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主要比较企业根据本项目所制定的</w:t>
            </w:r>
            <w:r>
              <w:rPr>
                <w:rFonts w:hint="eastAsia" w:ascii="宋体" w:hAnsi="宋体" w:cs="宋体"/>
                <w:color w:val="auto"/>
                <w:kern w:val="0"/>
                <w:sz w:val="24"/>
                <w:highlight w:val="none"/>
                <w:lang w:eastAsia="zh-CN"/>
              </w:rPr>
              <w:t>配送</w:t>
            </w:r>
            <w:r>
              <w:rPr>
                <w:rFonts w:hint="eastAsia" w:ascii="宋体" w:hAnsi="宋体" w:cs="宋体"/>
                <w:color w:val="auto"/>
                <w:kern w:val="0"/>
                <w:sz w:val="24"/>
                <w:highlight w:val="none"/>
              </w:rPr>
              <w:t>方案细则、措施是否完善，确保</w:t>
            </w:r>
            <w:r>
              <w:rPr>
                <w:rFonts w:hint="eastAsia" w:ascii="宋体" w:hAnsi="宋体" w:cs="宋体"/>
                <w:color w:val="auto"/>
                <w:kern w:val="0"/>
                <w:sz w:val="24"/>
                <w:highlight w:val="none"/>
                <w:lang w:eastAsia="zh-CN"/>
              </w:rPr>
              <w:t>每次配送时间科学合理</w:t>
            </w:r>
            <w:r>
              <w:rPr>
                <w:rFonts w:hint="eastAsia" w:ascii="宋体" w:hAnsi="宋体" w:cs="宋体"/>
                <w:color w:val="auto"/>
                <w:kern w:val="0"/>
                <w:sz w:val="24"/>
                <w:highlight w:val="none"/>
              </w:rPr>
              <w:t>。评分依据：根据投标企业所提供的</w:t>
            </w:r>
            <w:r>
              <w:rPr>
                <w:rFonts w:hint="eastAsia" w:ascii="宋体" w:hAnsi="宋体" w:cs="宋体"/>
                <w:color w:val="auto"/>
                <w:kern w:val="0"/>
                <w:sz w:val="24"/>
                <w:highlight w:val="none"/>
                <w:lang w:eastAsia="zh-CN"/>
              </w:rPr>
              <w:t>配送</w:t>
            </w:r>
            <w:r>
              <w:rPr>
                <w:rFonts w:hint="eastAsia" w:ascii="宋体" w:hAnsi="宋体" w:cs="宋体"/>
                <w:color w:val="auto"/>
                <w:kern w:val="0"/>
                <w:sz w:val="24"/>
                <w:highlight w:val="none"/>
              </w:rPr>
              <w:t>方案内容，</w:t>
            </w:r>
            <w:r>
              <w:rPr>
                <w:rFonts w:hint="eastAsia" w:ascii="宋体" w:hAnsi="宋体" w:cs="宋体"/>
                <w:color w:val="auto"/>
                <w:kern w:val="0"/>
                <w:sz w:val="24"/>
                <w:highlight w:val="none"/>
                <w:lang w:eastAsia="zh-CN"/>
              </w:rPr>
              <w:t>配送时间，配送路线</w:t>
            </w:r>
            <w:r>
              <w:rPr>
                <w:rFonts w:hint="eastAsia" w:ascii="宋体" w:hAnsi="宋体" w:cs="宋体"/>
                <w:color w:val="auto"/>
                <w:kern w:val="0"/>
                <w:sz w:val="24"/>
                <w:highlight w:val="none"/>
              </w:rPr>
              <w:t>得当的得</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配送时间</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配送路线</w:t>
            </w:r>
            <w:r>
              <w:rPr>
                <w:rFonts w:hint="eastAsia" w:ascii="宋体" w:hAnsi="宋体" w:cs="宋体"/>
                <w:color w:val="auto"/>
                <w:kern w:val="0"/>
                <w:sz w:val="24"/>
                <w:highlight w:val="none"/>
              </w:rPr>
              <w:t>较合理的得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配送时间</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配送路线</w:t>
            </w:r>
            <w:r>
              <w:rPr>
                <w:rFonts w:hint="eastAsia" w:ascii="宋体" w:hAnsi="宋体" w:cs="宋体"/>
                <w:color w:val="auto"/>
                <w:kern w:val="0"/>
                <w:sz w:val="24"/>
                <w:highlight w:val="none"/>
              </w:rPr>
              <w:t>不够全面的得1分。没提供不得分。</w:t>
            </w:r>
          </w:p>
        </w:tc>
        <w:tc>
          <w:tcPr>
            <w:tcW w:w="1110" w:type="dxa"/>
            <w:tcBorders>
              <w:top w:val="single" w:color="000000" w:sz="4" w:space="0"/>
              <w:left w:val="nil"/>
              <w:right w:val="single" w:color="000000" w:sz="4" w:space="0"/>
            </w:tcBorders>
            <w:vAlign w:val="center"/>
          </w:tcPr>
          <w:p w14:paraId="301DAE1D">
            <w:pPr>
              <w:widowControl/>
              <w:spacing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r>
      <w:tr w14:paraId="3544FCAE">
        <w:tblPrEx>
          <w:tblCellMar>
            <w:top w:w="0" w:type="dxa"/>
            <w:left w:w="108" w:type="dxa"/>
            <w:bottom w:w="0" w:type="dxa"/>
            <w:right w:w="108" w:type="dxa"/>
          </w:tblCellMar>
        </w:tblPrEx>
        <w:trPr>
          <w:trHeight w:val="397" w:hRule="atLeast"/>
          <w:jc w:val="center"/>
        </w:trPr>
        <w:tc>
          <w:tcPr>
            <w:tcW w:w="945" w:type="dxa"/>
            <w:tcBorders>
              <w:top w:val="single" w:color="000000" w:sz="4" w:space="0"/>
              <w:left w:val="single" w:color="000000" w:sz="4" w:space="0"/>
              <w:right w:val="single" w:color="000000" w:sz="4" w:space="0"/>
            </w:tcBorders>
            <w:vAlign w:val="center"/>
          </w:tcPr>
          <w:p w14:paraId="4D1A42E6">
            <w:pPr>
              <w:widowControl/>
              <w:spacing w:line="360" w:lineRule="exact"/>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7</w:t>
            </w:r>
          </w:p>
        </w:tc>
        <w:tc>
          <w:tcPr>
            <w:tcW w:w="2118" w:type="dxa"/>
            <w:tcBorders>
              <w:top w:val="single" w:color="000000" w:sz="4" w:space="0"/>
              <w:left w:val="nil"/>
              <w:right w:val="single" w:color="000000" w:sz="4" w:space="0"/>
            </w:tcBorders>
            <w:vAlign w:val="center"/>
          </w:tcPr>
          <w:p w14:paraId="5F050F31">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食品运输能力</w:t>
            </w:r>
          </w:p>
        </w:tc>
        <w:tc>
          <w:tcPr>
            <w:tcW w:w="5062" w:type="dxa"/>
            <w:tcBorders>
              <w:top w:val="single" w:color="000000" w:sz="4" w:space="0"/>
              <w:left w:val="nil"/>
              <w:right w:val="single" w:color="000000" w:sz="4" w:space="0"/>
            </w:tcBorders>
            <w:vAlign w:val="center"/>
          </w:tcPr>
          <w:p w14:paraId="5B7D5869">
            <w:pPr>
              <w:spacing w:line="360" w:lineRule="exac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自有运输车队证照齐全，司机队伍经验丰富，驾龄均达到3年以上，各类货车、冷藏车规模达到5辆（含）以上，车辆运输管理规范、制度较好，车辆干净卫生，得10分；</w:t>
            </w:r>
          </w:p>
          <w:p w14:paraId="7BA76467">
            <w:pPr>
              <w:spacing w:line="360" w:lineRule="exac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自有部分货车、冷藏车规模达到（2辆（含）以上5辆以下），不足车辆需与其他运输企业合作，车辆管理规范、制度较好，证照齐全，得5分；自有货车、冷藏车等运输车辆达到不足，主要靠租借运输企业车辆，基本能够满足食品配送需要，得1分。车辆运输无固定车辆不得分。注：自有车辆提供车辆行驶证扫描件及车辆原貌照片（能体现冷藏冷冻功能）；租赁车辆提供车辆行驶证复印件、租赁合同复印件及车辆原貌照片（能体现冷藏冷冻功能）</w:t>
            </w:r>
          </w:p>
        </w:tc>
        <w:tc>
          <w:tcPr>
            <w:tcW w:w="1110" w:type="dxa"/>
            <w:tcBorders>
              <w:top w:val="single" w:color="000000" w:sz="4" w:space="0"/>
              <w:left w:val="nil"/>
              <w:right w:val="single" w:color="000000" w:sz="4" w:space="0"/>
            </w:tcBorders>
            <w:vAlign w:val="center"/>
          </w:tcPr>
          <w:p w14:paraId="5ECB928B">
            <w:pPr>
              <w:widowControl/>
              <w:spacing w:line="360" w:lineRule="exact"/>
              <w:jc w:val="center"/>
              <w:rPr>
                <w:rFonts w:ascii="宋体" w:hAnsi="宋体" w:cs="宋体"/>
                <w:color w:val="auto"/>
                <w:kern w:val="0"/>
                <w:sz w:val="24"/>
                <w:highlight w:val="none"/>
              </w:rPr>
            </w:pPr>
            <w:r>
              <w:rPr>
                <w:rFonts w:ascii="宋体" w:hAnsi="宋体" w:cs="宋体"/>
                <w:color w:val="auto"/>
                <w:kern w:val="0"/>
                <w:sz w:val="24"/>
                <w:highlight w:val="none"/>
              </w:rPr>
              <w:t>10</w:t>
            </w:r>
          </w:p>
        </w:tc>
      </w:tr>
      <w:tr w14:paraId="103DC251">
        <w:tblPrEx>
          <w:tblCellMar>
            <w:top w:w="0" w:type="dxa"/>
            <w:left w:w="108" w:type="dxa"/>
            <w:bottom w:w="0" w:type="dxa"/>
            <w:right w:w="108" w:type="dxa"/>
          </w:tblCellMar>
        </w:tblPrEx>
        <w:trPr>
          <w:trHeight w:val="397" w:hRule="atLeast"/>
          <w:jc w:val="center"/>
        </w:trPr>
        <w:tc>
          <w:tcPr>
            <w:tcW w:w="945" w:type="dxa"/>
            <w:tcBorders>
              <w:top w:val="single" w:color="000000" w:sz="4" w:space="0"/>
              <w:left w:val="single" w:color="000000" w:sz="4" w:space="0"/>
              <w:right w:val="single" w:color="000000" w:sz="4" w:space="0"/>
            </w:tcBorders>
            <w:vAlign w:val="center"/>
          </w:tcPr>
          <w:p w14:paraId="62E09B1C">
            <w:pPr>
              <w:widowControl/>
              <w:spacing w:line="360" w:lineRule="exact"/>
              <w:jc w:val="center"/>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lang w:val="en-US" w:eastAsia="zh-CN"/>
              </w:rPr>
              <w:t>8</w:t>
            </w:r>
          </w:p>
        </w:tc>
        <w:tc>
          <w:tcPr>
            <w:tcW w:w="2118" w:type="dxa"/>
            <w:tcBorders>
              <w:top w:val="single" w:color="000000" w:sz="4" w:space="0"/>
              <w:left w:val="nil"/>
              <w:right w:val="single" w:color="000000" w:sz="4" w:space="0"/>
            </w:tcBorders>
            <w:vAlign w:val="center"/>
          </w:tcPr>
          <w:p w14:paraId="7CBDD5B5">
            <w:pPr>
              <w:widowControl/>
              <w:spacing w:line="360" w:lineRule="exact"/>
              <w:rPr>
                <w:rFonts w:hint="eastAsia" w:ascii="新宋体" w:hAnsi="新宋体" w:eastAsia="新宋体" w:cs="宋体"/>
                <w:color w:val="auto"/>
                <w:kern w:val="2"/>
                <w:sz w:val="21"/>
                <w:szCs w:val="21"/>
                <w:highlight w:val="none"/>
                <w:lang w:val="en-US" w:eastAsia="zh-CN" w:bidi="ar-SA"/>
              </w:rPr>
            </w:pPr>
            <w:r>
              <w:rPr>
                <w:rFonts w:hint="eastAsia" w:ascii="新宋体" w:hAnsi="新宋体" w:eastAsia="新宋体" w:cs="宋体"/>
                <w:color w:val="auto"/>
                <w:kern w:val="2"/>
                <w:sz w:val="21"/>
                <w:szCs w:val="21"/>
                <w:highlight w:val="none"/>
                <w:lang w:val="en-US" w:eastAsia="zh-CN" w:bidi="ar-SA"/>
              </w:rPr>
              <w:t>食品存储能力</w:t>
            </w:r>
          </w:p>
        </w:tc>
        <w:tc>
          <w:tcPr>
            <w:tcW w:w="5062" w:type="dxa"/>
            <w:tcBorders>
              <w:top w:val="single" w:color="000000" w:sz="4" w:space="0"/>
              <w:left w:val="nil"/>
              <w:right w:val="single" w:color="000000" w:sz="4" w:space="0"/>
            </w:tcBorders>
            <w:vAlign w:val="center"/>
          </w:tcPr>
          <w:p w14:paraId="2DD7EB0D">
            <w:pPr>
              <w:widowControl/>
              <w:spacing w:line="360" w:lineRule="exact"/>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szCs w:val="21"/>
                <w:highlight w:val="none"/>
                <w:lang w:val="en-US" w:eastAsia="zh-CN" w:bidi="ar-SA"/>
              </w:rPr>
              <w:t>供应商</w:t>
            </w:r>
            <w:r>
              <w:rPr>
                <w:rFonts w:hint="eastAsia" w:ascii="宋体" w:hAnsi="宋体" w:eastAsia="宋体" w:cs="宋体"/>
                <w:color w:val="auto"/>
                <w:kern w:val="0"/>
                <w:sz w:val="24"/>
                <w:szCs w:val="21"/>
                <w:highlight w:val="none"/>
                <w:lang w:val="en-US" w:eastAsia="zh-CN" w:bidi="ar-SA"/>
              </w:rPr>
              <w:t>自有分类保鲜库、</w:t>
            </w:r>
            <w:r>
              <w:rPr>
                <w:rFonts w:hint="eastAsia" w:ascii="宋体" w:hAnsi="宋体" w:cs="宋体"/>
                <w:color w:val="auto"/>
                <w:kern w:val="0"/>
                <w:sz w:val="24"/>
                <w:szCs w:val="21"/>
                <w:highlight w:val="none"/>
                <w:lang w:val="en-US" w:eastAsia="zh-CN" w:bidi="ar-SA"/>
              </w:rPr>
              <w:t>冷冻</w:t>
            </w:r>
            <w:r>
              <w:rPr>
                <w:rFonts w:hint="eastAsia" w:ascii="宋体" w:hAnsi="宋体" w:eastAsia="宋体" w:cs="宋体"/>
                <w:color w:val="auto"/>
                <w:kern w:val="0"/>
                <w:sz w:val="24"/>
                <w:szCs w:val="21"/>
                <w:highlight w:val="none"/>
                <w:lang w:val="en-US" w:eastAsia="zh-CN" w:bidi="ar-SA"/>
              </w:rPr>
              <w:t>冷藏库或具有长期（自开标之日起至少3年（含）以上）租赁合作的保鲜、</w:t>
            </w:r>
            <w:r>
              <w:rPr>
                <w:rFonts w:hint="eastAsia" w:ascii="宋体" w:hAnsi="宋体" w:cs="宋体"/>
                <w:color w:val="auto"/>
                <w:kern w:val="0"/>
                <w:sz w:val="24"/>
                <w:szCs w:val="21"/>
                <w:highlight w:val="none"/>
                <w:lang w:val="en-US" w:eastAsia="zh-CN" w:bidi="ar-SA"/>
              </w:rPr>
              <w:t>冷冻</w:t>
            </w:r>
            <w:r>
              <w:rPr>
                <w:rFonts w:hint="eastAsia" w:ascii="宋体" w:hAnsi="宋体" w:eastAsia="宋体" w:cs="宋体"/>
                <w:color w:val="auto"/>
                <w:kern w:val="0"/>
                <w:sz w:val="24"/>
                <w:szCs w:val="21"/>
                <w:highlight w:val="none"/>
                <w:lang w:val="en-US" w:eastAsia="zh-CN" w:bidi="ar-SA"/>
              </w:rPr>
              <w:t>冷藏库，仓储面积较大满足</w:t>
            </w:r>
            <w:r>
              <w:rPr>
                <w:rFonts w:hint="eastAsia" w:ascii="宋体" w:hAnsi="宋体" w:cs="宋体"/>
                <w:color w:val="auto"/>
                <w:kern w:val="0"/>
                <w:sz w:val="24"/>
                <w:szCs w:val="21"/>
                <w:highlight w:val="none"/>
                <w:lang w:val="en-US" w:eastAsia="zh-CN" w:bidi="ar-SA"/>
              </w:rPr>
              <w:t>3000</w:t>
            </w:r>
            <w:r>
              <w:rPr>
                <w:rFonts w:hint="eastAsia" w:ascii="宋体" w:hAnsi="宋体" w:eastAsia="宋体" w:cs="宋体"/>
                <w:color w:val="auto"/>
                <w:kern w:val="0"/>
                <w:sz w:val="24"/>
                <w:szCs w:val="21"/>
                <w:highlight w:val="none"/>
                <w:lang w:val="en-US" w:eastAsia="zh-CN" w:bidi="ar-SA"/>
              </w:rPr>
              <w:t>㎡，</w:t>
            </w:r>
            <w:r>
              <w:rPr>
                <w:rFonts w:hint="eastAsia" w:ascii="宋体" w:hAnsi="宋体" w:cs="宋体"/>
                <w:color w:val="auto"/>
                <w:kern w:val="0"/>
                <w:sz w:val="24"/>
                <w:szCs w:val="21"/>
                <w:highlight w:val="none"/>
                <w:lang w:val="en-US" w:eastAsia="zh-CN" w:bidi="ar-SA"/>
              </w:rPr>
              <w:t>（其中冷冻</w:t>
            </w:r>
            <w:r>
              <w:rPr>
                <w:rFonts w:hint="eastAsia" w:ascii="宋体" w:hAnsi="宋体" w:eastAsia="宋体" w:cs="宋体"/>
                <w:color w:val="auto"/>
                <w:kern w:val="0"/>
                <w:sz w:val="24"/>
                <w:szCs w:val="21"/>
                <w:highlight w:val="none"/>
                <w:lang w:val="en-US" w:eastAsia="zh-CN" w:bidi="ar-SA"/>
              </w:rPr>
              <w:t>冷藏库</w:t>
            </w:r>
            <w:r>
              <w:rPr>
                <w:rFonts w:hint="eastAsia" w:ascii="宋体" w:hAnsi="宋体" w:cs="宋体"/>
                <w:color w:val="auto"/>
                <w:kern w:val="0"/>
                <w:sz w:val="24"/>
                <w:szCs w:val="21"/>
                <w:highlight w:val="none"/>
                <w:lang w:val="en-US" w:eastAsia="zh-CN" w:bidi="ar-SA"/>
              </w:rPr>
              <w:t>不少于（1000</w:t>
            </w:r>
            <w:r>
              <w:rPr>
                <w:rFonts w:hint="eastAsia" w:ascii="宋体" w:hAnsi="宋体" w:eastAsia="宋体" w:cs="宋体"/>
                <w:color w:val="auto"/>
                <w:kern w:val="0"/>
                <w:sz w:val="24"/>
                <w:szCs w:val="21"/>
                <w:highlight w:val="none"/>
                <w:lang w:val="en-US" w:eastAsia="zh-CN" w:bidi="ar-SA"/>
              </w:rPr>
              <w:t>㎡</w:t>
            </w:r>
            <w:r>
              <w:rPr>
                <w:rFonts w:hint="eastAsia" w:ascii="宋体" w:hAnsi="宋体" w:cs="宋体"/>
                <w:color w:val="auto"/>
                <w:kern w:val="0"/>
                <w:sz w:val="24"/>
                <w:szCs w:val="21"/>
                <w:highlight w:val="none"/>
                <w:lang w:val="en-US" w:eastAsia="zh-CN" w:bidi="ar-SA"/>
              </w:rPr>
              <w:t>）</w:t>
            </w:r>
            <w:r>
              <w:rPr>
                <w:rFonts w:hint="eastAsia" w:ascii="宋体" w:hAnsi="宋体" w:eastAsia="宋体" w:cs="宋体"/>
                <w:color w:val="auto"/>
                <w:kern w:val="0"/>
                <w:sz w:val="24"/>
                <w:szCs w:val="21"/>
                <w:highlight w:val="none"/>
                <w:lang w:val="en-US" w:eastAsia="zh-CN" w:bidi="ar-SA"/>
              </w:rPr>
              <w:t>库房管理规范、制度健全，设施设备齐全，得</w:t>
            </w:r>
            <w:r>
              <w:rPr>
                <w:rFonts w:hint="eastAsia" w:ascii="宋体" w:hAnsi="宋体" w:cs="宋体"/>
                <w:color w:val="auto"/>
                <w:kern w:val="0"/>
                <w:sz w:val="24"/>
                <w:szCs w:val="21"/>
                <w:highlight w:val="none"/>
                <w:lang w:val="en-US" w:eastAsia="zh-CN" w:bidi="ar-SA"/>
              </w:rPr>
              <w:t>10</w:t>
            </w:r>
            <w:r>
              <w:rPr>
                <w:rFonts w:hint="eastAsia" w:ascii="宋体" w:hAnsi="宋体" w:eastAsia="宋体" w:cs="宋体"/>
                <w:color w:val="auto"/>
                <w:kern w:val="0"/>
                <w:sz w:val="24"/>
                <w:szCs w:val="21"/>
                <w:highlight w:val="none"/>
                <w:lang w:val="en-US" w:eastAsia="zh-CN" w:bidi="ar-SA"/>
              </w:rPr>
              <w:t>分；</w:t>
            </w:r>
          </w:p>
          <w:p w14:paraId="0CF6F59A">
            <w:pPr>
              <w:widowControl/>
              <w:spacing w:line="360" w:lineRule="exact"/>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szCs w:val="21"/>
                <w:highlight w:val="none"/>
                <w:lang w:val="en-US" w:eastAsia="zh-CN" w:bidi="ar-SA"/>
              </w:rPr>
              <w:t>供应商</w:t>
            </w:r>
            <w:r>
              <w:rPr>
                <w:rFonts w:hint="eastAsia" w:ascii="宋体" w:hAnsi="宋体" w:eastAsia="宋体" w:cs="宋体"/>
                <w:color w:val="auto"/>
                <w:kern w:val="0"/>
                <w:sz w:val="24"/>
                <w:szCs w:val="21"/>
                <w:highlight w:val="none"/>
                <w:lang w:val="en-US" w:eastAsia="zh-CN" w:bidi="ar-SA"/>
              </w:rPr>
              <w:t>具有（自开标之日起1年以上3年以下）租赁合作的保鲜、</w:t>
            </w:r>
            <w:r>
              <w:rPr>
                <w:rFonts w:hint="eastAsia" w:ascii="宋体" w:hAnsi="宋体" w:cs="宋体"/>
                <w:color w:val="auto"/>
                <w:kern w:val="0"/>
                <w:sz w:val="24"/>
                <w:szCs w:val="21"/>
                <w:highlight w:val="none"/>
                <w:lang w:val="en-US" w:eastAsia="zh-CN" w:bidi="ar-SA"/>
              </w:rPr>
              <w:t>冷冻</w:t>
            </w:r>
            <w:r>
              <w:rPr>
                <w:rFonts w:hint="eastAsia" w:ascii="宋体" w:hAnsi="宋体" w:eastAsia="宋体" w:cs="宋体"/>
                <w:color w:val="auto"/>
                <w:kern w:val="0"/>
                <w:sz w:val="24"/>
                <w:szCs w:val="21"/>
                <w:highlight w:val="none"/>
                <w:lang w:val="en-US" w:eastAsia="zh-CN" w:bidi="ar-SA"/>
              </w:rPr>
              <w:t>冷藏库，仓储面积较小满足</w:t>
            </w:r>
            <w:r>
              <w:rPr>
                <w:rFonts w:hint="eastAsia" w:ascii="宋体" w:hAnsi="宋体" w:cs="宋体"/>
                <w:color w:val="auto"/>
                <w:kern w:val="0"/>
                <w:sz w:val="24"/>
                <w:szCs w:val="21"/>
                <w:highlight w:val="none"/>
                <w:lang w:val="en-US" w:eastAsia="zh-CN" w:bidi="ar-SA"/>
              </w:rPr>
              <w:t>2000</w:t>
            </w:r>
            <w:r>
              <w:rPr>
                <w:rFonts w:hint="eastAsia" w:ascii="宋体" w:hAnsi="宋体" w:eastAsia="宋体" w:cs="宋体"/>
                <w:color w:val="auto"/>
                <w:kern w:val="0"/>
                <w:sz w:val="24"/>
                <w:szCs w:val="21"/>
                <w:highlight w:val="none"/>
                <w:lang w:val="en-US" w:eastAsia="zh-CN" w:bidi="ar-SA"/>
              </w:rPr>
              <w:t>㎡，</w:t>
            </w:r>
            <w:r>
              <w:rPr>
                <w:rFonts w:hint="eastAsia" w:ascii="宋体" w:hAnsi="宋体" w:cs="宋体"/>
                <w:color w:val="auto"/>
                <w:kern w:val="0"/>
                <w:sz w:val="24"/>
                <w:szCs w:val="21"/>
                <w:highlight w:val="none"/>
                <w:lang w:val="en-US" w:eastAsia="zh-CN" w:bidi="ar-SA"/>
              </w:rPr>
              <w:t>（其中冷冻</w:t>
            </w:r>
            <w:r>
              <w:rPr>
                <w:rFonts w:hint="eastAsia" w:ascii="宋体" w:hAnsi="宋体" w:eastAsia="宋体" w:cs="宋体"/>
                <w:color w:val="auto"/>
                <w:kern w:val="0"/>
                <w:sz w:val="24"/>
                <w:szCs w:val="21"/>
                <w:highlight w:val="none"/>
                <w:lang w:val="en-US" w:eastAsia="zh-CN" w:bidi="ar-SA"/>
              </w:rPr>
              <w:t>冷藏库</w:t>
            </w:r>
            <w:r>
              <w:rPr>
                <w:rFonts w:hint="eastAsia" w:ascii="宋体" w:hAnsi="宋体" w:cs="宋体"/>
                <w:color w:val="auto"/>
                <w:kern w:val="0"/>
                <w:sz w:val="24"/>
                <w:szCs w:val="21"/>
                <w:highlight w:val="none"/>
                <w:lang w:val="en-US" w:eastAsia="zh-CN" w:bidi="ar-SA"/>
              </w:rPr>
              <w:t>不少于（800</w:t>
            </w:r>
            <w:r>
              <w:rPr>
                <w:rFonts w:hint="eastAsia" w:ascii="宋体" w:hAnsi="宋体" w:eastAsia="宋体" w:cs="宋体"/>
                <w:color w:val="auto"/>
                <w:kern w:val="0"/>
                <w:sz w:val="24"/>
                <w:szCs w:val="21"/>
                <w:highlight w:val="none"/>
                <w:lang w:val="en-US" w:eastAsia="zh-CN" w:bidi="ar-SA"/>
              </w:rPr>
              <w:t>㎡</w:t>
            </w:r>
            <w:r>
              <w:rPr>
                <w:rFonts w:hint="eastAsia" w:ascii="宋体" w:hAnsi="宋体" w:cs="宋体"/>
                <w:color w:val="auto"/>
                <w:kern w:val="0"/>
                <w:sz w:val="24"/>
                <w:szCs w:val="21"/>
                <w:highlight w:val="none"/>
                <w:lang w:val="en-US" w:eastAsia="zh-CN" w:bidi="ar-SA"/>
              </w:rPr>
              <w:t>）</w:t>
            </w:r>
            <w:r>
              <w:rPr>
                <w:rFonts w:hint="eastAsia" w:ascii="宋体" w:hAnsi="宋体" w:eastAsia="宋体" w:cs="宋体"/>
                <w:color w:val="auto"/>
                <w:kern w:val="0"/>
                <w:sz w:val="24"/>
                <w:szCs w:val="21"/>
                <w:highlight w:val="none"/>
                <w:lang w:val="en-US" w:eastAsia="zh-CN" w:bidi="ar-SA"/>
              </w:rPr>
              <w:t>库房管理相对规范、制度健全，设施设备不齐全，得</w:t>
            </w:r>
            <w:r>
              <w:rPr>
                <w:rFonts w:hint="eastAsia" w:ascii="宋体" w:hAnsi="宋体" w:cs="宋体"/>
                <w:color w:val="auto"/>
                <w:kern w:val="0"/>
                <w:sz w:val="24"/>
                <w:szCs w:val="21"/>
                <w:highlight w:val="none"/>
                <w:lang w:val="en-US" w:eastAsia="zh-CN" w:bidi="ar-SA"/>
              </w:rPr>
              <w:t>5</w:t>
            </w:r>
            <w:r>
              <w:rPr>
                <w:rFonts w:hint="eastAsia" w:ascii="宋体" w:hAnsi="宋体" w:eastAsia="宋体" w:cs="宋体"/>
                <w:color w:val="auto"/>
                <w:kern w:val="0"/>
                <w:sz w:val="24"/>
                <w:szCs w:val="21"/>
                <w:highlight w:val="none"/>
                <w:lang w:val="en-US" w:eastAsia="zh-CN" w:bidi="ar-SA"/>
              </w:rPr>
              <w:t>分。</w:t>
            </w:r>
          </w:p>
          <w:p w14:paraId="6FB90107">
            <w:pPr>
              <w:widowControl/>
              <w:spacing w:line="360" w:lineRule="exact"/>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szCs w:val="21"/>
                <w:highlight w:val="none"/>
                <w:lang w:val="en-US" w:eastAsia="zh-CN" w:bidi="ar-SA"/>
              </w:rPr>
              <w:t>供应商</w:t>
            </w:r>
            <w:r>
              <w:rPr>
                <w:rFonts w:hint="eastAsia" w:ascii="宋体" w:hAnsi="宋体" w:eastAsia="宋体" w:cs="宋体"/>
                <w:color w:val="auto"/>
                <w:kern w:val="0"/>
                <w:sz w:val="24"/>
                <w:szCs w:val="21"/>
                <w:highlight w:val="none"/>
                <w:lang w:val="en-US" w:eastAsia="zh-CN" w:bidi="ar-SA"/>
              </w:rPr>
              <w:t>具有（自开标之日起1年以上2年以下）租赁合作的保鲜、</w:t>
            </w:r>
            <w:r>
              <w:rPr>
                <w:rFonts w:hint="eastAsia" w:ascii="宋体" w:hAnsi="宋体" w:cs="宋体"/>
                <w:color w:val="auto"/>
                <w:kern w:val="0"/>
                <w:sz w:val="24"/>
                <w:szCs w:val="21"/>
                <w:highlight w:val="none"/>
                <w:lang w:val="en-US" w:eastAsia="zh-CN" w:bidi="ar-SA"/>
              </w:rPr>
              <w:t>冷冻</w:t>
            </w:r>
            <w:r>
              <w:rPr>
                <w:rFonts w:hint="eastAsia" w:ascii="宋体" w:hAnsi="宋体" w:eastAsia="宋体" w:cs="宋体"/>
                <w:color w:val="auto"/>
                <w:kern w:val="0"/>
                <w:sz w:val="24"/>
                <w:szCs w:val="21"/>
                <w:highlight w:val="none"/>
                <w:lang w:val="en-US" w:eastAsia="zh-CN" w:bidi="ar-SA"/>
              </w:rPr>
              <w:t>冷藏库，仓储面积较小满足</w:t>
            </w:r>
            <w:r>
              <w:rPr>
                <w:rFonts w:hint="eastAsia" w:ascii="宋体" w:hAnsi="宋体" w:cs="宋体"/>
                <w:color w:val="auto"/>
                <w:kern w:val="0"/>
                <w:sz w:val="24"/>
                <w:szCs w:val="21"/>
                <w:highlight w:val="none"/>
                <w:lang w:val="en-US" w:eastAsia="zh-CN" w:bidi="ar-SA"/>
              </w:rPr>
              <w:t>1000</w:t>
            </w:r>
            <w:r>
              <w:rPr>
                <w:rFonts w:hint="eastAsia" w:ascii="宋体" w:hAnsi="宋体" w:eastAsia="宋体" w:cs="宋体"/>
                <w:color w:val="auto"/>
                <w:kern w:val="0"/>
                <w:sz w:val="24"/>
                <w:szCs w:val="21"/>
                <w:highlight w:val="none"/>
                <w:lang w:val="en-US" w:eastAsia="zh-CN" w:bidi="ar-SA"/>
              </w:rPr>
              <w:t>㎡，</w:t>
            </w:r>
            <w:r>
              <w:rPr>
                <w:rFonts w:hint="eastAsia" w:ascii="宋体" w:hAnsi="宋体" w:cs="宋体"/>
                <w:color w:val="auto"/>
                <w:kern w:val="0"/>
                <w:sz w:val="24"/>
                <w:szCs w:val="21"/>
                <w:highlight w:val="none"/>
                <w:lang w:val="en-US" w:eastAsia="zh-CN" w:bidi="ar-SA"/>
              </w:rPr>
              <w:t>（其中冷冻</w:t>
            </w:r>
            <w:r>
              <w:rPr>
                <w:rFonts w:hint="eastAsia" w:ascii="宋体" w:hAnsi="宋体" w:eastAsia="宋体" w:cs="宋体"/>
                <w:color w:val="auto"/>
                <w:kern w:val="0"/>
                <w:sz w:val="24"/>
                <w:szCs w:val="21"/>
                <w:highlight w:val="none"/>
                <w:lang w:val="en-US" w:eastAsia="zh-CN" w:bidi="ar-SA"/>
              </w:rPr>
              <w:t>冷藏库</w:t>
            </w:r>
            <w:r>
              <w:rPr>
                <w:rFonts w:hint="eastAsia" w:ascii="宋体" w:hAnsi="宋体" w:cs="宋体"/>
                <w:color w:val="auto"/>
                <w:kern w:val="0"/>
                <w:sz w:val="24"/>
                <w:szCs w:val="21"/>
                <w:highlight w:val="none"/>
                <w:lang w:val="en-US" w:eastAsia="zh-CN" w:bidi="ar-SA"/>
              </w:rPr>
              <w:t>不少于（500</w:t>
            </w:r>
            <w:r>
              <w:rPr>
                <w:rFonts w:hint="eastAsia" w:ascii="宋体" w:hAnsi="宋体" w:eastAsia="宋体" w:cs="宋体"/>
                <w:color w:val="auto"/>
                <w:kern w:val="0"/>
                <w:sz w:val="24"/>
                <w:szCs w:val="21"/>
                <w:highlight w:val="none"/>
                <w:lang w:val="en-US" w:eastAsia="zh-CN" w:bidi="ar-SA"/>
              </w:rPr>
              <w:t>㎡</w:t>
            </w:r>
            <w:r>
              <w:rPr>
                <w:rFonts w:hint="eastAsia" w:ascii="宋体" w:hAnsi="宋体" w:cs="宋体"/>
                <w:color w:val="auto"/>
                <w:kern w:val="0"/>
                <w:sz w:val="24"/>
                <w:szCs w:val="21"/>
                <w:highlight w:val="none"/>
                <w:lang w:val="en-US" w:eastAsia="zh-CN" w:bidi="ar-SA"/>
              </w:rPr>
              <w:t>）</w:t>
            </w:r>
            <w:r>
              <w:rPr>
                <w:rFonts w:hint="eastAsia" w:ascii="宋体" w:hAnsi="宋体" w:eastAsia="宋体" w:cs="宋体"/>
                <w:color w:val="auto"/>
                <w:kern w:val="0"/>
                <w:sz w:val="24"/>
                <w:szCs w:val="21"/>
                <w:highlight w:val="none"/>
                <w:lang w:val="en-US" w:eastAsia="zh-CN" w:bidi="ar-SA"/>
              </w:rPr>
              <w:t>库房管理相对规范、制度健全，设施设备不齐全，得</w:t>
            </w:r>
            <w:r>
              <w:rPr>
                <w:rFonts w:hint="eastAsia" w:ascii="宋体" w:hAnsi="宋体" w:cs="宋体"/>
                <w:color w:val="auto"/>
                <w:kern w:val="0"/>
                <w:sz w:val="24"/>
                <w:szCs w:val="21"/>
                <w:highlight w:val="none"/>
                <w:lang w:val="en-US" w:eastAsia="zh-CN" w:bidi="ar-SA"/>
              </w:rPr>
              <w:t>1</w:t>
            </w:r>
            <w:r>
              <w:rPr>
                <w:rFonts w:hint="eastAsia" w:ascii="宋体" w:hAnsi="宋体" w:eastAsia="宋体" w:cs="宋体"/>
                <w:color w:val="auto"/>
                <w:kern w:val="0"/>
                <w:sz w:val="24"/>
                <w:szCs w:val="21"/>
                <w:highlight w:val="none"/>
                <w:lang w:val="en-US" w:eastAsia="zh-CN" w:bidi="ar-SA"/>
              </w:rPr>
              <w:t>分。</w:t>
            </w:r>
          </w:p>
          <w:p w14:paraId="52572518">
            <w:pPr>
              <w:widowControl/>
              <w:spacing w:line="360" w:lineRule="exact"/>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没有提供，得0分。</w:t>
            </w:r>
          </w:p>
          <w:p w14:paraId="2806C8CB">
            <w:pPr>
              <w:widowControl/>
              <w:spacing w:line="360" w:lineRule="exact"/>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（提供产权或租赁协合同证明材料复印件加盖公章）</w:t>
            </w:r>
          </w:p>
        </w:tc>
        <w:tc>
          <w:tcPr>
            <w:tcW w:w="1110" w:type="dxa"/>
            <w:tcBorders>
              <w:top w:val="single" w:color="000000" w:sz="4" w:space="0"/>
              <w:left w:val="nil"/>
              <w:right w:val="single" w:color="000000" w:sz="4" w:space="0"/>
            </w:tcBorders>
            <w:vAlign w:val="center"/>
          </w:tcPr>
          <w:p w14:paraId="453D5293">
            <w:pPr>
              <w:widowControl/>
              <w:spacing w:line="360" w:lineRule="exact"/>
              <w:jc w:val="center"/>
              <w:rPr>
                <w:rFonts w:hint="default"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lang w:val="en-US" w:eastAsia="zh-CN"/>
              </w:rPr>
              <w:t>10</w:t>
            </w:r>
          </w:p>
        </w:tc>
      </w:tr>
      <w:tr w14:paraId="71AA1015">
        <w:tblPrEx>
          <w:tblCellMar>
            <w:top w:w="0" w:type="dxa"/>
            <w:left w:w="108" w:type="dxa"/>
            <w:bottom w:w="0" w:type="dxa"/>
            <w:right w:w="108" w:type="dxa"/>
          </w:tblCellMar>
        </w:tblPrEx>
        <w:trPr>
          <w:trHeight w:val="397" w:hRule="atLeast"/>
          <w:jc w:val="center"/>
        </w:trPr>
        <w:tc>
          <w:tcPr>
            <w:tcW w:w="945" w:type="dxa"/>
            <w:tcBorders>
              <w:top w:val="single" w:color="000000" w:sz="4" w:space="0"/>
              <w:left w:val="single" w:color="000000" w:sz="4" w:space="0"/>
              <w:right w:val="single" w:color="000000" w:sz="4" w:space="0"/>
            </w:tcBorders>
            <w:vAlign w:val="center"/>
          </w:tcPr>
          <w:p w14:paraId="75C90D5D">
            <w:pPr>
              <w:widowControl/>
              <w:spacing w:line="36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2118" w:type="dxa"/>
            <w:tcBorders>
              <w:top w:val="single" w:color="000000" w:sz="4" w:space="0"/>
              <w:left w:val="nil"/>
              <w:right w:val="single" w:color="000000" w:sz="4" w:space="0"/>
            </w:tcBorders>
            <w:vAlign w:val="center"/>
          </w:tcPr>
          <w:p w14:paraId="65FA97D1">
            <w:pPr>
              <w:widowControl/>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规章制度</w:t>
            </w:r>
          </w:p>
        </w:tc>
        <w:tc>
          <w:tcPr>
            <w:tcW w:w="5062" w:type="dxa"/>
            <w:tcBorders>
              <w:top w:val="single" w:color="000000" w:sz="4" w:space="0"/>
              <w:left w:val="nil"/>
              <w:right w:val="single" w:color="000000" w:sz="4" w:space="0"/>
            </w:tcBorders>
            <w:vAlign w:val="center"/>
          </w:tcPr>
          <w:p w14:paraId="0807870D">
            <w:pPr>
              <w:widowControl/>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根据公司基本概况，规章制度建设情况，规章制度健全、保障措施切实可行的5分，规章制度较健全，有保障措施的3分，规章制度一般的1分。提供相应的证明材料，不提供不得分。</w:t>
            </w:r>
          </w:p>
        </w:tc>
        <w:tc>
          <w:tcPr>
            <w:tcW w:w="1110" w:type="dxa"/>
            <w:tcBorders>
              <w:top w:val="single" w:color="000000" w:sz="4" w:space="0"/>
              <w:left w:val="nil"/>
              <w:right w:val="single" w:color="000000" w:sz="4" w:space="0"/>
            </w:tcBorders>
            <w:vAlign w:val="center"/>
          </w:tcPr>
          <w:p w14:paraId="0030C9A0">
            <w:pPr>
              <w:widowControl/>
              <w:spacing w:line="360" w:lineRule="exact"/>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r>
      <w:tr w14:paraId="13092C8C">
        <w:tblPrEx>
          <w:tblCellMar>
            <w:top w:w="0" w:type="dxa"/>
            <w:left w:w="108" w:type="dxa"/>
            <w:bottom w:w="0" w:type="dxa"/>
            <w:right w:w="108" w:type="dxa"/>
          </w:tblCellMar>
        </w:tblPrEx>
        <w:trPr>
          <w:trHeight w:val="397" w:hRule="atLeast"/>
          <w:jc w:val="center"/>
        </w:trPr>
        <w:tc>
          <w:tcPr>
            <w:tcW w:w="8125" w:type="dxa"/>
            <w:gridSpan w:val="3"/>
            <w:tcBorders>
              <w:top w:val="single" w:color="000000" w:sz="4" w:space="0"/>
              <w:left w:val="single" w:color="000000" w:sz="4" w:space="0"/>
              <w:bottom w:val="single" w:color="000000" w:sz="4" w:space="0"/>
              <w:right w:val="single" w:color="000000" w:sz="4" w:space="0"/>
            </w:tcBorders>
            <w:vAlign w:val="center"/>
          </w:tcPr>
          <w:p w14:paraId="0EF6837E">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得分合计</w:t>
            </w:r>
          </w:p>
        </w:tc>
        <w:tc>
          <w:tcPr>
            <w:tcW w:w="1110" w:type="dxa"/>
            <w:tcBorders>
              <w:top w:val="single" w:color="000000" w:sz="4" w:space="0"/>
              <w:left w:val="single" w:color="000000" w:sz="4" w:space="0"/>
              <w:bottom w:val="single" w:color="000000" w:sz="4" w:space="0"/>
              <w:right w:val="single" w:color="000000" w:sz="4" w:space="0"/>
            </w:tcBorders>
            <w:vAlign w:val="center"/>
          </w:tcPr>
          <w:p w14:paraId="7A8C6A68">
            <w:pPr>
              <w:widowControl/>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100</w:t>
            </w:r>
          </w:p>
        </w:tc>
      </w:tr>
    </w:tbl>
    <w:p w14:paraId="40F54CBA">
      <w:pPr>
        <w:widowControl/>
        <w:autoSpaceDE w:val="0"/>
        <w:autoSpaceDN w:val="0"/>
        <w:spacing w:line="360" w:lineRule="auto"/>
        <w:ind w:right="-34"/>
        <w:textAlignment w:val="bottom"/>
        <w:rPr>
          <w:rFonts w:ascii="宋体" w:hAnsi="宋体" w:cs="宋体"/>
          <w:color w:val="auto"/>
        </w:rPr>
      </w:pPr>
    </w:p>
    <w:p w14:paraId="222F2581">
      <w:pPr>
        <w:widowControl/>
        <w:autoSpaceDE w:val="0"/>
        <w:autoSpaceDN w:val="0"/>
        <w:spacing w:line="360" w:lineRule="auto"/>
        <w:ind w:right="-34"/>
        <w:textAlignment w:val="bottom"/>
        <w:rPr>
          <w:rFonts w:ascii="宋体" w:hAnsi="宋体" w:cs="宋体"/>
          <w:color w:val="auto"/>
        </w:rPr>
      </w:pPr>
      <w:r>
        <w:rPr>
          <w:rFonts w:hint="eastAsia" w:ascii="宋体" w:hAnsi="宋体" w:cs="宋体"/>
          <w:color w:val="auto"/>
        </w:rPr>
        <w:t xml:space="preserve">26 </w:t>
      </w:r>
      <w:r>
        <w:rPr>
          <w:rFonts w:hint="eastAsia" w:ascii="宋体" w:hAnsi="宋体" w:cs="宋体"/>
          <w:b/>
          <w:bCs/>
          <w:color w:val="auto"/>
        </w:rPr>
        <w:t>竞争性磋商</w:t>
      </w:r>
    </w:p>
    <w:p w14:paraId="6CAF38CF">
      <w:pPr>
        <w:widowControl/>
        <w:autoSpaceDE w:val="0"/>
        <w:autoSpaceDN w:val="0"/>
        <w:spacing w:line="360" w:lineRule="auto"/>
        <w:ind w:right="-34"/>
        <w:textAlignment w:val="bottom"/>
        <w:rPr>
          <w:rFonts w:ascii="宋体" w:hAnsi="宋体" w:cs="宋体"/>
          <w:color w:val="auto"/>
        </w:rPr>
      </w:pPr>
      <w:r>
        <w:rPr>
          <w:rFonts w:hint="eastAsia" w:ascii="宋体" w:hAnsi="宋体" w:cs="宋体"/>
          <w:color w:val="auto"/>
        </w:rPr>
        <w:t>26.1 在初审的基础上，由磋商小组与初审合格的供应商进行竞争性磋商。</w:t>
      </w:r>
    </w:p>
    <w:p w14:paraId="45F04BB8">
      <w:pPr>
        <w:widowControl/>
        <w:autoSpaceDE w:val="0"/>
        <w:autoSpaceDN w:val="0"/>
        <w:spacing w:line="360" w:lineRule="auto"/>
        <w:ind w:left="540" w:right="-34" w:hanging="540"/>
        <w:textAlignment w:val="bottom"/>
        <w:rPr>
          <w:rFonts w:ascii="宋体" w:hAnsi="宋体" w:cs="宋体"/>
          <w:color w:val="auto"/>
        </w:rPr>
      </w:pPr>
      <w:r>
        <w:rPr>
          <w:rFonts w:hint="eastAsia" w:ascii="宋体" w:hAnsi="宋体" w:cs="宋体"/>
          <w:color w:val="auto"/>
        </w:rPr>
        <w:t>26.2 磋商小组将在根据第25款得出的响应性报价基础上与各供应商展开磋商。</w:t>
      </w:r>
    </w:p>
    <w:p w14:paraId="275FD54A">
      <w:pPr>
        <w:widowControl/>
        <w:autoSpaceDE w:val="0"/>
        <w:autoSpaceDN w:val="0"/>
        <w:spacing w:line="360" w:lineRule="auto"/>
        <w:ind w:left="540" w:right="-34" w:hanging="540"/>
        <w:textAlignment w:val="bottom"/>
        <w:rPr>
          <w:rFonts w:ascii="宋体" w:hAnsi="宋体" w:cs="宋体"/>
          <w:color w:val="auto"/>
        </w:rPr>
      </w:pPr>
      <w:r>
        <w:rPr>
          <w:rFonts w:hint="eastAsia" w:ascii="宋体" w:hAnsi="宋体" w:cs="宋体"/>
          <w:color w:val="auto"/>
        </w:rPr>
        <w:t>26.3 磋商的基础是供应商须知第11款规定的报价。</w:t>
      </w:r>
    </w:p>
    <w:p w14:paraId="63AA7210">
      <w:pPr>
        <w:widowControl/>
        <w:autoSpaceDE w:val="0"/>
        <w:autoSpaceDN w:val="0"/>
        <w:spacing w:line="360" w:lineRule="auto"/>
        <w:ind w:left="540" w:right="-34" w:hanging="540"/>
        <w:textAlignment w:val="bottom"/>
        <w:rPr>
          <w:rFonts w:ascii="宋体" w:hAnsi="宋体" w:cs="宋体"/>
          <w:color w:val="auto"/>
        </w:rPr>
      </w:pPr>
      <w:r>
        <w:rPr>
          <w:rFonts w:hint="eastAsia" w:ascii="宋体" w:hAnsi="宋体" w:cs="宋体"/>
          <w:color w:val="auto"/>
        </w:rPr>
        <w:t>26.4 磋商小组在磋商中，除与供应商就价格方面进行磋商，磋商内容还要包括下列方面：</w:t>
      </w:r>
    </w:p>
    <w:p w14:paraId="4CCABEF9">
      <w:pPr>
        <w:widowControl/>
        <w:autoSpaceDE w:val="0"/>
        <w:autoSpaceDN w:val="0"/>
        <w:spacing w:line="360" w:lineRule="auto"/>
        <w:ind w:right="-34" w:firstLine="420" w:firstLineChars="200"/>
        <w:jc w:val="left"/>
        <w:textAlignment w:val="bottom"/>
        <w:rPr>
          <w:rFonts w:ascii="宋体" w:hAnsi="宋体" w:cs="宋体"/>
          <w:color w:val="auto"/>
        </w:rPr>
      </w:pPr>
      <w:r>
        <w:rPr>
          <w:rFonts w:hint="eastAsia" w:ascii="宋体" w:hAnsi="宋体" w:cs="宋体"/>
          <w:color w:val="auto"/>
        </w:rPr>
        <w:t>(1) 响应文件中报的交货期、交货地点；</w:t>
      </w:r>
    </w:p>
    <w:p w14:paraId="2A17C108">
      <w:pPr>
        <w:widowControl/>
        <w:autoSpaceDE w:val="0"/>
        <w:autoSpaceDN w:val="0"/>
        <w:spacing w:line="360" w:lineRule="auto"/>
        <w:ind w:right="-34" w:firstLine="420" w:firstLineChars="200"/>
        <w:jc w:val="left"/>
        <w:textAlignment w:val="bottom"/>
        <w:rPr>
          <w:rFonts w:ascii="宋体" w:hAnsi="宋体" w:cs="宋体"/>
          <w:color w:val="auto"/>
        </w:rPr>
      </w:pPr>
      <w:r>
        <w:rPr>
          <w:rFonts w:hint="eastAsia" w:ascii="宋体" w:hAnsi="宋体" w:cs="宋体"/>
          <w:color w:val="auto"/>
        </w:rPr>
        <w:t>(2) 付款方式、质量保证金及价格风险；</w:t>
      </w:r>
    </w:p>
    <w:p w14:paraId="268D6674">
      <w:pPr>
        <w:widowControl/>
        <w:autoSpaceDE w:val="0"/>
        <w:autoSpaceDN w:val="0"/>
        <w:spacing w:line="360" w:lineRule="auto"/>
        <w:ind w:right="-34" w:firstLine="420" w:firstLineChars="200"/>
        <w:jc w:val="left"/>
        <w:textAlignment w:val="bottom"/>
        <w:rPr>
          <w:rFonts w:ascii="宋体" w:hAnsi="宋体" w:cs="宋体"/>
          <w:color w:val="auto"/>
        </w:rPr>
      </w:pPr>
      <w:r>
        <w:rPr>
          <w:rFonts w:hint="eastAsia" w:ascii="宋体" w:hAnsi="宋体" w:cs="宋体"/>
          <w:color w:val="auto"/>
        </w:rPr>
        <w:t>(3) 所投货物技术偏差、供货范围的偏差、配件供应和对提供售后服务的调整；</w:t>
      </w:r>
    </w:p>
    <w:p w14:paraId="58C6D489">
      <w:pPr>
        <w:widowControl/>
        <w:autoSpaceDE w:val="0"/>
        <w:autoSpaceDN w:val="0"/>
        <w:spacing w:line="360" w:lineRule="auto"/>
        <w:ind w:right="-34" w:firstLine="420" w:firstLineChars="200"/>
        <w:jc w:val="left"/>
        <w:textAlignment w:val="bottom"/>
        <w:rPr>
          <w:rFonts w:ascii="宋体" w:hAnsi="宋体" w:cs="宋体"/>
          <w:color w:val="auto"/>
        </w:rPr>
      </w:pPr>
      <w:r>
        <w:rPr>
          <w:rFonts w:hint="eastAsia" w:ascii="宋体" w:hAnsi="宋体" w:cs="宋体"/>
          <w:color w:val="auto"/>
        </w:rPr>
        <w:t>(4) 核实供应商与制造商在类似项目上的资质和业绩；</w:t>
      </w:r>
    </w:p>
    <w:p w14:paraId="7B13231E">
      <w:pPr>
        <w:widowControl/>
        <w:autoSpaceDE w:val="0"/>
        <w:autoSpaceDN w:val="0"/>
        <w:spacing w:line="360" w:lineRule="auto"/>
        <w:ind w:right="-34" w:firstLine="420" w:firstLineChars="200"/>
        <w:jc w:val="left"/>
        <w:textAlignment w:val="bottom"/>
        <w:rPr>
          <w:rFonts w:ascii="宋体" w:hAnsi="宋体" w:cs="宋体"/>
          <w:color w:val="auto"/>
        </w:rPr>
      </w:pPr>
      <w:r>
        <w:rPr>
          <w:rFonts w:hint="eastAsia" w:ascii="宋体" w:hAnsi="宋体" w:cs="宋体"/>
          <w:color w:val="auto"/>
        </w:rPr>
        <w:t>(5) 合同履行和合同仲裁。</w:t>
      </w:r>
    </w:p>
    <w:p w14:paraId="2C7F3AFB">
      <w:pPr>
        <w:widowControl/>
        <w:autoSpaceDE w:val="0"/>
        <w:autoSpaceDN w:val="0"/>
        <w:spacing w:line="360" w:lineRule="auto"/>
        <w:ind w:right="-34"/>
        <w:jc w:val="left"/>
        <w:textAlignment w:val="bottom"/>
        <w:rPr>
          <w:rFonts w:ascii="宋体" w:hAnsi="宋体" w:cs="宋体"/>
          <w:b/>
          <w:bCs/>
          <w:color w:val="auto"/>
        </w:rPr>
      </w:pPr>
      <w:r>
        <w:rPr>
          <w:rFonts w:hint="eastAsia" w:ascii="宋体" w:hAnsi="宋体" w:cs="宋体"/>
          <w:b/>
          <w:bCs/>
          <w:color w:val="auto"/>
        </w:rPr>
        <w:t>26.5 磋商结束后，磋商小组要求所有参加磋商的供应商在规定时间内进行最后报价。</w:t>
      </w:r>
    </w:p>
    <w:p w14:paraId="6D0AA89D">
      <w:pPr>
        <w:widowControl/>
        <w:autoSpaceDE w:val="0"/>
        <w:autoSpaceDN w:val="0"/>
        <w:spacing w:line="360" w:lineRule="auto"/>
        <w:ind w:right="-34"/>
        <w:textAlignment w:val="bottom"/>
        <w:rPr>
          <w:rFonts w:ascii="宋体" w:hAnsi="宋体" w:cs="宋体"/>
          <w:b/>
          <w:bCs/>
          <w:color w:val="auto"/>
        </w:rPr>
      </w:pPr>
      <w:r>
        <w:rPr>
          <w:rFonts w:hint="eastAsia" w:ascii="宋体" w:hAnsi="宋体" w:cs="宋体"/>
          <w:color w:val="auto"/>
        </w:rPr>
        <w:t xml:space="preserve">27 </w:t>
      </w:r>
      <w:r>
        <w:rPr>
          <w:rFonts w:hint="eastAsia" w:ascii="宋体" w:hAnsi="宋体" w:cs="宋体"/>
          <w:b/>
          <w:bCs/>
          <w:color w:val="auto"/>
        </w:rPr>
        <w:t>评审的原则和标准</w:t>
      </w:r>
    </w:p>
    <w:p w14:paraId="52956E5A">
      <w:pPr>
        <w:widowControl/>
        <w:autoSpaceDE w:val="0"/>
        <w:autoSpaceDN w:val="0"/>
        <w:spacing w:line="360" w:lineRule="auto"/>
        <w:ind w:left="525" w:right="-34" w:hanging="525" w:hangingChars="250"/>
        <w:textAlignment w:val="bottom"/>
        <w:rPr>
          <w:rFonts w:ascii="宋体" w:hAnsi="宋体" w:cs="宋体"/>
          <w:color w:val="auto"/>
        </w:rPr>
      </w:pPr>
      <w:r>
        <w:rPr>
          <w:rFonts w:hint="eastAsia" w:ascii="宋体" w:hAnsi="宋体" w:cs="宋体"/>
          <w:color w:val="auto"/>
        </w:rPr>
        <w:t>27.1 评审原则：1）评审过程遵循公平、公正、诚信、择优的原则；2）资格审查合格的供应商，均有同等机会参加竞争性磋商；3）对所有供应商响应文件的评估和比较都采用相同程序和标准；4）评审过程中坚持物有所值及维护采购人利益的原则。</w:t>
      </w:r>
    </w:p>
    <w:p w14:paraId="1F6C77D4">
      <w:pPr>
        <w:widowControl/>
        <w:autoSpaceDE w:val="0"/>
        <w:autoSpaceDN w:val="0"/>
        <w:spacing w:line="360" w:lineRule="auto"/>
        <w:ind w:left="540" w:right="-34" w:hanging="539" w:hangingChars="257"/>
        <w:textAlignment w:val="bottom"/>
        <w:rPr>
          <w:rFonts w:ascii="宋体" w:hAnsi="宋体" w:cs="宋体"/>
          <w:color w:val="auto"/>
        </w:rPr>
      </w:pPr>
      <w:r>
        <w:rPr>
          <w:rFonts w:hint="eastAsia" w:ascii="宋体" w:hAnsi="宋体" w:cs="宋体"/>
          <w:color w:val="auto"/>
        </w:rPr>
        <w:t>27.2 评审标准：1）资格证明文件真实、有效、完整，且无诚信不良记录；2）已交纳足额磋商保证金；3）报价合理，并满足采购文件要求，但最低报价并非成交的唯一标准；4）产品较先进，配置较完善，质量比较可靠，且满足采购文件技术方面的要求和交货期；5）有能力提供优良的售后服务。</w:t>
      </w:r>
    </w:p>
    <w:p w14:paraId="73ED2A09">
      <w:pPr>
        <w:spacing w:line="360" w:lineRule="auto"/>
        <w:rPr>
          <w:rFonts w:ascii="宋体" w:hAnsi="宋体" w:cs="宋体"/>
          <w:b/>
          <w:bCs/>
          <w:color w:val="auto"/>
        </w:rPr>
      </w:pPr>
      <w:bookmarkStart w:id="123" w:name="_开标与评标（细则参见财政部《_政府采购招标投标管理暂行办法_》及中华人民共和国"/>
      <w:bookmarkEnd w:id="123"/>
      <w:bookmarkStart w:id="124" w:name="_授予合同"/>
      <w:bookmarkEnd w:id="124"/>
      <w:r>
        <w:rPr>
          <w:rFonts w:hint="eastAsia" w:ascii="宋体" w:hAnsi="宋体" w:cs="宋体"/>
          <w:color w:val="auto"/>
        </w:rPr>
        <w:t xml:space="preserve">F </w:t>
      </w:r>
      <w:r>
        <w:rPr>
          <w:rFonts w:hint="eastAsia" w:ascii="宋体" w:hAnsi="宋体" w:cs="宋体"/>
          <w:b/>
          <w:bCs/>
          <w:color w:val="auto"/>
        </w:rPr>
        <w:t>授予合同</w:t>
      </w:r>
    </w:p>
    <w:p w14:paraId="6B6786A2">
      <w:pPr>
        <w:numPr>
          <w:ilvl w:val="0"/>
          <w:numId w:val="10"/>
        </w:numPr>
        <w:spacing w:line="360" w:lineRule="auto"/>
        <w:rPr>
          <w:rFonts w:ascii="宋体" w:hAnsi="宋体" w:cs="宋体"/>
          <w:b/>
          <w:bCs/>
          <w:color w:val="auto"/>
        </w:rPr>
      </w:pPr>
      <w:bookmarkStart w:id="125" w:name="_Hlk35578045"/>
      <w:bookmarkStart w:id="126" w:name="_Hlk35578044"/>
      <w:bookmarkStart w:id="127" w:name="_Hlk35578046"/>
      <w:r>
        <w:rPr>
          <w:rFonts w:hint="eastAsia" w:ascii="宋体" w:hAnsi="宋体" w:cs="宋体"/>
          <w:b/>
          <w:bCs/>
          <w:color w:val="auto"/>
        </w:rPr>
        <w:t>授予合同的准则</w:t>
      </w:r>
      <w:bookmarkEnd w:id="125"/>
      <w:bookmarkEnd w:id="126"/>
      <w:bookmarkEnd w:id="127"/>
    </w:p>
    <w:p w14:paraId="55D02583">
      <w:pPr>
        <w:numPr>
          <w:ilvl w:val="255"/>
          <w:numId w:val="0"/>
        </w:numPr>
        <w:spacing w:line="360" w:lineRule="auto"/>
        <w:rPr>
          <w:rFonts w:ascii="宋体" w:hAnsi="宋体" w:cs="宋体"/>
          <w:color w:val="auto"/>
        </w:rPr>
      </w:pPr>
      <w:r>
        <w:rPr>
          <w:rFonts w:hint="eastAsia" w:ascii="宋体" w:hAnsi="宋体" w:cs="宋体"/>
          <w:color w:val="auto"/>
        </w:rPr>
        <w:t>28.1 磋商小组应当根据综合评分情况，按照评审得分由高到低顺序推荐3名以上成交候选供应商，并编写评审报告。符合“市场竞争不充分的科研项目，以及需要扶持的科技成果转化项目”情形的，可以推荐2家成交候选供应商。评审得分相同的，按照最后报价由低到高的顺序推荐。评审得分且最后报价相同的，按照技术指标优劣顺序推荐。</w:t>
      </w:r>
    </w:p>
    <w:p w14:paraId="1C53A74C">
      <w:pPr>
        <w:autoSpaceDE w:val="0"/>
        <w:autoSpaceDN w:val="0"/>
        <w:spacing w:line="360" w:lineRule="auto"/>
        <w:ind w:left="630" w:right="51" w:hanging="630" w:hangingChars="300"/>
        <w:textAlignment w:val="bottom"/>
        <w:rPr>
          <w:rFonts w:ascii="宋体" w:hAnsi="宋体" w:cs="宋体"/>
          <w:color w:val="auto"/>
        </w:rPr>
      </w:pPr>
      <w:r>
        <w:rPr>
          <w:rFonts w:hint="eastAsia" w:ascii="宋体" w:hAnsi="宋体" w:cs="宋体"/>
          <w:color w:val="auto"/>
        </w:rPr>
        <w:t>28.2  除</w:t>
      </w:r>
      <w:r>
        <w:rPr>
          <w:color w:val="auto"/>
        </w:rPr>
        <w:fldChar w:fldCharType="begin"/>
      </w:r>
      <w:r>
        <w:rPr>
          <w:color w:val="auto"/>
        </w:rPr>
        <w:instrText xml:space="preserve"> HYPERLINK \l "_授予合同" \o "招标代理接受或拒绝任何投标或所有投标的权利" </w:instrText>
      </w:r>
      <w:r>
        <w:rPr>
          <w:color w:val="auto"/>
        </w:rPr>
        <w:fldChar w:fldCharType="separate"/>
      </w:r>
      <w:r>
        <w:rPr>
          <w:rFonts w:hint="eastAsia" w:ascii="宋体" w:hAnsi="宋体" w:cs="宋体"/>
          <w:color w:val="auto"/>
        </w:rPr>
        <w:t>第31款</w:t>
      </w:r>
      <w:r>
        <w:rPr>
          <w:rFonts w:hint="eastAsia" w:ascii="宋体" w:hAnsi="宋体" w:cs="宋体"/>
          <w:color w:val="auto"/>
        </w:rPr>
        <w:fldChar w:fldCharType="end"/>
      </w:r>
      <w:r>
        <w:rPr>
          <w:rFonts w:hint="eastAsia" w:ascii="宋体" w:hAnsi="宋体" w:cs="宋体"/>
          <w:color w:val="auto"/>
        </w:rPr>
        <w:t>规定外，磋商小组将合同授予其响应文件满足磋商文件全部实质性要求且按评审因素的量化指标评审得分最高的供应商为成交供应商。</w:t>
      </w:r>
    </w:p>
    <w:p w14:paraId="4413942A">
      <w:pPr>
        <w:spacing w:line="360" w:lineRule="auto"/>
        <w:rPr>
          <w:rFonts w:ascii="宋体" w:hAnsi="宋体" w:cs="宋体"/>
          <w:color w:val="auto"/>
        </w:rPr>
      </w:pPr>
      <w:r>
        <w:rPr>
          <w:rFonts w:hint="eastAsia" w:ascii="宋体" w:hAnsi="宋体" w:cs="宋体"/>
          <w:color w:val="auto"/>
        </w:rPr>
        <w:t>28.3 根据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机构应当终止竞争性磋商采购活动，发布项目终止公告并说明原因，重新开展采购活动。</w:t>
      </w:r>
    </w:p>
    <w:p w14:paraId="497B4EDF">
      <w:pPr>
        <w:widowControl/>
        <w:autoSpaceDE w:val="0"/>
        <w:autoSpaceDN w:val="0"/>
        <w:spacing w:line="360" w:lineRule="auto"/>
        <w:ind w:right="18"/>
        <w:textAlignment w:val="bottom"/>
        <w:rPr>
          <w:rFonts w:ascii="宋体" w:hAnsi="宋体" w:cs="宋体"/>
          <w:color w:val="auto"/>
        </w:rPr>
      </w:pPr>
      <w:r>
        <w:rPr>
          <w:rFonts w:hint="eastAsia" w:ascii="宋体" w:hAnsi="宋体" w:cs="宋体"/>
          <w:color w:val="auto"/>
        </w:rPr>
        <w:t>28.4 不能保证最低报价的供应商最终成交。</w:t>
      </w:r>
    </w:p>
    <w:p w14:paraId="3784924F">
      <w:pPr>
        <w:spacing w:line="360" w:lineRule="auto"/>
        <w:rPr>
          <w:rFonts w:ascii="宋体" w:hAnsi="宋体" w:cs="宋体"/>
          <w:b/>
          <w:bCs/>
          <w:color w:val="auto"/>
        </w:rPr>
      </w:pPr>
      <w:bookmarkStart w:id="128" w:name="_Hlk35578110"/>
      <w:bookmarkStart w:id="129" w:name="_Hlk35578111"/>
      <w:bookmarkStart w:id="130" w:name="_Hlk35578112"/>
      <w:r>
        <w:rPr>
          <w:rFonts w:hint="eastAsia" w:ascii="宋体" w:hAnsi="宋体" w:cs="宋体"/>
          <w:color w:val="auto"/>
        </w:rPr>
        <w:t xml:space="preserve">29 </w:t>
      </w:r>
      <w:r>
        <w:rPr>
          <w:rFonts w:hint="eastAsia" w:ascii="宋体" w:hAnsi="宋体" w:cs="宋体"/>
          <w:b/>
          <w:bCs/>
          <w:color w:val="auto"/>
        </w:rPr>
        <w:t>资格后审</w:t>
      </w:r>
      <w:bookmarkEnd w:id="128"/>
      <w:bookmarkEnd w:id="129"/>
      <w:bookmarkEnd w:id="130"/>
    </w:p>
    <w:p w14:paraId="496CBECB">
      <w:pPr>
        <w:widowControl/>
        <w:autoSpaceDE w:val="0"/>
        <w:autoSpaceDN w:val="0"/>
        <w:spacing w:line="360" w:lineRule="auto"/>
        <w:ind w:left="630" w:right="18" w:hanging="630" w:hangingChars="300"/>
        <w:textAlignment w:val="bottom"/>
        <w:rPr>
          <w:rFonts w:ascii="宋体" w:hAnsi="宋体" w:cs="宋体"/>
          <w:color w:val="auto"/>
        </w:rPr>
      </w:pPr>
      <w:r>
        <w:rPr>
          <w:rFonts w:hint="eastAsia" w:ascii="宋体" w:hAnsi="宋体" w:cs="宋体"/>
          <w:color w:val="auto"/>
        </w:rPr>
        <w:t>29.1  在没有进行资格预审的情况下，磋商小组将对所选择的提交了响应文件的评审得分最高的供应商是否有资格能圆满地履行合同做出确认。</w:t>
      </w:r>
    </w:p>
    <w:p w14:paraId="39CBCD12">
      <w:pPr>
        <w:widowControl/>
        <w:autoSpaceDE w:val="0"/>
        <w:autoSpaceDN w:val="0"/>
        <w:spacing w:line="360" w:lineRule="auto"/>
        <w:ind w:left="630" w:right="18" w:hanging="630" w:hangingChars="300"/>
        <w:textAlignment w:val="bottom"/>
        <w:rPr>
          <w:rFonts w:ascii="宋体" w:hAnsi="宋体" w:cs="宋体"/>
          <w:color w:val="auto"/>
        </w:rPr>
      </w:pPr>
      <w:r>
        <w:rPr>
          <w:rFonts w:hint="eastAsia" w:ascii="宋体" w:hAnsi="宋体" w:cs="宋体"/>
          <w:color w:val="auto"/>
        </w:rPr>
        <w:t>29.2  审查将根据供应商按照</w:t>
      </w:r>
      <w:r>
        <w:rPr>
          <w:color w:val="auto"/>
        </w:rPr>
        <w:fldChar w:fldCharType="begin"/>
      </w:r>
      <w:r>
        <w:rPr>
          <w:color w:val="auto"/>
        </w:rPr>
        <w:instrText xml:space="preserve"> HYPERLINK \l "_投标文件的编制" \o "投标人的合格性和资格的声明" </w:instrText>
      </w:r>
      <w:r>
        <w:rPr>
          <w:color w:val="auto"/>
        </w:rPr>
        <w:fldChar w:fldCharType="separate"/>
      </w:r>
      <w:r>
        <w:rPr>
          <w:rFonts w:hint="eastAsia" w:ascii="宋体" w:hAnsi="宋体" w:cs="宋体"/>
          <w:color w:val="auto"/>
        </w:rPr>
        <w:t>第13款</w:t>
      </w:r>
      <w:r>
        <w:rPr>
          <w:rFonts w:hint="eastAsia" w:ascii="宋体" w:hAnsi="宋体" w:cs="宋体"/>
          <w:color w:val="auto"/>
        </w:rPr>
        <w:fldChar w:fldCharType="end"/>
      </w:r>
      <w:r>
        <w:rPr>
          <w:rFonts w:hint="eastAsia" w:ascii="宋体" w:hAnsi="宋体" w:cs="宋体"/>
          <w:color w:val="auto"/>
        </w:rPr>
        <w:t>规定提交的资格证明文件和磋商小组认为其他必要的、合适的资料，对供应商的财务、技术和生产能力等进行审查。</w:t>
      </w:r>
    </w:p>
    <w:p w14:paraId="2AAB3315">
      <w:pPr>
        <w:widowControl/>
        <w:numPr>
          <w:ilvl w:val="1"/>
          <w:numId w:val="11"/>
        </w:numPr>
        <w:tabs>
          <w:tab w:val="left" w:pos="0"/>
          <w:tab w:val="clear" w:pos="420"/>
        </w:tabs>
        <w:autoSpaceDE w:val="0"/>
        <w:autoSpaceDN w:val="0"/>
        <w:spacing w:line="360" w:lineRule="auto"/>
        <w:ind w:left="630" w:right="18" w:hanging="630"/>
        <w:textAlignment w:val="bottom"/>
        <w:rPr>
          <w:rFonts w:ascii="宋体" w:hAnsi="宋体" w:cs="宋体"/>
          <w:color w:val="auto"/>
        </w:rPr>
      </w:pPr>
      <w:r>
        <w:rPr>
          <w:rFonts w:hint="eastAsia" w:ascii="宋体" w:hAnsi="宋体" w:cs="宋体"/>
          <w:color w:val="auto"/>
        </w:rPr>
        <w:t xml:space="preserve"> 如果审查通过，则将合同授予该供应商；如果审查没有通过，则否决其成交资格。在此情况下，磋商小组将对下一个评审得分次高的的供应商的能力做类似的审查。</w:t>
      </w:r>
    </w:p>
    <w:p w14:paraId="7D88E059">
      <w:pPr>
        <w:spacing w:line="360" w:lineRule="auto"/>
        <w:rPr>
          <w:rFonts w:ascii="宋体" w:hAnsi="宋体" w:cs="宋体"/>
          <w:b/>
          <w:bCs/>
          <w:color w:val="auto"/>
        </w:rPr>
      </w:pPr>
      <w:bookmarkStart w:id="131" w:name="_Hlk35578185"/>
      <w:bookmarkStart w:id="132" w:name="_Hlk35578184"/>
      <w:bookmarkStart w:id="133" w:name="_Hlk35578186"/>
      <w:r>
        <w:rPr>
          <w:rFonts w:hint="eastAsia" w:ascii="宋体" w:hAnsi="宋体" w:cs="宋体"/>
          <w:color w:val="auto"/>
        </w:rPr>
        <w:t>30</w:t>
      </w:r>
      <w:r>
        <w:rPr>
          <w:rFonts w:hint="eastAsia" w:ascii="宋体" w:hAnsi="宋体" w:cs="宋体"/>
          <w:b/>
          <w:bCs/>
          <w:color w:val="auto"/>
        </w:rPr>
        <w:t xml:space="preserve"> 采购人在授予合同时变更采购货物数量的权利</w:t>
      </w:r>
      <w:bookmarkEnd w:id="131"/>
      <w:bookmarkEnd w:id="132"/>
      <w:bookmarkEnd w:id="133"/>
    </w:p>
    <w:p w14:paraId="3734EE01">
      <w:pPr>
        <w:widowControl/>
        <w:autoSpaceDE w:val="0"/>
        <w:autoSpaceDN w:val="0"/>
        <w:spacing w:line="360" w:lineRule="auto"/>
        <w:ind w:left="630" w:right="18" w:hanging="630" w:hangingChars="300"/>
        <w:textAlignment w:val="bottom"/>
        <w:rPr>
          <w:rFonts w:ascii="宋体" w:hAnsi="宋体" w:cs="宋体"/>
          <w:color w:val="auto"/>
        </w:rPr>
      </w:pPr>
      <w:r>
        <w:rPr>
          <w:rFonts w:hint="eastAsia" w:ascii="宋体" w:hAnsi="宋体" w:cs="宋体"/>
          <w:color w:val="auto"/>
        </w:rPr>
        <w:t>30.1  采购人有权在授予合同时按第三篇“响应资料表”规定的幅度内报经政府采购监督管理部门批准后对货物的数量和服务予以增减，并以原来的单价进行计算。</w:t>
      </w:r>
    </w:p>
    <w:p w14:paraId="6771B4A4">
      <w:pPr>
        <w:spacing w:line="360" w:lineRule="auto"/>
        <w:rPr>
          <w:rFonts w:ascii="宋体" w:hAnsi="宋体" w:cs="宋体"/>
          <w:b/>
          <w:bCs/>
          <w:color w:val="auto"/>
        </w:rPr>
      </w:pPr>
      <w:bookmarkStart w:id="134" w:name="_Hlk35578302"/>
      <w:bookmarkStart w:id="135" w:name="_Hlk35578300"/>
      <w:bookmarkStart w:id="136" w:name="_Hlk35578301"/>
      <w:r>
        <w:rPr>
          <w:rFonts w:hint="eastAsia" w:ascii="宋体" w:hAnsi="宋体" w:cs="宋体"/>
          <w:color w:val="auto"/>
        </w:rPr>
        <w:t>31</w:t>
      </w:r>
      <w:bookmarkEnd w:id="134"/>
      <w:bookmarkEnd w:id="135"/>
      <w:bookmarkEnd w:id="136"/>
      <w:r>
        <w:rPr>
          <w:rFonts w:hint="eastAsia" w:ascii="宋体" w:hAnsi="宋体" w:cs="宋体"/>
          <w:b/>
          <w:bCs/>
          <w:color w:val="auto"/>
        </w:rPr>
        <w:t>成交通知</w:t>
      </w:r>
    </w:p>
    <w:p w14:paraId="466B03BE">
      <w:pPr>
        <w:widowControl/>
        <w:autoSpaceDE w:val="0"/>
        <w:autoSpaceDN w:val="0"/>
        <w:spacing w:line="360" w:lineRule="auto"/>
        <w:ind w:right="18"/>
        <w:textAlignment w:val="bottom"/>
        <w:rPr>
          <w:rFonts w:ascii="宋体" w:hAnsi="宋体" w:cs="宋体"/>
          <w:color w:val="auto"/>
        </w:rPr>
      </w:pPr>
      <w:r>
        <w:rPr>
          <w:rFonts w:hint="eastAsia" w:ascii="宋体" w:hAnsi="宋体" w:cs="宋体"/>
          <w:color w:val="auto"/>
        </w:rPr>
        <w:t>31.1  响应文件有效期期满前，采购代理机构将以书面形式通知成交供应商。</w:t>
      </w:r>
    </w:p>
    <w:p w14:paraId="66532153">
      <w:pPr>
        <w:widowControl/>
        <w:autoSpaceDE w:val="0"/>
        <w:autoSpaceDN w:val="0"/>
        <w:spacing w:line="360" w:lineRule="auto"/>
        <w:ind w:left="630" w:right="18" w:hanging="630" w:hangingChars="300"/>
        <w:textAlignment w:val="bottom"/>
        <w:rPr>
          <w:rFonts w:ascii="宋体" w:hAnsi="宋体" w:cs="宋体"/>
          <w:color w:val="auto"/>
        </w:rPr>
      </w:pPr>
      <w:r>
        <w:rPr>
          <w:rFonts w:hint="eastAsia" w:ascii="宋体" w:hAnsi="宋体" w:cs="宋体"/>
          <w:color w:val="auto"/>
        </w:rPr>
        <w:t>31.2  采购代理机构向成交供应商发出书面通知的同时，采购代理机构通知落选的供应商，而不提原因，并按</w:t>
      </w:r>
      <w:r>
        <w:rPr>
          <w:color w:val="auto"/>
        </w:rPr>
        <w:fldChar w:fldCharType="begin"/>
      </w:r>
      <w:r>
        <w:rPr>
          <w:color w:val="auto"/>
        </w:rPr>
        <w:instrText xml:space="preserve"> HYPERLINK \l "_投标文件的编制" \o "投标保证金" </w:instrText>
      </w:r>
      <w:r>
        <w:rPr>
          <w:color w:val="auto"/>
        </w:rPr>
        <w:fldChar w:fldCharType="separate"/>
      </w:r>
      <w:r>
        <w:rPr>
          <w:rFonts w:hint="eastAsia" w:ascii="宋体" w:hAnsi="宋体" w:cs="宋体"/>
          <w:color w:val="auto"/>
        </w:rPr>
        <w:t>第15款</w:t>
      </w:r>
      <w:r>
        <w:rPr>
          <w:rFonts w:hint="eastAsia" w:ascii="宋体" w:hAnsi="宋体" w:cs="宋体"/>
          <w:color w:val="auto"/>
        </w:rPr>
        <w:fldChar w:fldCharType="end"/>
      </w:r>
      <w:r>
        <w:rPr>
          <w:rFonts w:hint="eastAsia" w:ascii="宋体" w:hAnsi="宋体" w:cs="宋体"/>
          <w:color w:val="auto"/>
        </w:rPr>
        <w:t>规定退还其磋商保证金。</w:t>
      </w:r>
    </w:p>
    <w:p w14:paraId="0C5582F9">
      <w:pPr>
        <w:widowControl/>
        <w:autoSpaceDE w:val="0"/>
        <w:autoSpaceDN w:val="0"/>
        <w:spacing w:line="360" w:lineRule="auto"/>
        <w:ind w:left="630" w:right="18" w:hanging="630" w:hangingChars="300"/>
        <w:textAlignment w:val="bottom"/>
        <w:rPr>
          <w:rFonts w:ascii="Arial" w:hAnsi="Arial" w:cs="Arial"/>
          <w:color w:val="auto"/>
        </w:rPr>
      </w:pPr>
      <w:r>
        <w:rPr>
          <w:rFonts w:ascii="Arial" w:hAnsi="Arial" w:cs="Arial"/>
          <w:color w:val="auto"/>
        </w:rPr>
        <w:t>3</w:t>
      </w:r>
      <w:r>
        <w:rPr>
          <w:rFonts w:hint="eastAsia" w:ascii="Arial" w:hAnsi="Arial" w:cs="Arial"/>
          <w:color w:val="auto"/>
        </w:rPr>
        <w:t>1</w:t>
      </w:r>
      <w:r>
        <w:rPr>
          <w:rFonts w:ascii="Arial" w:hAnsi="Arial" w:cs="Arial"/>
          <w:color w:val="auto"/>
        </w:rPr>
        <w:t xml:space="preserve">.3  </w:t>
      </w:r>
      <w:r>
        <w:rPr>
          <w:rFonts w:hint="eastAsia" w:ascii="Arial" w:hAnsi="Arial" w:cs="Arial"/>
          <w:color w:val="auto"/>
        </w:rPr>
        <w:t>成交商接到成交通知后，需要向采购代理机构缴纳成交服务费，领取成交通知书时须向采购代理机构出示成交服务费的缴纳凭证，如未按竞争性</w:t>
      </w:r>
      <w:r>
        <w:rPr>
          <w:rFonts w:hint="eastAsia" w:ascii="Arial" w:hAnsi="Arial" w:cs="Arial"/>
          <w:color w:val="auto"/>
          <w:lang w:eastAsia="zh-CN"/>
        </w:rPr>
        <w:t>磋商</w:t>
      </w:r>
      <w:r>
        <w:rPr>
          <w:rFonts w:hint="eastAsia" w:ascii="Arial" w:hAnsi="Arial" w:cs="Arial"/>
          <w:color w:val="auto"/>
        </w:rPr>
        <w:t>文件足额缴纳，采购代理机构不予发放成交通知书，由此所造成的损失由成交商自行承担。成交</w:t>
      </w:r>
      <w:r>
        <w:rPr>
          <w:rFonts w:ascii="Arial" w:hAnsi="Arial" w:cs="Arial"/>
          <w:color w:val="auto"/>
        </w:rPr>
        <w:t>通知书是合同的一个组成部分。</w:t>
      </w:r>
    </w:p>
    <w:p w14:paraId="4E1F61F7">
      <w:pPr>
        <w:spacing w:line="360" w:lineRule="auto"/>
        <w:rPr>
          <w:rFonts w:ascii="宋体" w:hAnsi="宋体" w:cs="宋体"/>
          <w:color w:val="auto"/>
        </w:rPr>
      </w:pPr>
      <w:bookmarkStart w:id="137" w:name="_Hlk35578459"/>
      <w:bookmarkStart w:id="138" w:name="_Hlk35578458"/>
      <w:bookmarkStart w:id="139" w:name="_Hlk35578457"/>
      <w:r>
        <w:rPr>
          <w:rFonts w:hint="eastAsia" w:ascii="宋体" w:hAnsi="宋体" w:cs="宋体"/>
          <w:color w:val="auto"/>
        </w:rPr>
        <w:t>32</w:t>
      </w:r>
      <w:r>
        <w:rPr>
          <w:rFonts w:hint="eastAsia" w:ascii="宋体" w:hAnsi="宋体" w:cs="宋体"/>
          <w:b/>
          <w:bCs/>
          <w:color w:val="auto"/>
        </w:rPr>
        <w:t xml:space="preserve"> 签署合同</w:t>
      </w:r>
      <w:bookmarkEnd w:id="137"/>
      <w:bookmarkEnd w:id="138"/>
      <w:bookmarkEnd w:id="139"/>
    </w:p>
    <w:p w14:paraId="132B1056">
      <w:pPr>
        <w:widowControl/>
        <w:autoSpaceDE w:val="0"/>
        <w:autoSpaceDN w:val="0"/>
        <w:spacing w:line="360" w:lineRule="auto"/>
        <w:ind w:left="630" w:right="18" w:hanging="630" w:hangingChars="300"/>
        <w:textAlignment w:val="bottom"/>
        <w:rPr>
          <w:rFonts w:ascii="宋体" w:hAnsi="宋体" w:cs="宋体"/>
          <w:color w:val="auto"/>
        </w:rPr>
      </w:pPr>
      <w:r>
        <w:rPr>
          <w:rFonts w:hint="eastAsia" w:ascii="宋体" w:hAnsi="宋体" w:cs="宋体"/>
          <w:color w:val="auto"/>
        </w:rPr>
        <w:t>32.1  成交供应商在收到成交通知书后五天内，应派授权代表与采购人商讨、签订合同。供应商成交后不得拖延或拒绝签署合同。</w:t>
      </w:r>
    </w:p>
    <w:p w14:paraId="31C291A9">
      <w:pPr>
        <w:widowControl/>
        <w:autoSpaceDE w:val="0"/>
        <w:autoSpaceDN w:val="0"/>
        <w:spacing w:line="360" w:lineRule="auto"/>
        <w:ind w:left="630" w:right="18" w:hanging="630" w:hangingChars="300"/>
        <w:textAlignment w:val="bottom"/>
        <w:rPr>
          <w:rFonts w:ascii="宋体" w:hAnsi="宋体" w:cs="宋体"/>
          <w:color w:val="auto"/>
        </w:rPr>
      </w:pPr>
      <w:r>
        <w:rPr>
          <w:rFonts w:hint="eastAsia" w:ascii="Arial" w:hAnsi="Arial" w:cs="Arial"/>
          <w:color w:val="auto"/>
        </w:rPr>
        <w:t>32.2合同签订后，成交商须在合同签订2个工作日内将合同文本扫描件以电子邮件形式发送给采购代理机构指定邮箱(邮箱号码：</w:t>
      </w:r>
      <w:r>
        <w:rPr>
          <w:rFonts w:hint="eastAsia" w:ascii="Arial" w:hAnsi="Arial" w:cs="Arial"/>
          <w:color w:val="auto"/>
          <w:lang w:val="en-US" w:eastAsia="zh-CN"/>
        </w:rPr>
        <w:t>315878111</w:t>
      </w:r>
      <w:r>
        <w:rPr>
          <w:rFonts w:hint="eastAsia" w:ascii="Arial" w:hAnsi="Arial" w:cs="Arial"/>
          <w:color w:val="auto"/>
        </w:rPr>
        <w:t>@qq.com)。</w:t>
      </w:r>
    </w:p>
    <w:p w14:paraId="04E1281A">
      <w:pPr>
        <w:spacing w:line="360" w:lineRule="auto"/>
        <w:rPr>
          <w:rFonts w:hint="eastAsia" w:ascii="宋体" w:hAnsi="宋体" w:cs="宋体"/>
          <w:b/>
          <w:bCs/>
          <w:color w:val="auto"/>
        </w:rPr>
      </w:pPr>
      <w:bookmarkStart w:id="140" w:name="_Hlk35578471"/>
      <w:bookmarkStart w:id="141" w:name="_Hlk35578472"/>
      <w:bookmarkStart w:id="142" w:name="_Hlk35578470"/>
      <w:r>
        <w:rPr>
          <w:rFonts w:hint="eastAsia" w:ascii="宋体" w:hAnsi="宋体" w:cs="宋体"/>
          <w:color w:val="auto"/>
        </w:rPr>
        <w:t>33</w:t>
      </w:r>
      <w:r>
        <w:rPr>
          <w:rFonts w:hint="eastAsia" w:ascii="宋体" w:hAnsi="宋体" w:cs="宋体"/>
          <w:b/>
          <w:bCs/>
          <w:color w:val="auto"/>
        </w:rPr>
        <w:t xml:space="preserve"> 履约保证金</w:t>
      </w:r>
      <w:bookmarkEnd w:id="140"/>
      <w:bookmarkEnd w:id="141"/>
      <w:bookmarkEnd w:id="142"/>
    </w:p>
    <w:p w14:paraId="69213C5B">
      <w:pPr>
        <w:spacing w:line="400" w:lineRule="exact"/>
        <w:ind w:firstLine="480" w:firstLineChars="200"/>
        <w:rPr>
          <w:rFonts w:hint="eastAsia" w:ascii="宋体" w:hAnsi="宋体" w:cs="宋体"/>
          <w:b/>
          <w:bCs/>
          <w:color w:val="auto"/>
        </w:rPr>
      </w:pPr>
      <w:r>
        <w:rPr>
          <w:rFonts w:hint="eastAsia"/>
          <w:snapToGrid w:val="0"/>
          <w:color w:val="auto"/>
          <w:sz w:val="24"/>
          <w:szCs w:val="24"/>
        </w:rPr>
        <w:t>中标后签订合同</w:t>
      </w:r>
      <w:r>
        <w:rPr>
          <w:rFonts w:hint="eastAsia"/>
          <w:snapToGrid w:val="0"/>
          <w:color w:val="auto"/>
          <w:sz w:val="24"/>
          <w:szCs w:val="24"/>
          <w:lang w:eastAsia="zh-CN"/>
        </w:rPr>
        <w:t>一个月内</w:t>
      </w:r>
      <w:r>
        <w:rPr>
          <w:rFonts w:hint="eastAsia"/>
          <w:snapToGrid w:val="0"/>
          <w:color w:val="auto"/>
          <w:sz w:val="24"/>
          <w:szCs w:val="24"/>
        </w:rPr>
        <w:t>，</w:t>
      </w:r>
      <w:r>
        <w:rPr>
          <w:rFonts w:hint="eastAsia"/>
          <w:snapToGrid w:val="0"/>
          <w:color w:val="auto"/>
          <w:sz w:val="24"/>
          <w:szCs w:val="24"/>
          <w:lang w:eastAsia="zh-CN"/>
        </w:rPr>
        <w:t>供应商对公</w:t>
      </w:r>
      <w:r>
        <w:rPr>
          <w:rFonts w:hint="eastAsia"/>
          <w:snapToGrid w:val="0"/>
          <w:color w:val="auto"/>
          <w:sz w:val="24"/>
          <w:szCs w:val="24"/>
        </w:rPr>
        <w:t>应向</w:t>
      </w:r>
      <w:r>
        <w:rPr>
          <w:rFonts w:hint="eastAsia"/>
          <w:snapToGrid w:val="0"/>
          <w:color w:val="auto"/>
          <w:sz w:val="24"/>
          <w:szCs w:val="24"/>
          <w:lang w:val="en-US" w:eastAsia="zh-CN"/>
        </w:rPr>
        <w:t>扶余市消防救援大队</w:t>
      </w:r>
      <w:r>
        <w:rPr>
          <w:rFonts w:hint="eastAsia"/>
          <w:snapToGrid w:val="0"/>
          <w:color w:val="auto"/>
          <w:sz w:val="24"/>
          <w:szCs w:val="24"/>
        </w:rPr>
        <w:t>缴纳</w:t>
      </w:r>
      <w:r>
        <w:rPr>
          <w:rFonts w:hint="eastAsia"/>
          <w:snapToGrid w:val="0"/>
          <w:color w:val="auto"/>
          <w:sz w:val="24"/>
          <w:szCs w:val="24"/>
          <w:lang w:val="en-US" w:eastAsia="zh-CN"/>
        </w:rPr>
        <w:t>1</w:t>
      </w:r>
      <w:r>
        <w:rPr>
          <w:rFonts w:hint="eastAsia"/>
          <w:snapToGrid w:val="0"/>
          <w:color w:val="auto"/>
          <w:sz w:val="24"/>
          <w:szCs w:val="24"/>
        </w:rPr>
        <w:t>万元作为履约保证金。</w:t>
      </w:r>
    </w:p>
    <w:p w14:paraId="58CB1152">
      <w:pPr>
        <w:spacing w:line="360" w:lineRule="auto"/>
        <w:rPr>
          <w:rFonts w:ascii="宋体" w:hAnsi="宋体" w:cs="宋体"/>
          <w:b/>
          <w:bCs/>
          <w:color w:val="auto"/>
        </w:rPr>
      </w:pPr>
      <w:bookmarkStart w:id="143" w:name="_Hlk35578491"/>
      <w:bookmarkStart w:id="144" w:name="_Hlk35578492"/>
      <w:bookmarkStart w:id="145" w:name="_Hlk35578490"/>
      <w:r>
        <w:rPr>
          <w:rFonts w:hint="eastAsia" w:ascii="宋体" w:hAnsi="宋体" w:cs="宋体"/>
          <w:color w:val="auto"/>
        </w:rPr>
        <w:t>34</w:t>
      </w:r>
      <w:bookmarkEnd w:id="143"/>
      <w:bookmarkEnd w:id="144"/>
      <w:bookmarkEnd w:id="145"/>
      <w:r>
        <w:rPr>
          <w:rFonts w:hint="eastAsia" w:ascii="宋体" w:hAnsi="宋体" w:cs="宋体"/>
          <w:b/>
          <w:bCs/>
          <w:color w:val="auto"/>
        </w:rPr>
        <w:t>成交服务费</w:t>
      </w:r>
    </w:p>
    <w:p w14:paraId="568EA511">
      <w:pPr>
        <w:tabs>
          <w:tab w:val="left" w:pos="900"/>
        </w:tabs>
        <w:spacing w:line="360" w:lineRule="auto"/>
        <w:ind w:left="630" w:hanging="630" w:hangingChars="300"/>
        <w:rPr>
          <w:rFonts w:ascii="宋体" w:hAnsi="宋体" w:cs="宋体"/>
          <w:color w:val="auto"/>
        </w:rPr>
      </w:pPr>
      <w:r>
        <w:rPr>
          <w:rFonts w:hint="eastAsia" w:ascii="宋体" w:hAnsi="宋体" w:cs="宋体"/>
          <w:color w:val="auto"/>
        </w:rPr>
        <w:t xml:space="preserve">34.1 </w:t>
      </w:r>
      <w:r>
        <w:rPr>
          <w:rFonts w:hint="eastAsia" w:ascii="Arial" w:hAnsi="Arial" w:cs="Arial"/>
          <w:color w:val="auto"/>
        </w:rPr>
        <w:t xml:space="preserve"> 成中标人收到中标通知书5日内，</w:t>
      </w:r>
      <w:r>
        <w:rPr>
          <w:rFonts w:hint="eastAsia" w:ascii="Arial" w:hAnsi="Arial" w:cs="Arial"/>
          <w:color w:val="auto"/>
          <w:lang w:val="en-US" w:eastAsia="zh-CN"/>
        </w:rPr>
        <w:t>参</w:t>
      </w:r>
      <w:r>
        <w:rPr>
          <w:rFonts w:hint="eastAsia" w:ascii="Arial" w:hAnsi="Arial" w:cs="Arial"/>
          <w:color w:val="auto"/>
        </w:rPr>
        <w:t>照吉省价【2016】98号；发改价格【2015】299号等相关文件的取费标准计费，由招标代理机构向中标人收取。中标人应在中标通知书发出时将本项目招标代理</w:t>
      </w:r>
      <w:r>
        <w:rPr>
          <w:rFonts w:hint="eastAsia" w:ascii="Arial" w:hAnsi="Arial" w:cs="Arial"/>
          <w:color w:val="auto"/>
          <w:highlight w:val="none"/>
        </w:rPr>
        <w:t>服务费</w:t>
      </w:r>
      <w:r>
        <w:rPr>
          <w:rFonts w:hint="eastAsia" w:ascii="Arial" w:hAnsi="Arial" w:cs="Arial"/>
          <w:color w:val="auto"/>
          <w:highlight w:val="none"/>
          <w:lang w:eastAsia="zh-CN"/>
        </w:rPr>
        <w:t>（</w:t>
      </w:r>
      <w:r>
        <w:rPr>
          <w:rFonts w:hint="eastAsia" w:ascii="Arial" w:hAnsi="Arial" w:cs="Arial"/>
          <w:color w:val="auto"/>
          <w:highlight w:val="none"/>
          <w:lang w:val="en-US" w:eastAsia="zh-CN"/>
        </w:rPr>
        <w:t>不含税票）</w:t>
      </w:r>
      <w:r>
        <w:rPr>
          <w:rFonts w:hint="eastAsia" w:ascii="Arial" w:hAnsi="Arial" w:cs="Arial"/>
          <w:color w:val="auto"/>
          <w:highlight w:val="none"/>
        </w:rPr>
        <w:t>：</w:t>
      </w:r>
      <w:r>
        <w:rPr>
          <w:rFonts w:hint="eastAsia" w:ascii="Arial" w:hAnsi="Arial" w:cs="Arial"/>
          <w:color w:val="auto"/>
          <w:highlight w:val="none"/>
          <w:lang w:val="en-US" w:eastAsia="zh-CN"/>
        </w:rPr>
        <w:t>1.1万</w:t>
      </w:r>
      <w:r>
        <w:rPr>
          <w:rFonts w:hint="eastAsia" w:ascii="Arial" w:hAnsi="Arial" w:cs="Arial"/>
          <w:color w:val="auto"/>
          <w:highlight w:val="none"/>
        </w:rPr>
        <w:t>元</w:t>
      </w:r>
      <w:r>
        <w:rPr>
          <w:rFonts w:hint="eastAsia" w:ascii="Arial" w:hAnsi="Arial" w:cs="Arial"/>
          <w:color w:val="auto"/>
          <w:highlight w:val="none"/>
          <w:lang w:eastAsia="zh-CN"/>
        </w:rPr>
        <w:t>，</w:t>
      </w:r>
      <w:r>
        <w:rPr>
          <w:rFonts w:hint="eastAsia" w:ascii="Arial" w:hAnsi="Arial" w:cs="Arial"/>
          <w:color w:val="auto"/>
          <w:highlight w:val="none"/>
        </w:rPr>
        <w:t>一次性支付给招标</w:t>
      </w:r>
      <w:r>
        <w:rPr>
          <w:rFonts w:hint="eastAsia" w:ascii="Arial" w:hAnsi="Arial" w:cs="Arial"/>
          <w:color w:val="auto"/>
        </w:rPr>
        <w:t>代理机构。</w:t>
      </w:r>
    </w:p>
    <w:p w14:paraId="39524F72">
      <w:pPr>
        <w:widowControl/>
        <w:autoSpaceDE w:val="0"/>
        <w:autoSpaceDN w:val="0"/>
        <w:spacing w:line="360" w:lineRule="auto"/>
        <w:ind w:left="630" w:right="18" w:hanging="630" w:hangingChars="300"/>
        <w:textAlignment w:val="bottom"/>
        <w:rPr>
          <w:rFonts w:ascii="宋体" w:hAnsi="宋体" w:cs="宋体"/>
          <w:color w:val="auto"/>
        </w:rPr>
      </w:pPr>
      <w:r>
        <w:rPr>
          <w:rFonts w:hint="eastAsia" w:ascii="宋体" w:hAnsi="宋体" w:cs="宋体"/>
          <w:color w:val="auto"/>
        </w:rPr>
        <w:t>34.2  成交服务费的收取应按委托协议办理。</w:t>
      </w:r>
    </w:p>
    <w:p w14:paraId="3D3AFE47">
      <w:pPr>
        <w:widowControl/>
        <w:tabs>
          <w:tab w:val="left" w:pos="540"/>
        </w:tabs>
        <w:autoSpaceDE w:val="0"/>
        <w:autoSpaceDN w:val="0"/>
        <w:spacing w:line="360" w:lineRule="auto"/>
        <w:ind w:right="18"/>
        <w:textAlignment w:val="bottom"/>
        <w:rPr>
          <w:rFonts w:ascii="宋体" w:hAnsi="宋体" w:cs="宋体"/>
          <w:color w:val="auto"/>
        </w:rPr>
      </w:pPr>
      <w:r>
        <w:rPr>
          <w:rFonts w:hint="eastAsia" w:ascii="宋体" w:hAnsi="宋体" w:cs="宋体"/>
          <w:color w:val="auto"/>
        </w:rPr>
        <w:t>34.3  成交服务费只接受电汇形式。</w:t>
      </w:r>
    </w:p>
    <w:p w14:paraId="1CBFE2DF">
      <w:pPr>
        <w:widowControl/>
        <w:tabs>
          <w:tab w:val="left" w:pos="540"/>
        </w:tabs>
        <w:autoSpaceDE w:val="0"/>
        <w:autoSpaceDN w:val="0"/>
        <w:spacing w:line="360" w:lineRule="auto"/>
        <w:ind w:right="18"/>
        <w:textAlignment w:val="bottom"/>
        <w:rPr>
          <w:rFonts w:ascii="宋体" w:hAnsi="宋体" w:cs="宋体"/>
          <w:color w:val="auto"/>
        </w:rPr>
      </w:pPr>
      <w:r>
        <w:rPr>
          <w:rFonts w:hint="eastAsia" w:ascii="宋体" w:hAnsi="宋体" w:cs="宋体"/>
          <w:color w:val="auto"/>
        </w:rPr>
        <w:t>34.4  成交供应商如未按第34.1款、第34.2款规定办理，采购代理机构将没收其磋商保证金。</w:t>
      </w:r>
    </w:p>
    <w:p w14:paraId="6AD5AE35">
      <w:pPr>
        <w:widowControl/>
        <w:tabs>
          <w:tab w:val="left" w:pos="540"/>
        </w:tabs>
        <w:autoSpaceDE w:val="0"/>
        <w:autoSpaceDN w:val="0"/>
        <w:spacing w:line="360" w:lineRule="auto"/>
        <w:ind w:right="18"/>
        <w:textAlignment w:val="bottom"/>
        <w:rPr>
          <w:rFonts w:ascii="宋体" w:hAnsi="宋体" w:cs="宋体"/>
          <w:b/>
          <w:bCs/>
          <w:color w:val="auto"/>
        </w:rPr>
      </w:pPr>
      <w:r>
        <w:rPr>
          <w:rFonts w:hint="eastAsia" w:ascii="宋体" w:hAnsi="宋体" w:cs="宋体"/>
          <w:b/>
          <w:bCs/>
          <w:color w:val="auto"/>
        </w:rPr>
        <w:t>35 竞争性磋商小组评标中发现供应商有下列情形之一的，应当认定属于串通行为，相关供应商的响应文件将被否决，并在评审报告 （评标纪要）中准确记录。</w:t>
      </w:r>
    </w:p>
    <w:p w14:paraId="5D44AC4B">
      <w:pPr>
        <w:widowControl/>
        <w:tabs>
          <w:tab w:val="left" w:pos="540"/>
        </w:tabs>
        <w:autoSpaceDE w:val="0"/>
        <w:autoSpaceDN w:val="0"/>
        <w:spacing w:line="360" w:lineRule="auto"/>
        <w:ind w:right="18"/>
        <w:textAlignment w:val="bottom"/>
        <w:rPr>
          <w:rFonts w:ascii="宋体" w:hAnsi="宋体" w:cs="宋体"/>
          <w:color w:val="auto"/>
        </w:rPr>
      </w:pPr>
      <w:r>
        <w:rPr>
          <w:rFonts w:hint="eastAsia" w:ascii="宋体" w:hAnsi="宋体" w:cs="宋体"/>
          <w:color w:val="auto"/>
        </w:rPr>
        <w:t>35.1 两家以上（含两家）供应商的响应文件中相同错误三处以上（含三处）；</w:t>
      </w:r>
    </w:p>
    <w:p w14:paraId="1CA261D1">
      <w:pPr>
        <w:widowControl/>
        <w:tabs>
          <w:tab w:val="left" w:pos="540"/>
        </w:tabs>
        <w:autoSpaceDE w:val="0"/>
        <w:autoSpaceDN w:val="0"/>
        <w:spacing w:line="360" w:lineRule="auto"/>
        <w:ind w:right="18"/>
        <w:textAlignment w:val="bottom"/>
        <w:rPr>
          <w:rFonts w:ascii="宋体" w:hAnsi="宋体" w:cs="宋体"/>
          <w:color w:val="auto"/>
        </w:rPr>
      </w:pPr>
      <w:r>
        <w:rPr>
          <w:rFonts w:hint="eastAsia" w:ascii="宋体" w:hAnsi="宋体" w:cs="宋体"/>
          <w:color w:val="auto"/>
        </w:rPr>
        <w:t>35.2 两家以上（含两家）供应商的响应文件中加盖了对方的公章，或者相互装订了标有对方名称的文件材料、资格资信证明文件等；</w:t>
      </w:r>
    </w:p>
    <w:p w14:paraId="6541387F">
      <w:pPr>
        <w:widowControl/>
        <w:tabs>
          <w:tab w:val="left" w:pos="540"/>
        </w:tabs>
        <w:autoSpaceDE w:val="0"/>
        <w:autoSpaceDN w:val="0"/>
        <w:spacing w:line="360" w:lineRule="auto"/>
        <w:ind w:right="18"/>
        <w:textAlignment w:val="bottom"/>
        <w:rPr>
          <w:rFonts w:ascii="宋体" w:hAnsi="宋体" w:cs="宋体"/>
          <w:color w:val="auto"/>
        </w:rPr>
      </w:pPr>
      <w:r>
        <w:rPr>
          <w:rFonts w:hint="eastAsia" w:ascii="宋体" w:hAnsi="宋体" w:cs="宋体"/>
          <w:color w:val="auto"/>
        </w:rPr>
        <w:t>35.3 两家以上（含两家）供应商响应文件相关内容的段落、字句、错别字等相同；</w:t>
      </w:r>
    </w:p>
    <w:p w14:paraId="6D52A8A9">
      <w:pPr>
        <w:widowControl/>
        <w:tabs>
          <w:tab w:val="left" w:pos="540"/>
        </w:tabs>
        <w:autoSpaceDE w:val="0"/>
        <w:autoSpaceDN w:val="0"/>
        <w:spacing w:line="360" w:lineRule="auto"/>
        <w:ind w:right="18"/>
        <w:textAlignment w:val="bottom"/>
        <w:rPr>
          <w:rFonts w:ascii="宋体" w:hAnsi="宋体" w:cs="宋体"/>
          <w:b/>
          <w:bCs/>
          <w:color w:val="auto"/>
        </w:rPr>
      </w:pPr>
      <w:r>
        <w:rPr>
          <w:rFonts w:hint="eastAsia" w:ascii="宋体" w:hAnsi="宋体" w:cs="宋体"/>
          <w:color w:val="auto"/>
        </w:rPr>
        <w:t>35.4 供应商串通的其他情形。</w:t>
      </w:r>
    </w:p>
    <w:p w14:paraId="12A49ED4">
      <w:pPr>
        <w:widowControl/>
        <w:tabs>
          <w:tab w:val="left" w:pos="540"/>
        </w:tabs>
        <w:autoSpaceDE w:val="0"/>
        <w:autoSpaceDN w:val="0"/>
        <w:spacing w:line="360" w:lineRule="auto"/>
        <w:ind w:right="18"/>
        <w:textAlignment w:val="bottom"/>
        <w:rPr>
          <w:rFonts w:ascii="宋体" w:hAnsi="宋体" w:cs="宋体"/>
          <w:color w:val="auto"/>
        </w:rPr>
      </w:pPr>
      <w:r>
        <w:rPr>
          <w:rFonts w:hint="eastAsia" w:ascii="宋体" w:hAnsi="宋体" w:cs="宋体"/>
          <w:b/>
          <w:bCs/>
          <w:color w:val="auto"/>
        </w:rPr>
        <w:t>36 其他要求</w:t>
      </w:r>
      <w:r>
        <w:rPr>
          <w:rFonts w:hint="eastAsia" w:ascii="宋体" w:hAnsi="宋体" w:cs="宋体"/>
          <w:color w:val="auto"/>
        </w:rPr>
        <w:t>：</w:t>
      </w:r>
    </w:p>
    <w:p w14:paraId="0CDE11D1">
      <w:pPr>
        <w:widowControl/>
        <w:tabs>
          <w:tab w:val="left" w:pos="540"/>
        </w:tabs>
        <w:autoSpaceDE w:val="0"/>
        <w:autoSpaceDN w:val="0"/>
        <w:spacing w:line="360" w:lineRule="auto"/>
        <w:ind w:right="18"/>
        <w:textAlignment w:val="bottom"/>
        <w:rPr>
          <w:rFonts w:ascii="宋体" w:hAnsi="宋体" w:cs="宋体"/>
          <w:color w:val="auto"/>
          <w:lang w:val="zh-CN"/>
        </w:rPr>
      </w:pPr>
      <w:r>
        <w:rPr>
          <w:rFonts w:hint="eastAsia" w:ascii="宋体" w:hAnsi="宋体" w:cs="宋体"/>
          <w:color w:val="auto"/>
        </w:rPr>
        <w:t xml:space="preserve">36.1   </w:t>
      </w:r>
      <w:r>
        <w:rPr>
          <w:rFonts w:hint="eastAsia" w:ascii="宋体" w:hAnsi="宋体" w:cs="宋体"/>
          <w:color w:val="auto"/>
          <w:lang w:val="zh-CN"/>
        </w:rPr>
        <w:t>供应商应对“货物需求及技术规格要求”的所有货物</w:t>
      </w:r>
      <w:r>
        <w:rPr>
          <w:rFonts w:hint="eastAsia" w:ascii="宋体" w:hAnsi="宋体" w:cs="宋体"/>
          <w:color w:val="auto"/>
        </w:rPr>
        <w:t>进行响应</w:t>
      </w:r>
      <w:r>
        <w:rPr>
          <w:rFonts w:hint="eastAsia" w:ascii="宋体" w:hAnsi="宋体" w:cs="宋体"/>
          <w:color w:val="auto"/>
          <w:lang w:val="zh-CN"/>
        </w:rPr>
        <w:t>，不可以只对其中的一种或几种。每种货物只允许有一个报价，任何有选择的报价将不予接受。</w:t>
      </w:r>
    </w:p>
    <w:p w14:paraId="4F350230">
      <w:pPr>
        <w:widowControl/>
        <w:tabs>
          <w:tab w:val="left" w:pos="540"/>
        </w:tabs>
        <w:autoSpaceDE w:val="0"/>
        <w:autoSpaceDN w:val="0"/>
        <w:spacing w:line="360" w:lineRule="auto"/>
        <w:ind w:right="18"/>
        <w:textAlignment w:val="bottom"/>
        <w:rPr>
          <w:rFonts w:ascii="宋体" w:hAnsi="宋体" w:cs="宋体"/>
          <w:color w:val="auto"/>
          <w:lang w:val="zh-CN"/>
        </w:rPr>
      </w:pPr>
      <w:r>
        <w:rPr>
          <w:rFonts w:hint="eastAsia" w:ascii="宋体" w:hAnsi="宋体" w:cs="宋体"/>
          <w:color w:val="auto"/>
        </w:rPr>
        <w:t xml:space="preserve">36.2   </w:t>
      </w:r>
      <w:r>
        <w:rPr>
          <w:rFonts w:hint="eastAsia" w:ascii="宋体" w:hAnsi="宋体" w:cs="宋体"/>
          <w:color w:val="auto"/>
          <w:lang w:val="zh-CN"/>
        </w:rPr>
        <w:t>如无特别说明，本次采购货物所要求的功能配置均为内置的标准（固定）配置，任何通过外接方式实现所要求的功能配置，均视为非实质性响应。</w:t>
      </w:r>
    </w:p>
    <w:p w14:paraId="3E7BA987">
      <w:pPr>
        <w:widowControl/>
        <w:tabs>
          <w:tab w:val="left" w:pos="540"/>
        </w:tabs>
        <w:autoSpaceDE w:val="0"/>
        <w:autoSpaceDN w:val="0"/>
        <w:spacing w:line="360" w:lineRule="auto"/>
        <w:ind w:right="18"/>
        <w:textAlignment w:val="bottom"/>
        <w:rPr>
          <w:rFonts w:ascii="宋体" w:hAnsi="宋体" w:cs="宋体"/>
          <w:color w:val="auto"/>
          <w:lang w:val="zh-CN"/>
        </w:rPr>
      </w:pPr>
      <w:r>
        <w:rPr>
          <w:rFonts w:hint="eastAsia" w:ascii="宋体" w:hAnsi="宋体" w:cs="宋体"/>
          <w:color w:val="auto"/>
        </w:rPr>
        <w:t xml:space="preserve">36.3   </w:t>
      </w:r>
      <w:r>
        <w:rPr>
          <w:rFonts w:hint="eastAsia" w:ascii="宋体" w:hAnsi="宋体" w:cs="宋体"/>
          <w:color w:val="auto"/>
          <w:lang w:val="zh-CN"/>
        </w:rPr>
        <w:t>《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w:t>
      </w:r>
      <w:r>
        <w:rPr>
          <w:rFonts w:hint="eastAsia" w:ascii="宋体" w:hAnsi="宋体" w:cs="宋体"/>
          <w:color w:val="auto"/>
        </w:rPr>
        <w:t>拟供</w:t>
      </w:r>
      <w:r>
        <w:rPr>
          <w:rFonts w:hint="eastAsia" w:ascii="宋体" w:hAnsi="宋体" w:cs="宋体"/>
          <w:color w:val="auto"/>
          <w:lang w:val="zh-CN"/>
        </w:rPr>
        <w:t>货物的配置、规格和技术参数指标等均应实质性不低于或者优于磋商文件的要求。</w:t>
      </w:r>
    </w:p>
    <w:p w14:paraId="38F56082">
      <w:pPr>
        <w:widowControl/>
        <w:tabs>
          <w:tab w:val="left" w:pos="540"/>
        </w:tabs>
        <w:autoSpaceDE w:val="0"/>
        <w:autoSpaceDN w:val="0"/>
        <w:spacing w:line="360" w:lineRule="auto"/>
        <w:ind w:right="18"/>
        <w:textAlignment w:val="bottom"/>
        <w:rPr>
          <w:rFonts w:ascii="Arial" w:hAnsi="Arial" w:cs="Arial"/>
          <w:b/>
          <w:bCs/>
          <w:color w:val="auto"/>
          <w:u w:val="single"/>
        </w:rPr>
      </w:pPr>
      <w:r>
        <w:rPr>
          <w:rFonts w:hint="eastAsia" w:ascii="Arial" w:hAnsi="Arial" w:cs="Arial"/>
          <w:b/>
          <w:bCs/>
          <w:color w:val="auto"/>
          <w:u w:val="single"/>
        </w:rPr>
        <w:t>36.2 根据《中华人民共和国政府采购法实施条例》</w:t>
      </w:r>
      <w:r>
        <w:rPr>
          <w:rFonts w:hint="eastAsia" w:ascii="宋体" w:hAnsi="宋体" w:cs="宋体"/>
          <w:b/>
          <w:bCs/>
          <w:color w:val="auto"/>
          <w:u w:val="single"/>
        </w:rPr>
        <w:t>采购人应当自政府采购合同签订之日起2个工作日内，将政府采购合同在省级以上人民政府财政部门指定的媒体上公告，但政府采购合同中涉及国家秘密、商业秘密的内容除外。如需要采购代理机构协助完成此项工作，采购人请在签订完合同后第一时间联系该项目负责人。</w:t>
      </w:r>
    </w:p>
    <w:p w14:paraId="2DE262C9">
      <w:pPr>
        <w:widowControl/>
        <w:tabs>
          <w:tab w:val="left" w:pos="540"/>
        </w:tabs>
        <w:autoSpaceDE w:val="0"/>
        <w:autoSpaceDN w:val="0"/>
        <w:spacing w:line="360" w:lineRule="auto"/>
        <w:ind w:right="18"/>
        <w:textAlignment w:val="bottom"/>
        <w:rPr>
          <w:rFonts w:ascii="宋体" w:hAnsi="宋体" w:cs="宋体"/>
          <w:color w:val="auto"/>
          <w:lang w:val="zh-CN"/>
        </w:rPr>
      </w:pPr>
    </w:p>
    <w:p w14:paraId="609874AC">
      <w:pPr>
        <w:widowControl/>
        <w:autoSpaceDE w:val="0"/>
        <w:autoSpaceDN w:val="0"/>
        <w:spacing w:line="360" w:lineRule="auto"/>
        <w:ind w:right="17"/>
        <w:jc w:val="center"/>
        <w:textAlignment w:val="bottom"/>
        <w:rPr>
          <w:rFonts w:ascii="宋体" w:hAnsi="宋体" w:cs="宋体"/>
          <w:b/>
          <w:bCs/>
          <w:color w:val="auto"/>
          <w:sz w:val="32"/>
          <w:szCs w:val="32"/>
        </w:rPr>
      </w:pPr>
      <w:r>
        <w:rPr>
          <w:rFonts w:hint="eastAsia" w:ascii="宋体" w:hAnsi="宋体" w:cs="宋体"/>
          <w:color w:val="auto"/>
        </w:rPr>
        <w:br w:type="page"/>
      </w:r>
      <w:bookmarkStart w:id="146" w:name="_Hlk35571580"/>
      <w:bookmarkStart w:id="147" w:name="_Hlk35571579"/>
      <w:bookmarkStart w:id="148" w:name="_Hlk35583059"/>
      <w:bookmarkStart w:id="149" w:name="_Hlk35583087"/>
      <w:bookmarkStart w:id="150" w:name="_Hlk35571581"/>
      <w:bookmarkStart w:id="151" w:name="_Hlk35583058"/>
      <w:bookmarkStart w:id="152" w:name="_Hlk35583089"/>
      <w:bookmarkStart w:id="153" w:name="_Hlk35583088"/>
      <w:bookmarkStart w:id="154" w:name="_Hlk35583060"/>
      <w:r>
        <w:rPr>
          <w:rFonts w:hint="eastAsia" w:ascii="宋体" w:hAnsi="宋体" w:cs="宋体"/>
          <w:b/>
          <w:bCs/>
          <w:color w:val="auto"/>
          <w:sz w:val="32"/>
          <w:szCs w:val="32"/>
        </w:rPr>
        <w:t xml:space="preserve">第三篇 </w:t>
      </w:r>
      <w:bookmarkEnd w:id="146"/>
      <w:bookmarkEnd w:id="147"/>
      <w:bookmarkEnd w:id="148"/>
      <w:bookmarkEnd w:id="149"/>
      <w:bookmarkEnd w:id="150"/>
      <w:bookmarkEnd w:id="151"/>
      <w:bookmarkEnd w:id="152"/>
      <w:bookmarkEnd w:id="153"/>
      <w:bookmarkEnd w:id="154"/>
      <w:r>
        <w:rPr>
          <w:rFonts w:hint="eastAsia" w:ascii="宋体" w:hAnsi="宋体" w:cs="宋体"/>
          <w:b/>
          <w:bCs/>
          <w:color w:val="auto"/>
          <w:sz w:val="32"/>
          <w:szCs w:val="32"/>
        </w:rPr>
        <w:t>响应资料表</w:t>
      </w:r>
    </w:p>
    <w:p w14:paraId="1925E0B7">
      <w:pPr>
        <w:widowControl/>
        <w:autoSpaceDE w:val="0"/>
        <w:autoSpaceDN w:val="0"/>
        <w:spacing w:line="360" w:lineRule="auto"/>
        <w:ind w:right="17" w:firstLine="420" w:firstLineChars="200"/>
        <w:textAlignment w:val="bottom"/>
        <w:rPr>
          <w:rFonts w:ascii="宋体" w:hAnsi="宋体" w:cs="宋体"/>
          <w:b/>
          <w:bCs/>
          <w:color w:val="auto"/>
          <w:sz w:val="24"/>
          <w:szCs w:val="24"/>
        </w:rPr>
      </w:pPr>
      <w:r>
        <w:rPr>
          <w:rFonts w:hint="eastAsia" w:ascii="宋体" w:hAnsi="宋体" w:cs="宋体"/>
          <w:color w:val="auto"/>
        </w:rPr>
        <w:t xml:space="preserve">本表关于要采购的货物的具体资料是对第二篇“供应商须知”的具体补充和修改，如有矛盾，应以本资料表为准。      </w:t>
      </w:r>
    </w:p>
    <w:tbl>
      <w:tblPr>
        <w:tblStyle w:val="15"/>
        <w:tblW w:w="91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5"/>
        <w:gridCol w:w="7655"/>
      </w:tblGrid>
      <w:tr w14:paraId="6DECC2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1445" w:type="dxa"/>
            <w:tcBorders>
              <w:top w:val="double" w:color="auto" w:sz="4" w:space="0"/>
            </w:tcBorders>
            <w:vAlign w:val="center"/>
          </w:tcPr>
          <w:p w14:paraId="6E1FA96C">
            <w:pPr>
              <w:spacing w:line="360" w:lineRule="auto"/>
              <w:jc w:val="center"/>
              <w:rPr>
                <w:rFonts w:ascii="宋体" w:hAnsi="宋体" w:cs="宋体"/>
                <w:b/>
                <w:bCs/>
                <w:color w:val="auto"/>
              </w:rPr>
            </w:pPr>
            <w:r>
              <w:rPr>
                <w:rFonts w:hint="eastAsia" w:ascii="宋体" w:hAnsi="宋体" w:cs="宋体"/>
                <w:b/>
                <w:bCs/>
                <w:color w:val="auto"/>
              </w:rPr>
              <w:t>条款号</w:t>
            </w:r>
          </w:p>
        </w:tc>
        <w:tc>
          <w:tcPr>
            <w:tcW w:w="7655" w:type="dxa"/>
            <w:tcBorders>
              <w:top w:val="double" w:color="auto" w:sz="4" w:space="0"/>
            </w:tcBorders>
            <w:vAlign w:val="center"/>
          </w:tcPr>
          <w:p w14:paraId="46906C6A">
            <w:pPr>
              <w:spacing w:line="360" w:lineRule="auto"/>
              <w:rPr>
                <w:rFonts w:ascii="宋体" w:hAnsi="宋体" w:cs="宋体"/>
                <w:b/>
                <w:bCs/>
                <w:color w:val="auto"/>
              </w:rPr>
            </w:pPr>
            <w:r>
              <w:rPr>
                <w:rFonts w:hint="eastAsia" w:ascii="宋体" w:hAnsi="宋体" w:cs="宋体"/>
                <w:b/>
                <w:bCs/>
                <w:color w:val="auto"/>
              </w:rPr>
              <w:t xml:space="preserve">                         内  容</w:t>
            </w:r>
          </w:p>
        </w:tc>
      </w:tr>
      <w:tr w14:paraId="0C7DB2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9100" w:type="dxa"/>
            <w:gridSpan w:val="2"/>
            <w:vAlign w:val="center"/>
          </w:tcPr>
          <w:p w14:paraId="140F6138">
            <w:pPr>
              <w:spacing w:line="360" w:lineRule="auto"/>
              <w:ind w:firstLine="4006" w:firstLineChars="1900"/>
              <w:rPr>
                <w:rFonts w:ascii="宋体" w:hAnsi="宋体" w:cs="宋体"/>
                <w:b/>
                <w:bCs/>
                <w:color w:val="auto"/>
              </w:rPr>
            </w:pPr>
            <w:r>
              <w:rPr>
                <w:rFonts w:hint="eastAsia" w:ascii="宋体" w:hAnsi="宋体" w:cs="宋体"/>
                <w:b/>
                <w:bCs/>
                <w:color w:val="auto"/>
              </w:rPr>
              <w:t>总  则</w:t>
            </w:r>
          </w:p>
        </w:tc>
      </w:tr>
      <w:tr w14:paraId="5CF508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14" w:hRule="atLeast"/>
          <w:jc w:val="center"/>
        </w:trPr>
        <w:tc>
          <w:tcPr>
            <w:tcW w:w="1445" w:type="dxa"/>
            <w:vAlign w:val="center"/>
          </w:tcPr>
          <w:p w14:paraId="57D00313">
            <w:pPr>
              <w:spacing w:line="360" w:lineRule="auto"/>
              <w:jc w:val="center"/>
              <w:rPr>
                <w:rFonts w:ascii="宋体" w:hAnsi="宋体" w:cs="宋体"/>
                <w:color w:val="auto"/>
              </w:rPr>
            </w:pPr>
            <w:r>
              <w:rPr>
                <w:rFonts w:hint="eastAsia" w:ascii="宋体" w:hAnsi="宋体" w:cs="宋体"/>
                <w:color w:val="auto"/>
              </w:rPr>
              <w:t>1</w:t>
            </w:r>
          </w:p>
        </w:tc>
        <w:tc>
          <w:tcPr>
            <w:tcW w:w="7655" w:type="dxa"/>
          </w:tcPr>
          <w:p w14:paraId="262A2DA7">
            <w:pPr>
              <w:spacing w:line="360" w:lineRule="auto"/>
              <w:rPr>
                <w:rFonts w:hint="eastAsia" w:ascii="Arial" w:hAnsi="宋体" w:cs="Arial"/>
                <w:color w:val="auto"/>
                <w:szCs w:val="21"/>
                <w:highlight w:val="none"/>
                <w:lang w:val="en-US" w:eastAsia="zh-CN"/>
              </w:rPr>
            </w:pPr>
            <w:r>
              <w:rPr>
                <w:rFonts w:hint="eastAsia" w:ascii="宋体" w:hAnsi="宋体" w:cs="宋体"/>
                <w:color w:val="auto"/>
              </w:rPr>
              <w:t>采购人名称：</w:t>
            </w:r>
            <w:r>
              <w:rPr>
                <w:rFonts w:hint="eastAsia" w:ascii="Arial" w:hAnsi="宋体" w:cs="Arial"/>
                <w:color w:val="auto"/>
                <w:szCs w:val="21"/>
                <w:highlight w:val="none"/>
                <w:lang w:val="en-US" w:eastAsia="zh-CN"/>
              </w:rPr>
              <w:t>扶余市消防救援大队</w:t>
            </w:r>
          </w:p>
          <w:p w14:paraId="26410BA7">
            <w:pPr>
              <w:spacing w:line="360" w:lineRule="auto"/>
              <w:rPr>
                <w:rFonts w:hint="eastAsia" w:ascii="Arial" w:hAnsi="宋体" w:cs="Arial"/>
                <w:color w:val="auto"/>
                <w:szCs w:val="21"/>
                <w:highlight w:val="none"/>
                <w:lang w:val="en-US" w:eastAsia="zh-CN"/>
              </w:rPr>
            </w:pPr>
            <w:r>
              <w:rPr>
                <w:rFonts w:hint="eastAsia" w:ascii="宋体" w:hAnsi="宋体" w:cs="宋体"/>
                <w:color w:val="auto"/>
              </w:rPr>
              <w:t>项目名称：</w:t>
            </w:r>
            <w:r>
              <w:rPr>
                <w:rFonts w:hint="eastAsia" w:ascii="Arial" w:hAnsi="宋体" w:cs="Arial"/>
                <w:color w:val="auto"/>
                <w:szCs w:val="21"/>
                <w:highlight w:val="none"/>
                <w:lang w:val="en-US" w:eastAsia="zh-CN"/>
              </w:rPr>
              <w:t>扶余市消防救援大队2025年2月-2026年1月食堂主副食采购及配送项目</w:t>
            </w:r>
          </w:p>
          <w:p w14:paraId="2E6EEB59">
            <w:pPr>
              <w:spacing w:line="360" w:lineRule="auto"/>
              <w:rPr>
                <w:rFonts w:hint="default" w:ascii="宋体" w:hAnsi="宋体" w:eastAsia="宋体" w:cs="宋体"/>
                <w:color w:val="auto"/>
                <w:lang w:val="en-US" w:eastAsia="zh-CN"/>
              </w:rPr>
            </w:pPr>
            <w:r>
              <w:rPr>
                <w:rFonts w:hint="eastAsia" w:ascii="宋体" w:hAnsi="宋体" w:cs="宋体"/>
                <w:color w:val="auto"/>
              </w:rPr>
              <w:t>项目编号：</w:t>
            </w:r>
            <w:r>
              <w:rPr>
                <w:rFonts w:hint="eastAsia" w:ascii="Arial" w:hAnsi="宋体" w:cs="Arial"/>
                <w:color w:val="auto"/>
                <w:szCs w:val="21"/>
                <w:highlight w:val="none"/>
              </w:rPr>
              <w:t>采购计划-[2025]-00003号-RHXMGL-2025003</w:t>
            </w:r>
          </w:p>
          <w:p w14:paraId="442552B0">
            <w:pPr>
              <w:spacing w:line="360" w:lineRule="auto"/>
              <w:rPr>
                <w:rFonts w:ascii="宋体" w:hAnsi="宋体" w:cs="宋体"/>
                <w:color w:val="auto"/>
              </w:rPr>
            </w:pPr>
            <w:r>
              <w:rPr>
                <w:rFonts w:hint="eastAsia" w:ascii="宋体" w:hAnsi="宋体" w:cs="宋体"/>
                <w:color w:val="auto"/>
              </w:rPr>
              <w:t>资金来源：</w:t>
            </w:r>
            <w:r>
              <w:rPr>
                <w:rFonts w:hint="eastAsia" w:ascii="Arial" w:hAnsi="宋体" w:cs="Arial"/>
                <w:color w:val="auto"/>
                <w:szCs w:val="21"/>
                <w:highlight w:val="none"/>
                <w:lang w:eastAsia="zh-CN"/>
              </w:rPr>
              <w:t>财政资金</w:t>
            </w:r>
          </w:p>
        </w:tc>
      </w:tr>
      <w:tr w14:paraId="12C25F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4" w:hRule="atLeast"/>
          <w:jc w:val="center"/>
        </w:trPr>
        <w:tc>
          <w:tcPr>
            <w:tcW w:w="1445" w:type="dxa"/>
            <w:vAlign w:val="center"/>
          </w:tcPr>
          <w:p w14:paraId="076E6F16">
            <w:pPr>
              <w:spacing w:line="360" w:lineRule="auto"/>
              <w:jc w:val="center"/>
              <w:rPr>
                <w:rFonts w:ascii="宋体" w:hAnsi="宋体" w:cs="宋体"/>
                <w:color w:val="auto"/>
              </w:rPr>
            </w:pPr>
            <w:r>
              <w:rPr>
                <w:rFonts w:hint="eastAsia" w:ascii="宋体" w:hAnsi="宋体" w:cs="宋体"/>
                <w:color w:val="auto"/>
              </w:rPr>
              <w:t>4</w:t>
            </w:r>
          </w:p>
        </w:tc>
        <w:tc>
          <w:tcPr>
            <w:tcW w:w="7655" w:type="dxa"/>
          </w:tcPr>
          <w:p w14:paraId="0B088913">
            <w:pPr>
              <w:widowControl/>
              <w:autoSpaceDE w:val="0"/>
              <w:autoSpaceDN w:val="0"/>
              <w:spacing w:line="360" w:lineRule="auto"/>
              <w:ind w:right="-20"/>
              <w:textAlignment w:val="bottom"/>
              <w:rPr>
                <w:rFonts w:ascii="宋体" w:hAnsi="宋体" w:cs="宋体"/>
                <w:color w:val="auto"/>
              </w:rPr>
            </w:pPr>
            <w:r>
              <w:rPr>
                <w:rFonts w:hint="eastAsia" w:ascii="宋体" w:hAnsi="宋体" w:cs="宋体"/>
                <w:color w:val="auto"/>
              </w:rPr>
              <w:t>采购代理机构机构名称，地址，电话，传真：</w:t>
            </w:r>
          </w:p>
          <w:p w14:paraId="0831C454">
            <w:pPr>
              <w:spacing w:line="360" w:lineRule="auto"/>
              <w:ind w:right="-36"/>
              <w:rPr>
                <w:rFonts w:hint="eastAsia" w:ascii="Arial" w:hAnsi="Arial" w:cs="Arial"/>
                <w:color w:val="auto"/>
                <w:highlight w:val="none"/>
                <w:lang w:eastAsia="zh-CN"/>
              </w:rPr>
            </w:pPr>
            <w:r>
              <w:rPr>
                <w:rFonts w:hint="eastAsia" w:ascii="宋体" w:hAnsi="宋体" w:cs="宋体"/>
                <w:color w:val="auto"/>
              </w:rPr>
              <w:t>采购代理机构机构名称：</w:t>
            </w:r>
            <w:r>
              <w:rPr>
                <w:rFonts w:hint="eastAsia" w:ascii="Arial" w:hAnsi="Arial" w:cs="Arial"/>
                <w:color w:val="auto"/>
                <w:highlight w:val="none"/>
                <w:lang w:val="en-US" w:eastAsia="zh-CN"/>
              </w:rPr>
              <w:t>吉林省融合项目管理咨询有限责任公司</w:t>
            </w:r>
          </w:p>
          <w:p w14:paraId="66D8A809">
            <w:pPr>
              <w:spacing w:line="360" w:lineRule="auto"/>
              <w:ind w:right="-36"/>
              <w:rPr>
                <w:rFonts w:ascii="Arial" w:hAnsi="Arial" w:cs="Arial"/>
                <w:color w:val="auto"/>
                <w:highlight w:val="none"/>
              </w:rPr>
            </w:pPr>
            <w:r>
              <w:rPr>
                <w:rFonts w:hint="eastAsia" w:ascii="Arial" w:hAnsi="Arial" w:cs="Arial"/>
                <w:color w:val="auto"/>
                <w:highlight w:val="none"/>
              </w:rPr>
              <w:t>地　址：</w:t>
            </w:r>
            <w:r>
              <w:rPr>
                <w:rFonts w:hint="eastAsia" w:ascii="Arial" w:hAnsi="Arial" w:cs="Arial"/>
                <w:color w:val="auto"/>
                <w:highlight w:val="none"/>
                <w:lang w:val="en-US" w:eastAsia="zh-CN"/>
              </w:rPr>
              <w:t>松原市经济技术开发区兴原街吉粮康郡1幢119</w:t>
            </w:r>
            <w:r>
              <w:rPr>
                <w:rFonts w:hint="eastAsia" w:ascii="Arial" w:hAnsi="Arial" w:cs="Arial"/>
                <w:color w:val="auto"/>
                <w:highlight w:val="none"/>
              </w:rPr>
              <w:t xml:space="preserve">                                                                             </w:t>
            </w:r>
          </w:p>
          <w:p w14:paraId="7D65E51B">
            <w:pPr>
              <w:spacing w:line="360" w:lineRule="auto"/>
              <w:ind w:right="-36"/>
              <w:rPr>
                <w:rFonts w:hint="eastAsia" w:ascii="Arial" w:hAnsi="Arial" w:eastAsia="宋体" w:cs="Arial"/>
                <w:color w:val="auto"/>
                <w:highlight w:val="none"/>
                <w:lang w:eastAsia="zh-CN"/>
              </w:rPr>
            </w:pPr>
            <w:r>
              <w:rPr>
                <w:rFonts w:ascii="Arial" w:hAnsi="Arial" w:cs="Arial"/>
                <w:color w:val="auto"/>
                <w:highlight w:val="none"/>
              </w:rPr>
              <w:t>邮编：</w:t>
            </w:r>
            <w:r>
              <w:rPr>
                <w:rFonts w:hint="eastAsia" w:ascii="Arial" w:hAnsi="Arial" w:cs="Arial"/>
                <w:color w:val="auto"/>
                <w:highlight w:val="none"/>
                <w:lang w:eastAsia="zh-CN"/>
              </w:rPr>
              <w:t>138000</w:t>
            </w:r>
          </w:p>
          <w:p w14:paraId="52958F87">
            <w:pPr>
              <w:spacing w:line="360" w:lineRule="auto"/>
              <w:ind w:right="-36"/>
              <w:rPr>
                <w:rFonts w:ascii="宋体" w:hAnsi="宋体" w:cs="宋体"/>
                <w:color w:val="auto"/>
              </w:rPr>
            </w:pPr>
            <w:r>
              <w:rPr>
                <w:rFonts w:ascii="Arial" w:hAnsi="Arial" w:cs="Arial"/>
                <w:color w:val="auto"/>
                <w:highlight w:val="none"/>
              </w:rPr>
              <w:t>电话：</w:t>
            </w:r>
            <w:r>
              <w:rPr>
                <w:rFonts w:hint="eastAsia" w:ascii="Arial" w:hAnsi="Arial" w:cs="Arial"/>
                <w:color w:val="auto"/>
                <w:highlight w:val="none"/>
                <w:lang w:val="en-US" w:eastAsia="zh-CN"/>
              </w:rPr>
              <w:t>15584565977</w:t>
            </w:r>
          </w:p>
        </w:tc>
      </w:tr>
      <w:tr w14:paraId="005ADC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48F2FDB5">
            <w:pPr>
              <w:spacing w:line="360" w:lineRule="auto"/>
              <w:jc w:val="center"/>
              <w:rPr>
                <w:rFonts w:ascii="宋体" w:hAnsi="宋体" w:cs="宋体"/>
                <w:b/>
                <w:bCs/>
                <w:color w:val="auto"/>
              </w:rPr>
            </w:pPr>
            <w:r>
              <w:rPr>
                <w:rFonts w:hint="eastAsia" w:ascii="宋体" w:hAnsi="宋体" w:cs="宋体"/>
                <w:b/>
                <w:bCs/>
                <w:color w:val="auto"/>
              </w:rPr>
              <w:t>响应文件的组成</w:t>
            </w:r>
          </w:p>
        </w:tc>
      </w:tr>
      <w:tr w14:paraId="6B7473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5" w:type="dxa"/>
            <w:vAlign w:val="center"/>
          </w:tcPr>
          <w:p w14:paraId="24529FFB">
            <w:pPr>
              <w:spacing w:line="360" w:lineRule="auto"/>
              <w:jc w:val="center"/>
              <w:rPr>
                <w:rFonts w:ascii="宋体" w:hAnsi="宋体" w:cs="宋体"/>
                <w:color w:val="auto"/>
              </w:rPr>
            </w:pPr>
            <w:r>
              <w:rPr>
                <w:rFonts w:hint="eastAsia" w:ascii="宋体" w:hAnsi="宋体" w:cs="宋体"/>
                <w:color w:val="auto"/>
              </w:rPr>
              <w:t>15</w:t>
            </w:r>
          </w:p>
        </w:tc>
        <w:tc>
          <w:tcPr>
            <w:tcW w:w="7655" w:type="dxa"/>
          </w:tcPr>
          <w:p w14:paraId="1B22B37F">
            <w:pPr>
              <w:widowControl/>
              <w:autoSpaceDE w:val="0"/>
              <w:autoSpaceDN w:val="0"/>
              <w:spacing w:line="360" w:lineRule="auto"/>
              <w:ind w:right="-3"/>
              <w:textAlignment w:val="bottom"/>
              <w:rPr>
                <w:rFonts w:ascii="宋体" w:hAnsi="宋体" w:cs="宋体"/>
                <w:color w:val="auto"/>
              </w:rPr>
            </w:pPr>
            <w:r>
              <w:rPr>
                <w:rFonts w:hint="eastAsia" w:ascii="宋体" w:hAnsi="宋体" w:cs="宋体"/>
                <w:color w:val="auto"/>
              </w:rPr>
              <w:t>磋商保证金金额：</w:t>
            </w:r>
            <w:r>
              <w:rPr>
                <w:rFonts w:hint="eastAsia" w:ascii="宋体" w:hAnsi="宋体" w:cs="宋体"/>
                <w:color w:val="auto"/>
                <w:lang w:val="en-US" w:eastAsia="zh-CN"/>
              </w:rPr>
              <w:t>/</w:t>
            </w:r>
          </w:p>
        </w:tc>
      </w:tr>
      <w:tr w14:paraId="1208F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1449AEE1">
            <w:pPr>
              <w:spacing w:line="360" w:lineRule="auto"/>
              <w:jc w:val="center"/>
              <w:rPr>
                <w:rFonts w:ascii="宋体" w:hAnsi="宋体" w:cs="宋体"/>
                <w:color w:val="auto"/>
              </w:rPr>
            </w:pPr>
            <w:r>
              <w:rPr>
                <w:rFonts w:hint="eastAsia" w:ascii="宋体" w:hAnsi="宋体" w:cs="宋体"/>
                <w:color w:val="auto"/>
              </w:rPr>
              <w:t>16.1</w:t>
            </w:r>
          </w:p>
        </w:tc>
        <w:tc>
          <w:tcPr>
            <w:tcW w:w="7655" w:type="dxa"/>
          </w:tcPr>
          <w:p w14:paraId="66D790ED">
            <w:pPr>
              <w:spacing w:line="360" w:lineRule="auto"/>
              <w:rPr>
                <w:rFonts w:ascii="宋体" w:hAnsi="宋体" w:cs="宋体"/>
                <w:color w:val="auto"/>
              </w:rPr>
            </w:pPr>
            <w:r>
              <w:rPr>
                <w:rFonts w:hint="eastAsia" w:ascii="宋体" w:hAnsi="宋体" w:cs="宋体"/>
                <w:color w:val="auto"/>
              </w:rPr>
              <w:t>响应文件有效期：自响应文件开启之日起 九十（90）天</w:t>
            </w:r>
          </w:p>
        </w:tc>
      </w:tr>
      <w:tr w14:paraId="06C82B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1A5238DB">
            <w:pPr>
              <w:spacing w:line="360" w:lineRule="auto"/>
              <w:jc w:val="center"/>
              <w:rPr>
                <w:rFonts w:ascii="宋体" w:hAnsi="宋体" w:cs="宋体"/>
                <w:color w:val="auto"/>
              </w:rPr>
            </w:pPr>
            <w:r>
              <w:rPr>
                <w:rFonts w:hint="eastAsia" w:ascii="宋体" w:hAnsi="宋体" w:cs="宋体"/>
                <w:color w:val="auto"/>
              </w:rPr>
              <w:t>17.2</w:t>
            </w:r>
          </w:p>
        </w:tc>
        <w:tc>
          <w:tcPr>
            <w:tcW w:w="7655" w:type="dxa"/>
          </w:tcPr>
          <w:p w14:paraId="60F70227">
            <w:pPr>
              <w:spacing w:line="360" w:lineRule="auto"/>
              <w:rPr>
                <w:rFonts w:hint="eastAsia" w:ascii="宋体" w:hAnsi="宋体" w:eastAsia="宋体" w:cs="宋体"/>
                <w:color w:val="auto"/>
                <w:lang w:val="en-US" w:eastAsia="zh-CN"/>
              </w:rPr>
            </w:pPr>
            <w:r>
              <w:rPr>
                <w:rFonts w:hint="eastAsia" w:ascii="宋体" w:hAnsi="宋体" w:cs="宋体"/>
                <w:color w:val="auto"/>
              </w:rPr>
              <w:t>响应文件份数：</w:t>
            </w:r>
            <w:r>
              <w:rPr>
                <w:rFonts w:hint="eastAsia" w:ascii="宋体" w:hAnsi="宋体" w:cs="宋体"/>
                <w:color w:val="auto"/>
                <w:lang w:val="en-US" w:eastAsia="zh-CN"/>
              </w:rPr>
              <w:t>/</w:t>
            </w:r>
          </w:p>
        </w:tc>
      </w:tr>
      <w:tr w14:paraId="17C815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2FA7543C">
            <w:pPr>
              <w:spacing w:line="360" w:lineRule="auto"/>
              <w:jc w:val="center"/>
              <w:rPr>
                <w:rFonts w:ascii="宋体" w:hAnsi="宋体" w:cs="宋体"/>
                <w:b/>
                <w:bCs/>
                <w:color w:val="auto"/>
              </w:rPr>
            </w:pPr>
            <w:r>
              <w:rPr>
                <w:rFonts w:hint="eastAsia" w:ascii="宋体" w:hAnsi="宋体" w:cs="宋体"/>
                <w:b/>
                <w:bCs/>
                <w:color w:val="auto"/>
              </w:rPr>
              <w:t>响应文件的递交</w:t>
            </w:r>
          </w:p>
        </w:tc>
      </w:tr>
      <w:tr w14:paraId="55DA52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45" w:type="dxa"/>
            <w:vAlign w:val="center"/>
          </w:tcPr>
          <w:p w14:paraId="38ACAF47">
            <w:pPr>
              <w:spacing w:line="360" w:lineRule="auto"/>
              <w:jc w:val="center"/>
              <w:rPr>
                <w:rFonts w:ascii="宋体" w:hAnsi="宋体" w:cs="宋体"/>
                <w:color w:val="auto"/>
              </w:rPr>
            </w:pPr>
            <w:r>
              <w:rPr>
                <w:rFonts w:hint="eastAsia" w:ascii="宋体" w:hAnsi="宋体" w:cs="宋体"/>
                <w:color w:val="auto"/>
              </w:rPr>
              <w:t>18.2</w:t>
            </w:r>
          </w:p>
        </w:tc>
        <w:tc>
          <w:tcPr>
            <w:tcW w:w="7655" w:type="dxa"/>
          </w:tcPr>
          <w:p w14:paraId="4D218A1E">
            <w:pPr>
              <w:widowControl/>
              <w:autoSpaceDE w:val="0"/>
              <w:autoSpaceDN w:val="0"/>
              <w:spacing w:line="360" w:lineRule="auto"/>
              <w:textAlignment w:val="bottom"/>
              <w:rPr>
                <w:rFonts w:ascii="宋体" w:hAnsi="宋体" w:cs="宋体"/>
                <w:color w:val="auto"/>
              </w:rPr>
            </w:pPr>
            <w:r>
              <w:rPr>
                <w:rFonts w:hint="eastAsia" w:ascii="宋体" w:hAnsi="宋体" w:cs="宋体"/>
                <w:color w:val="auto"/>
              </w:rPr>
              <w:t>响应文件将递交以下地址即响应文件开启地点：</w:t>
            </w:r>
            <w:r>
              <w:rPr>
                <w:rFonts w:hint="eastAsia" w:ascii="Arial" w:hAnsi="Arial" w:cs="Arial"/>
                <w:color w:val="auto"/>
                <w:highlight w:val="none"/>
                <w:lang w:val="en-US" w:eastAsia="zh-CN"/>
              </w:rPr>
              <w:t>网上递交。</w:t>
            </w:r>
          </w:p>
        </w:tc>
      </w:tr>
      <w:tr w14:paraId="5B7C7A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2E4785A5">
            <w:pPr>
              <w:spacing w:line="360" w:lineRule="auto"/>
              <w:jc w:val="center"/>
              <w:rPr>
                <w:rFonts w:ascii="宋体" w:hAnsi="宋体" w:cs="宋体"/>
                <w:color w:val="auto"/>
              </w:rPr>
            </w:pPr>
            <w:r>
              <w:rPr>
                <w:rFonts w:hint="eastAsia" w:ascii="宋体" w:hAnsi="宋体" w:cs="宋体"/>
                <w:color w:val="auto"/>
              </w:rPr>
              <w:t>19.1</w:t>
            </w:r>
          </w:p>
        </w:tc>
        <w:tc>
          <w:tcPr>
            <w:tcW w:w="7655" w:type="dxa"/>
            <w:vAlign w:val="center"/>
          </w:tcPr>
          <w:p w14:paraId="0C2CD1DE">
            <w:pPr>
              <w:widowControl/>
              <w:autoSpaceDE w:val="0"/>
              <w:autoSpaceDN w:val="0"/>
              <w:spacing w:line="360" w:lineRule="auto"/>
              <w:ind w:right="893"/>
              <w:textAlignment w:val="bottom"/>
              <w:rPr>
                <w:rFonts w:ascii="宋体" w:hAnsi="宋体" w:cs="宋体"/>
                <w:color w:val="auto"/>
              </w:rPr>
            </w:pPr>
            <w:r>
              <w:rPr>
                <w:rFonts w:hint="eastAsia" w:ascii="宋体" w:hAnsi="宋体" w:cs="宋体"/>
                <w:color w:val="auto"/>
              </w:rPr>
              <w:t>递交响应文件截止时间：202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3</w:t>
            </w:r>
            <w:r>
              <w:rPr>
                <w:rFonts w:hint="eastAsia" w:ascii="宋体" w:hAnsi="宋体" w:cs="宋体"/>
                <w:color w:val="auto"/>
              </w:rPr>
              <w:t>月</w:t>
            </w:r>
            <w:r>
              <w:rPr>
                <w:rFonts w:hint="eastAsia" w:ascii="宋体" w:hAnsi="宋体" w:cs="宋体"/>
                <w:color w:val="auto"/>
                <w:lang w:val="en-US" w:eastAsia="zh-CN"/>
              </w:rPr>
              <w:t>21</w:t>
            </w:r>
            <w:r>
              <w:rPr>
                <w:rFonts w:hint="eastAsia" w:ascii="宋体" w:hAnsi="宋体" w:cs="宋体"/>
                <w:color w:val="auto"/>
              </w:rPr>
              <w:t>日</w:t>
            </w:r>
            <w:r>
              <w:rPr>
                <w:rFonts w:hint="eastAsia" w:ascii="宋体" w:hAnsi="宋体" w:cs="宋体"/>
                <w:color w:val="auto"/>
                <w:lang w:val="en-US" w:eastAsia="zh-CN"/>
              </w:rPr>
              <w:t>9</w:t>
            </w:r>
            <w:bookmarkStart w:id="168" w:name="_GoBack"/>
            <w:bookmarkEnd w:id="168"/>
            <w:r>
              <w:rPr>
                <w:rFonts w:hint="eastAsia" w:ascii="宋体" w:hAnsi="宋体" w:cs="宋体"/>
                <w:color w:val="auto"/>
              </w:rPr>
              <w:t>时</w:t>
            </w:r>
            <w:r>
              <w:rPr>
                <w:rFonts w:hint="eastAsia" w:ascii="宋体" w:hAnsi="宋体" w:cs="宋体"/>
                <w:color w:val="auto"/>
                <w:lang w:val="en-US" w:eastAsia="zh-CN"/>
              </w:rPr>
              <w:t>00</w:t>
            </w:r>
            <w:r>
              <w:rPr>
                <w:rFonts w:hint="eastAsia" w:ascii="宋体" w:hAnsi="宋体" w:cs="宋体"/>
                <w:color w:val="auto"/>
              </w:rPr>
              <w:t>分前（北京时间）</w:t>
            </w:r>
          </w:p>
        </w:tc>
      </w:tr>
      <w:tr w14:paraId="4D2582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3B39919D">
            <w:pPr>
              <w:widowControl/>
              <w:autoSpaceDE w:val="0"/>
              <w:autoSpaceDN w:val="0"/>
              <w:spacing w:line="360" w:lineRule="auto"/>
              <w:ind w:right="893"/>
              <w:jc w:val="center"/>
              <w:textAlignment w:val="bottom"/>
              <w:rPr>
                <w:rFonts w:ascii="宋体" w:hAnsi="宋体" w:cs="宋体"/>
                <w:b/>
                <w:bCs/>
                <w:color w:val="auto"/>
              </w:rPr>
            </w:pPr>
            <w:r>
              <w:rPr>
                <w:rFonts w:hint="eastAsia" w:ascii="宋体" w:hAnsi="宋体" w:cs="宋体"/>
                <w:b/>
                <w:bCs/>
                <w:color w:val="auto"/>
              </w:rPr>
              <w:t>响应文件开启与评标</w:t>
            </w:r>
          </w:p>
        </w:tc>
      </w:tr>
      <w:tr w14:paraId="57BBDF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445" w:type="dxa"/>
            <w:vAlign w:val="center"/>
          </w:tcPr>
          <w:p w14:paraId="4867624A">
            <w:pPr>
              <w:spacing w:line="360" w:lineRule="auto"/>
              <w:jc w:val="center"/>
              <w:rPr>
                <w:rFonts w:ascii="宋体" w:hAnsi="宋体" w:cs="宋体"/>
                <w:color w:val="auto"/>
              </w:rPr>
            </w:pPr>
            <w:r>
              <w:rPr>
                <w:rFonts w:hint="eastAsia" w:ascii="宋体" w:hAnsi="宋体" w:cs="宋体"/>
                <w:color w:val="auto"/>
              </w:rPr>
              <w:t>22.1</w:t>
            </w:r>
          </w:p>
        </w:tc>
        <w:tc>
          <w:tcPr>
            <w:tcW w:w="7655" w:type="dxa"/>
            <w:vAlign w:val="center"/>
          </w:tcPr>
          <w:p w14:paraId="63324961">
            <w:pPr>
              <w:widowControl/>
              <w:autoSpaceDE w:val="0"/>
              <w:autoSpaceDN w:val="0"/>
              <w:spacing w:line="360" w:lineRule="auto"/>
              <w:ind w:right="-504"/>
              <w:textAlignment w:val="bottom"/>
              <w:rPr>
                <w:rFonts w:ascii="宋体" w:hAnsi="宋体" w:cs="宋体"/>
                <w:color w:val="auto"/>
              </w:rPr>
            </w:pPr>
            <w:r>
              <w:rPr>
                <w:rFonts w:hint="eastAsia" w:ascii="宋体" w:hAnsi="宋体" w:cs="宋体"/>
                <w:color w:val="auto"/>
              </w:rPr>
              <w:t>响应文件开启时间：202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3</w:t>
            </w:r>
            <w:r>
              <w:rPr>
                <w:rFonts w:hint="eastAsia" w:ascii="宋体" w:hAnsi="宋体" w:cs="宋体"/>
                <w:color w:val="auto"/>
              </w:rPr>
              <w:t>月</w:t>
            </w:r>
            <w:r>
              <w:rPr>
                <w:rFonts w:hint="eastAsia" w:ascii="宋体" w:hAnsi="宋体" w:cs="宋体"/>
                <w:color w:val="auto"/>
                <w:lang w:val="en-US" w:eastAsia="zh-CN"/>
              </w:rPr>
              <w:t>21</w:t>
            </w:r>
            <w:r>
              <w:rPr>
                <w:rFonts w:hint="eastAsia" w:ascii="宋体" w:hAnsi="宋体" w:cs="宋体"/>
                <w:color w:val="auto"/>
              </w:rPr>
              <w:t>日</w:t>
            </w:r>
            <w:r>
              <w:rPr>
                <w:rFonts w:hint="eastAsia" w:ascii="宋体" w:hAnsi="宋体" w:cs="宋体"/>
                <w:color w:val="auto"/>
                <w:lang w:val="en-US" w:eastAsia="zh-CN"/>
              </w:rPr>
              <w:t>9</w:t>
            </w:r>
            <w:r>
              <w:rPr>
                <w:rFonts w:hint="eastAsia" w:ascii="宋体" w:hAnsi="宋体" w:cs="宋体"/>
                <w:color w:val="auto"/>
              </w:rPr>
              <w:t>时</w:t>
            </w:r>
            <w:r>
              <w:rPr>
                <w:rFonts w:hint="eastAsia" w:ascii="宋体" w:hAnsi="宋体" w:cs="宋体"/>
                <w:color w:val="auto"/>
                <w:lang w:val="en-US" w:eastAsia="zh-CN"/>
              </w:rPr>
              <w:t>00</w:t>
            </w:r>
            <w:r>
              <w:rPr>
                <w:rFonts w:hint="eastAsia" w:ascii="宋体" w:hAnsi="宋体" w:cs="宋体"/>
                <w:color w:val="auto"/>
              </w:rPr>
              <w:t>分前（北京时间）</w:t>
            </w:r>
          </w:p>
          <w:p w14:paraId="2426E034">
            <w:pPr>
              <w:widowControl/>
              <w:autoSpaceDE w:val="0"/>
              <w:autoSpaceDN w:val="0"/>
              <w:spacing w:line="360" w:lineRule="auto"/>
              <w:ind w:right="-504"/>
              <w:textAlignment w:val="bottom"/>
              <w:rPr>
                <w:rFonts w:ascii="宋体" w:hAnsi="宋体" w:cs="宋体"/>
                <w:color w:val="auto"/>
              </w:rPr>
            </w:pPr>
            <w:r>
              <w:rPr>
                <w:rFonts w:hint="eastAsia" w:ascii="宋体" w:hAnsi="宋体" w:cs="宋体"/>
                <w:color w:val="auto"/>
              </w:rPr>
              <w:t>响应文件开启地点：</w:t>
            </w:r>
            <w:r>
              <w:rPr>
                <w:rFonts w:hint="eastAsia" w:ascii="宋体" w:hAnsi="宋体" w:cs="宋体"/>
                <w:color w:val="auto"/>
                <w:szCs w:val="21"/>
                <w:highlight w:val="none"/>
                <w:lang w:eastAsia="zh-CN"/>
              </w:rPr>
              <w:t>扶余市公共资源交易中心六楼开标二室（扶余市公安局镇郊派出所西侧、扶余市春华路社保家园小区）</w:t>
            </w:r>
          </w:p>
        </w:tc>
      </w:tr>
      <w:tr w14:paraId="266D95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9100" w:type="dxa"/>
            <w:gridSpan w:val="2"/>
            <w:vAlign w:val="center"/>
          </w:tcPr>
          <w:p w14:paraId="098B13A0">
            <w:pPr>
              <w:spacing w:line="360" w:lineRule="auto"/>
              <w:jc w:val="center"/>
              <w:rPr>
                <w:rFonts w:ascii="宋体" w:hAnsi="宋体" w:cs="宋体"/>
                <w:b/>
                <w:bCs/>
                <w:color w:val="auto"/>
              </w:rPr>
            </w:pPr>
            <w:r>
              <w:rPr>
                <w:rFonts w:hint="eastAsia" w:ascii="宋体" w:hAnsi="宋体" w:cs="宋体"/>
                <w:b/>
                <w:bCs/>
                <w:color w:val="auto"/>
              </w:rPr>
              <w:t>授予合同</w:t>
            </w:r>
          </w:p>
        </w:tc>
      </w:tr>
      <w:tr w14:paraId="35CE09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732E5C79">
            <w:pPr>
              <w:spacing w:line="360" w:lineRule="auto"/>
              <w:jc w:val="center"/>
              <w:rPr>
                <w:rFonts w:ascii="宋体" w:hAnsi="宋体" w:cs="宋体"/>
                <w:color w:val="auto"/>
              </w:rPr>
            </w:pPr>
            <w:r>
              <w:rPr>
                <w:rFonts w:hint="eastAsia" w:ascii="宋体" w:hAnsi="宋体" w:cs="宋体"/>
                <w:color w:val="auto"/>
              </w:rPr>
              <w:t>28.1</w:t>
            </w:r>
          </w:p>
        </w:tc>
        <w:tc>
          <w:tcPr>
            <w:tcW w:w="7655" w:type="dxa"/>
          </w:tcPr>
          <w:p w14:paraId="3AD0927F">
            <w:pPr>
              <w:spacing w:line="360" w:lineRule="auto"/>
              <w:rPr>
                <w:rFonts w:ascii="宋体" w:hAnsi="宋体" w:cs="宋体"/>
                <w:color w:val="auto"/>
              </w:rPr>
            </w:pPr>
            <w:r>
              <w:rPr>
                <w:rFonts w:hint="eastAsia" w:ascii="宋体" w:hAnsi="宋体" w:cs="宋体"/>
                <w:color w:val="auto"/>
              </w:rPr>
              <w:t>本项目采用综合评分法</w:t>
            </w:r>
          </w:p>
        </w:tc>
      </w:tr>
      <w:tr w14:paraId="5CEA1C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2" w:hRule="atLeast"/>
          <w:jc w:val="center"/>
        </w:trPr>
        <w:tc>
          <w:tcPr>
            <w:tcW w:w="1445" w:type="dxa"/>
            <w:vAlign w:val="center"/>
          </w:tcPr>
          <w:p w14:paraId="3397FC71">
            <w:pPr>
              <w:spacing w:line="360" w:lineRule="auto"/>
              <w:jc w:val="center"/>
              <w:rPr>
                <w:rFonts w:ascii="宋体" w:hAnsi="宋体" w:cs="宋体"/>
                <w:color w:val="auto"/>
              </w:rPr>
            </w:pPr>
            <w:r>
              <w:rPr>
                <w:rFonts w:hint="eastAsia" w:ascii="宋体" w:hAnsi="宋体" w:cs="宋体"/>
                <w:color w:val="auto"/>
              </w:rPr>
              <w:t>30.1</w:t>
            </w:r>
          </w:p>
        </w:tc>
        <w:tc>
          <w:tcPr>
            <w:tcW w:w="7655" w:type="dxa"/>
          </w:tcPr>
          <w:p w14:paraId="4678A697">
            <w:pPr>
              <w:spacing w:line="360" w:lineRule="auto"/>
              <w:rPr>
                <w:rFonts w:ascii="宋体" w:hAnsi="宋体" w:cs="宋体"/>
                <w:color w:val="auto"/>
              </w:rPr>
            </w:pPr>
            <w:r>
              <w:rPr>
                <w:rFonts w:hint="eastAsia" w:ascii="宋体" w:hAnsi="宋体" w:cs="宋体"/>
                <w:color w:val="auto"/>
              </w:rPr>
              <w:t>数量增减变更：10%。</w:t>
            </w:r>
          </w:p>
        </w:tc>
      </w:tr>
      <w:tr w14:paraId="55B60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 w:hRule="atLeast"/>
          <w:jc w:val="center"/>
        </w:trPr>
        <w:tc>
          <w:tcPr>
            <w:tcW w:w="1445" w:type="dxa"/>
            <w:tcBorders>
              <w:bottom w:val="double" w:color="auto" w:sz="4" w:space="0"/>
            </w:tcBorders>
            <w:vAlign w:val="center"/>
          </w:tcPr>
          <w:p w14:paraId="382AD351">
            <w:pPr>
              <w:spacing w:line="360" w:lineRule="auto"/>
              <w:jc w:val="center"/>
              <w:rPr>
                <w:rFonts w:ascii="宋体" w:hAnsi="宋体" w:cs="宋体"/>
                <w:color w:val="auto"/>
              </w:rPr>
            </w:pPr>
            <w:r>
              <w:rPr>
                <w:rFonts w:hint="eastAsia" w:ascii="宋体" w:hAnsi="宋体" w:cs="宋体"/>
                <w:color w:val="auto"/>
              </w:rPr>
              <w:t>32</w:t>
            </w:r>
          </w:p>
        </w:tc>
        <w:tc>
          <w:tcPr>
            <w:tcW w:w="7655" w:type="dxa"/>
            <w:tcBorders>
              <w:bottom w:val="double" w:color="auto" w:sz="4" w:space="0"/>
            </w:tcBorders>
          </w:tcPr>
          <w:p w14:paraId="64C37D2B">
            <w:pPr>
              <w:spacing w:line="360" w:lineRule="auto"/>
              <w:rPr>
                <w:rFonts w:ascii="宋体" w:hAnsi="宋体" w:cs="宋体"/>
                <w:color w:val="auto"/>
              </w:rPr>
            </w:pPr>
            <w:r>
              <w:rPr>
                <w:rFonts w:hint="eastAsia" w:ascii="宋体" w:hAnsi="宋体" w:cs="宋体"/>
                <w:color w:val="auto"/>
              </w:rPr>
              <w:t>采购人有权按照自行选择的方式签署合同</w:t>
            </w:r>
          </w:p>
        </w:tc>
      </w:tr>
    </w:tbl>
    <w:p w14:paraId="0BF618DA">
      <w:pPr>
        <w:spacing w:line="360" w:lineRule="auto"/>
        <w:jc w:val="both"/>
        <w:rPr>
          <w:rFonts w:ascii="宋体" w:hAnsi="宋体" w:cs="宋体"/>
          <w:b/>
          <w:bCs/>
          <w:color w:val="auto"/>
          <w:sz w:val="32"/>
          <w:szCs w:val="32"/>
        </w:rPr>
        <w:sectPr>
          <w:headerReference r:id="rId4" w:type="first"/>
          <w:footerReference r:id="rId6" w:type="first"/>
          <w:headerReference r:id="rId3" w:type="default"/>
          <w:footerReference r:id="rId5" w:type="default"/>
          <w:pgSz w:w="11907" w:h="16840"/>
          <w:pgMar w:top="1418" w:right="1134" w:bottom="1418" w:left="1531" w:header="851" w:footer="992" w:gutter="0"/>
          <w:cols w:space="720" w:num="1"/>
          <w:titlePg/>
          <w:docGrid w:linePitch="312" w:charSpace="0"/>
        </w:sectPr>
      </w:pPr>
      <w:r>
        <w:rPr>
          <w:rFonts w:hint="eastAsia" w:ascii="仿宋" w:hAnsi="仿宋" w:eastAsia="仿宋" w:cs="宋体"/>
          <w:b/>
          <w:bCs/>
          <w:i w:val="0"/>
          <w:iCs w:val="0"/>
          <w:color w:val="auto"/>
          <w:sz w:val="32"/>
          <w:szCs w:val="32"/>
          <w:highlight w:val="none"/>
          <w:u w:val="none"/>
          <w:lang w:val="en-US" w:eastAsia="zh-CN"/>
        </w:rPr>
        <w:t>注：如供应商开标时不能独立操作系统进行正常投标的，可于开标当日，开标截止时间前自行携带笔记本电脑等到扶余市公共资源交易中心六楼开标二室（扶余市公安局镇郊派出所西侧、扶余市春华路社保家园小区）。将有工作人员协助指导.</w:t>
      </w:r>
    </w:p>
    <w:p w14:paraId="3FA53FCD">
      <w:pPr>
        <w:numPr>
          <w:ilvl w:val="0"/>
          <w:numId w:val="0"/>
        </w:numPr>
        <w:spacing w:line="360" w:lineRule="auto"/>
        <w:ind w:left="840" w:leftChars="0" w:firstLine="1285" w:firstLineChars="400"/>
        <w:jc w:val="both"/>
        <w:rPr>
          <w:rFonts w:hint="eastAsia" w:ascii="Arial" w:hAnsi="Arial" w:cs="Arial"/>
          <w:b/>
          <w:color w:val="auto"/>
          <w:sz w:val="32"/>
          <w:szCs w:val="32"/>
          <w:highlight w:val="none"/>
        </w:rPr>
      </w:pPr>
      <w:bookmarkStart w:id="155" w:name="OLE_LINK8"/>
      <w:r>
        <w:rPr>
          <w:rFonts w:hint="eastAsia" w:ascii="Arial" w:hAnsi="Arial" w:cs="Arial"/>
          <w:b/>
          <w:color w:val="auto"/>
          <w:sz w:val="32"/>
          <w:szCs w:val="32"/>
          <w:highlight w:val="none"/>
          <w:lang w:val="en-US" w:eastAsia="zh-CN"/>
        </w:rPr>
        <w:t>第四篇</w:t>
      </w:r>
      <w:r>
        <w:rPr>
          <w:rFonts w:ascii="Arial" w:hAnsi="Arial" w:cs="Arial"/>
          <w:b/>
          <w:color w:val="auto"/>
          <w:sz w:val="32"/>
          <w:szCs w:val="32"/>
          <w:highlight w:val="none"/>
        </w:rPr>
        <w:t xml:space="preserve"> 合同通用条款</w:t>
      </w:r>
      <w:r>
        <w:rPr>
          <w:rFonts w:hint="eastAsia" w:ascii="Arial" w:hAnsi="Arial" w:cs="Arial"/>
          <w:b/>
          <w:color w:val="auto"/>
          <w:sz w:val="32"/>
          <w:szCs w:val="32"/>
          <w:highlight w:val="none"/>
        </w:rPr>
        <w:t>（</w:t>
      </w:r>
      <w:r>
        <w:rPr>
          <w:rFonts w:hint="eastAsia" w:ascii="Arial" w:hAnsi="Arial" w:cs="Arial"/>
          <w:b/>
          <w:color w:val="auto"/>
          <w:sz w:val="32"/>
          <w:szCs w:val="32"/>
          <w:highlight w:val="none"/>
          <w:lang w:eastAsia="zh-CN"/>
        </w:rPr>
        <w:t>以实际签订为准</w:t>
      </w:r>
      <w:r>
        <w:rPr>
          <w:rFonts w:hint="eastAsia" w:ascii="Arial" w:hAnsi="Arial" w:cs="Arial"/>
          <w:b/>
          <w:color w:val="auto"/>
          <w:sz w:val="32"/>
          <w:szCs w:val="32"/>
          <w:highlight w:val="none"/>
        </w:rPr>
        <w:t>）</w:t>
      </w:r>
    </w:p>
    <w:p w14:paraId="26DF29EA">
      <w:pPr>
        <w:spacing w:line="360" w:lineRule="auto"/>
        <w:jc w:val="center"/>
        <w:rPr>
          <w:rFonts w:ascii="宋体" w:hAnsi="宋体" w:cs="宋体"/>
          <w:b/>
          <w:bCs/>
          <w:color w:val="auto"/>
          <w:sz w:val="32"/>
          <w:szCs w:val="32"/>
        </w:rPr>
      </w:pPr>
    </w:p>
    <w:p w14:paraId="6D457F81">
      <w:pPr>
        <w:pStyle w:val="5"/>
        <w:rPr>
          <w:rFonts w:ascii="宋体" w:hAnsi="宋体" w:cs="宋体"/>
          <w:b/>
          <w:bCs/>
          <w:color w:val="auto"/>
          <w:sz w:val="32"/>
          <w:szCs w:val="32"/>
        </w:rPr>
      </w:pPr>
    </w:p>
    <w:p w14:paraId="7723DC3C">
      <w:pPr>
        <w:rPr>
          <w:rFonts w:ascii="宋体" w:hAnsi="宋体" w:cs="宋体"/>
          <w:b/>
          <w:bCs/>
          <w:color w:val="auto"/>
          <w:sz w:val="32"/>
          <w:szCs w:val="32"/>
        </w:rPr>
      </w:pPr>
    </w:p>
    <w:p w14:paraId="67291F59">
      <w:pPr>
        <w:pStyle w:val="5"/>
        <w:rPr>
          <w:rFonts w:ascii="宋体" w:hAnsi="宋体" w:cs="宋体"/>
          <w:b/>
          <w:bCs/>
          <w:color w:val="auto"/>
          <w:sz w:val="32"/>
          <w:szCs w:val="32"/>
        </w:rPr>
      </w:pPr>
    </w:p>
    <w:p w14:paraId="35DB6184">
      <w:pPr>
        <w:rPr>
          <w:rFonts w:ascii="宋体" w:hAnsi="宋体" w:cs="宋体"/>
          <w:b/>
          <w:bCs/>
          <w:color w:val="auto"/>
          <w:sz w:val="32"/>
          <w:szCs w:val="32"/>
        </w:rPr>
      </w:pPr>
    </w:p>
    <w:p w14:paraId="27999AA5">
      <w:pPr>
        <w:pStyle w:val="5"/>
        <w:rPr>
          <w:rFonts w:ascii="宋体" w:hAnsi="宋体" w:cs="宋体"/>
          <w:b/>
          <w:bCs/>
          <w:color w:val="auto"/>
          <w:sz w:val="32"/>
          <w:szCs w:val="32"/>
        </w:rPr>
      </w:pPr>
    </w:p>
    <w:p w14:paraId="5F0E6B25">
      <w:pPr>
        <w:rPr>
          <w:rFonts w:ascii="宋体" w:hAnsi="宋体" w:cs="宋体"/>
          <w:b/>
          <w:bCs/>
          <w:color w:val="auto"/>
          <w:sz w:val="32"/>
          <w:szCs w:val="32"/>
        </w:rPr>
      </w:pPr>
    </w:p>
    <w:p w14:paraId="3441B4DF">
      <w:pPr>
        <w:pStyle w:val="5"/>
        <w:rPr>
          <w:rFonts w:ascii="宋体" w:hAnsi="宋体" w:cs="宋体"/>
          <w:b/>
          <w:bCs/>
          <w:color w:val="auto"/>
          <w:sz w:val="32"/>
          <w:szCs w:val="32"/>
        </w:rPr>
      </w:pPr>
    </w:p>
    <w:p w14:paraId="403D5BFB">
      <w:pPr>
        <w:rPr>
          <w:rFonts w:ascii="宋体" w:hAnsi="宋体" w:cs="宋体"/>
          <w:b/>
          <w:bCs/>
          <w:color w:val="auto"/>
          <w:sz w:val="32"/>
          <w:szCs w:val="32"/>
        </w:rPr>
      </w:pPr>
    </w:p>
    <w:p w14:paraId="1208B847">
      <w:pPr>
        <w:pStyle w:val="5"/>
        <w:rPr>
          <w:rFonts w:ascii="宋体" w:hAnsi="宋体" w:cs="宋体"/>
          <w:b/>
          <w:bCs/>
          <w:color w:val="auto"/>
          <w:sz w:val="32"/>
          <w:szCs w:val="32"/>
        </w:rPr>
      </w:pPr>
    </w:p>
    <w:p w14:paraId="78F3B62C">
      <w:pPr>
        <w:rPr>
          <w:rFonts w:ascii="宋体" w:hAnsi="宋体" w:cs="宋体"/>
          <w:b/>
          <w:bCs/>
          <w:color w:val="auto"/>
          <w:sz w:val="32"/>
          <w:szCs w:val="32"/>
        </w:rPr>
      </w:pPr>
    </w:p>
    <w:p w14:paraId="2BC590EE">
      <w:pPr>
        <w:pStyle w:val="5"/>
        <w:rPr>
          <w:rFonts w:ascii="宋体" w:hAnsi="宋体" w:cs="宋体"/>
          <w:b/>
          <w:bCs/>
          <w:color w:val="auto"/>
          <w:sz w:val="32"/>
          <w:szCs w:val="32"/>
        </w:rPr>
      </w:pPr>
    </w:p>
    <w:p w14:paraId="0A7FAA50">
      <w:pPr>
        <w:rPr>
          <w:rFonts w:ascii="宋体" w:hAnsi="宋体" w:cs="宋体"/>
          <w:b/>
          <w:bCs/>
          <w:color w:val="auto"/>
          <w:sz w:val="32"/>
          <w:szCs w:val="32"/>
        </w:rPr>
      </w:pPr>
    </w:p>
    <w:p w14:paraId="231A148D">
      <w:pPr>
        <w:pStyle w:val="5"/>
        <w:rPr>
          <w:rFonts w:ascii="宋体" w:hAnsi="宋体" w:cs="宋体"/>
          <w:b/>
          <w:bCs/>
          <w:color w:val="auto"/>
          <w:sz w:val="32"/>
          <w:szCs w:val="32"/>
        </w:rPr>
      </w:pPr>
    </w:p>
    <w:p w14:paraId="780F6CAC">
      <w:pPr>
        <w:rPr>
          <w:rFonts w:ascii="宋体" w:hAnsi="宋体" w:cs="宋体"/>
          <w:b/>
          <w:bCs/>
          <w:color w:val="auto"/>
          <w:sz w:val="32"/>
          <w:szCs w:val="32"/>
        </w:rPr>
      </w:pPr>
    </w:p>
    <w:p w14:paraId="6E460ED3">
      <w:pPr>
        <w:pStyle w:val="5"/>
        <w:rPr>
          <w:rFonts w:ascii="宋体" w:hAnsi="宋体" w:cs="宋体"/>
          <w:b/>
          <w:bCs/>
          <w:color w:val="auto"/>
          <w:sz w:val="32"/>
          <w:szCs w:val="32"/>
        </w:rPr>
      </w:pPr>
    </w:p>
    <w:p w14:paraId="7C881434">
      <w:pPr>
        <w:rPr>
          <w:rFonts w:ascii="宋体" w:hAnsi="宋体" w:cs="宋体"/>
          <w:b/>
          <w:bCs/>
          <w:color w:val="auto"/>
          <w:sz w:val="32"/>
          <w:szCs w:val="32"/>
        </w:rPr>
      </w:pPr>
    </w:p>
    <w:p w14:paraId="120D2D50">
      <w:pPr>
        <w:pStyle w:val="5"/>
        <w:rPr>
          <w:rFonts w:ascii="宋体" w:hAnsi="宋体" w:cs="宋体"/>
          <w:b/>
          <w:bCs/>
          <w:color w:val="auto"/>
          <w:sz w:val="32"/>
          <w:szCs w:val="32"/>
        </w:rPr>
      </w:pPr>
    </w:p>
    <w:p w14:paraId="18C8E98C">
      <w:pPr>
        <w:rPr>
          <w:rFonts w:ascii="宋体" w:hAnsi="宋体" w:cs="宋体"/>
          <w:b/>
          <w:bCs/>
          <w:color w:val="auto"/>
          <w:sz w:val="32"/>
          <w:szCs w:val="32"/>
        </w:rPr>
      </w:pPr>
    </w:p>
    <w:p w14:paraId="7775C5B8">
      <w:pPr>
        <w:pStyle w:val="5"/>
        <w:rPr>
          <w:rFonts w:ascii="宋体" w:hAnsi="宋体" w:cs="宋体"/>
          <w:b/>
          <w:bCs/>
          <w:color w:val="auto"/>
          <w:sz w:val="32"/>
          <w:szCs w:val="32"/>
        </w:rPr>
      </w:pPr>
    </w:p>
    <w:p w14:paraId="3083A7B1">
      <w:pPr>
        <w:rPr>
          <w:rFonts w:ascii="宋体" w:hAnsi="宋体" w:cs="宋体"/>
          <w:b/>
          <w:bCs/>
          <w:color w:val="auto"/>
          <w:sz w:val="32"/>
          <w:szCs w:val="32"/>
        </w:rPr>
      </w:pPr>
    </w:p>
    <w:p w14:paraId="1159C125">
      <w:pPr>
        <w:pStyle w:val="5"/>
        <w:rPr>
          <w:rFonts w:ascii="宋体" w:hAnsi="宋体" w:cs="宋体"/>
          <w:b/>
          <w:bCs/>
          <w:color w:val="auto"/>
          <w:sz w:val="32"/>
          <w:szCs w:val="32"/>
        </w:rPr>
      </w:pPr>
    </w:p>
    <w:p w14:paraId="3D216F42">
      <w:pPr>
        <w:rPr>
          <w:rFonts w:ascii="宋体" w:hAnsi="宋体" w:cs="宋体"/>
          <w:b/>
          <w:bCs/>
          <w:color w:val="auto"/>
          <w:sz w:val="32"/>
          <w:szCs w:val="32"/>
        </w:rPr>
      </w:pPr>
    </w:p>
    <w:p w14:paraId="5AE80415">
      <w:pPr>
        <w:pStyle w:val="5"/>
        <w:rPr>
          <w:rFonts w:ascii="宋体" w:hAnsi="宋体" w:cs="宋体"/>
          <w:b/>
          <w:bCs/>
          <w:color w:val="auto"/>
          <w:sz w:val="32"/>
          <w:szCs w:val="32"/>
        </w:rPr>
      </w:pPr>
    </w:p>
    <w:p w14:paraId="5F7238CC">
      <w:pPr>
        <w:rPr>
          <w:rFonts w:ascii="宋体" w:hAnsi="宋体" w:cs="宋体"/>
          <w:b/>
          <w:bCs/>
          <w:color w:val="auto"/>
          <w:sz w:val="32"/>
          <w:szCs w:val="32"/>
        </w:rPr>
      </w:pPr>
    </w:p>
    <w:p w14:paraId="0278221C">
      <w:pPr>
        <w:pStyle w:val="5"/>
        <w:rPr>
          <w:rFonts w:ascii="宋体" w:hAnsi="宋体" w:cs="宋体"/>
          <w:b/>
          <w:bCs/>
          <w:color w:val="auto"/>
          <w:sz w:val="32"/>
          <w:szCs w:val="32"/>
        </w:rPr>
      </w:pPr>
    </w:p>
    <w:p w14:paraId="36936131">
      <w:pPr>
        <w:rPr>
          <w:rFonts w:ascii="宋体" w:hAnsi="宋体" w:cs="宋体"/>
          <w:b/>
          <w:bCs/>
          <w:color w:val="auto"/>
          <w:sz w:val="32"/>
          <w:szCs w:val="32"/>
        </w:rPr>
      </w:pPr>
    </w:p>
    <w:p w14:paraId="2D931CDD">
      <w:pPr>
        <w:pStyle w:val="5"/>
        <w:rPr>
          <w:rFonts w:ascii="宋体" w:hAnsi="宋体" w:cs="宋体"/>
          <w:b/>
          <w:bCs/>
          <w:color w:val="auto"/>
          <w:sz w:val="32"/>
          <w:szCs w:val="32"/>
        </w:rPr>
      </w:pPr>
    </w:p>
    <w:p w14:paraId="5842839E">
      <w:pPr>
        <w:rPr>
          <w:rFonts w:ascii="宋体" w:hAnsi="宋体" w:cs="宋体"/>
          <w:b/>
          <w:bCs/>
          <w:color w:val="auto"/>
          <w:sz w:val="32"/>
          <w:szCs w:val="32"/>
        </w:rPr>
      </w:pPr>
    </w:p>
    <w:p w14:paraId="03F07867">
      <w:pPr>
        <w:pStyle w:val="5"/>
        <w:rPr>
          <w:rFonts w:ascii="宋体" w:hAnsi="宋体" w:cs="宋体"/>
          <w:b/>
          <w:bCs/>
          <w:color w:val="auto"/>
          <w:sz w:val="32"/>
          <w:szCs w:val="32"/>
        </w:rPr>
      </w:pPr>
    </w:p>
    <w:p w14:paraId="1510DCA6">
      <w:pPr>
        <w:rPr>
          <w:rFonts w:ascii="宋体" w:hAnsi="宋体" w:cs="宋体"/>
          <w:b/>
          <w:bCs/>
          <w:color w:val="auto"/>
          <w:sz w:val="32"/>
          <w:szCs w:val="32"/>
        </w:rPr>
      </w:pPr>
    </w:p>
    <w:p w14:paraId="5C35C605">
      <w:pPr>
        <w:pStyle w:val="5"/>
        <w:rPr>
          <w:color w:val="auto"/>
        </w:rPr>
      </w:pPr>
    </w:p>
    <w:bookmarkEnd w:id="155"/>
    <w:p w14:paraId="3EA80937">
      <w:pPr>
        <w:spacing w:line="360" w:lineRule="auto"/>
        <w:ind w:left="1606" w:hanging="1606" w:hangingChars="500"/>
        <w:jc w:val="center"/>
        <w:rPr>
          <w:rFonts w:ascii="宋体" w:hAnsi="宋体" w:cs="宋体"/>
          <w:b/>
          <w:bCs/>
          <w:color w:val="auto"/>
          <w:sz w:val="32"/>
          <w:szCs w:val="32"/>
        </w:rPr>
      </w:pPr>
      <w:bookmarkStart w:id="156" w:name="_Hlk36522668"/>
      <w:bookmarkStart w:id="157" w:name="_Hlk35571869"/>
      <w:bookmarkStart w:id="158" w:name="_Hlk35571870"/>
      <w:bookmarkStart w:id="159" w:name="_Hlk35571871"/>
      <w:bookmarkStart w:id="160" w:name="_Hlk36522670"/>
      <w:bookmarkStart w:id="161" w:name="_Hlk36522669"/>
      <w:r>
        <w:rPr>
          <w:rFonts w:hint="eastAsia" w:ascii="宋体" w:hAnsi="宋体" w:cs="宋体"/>
          <w:b/>
          <w:bCs/>
          <w:color w:val="auto"/>
          <w:sz w:val="32"/>
          <w:szCs w:val="32"/>
        </w:rPr>
        <w:t>第</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 xml:space="preserve">篇  </w:t>
      </w:r>
      <w:r>
        <w:rPr>
          <w:rFonts w:ascii="Arial" w:hAnsi="Arial" w:cs="Arial"/>
          <w:b/>
          <w:color w:val="auto"/>
          <w:sz w:val="32"/>
          <w:szCs w:val="32"/>
          <w:highlight w:val="none"/>
        </w:rPr>
        <w:t>合同条款响应一览表</w:t>
      </w:r>
      <w:r>
        <w:rPr>
          <w:rFonts w:hint="eastAsia" w:ascii="Arial" w:hAnsi="Arial" w:cs="Arial"/>
          <w:b/>
          <w:color w:val="auto"/>
          <w:sz w:val="32"/>
          <w:szCs w:val="32"/>
          <w:highlight w:val="none"/>
        </w:rPr>
        <w:t>（</w:t>
      </w:r>
      <w:r>
        <w:rPr>
          <w:rFonts w:hint="eastAsia" w:ascii="Arial" w:hAnsi="Arial" w:cs="Arial"/>
          <w:b/>
          <w:color w:val="auto"/>
          <w:sz w:val="32"/>
          <w:szCs w:val="32"/>
          <w:highlight w:val="none"/>
          <w:lang w:eastAsia="zh-CN"/>
        </w:rPr>
        <w:t>以实际签订为准</w:t>
      </w:r>
      <w:r>
        <w:rPr>
          <w:rFonts w:hint="eastAsia" w:ascii="Arial" w:hAnsi="Arial" w:cs="Arial"/>
          <w:b/>
          <w:color w:val="auto"/>
          <w:sz w:val="32"/>
          <w:szCs w:val="32"/>
          <w:highlight w:val="none"/>
        </w:rPr>
        <w:t>）</w:t>
      </w:r>
    </w:p>
    <w:bookmarkEnd w:id="156"/>
    <w:bookmarkEnd w:id="157"/>
    <w:bookmarkEnd w:id="158"/>
    <w:bookmarkEnd w:id="159"/>
    <w:bookmarkEnd w:id="160"/>
    <w:bookmarkEnd w:id="161"/>
    <w:p w14:paraId="32949932">
      <w:pPr>
        <w:spacing w:line="360" w:lineRule="auto"/>
        <w:jc w:val="center"/>
        <w:rPr>
          <w:rFonts w:ascii="Arial" w:hAnsi="Arial" w:cs="Arial"/>
          <w:b/>
          <w:color w:val="auto"/>
          <w:sz w:val="32"/>
          <w:szCs w:val="32"/>
          <w:highlight w:val="none"/>
        </w:rPr>
      </w:pPr>
    </w:p>
    <w:p w14:paraId="47BE4546">
      <w:pPr>
        <w:spacing w:line="360" w:lineRule="auto"/>
        <w:jc w:val="center"/>
        <w:rPr>
          <w:rFonts w:ascii="Arial" w:hAnsi="Arial" w:cs="Arial"/>
          <w:b/>
          <w:color w:val="auto"/>
          <w:sz w:val="32"/>
          <w:szCs w:val="32"/>
          <w:highlight w:val="none"/>
        </w:rPr>
      </w:pPr>
    </w:p>
    <w:p w14:paraId="7E57C6EE">
      <w:pPr>
        <w:spacing w:line="360" w:lineRule="auto"/>
        <w:jc w:val="center"/>
        <w:rPr>
          <w:rFonts w:ascii="Arial" w:hAnsi="Arial" w:cs="Arial"/>
          <w:b/>
          <w:color w:val="auto"/>
          <w:sz w:val="32"/>
          <w:szCs w:val="32"/>
          <w:highlight w:val="none"/>
        </w:rPr>
      </w:pPr>
    </w:p>
    <w:p w14:paraId="703E8713">
      <w:pPr>
        <w:spacing w:line="360" w:lineRule="auto"/>
        <w:jc w:val="center"/>
        <w:rPr>
          <w:rFonts w:ascii="Arial" w:hAnsi="Arial" w:cs="Arial"/>
          <w:b/>
          <w:color w:val="auto"/>
          <w:sz w:val="32"/>
          <w:szCs w:val="32"/>
          <w:highlight w:val="none"/>
        </w:rPr>
      </w:pPr>
    </w:p>
    <w:p w14:paraId="25835B70">
      <w:pPr>
        <w:spacing w:line="360" w:lineRule="auto"/>
        <w:jc w:val="center"/>
        <w:rPr>
          <w:rFonts w:ascii="Arial" w:hAnsi="Arial" w:cs="Arial"/>
          <w:b/>
          <w:color w:val="auto"/>
          <w:sz w:val="32"/>
          <w:szCs w:val="32"/>
          <w:highlight w:val="none"/>
        </w:rPr>
      </w:pPr>
    </w:p>
    <w:p w14:paraId="64C6134B">
      <w:pPr>
        <w:spacing w:line="360" w:lineRule="auto"/>
        <w:jc w:val="center"/>
        <w:rPr>
          <w:rFonts w:ascii="Arial" w:hAnsi="Arial" w:cs="Arial"/>
          <w:b/>
          <w:color w:val="auto"/>
          <w:sz w:val="32"/>
          <w:szCs w:val="32"/>
          <w:highlight w:val="none"/>
        </w:rPr>
      </w:pPr>
    </w:p>
    <w:p w14:paraId="288F8944">
      <w:pPr>
        <w:spacing w:line="360" w:lineRule="auto"/>
        <w:jc w:val="center"/>
        <w:rPr>
          <w:rFonts w:ascii="Arial" w:hAnsi="Arial" w:cs="Arial"/>
          <w:b/>
          <w:color w:val="auto"/>
          <w:sz w:val="32"/>
          <w:szCs w:val="32"/>
          <w:highlight w:val="none"/>
        </w:rPr>
      </w:pPr>
    </w:p>
    <w:p w14:paraId="7BA9AEDB">
      <w:pPr>
        <w:spacing w:line="360" w:lineRule="auto"/>
        <w:jc w:val="center"/>
        <w:rPr>
          <w:rFonts w:ascii="Arial" w:hAnsi="Arial" w:cs="Arial"/>
          <w:b/>
          <w:color w:val="auto"/>
          <w:sz w:val="32"/>
          <w:szCs w:val="32"/>
          <w:highlight w:val="none"/>
        </w:rPr>
      </w:pPr>
    </w:p>
    <w:p w14:paraId="4ECC84BD">
      <w:pPr>
        <w:spacing w:line="360" w:lineRule="auto"/>
        <w:jc w:val="center"/>
        <w:rPr>
          <w:rFonts w:ascii="Arial" w:hAnsi="Arial" w:cs="Arial"/>
          <w:b/>
          <w:color w:val="auto"/>
          <w:sz w:val="32"/>
          <w:szCs w:val="32"/>
          <w:highlight w:val="none"/>
        </w:rPr>
      </w:pPr>
    </w:p>
    <w:p w14:paraId="6D9E3336">
      <w:pPr>
        <w:spacing w:line="360" w:lineRule="auto"/>
        <w:jc w:val="center"/>
        <w:rPr>
          <w:rFonts w:ascii="Arial" w:hAnsi="Arial" w:cs="Arial"/>
          <w:b/>
          <w:color w:val="auto"/>
          <w:sz w:val="32"/>
          <w:szCs w:val="32"/>
          <w:highlight w:val="none"/>
        </w:rPr>
      </w:pPr>
    </w:p>
    <w:p w14:paraId="146A4211">
      <w:pPr>
        <w:spacing w:line="360" w:lineRule="auto"/>
        <w:jc w:val="center"/>
        <w:rPr>
          <w:rFonts w:ascii="Arial" w:hAnsi="Arial" w:cs="Arial"/>
          <w:b/>
          <w:color w:val="auto"/>
          <w:sz w:val="32"/>
          <w:szCs w:val="32"/>
          <w:highlight w:val="none"/>
        </w:rPr>
      </w:pPr>
    </w:p>
    <w:p w14:paraId="4000734D">
      <w:pPr>
        <w:spacing w:line="360" w:lineRule="auto"/>
        <w:jc w:val="center"/>
        <w:rPr>
          <w:rFonts w:ascii="Arial" w:hAnsi="Arial" w:cs="Arial"/>
          <w:b/>
          <w:color w:val="auto"/>
          <w:sz w:val="32"/>
          <w:szCs w:val="32"/>
          <w:highlight w:val="none"/>
        </w:rPr>
      </w:pPr>
    </w:p>
    <w:p w14:paraId="4361EE6C">
      <w:pPr>
        <w:spacing w:line="360" w:lineRule="auto"/>
        <w:jc w:val="center"/>
        <w:rPr>
          <w:rFonts w:ascii="Arial" w:hAnsi="Arial" w:cs="Arial"/>
          <w:b/>
          <w:color w:val="auto"/>
          <w:sz w:val="32"/>
          <w:szCs w:val="32"/>
          <w:highlight w:val="none"/>
        </w:rPr>
      </w:pPr>
    </w:p>
    <w:p w14:paraId="3C0C4291">
      <w:pPr>
        <w:spacing w:line="360" w:lineRule="auto"/>
        <w:jc w:val="center"/>
        <w:rPr>
          <w:rFonts w:ascii="Arial" w:hAnsi="Arial" w:cs="Arial"/>
          <w:b/>
          <w:color w:val="auto"/>
          <w:sz w:val="32"/>
          <w:szCs w:val="32"/>
          <w:highlight w:val="none"/>
        </w:rPr>
      </w:pPr>
    </w:p>
    <w:p w14:paraId="15ACD733">
      <w:pPr>
        <w:spacing w:line="360" w:lineRule="auto"/>
        <w:jc w:val="center"/>
        <w:rPr>
          <w:rFonts w:ascii="Arial" w:hAnsi="Arial" w:cs="Arial"/>
          <w:b/>
          <w:color w:val="auto"/>
          <w:sz w:val="32"/>
          <w:szCs w:val="32"/>
          <w:highlight w:val="none"/>
        </w:rPr>
      </w:pPr>
    </w:p>
    <w:p w14:paraId="22D2A9F2">
      <w:pPr>
        <w:spacing w:line="360" w:lineRule="auto"/>
        <w:jc w:val="center"/>
        <w:rPr>
          <w:rFonts w:ascii="Arial" w:hAnsi="Arial" w:cs="Arial"/>
          <w:b/>
          <w:color w:val="auto"/>
          <w:sz w:val="32"/>
          <w:szCs w:val="32"/>
          <w:highlight w:val="none"/>
        </w:rPr>
      </w:pPr>
    </w:p>
    <w:p w14:paraId="2D59B55D">
      <w:pPr>
        <w:spacing w:line="360" w:lineRule="auto"/>
        <w:jc w:val="center"/>
        <w:rPr>
          <w:rFonts w:ascii="Arial" w:hAnsi="Arial" w:cs="Arial"/>
          <w:b/>
          <w:color w:val="auto"/>
          <w:sz w:val="32"/>
          <w:szCs w:val="32"/>
          <w:highlight w:val="none"/>
        </w:rPr>
      </w:pPr>
    </w:p>
    <w:p w14:paraId="7CE792EA">
      <w:pPr>
        <w:spacing w:line="360" w:lineRule="auto"/>
        <w:jc w:val="center"/>
        <w:rPr>
          <w:rFonts w:ascii="Arial" w:hAnsi="Arial" w:cs="Arial"/>
          <w:b/>
          <w:color w:val="auto"/>
          <w:sz w:val="32"/>
          <w:szCs w:val="32"/>
          <w:highlight w:val="none"/>
        </w:rPr>
      </w:pPr>
    </w:p>
    <w:p w14:paraId="74568A94">
      <w:pPr>
        <w:spacing w:line="360" w:lineRule="auto"/>
        <w:jc w:val="center"/>
        <w:rPr>
          <w:rFonts w:ascii="Arial" w:hAnsi="Arial" w:cs="Arial"/>
          <w:b/>
          <w:color w:val="auto"/>
          <w:sz w:val="32"/>
          <w:szCs w:val="32"/>
          <w:highlight w:val="none"/>
        </w:rPr>
      </w:pPr>
    </w:p>
    <w:p w14:paraId="3F481732">
      <w:pPr>
        <w:spacing w:line="360" w:lineRule="auto"/>
        <w:jc w:val="center"/>
        <w:rPr>
          <w:rFonts w:ascii="Arial" w:hAnsi="Arial" w:cs="Arial"/>
          <w:b/>
          <w:color w:val="auto"/>
          <w:sz w:val="32"/>
          <w:szCs w:val="32"/>
          <w:highlight w:val="none"/>
        </w:rPr>
      </w:pPr>
    </w:p>
    <w:p w14:paraId="52EF1A86">
      <w:pPr>
        <w:spacing w:line="360" w:lineRule="auto"/>
        <w:jc w:val="center"/>
        <w:rPr>
          <w:rFonts w:ascii="Arial" w:hAnsi="Arial" w:cs="Arial"/>
          <w:b/>
          <w:color w:val="auto"/>
          <w:sz w:val="32"/>
          <w:szCs w:val="32"/>
          <w:highlight w:val="none"/>
        </w:rPr>
      </w:pPr>
    </w:p>
    <w:p w14:paraId="161EC5A8">
      <w:pPr>
        <w:spacing w:line="360" w:lineRule="auto"/>
        <w:jc w:val="center"/>
        <w:rPr>
          <w:rFonts w:ascii="Arial" w:hAnsi="Arial" w:cs="Arial"/>
          <w:b/>
          <w:color w:val="auto"/>
          <w:sz w:val="32"/>
          <w:szCs w:val="32"/>
          <w:highlight w:val="none"/>
        </w:rPr>
      </w:pPr>
    </w:p>
    <w:p w14:paraId="6715974A">
      <w:pPr>
        <w:spacing w:line="360" w:lineRule="auto"/>
        <w:jc w:val="center"/>
        <w:rPr>
          <w:rFonts w:ascii="Arial" w:hAnsi="Arial" w:cs="Arial"/>
          <w:b/>
          <w:color w:val="auto"/>
          <w:sz w:val="32"/>
          <w:szCs w:val="32"/>
          <w:highlight w:val="none"/>
        </w:rPr>
      </w:pPr>
    </w:p>
    <w:p w14:paraId="76BB1856">
      <w:pPr>
        <w:spacing w:line="360" w:lineRule="auto"/>
        <w:jc w:val="center"/>
        <w:rPr>
          <w:rFonts w:ascii="Arial" w:hAnsi="Arial" w:cs="Arial"/>
          <w:b/>
          <w:color w:val="auto"/>
          <w:sz w:val="32"/>
          <w:szCs w:val="32"/>
          <w:highlight w:val="none"/>
        </w:rPr>
      </w:pPr>
    </w:p>
    <w:p w14:paraId="34C6801E">
      <w:pPr>
        <w:spacing w:line="360" w:lineRule="auto"/>
        <w:jc w:val="center"/>
        <w:rPr>
          <w:rFonts w:ascii="Arial" w:hAnsi="Arial" w:cs="Arial"/>
          <w:b/>
          <w:color w:val="auto"/>
          <w:sz w:val="32"/>
          <w:szCs w:val="32"/>
          <w:highlight w:val="none"/>
        </w:rPr>
      </w:pPr>
    </w:p>
    <w:p w14:paraId="05FB7E16">
      <w:pPr>
        <w:spacing w:line="360" w:lineRule="auto"/>
        <w:jc w:val="center"/>
        <w:rPr>
          <w:rFonts w:ascii="Arial" w:hAnsi="Arial" w:cs="Arial"/>
          <w:b/>
          <w:color w:val="auto"/>
          <w:sz w:val="32"/>
          <w:szCs w:val="32"/>
          <w:highlight w:val="none"/>
        </w:rPr>
      </w:pPr>
      <w:r>
        <w:rPr>
          <w:rFonts w:ascii="Arial" w:hAnsi="Arial" w:cs="Arial"/>
          <w:b/>
          <w:color w:val="auto"/>
          <w:sz w:val="32"/>
          <w:szCs w:val="32"/>
          <w:highlight w:val="none"/>
        </w:rPr>
        <w:t>第六篇  合同格式</w:t>
      </w:r>
    </w:p>
    <w:p w14:paraId="3574D524">
      <w:pPr>
        <w:widowControl/>
        <w:spacing w:line="360" w:lineRule="atLeast"/>
        <w:jc w:val="center"/>
        <w:rPr>
          <w:rFonts w:ascii="宋体" w:hAnsi="宋体" w:cs="宋体"/>
          <w:b/>
          <w:color w:val="auto"/>
          <w:kern w:val="0"/>
          <w:szCs w:val="21"/>
          <w:highlight w:val="none"/>
        </w:rPr>
      </w:pPr>
      <w:r>
        <w:rPr>
          <w:rFonts w:hint="eastAsia" w:ascii="宋体" w:hAnsi="宋体" w:cs="宋体"/>
          <w:b/>
          <w:color w:val="auto"/>
          <w:kern w:val="0"/>
          <w:szCs w:val="21"/>
          <w:highlight w:val="none"/>
        </w:rPr>
        <w:t>参考国家行业标准合同示范文本，具体以双方实际签订合同为准。</w:t>
      </w:r>
    </w:p>
    <w:p w14:paraId="789A9E71">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7070DB4F">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1B7CF395">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4E14B32D">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06982366">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6DB9D31F">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552AF278">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408D877F">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2A27CFF8">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5A990788">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0EB165D1">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13064792">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7C430775">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67B02FBE">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1FA0EABC">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478B673A">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5A947F6C">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0317B349">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6353EE7E">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53F5B4AA">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783369D6">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72D1C31B">
      <w:pPr>
        <w:widowControl/>
        <w:autoSpaceDE w:val="0"/>
        <w:autoSpaceDN w:val="0"/>
        <w:spacing w:line="360" w:lineRule="auto"/>
        <w:ind w:right="-12"/>
        <w:jc w:val="center"/>
        <w:textAlignment w:val="bottom"/>
        <w:rPr>
          <w:rFonts w:hint="eastAsia" w:ascii="宋体" w:hAnsi="宋体" w:cs="宋体"/>
          <w:b/>
          <w:bCs/>
          <w:color w:val="auto"/>
          <w:sz w:val="32"/>
          <w:szCs w:val="32"/>
        </w:rPr>
      </w:pPr>
    </w:p>
    <w:p w14:paraId="6441D9DF">
      <w:pPr>
        <w:widowControl/>
        <w:autoSpaceDE w:val="0"/>
        <w:autoSpaceDN w:val="0"/>
        <w:spacing w:line="360" w:lineRule="auto"/>
        <w:ind w:right="-12"/>
        <w:jc w:val="center"/>
        <w:textAlignment w:val="bottom"/>
        <w:rPr>
          <w:rFonts w:ascii="宋体" w:hAnsi="宋体" w:cs="宋体"/>
          <w:b/>
          <w:bCs/>
          <w:color w:val="auto"/>
          <w:sz w:val="32"/>
          <w:szCs w:val="32"/>
        </w:rPr>
      </w:pPr>
      <w:r>
        <w:rPr>
          <w:rFonts w:hint="eastAsia" w:ascii="宋体" w:hAnsi="宋体" w:cs="宋体"/>
          <w:b/>
          <w:bCs/>
          <w:color w:val="auto"/>
          <w:sz w:val="32"/>
          <w:szCs w:val="32"/>
        </w:rPr>
        <w:t>第七篇  货物需求一览表</w:t>
      </w:r>
    </w:p>
    <w:p w14:paraId="7D1BBAA1">
      <w:pPr>
        <w:widowControl/>
        <w:autoSpaceDE w:val="0"/>
        <w:autoSpaceDN w:val="0"/>
        <w:spacing w:line="360" w:lineRule="auto"/>
        <w:ind w:right="890"/>
        <w:textAlignment w:val="bottom"/>
        <w:rPr>
          <w:rFonts w:ascii="宋体" w:hAnsi="宋体" w:cs="宋体"/>
          <w:color w:val="auto"/>
        </w:rPr>
      </w:pPr>
    </w:p>
    <w:p w14:paraId="060F55C0">
      <w:pPr>
        <w:spacing w:line="360" w:lineRule="auto"/>
        <w:rPr>
          <w:rFonts w:hint="eastAsia" w:ascii="宋体" w:hAnsi="宋体" w:cs="宋体"/>
          <w:color w:val="auto"/>
        </w:rPr>
      </w:pPr>
      <w:r>
        <w:rPr>
          <w:rFonts w:hint="eastAsia" w:ascii="宋体" w:hAnsi="宋体" w:cs="宋体"/>
          <w:color w:val="auto"/>
        </w:rPr>
        <w:t>项目名称：</w:t>
      </w:r>
    </w:p>
    <w:p w14:paraId="4CB067E5">
      <w:pPr>
        <w:spacing w:line="360" w:lineRule="auto"/>
        <w:rPr>
          <w:rFonts w:hint="default" w:ascii="宋体" w:hAnsi="宋体" w:eastAsia="宋体" w:cs="宋体"/>
          <w:color w:val="auto"/>
          <w:lang w:val="en-US" w:eastAsia="zh-CN"/>
        </w:rPr>
      </w:pPr>
      <w:r>
        <w:rPr>
          <w:rFonts w:hint="eastAsia" w:ascii="宋体" w:hAnsi="宋体" w:cs="宋体"/>
          <w:color w:val="auto"/>
        </w:rPr>
        <w:t>项目编号：</w:t>
      </w:r>
    </w:p>
    <w:tbl>
      <w:tblPr>
        <w:tblStyle w:val="15"/>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6"/>
        <w:gridCol w:w="2054"/>
        <w:gridCol w:w="1785"/>
        <w:gridCol w:w="2361"/>
      </w:tblGrid>
      <w:tr w14:paraId="16E5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6" w:type="dxa"/>
            <w:vAlign w:val="center"/>
          </w:tcPr>
          <w:p w14:paraId="070EF882">
            <w:pPr>
              <w:jc w:val="center"/>
              <w:rPr>
                <w:rFonts w:ascii="宋体" w:hAnsi="宋体" w:cs="宋体"/>
                <w:color w:val="auto"/>
              </w:rPr>
            </w:pPr>
            <w:r>
              <w:rPr>
                <w:rFonts w:hint="eastAsia" w:ascii="宋体" w:hAnsi="宋体" w:cs="宋体"/>
                <w:color w:val="auto"/>
              </w:rPr>
              <w:t>项目名称</w:t>
            </w:r>
          </w:p>
        </w:tc>
        <w:tc>
          <w:tcPr>
            <w:tcW w:w="2054" w:type="dxa"/>
            <w:vAlign w:val="center"/>
          </w:tcPr>
          <w:p w14:paraId="1A58E32F">
            <w:pPr>
              <w:jc w:val="center"/>
              <w:rPr>
                <w:rFonts w:ascii="宋体" w:hAnsi="宋体" w:cs="宋体"/>
                <w:color w:val="auto"/>
              </w:rPr>
            </w:pPr>
            <w:r>
              <w:rPr>
                <w:rFonts w:hint="eastAsia" w:ascii="宋体" w:hAnsi="宋体" w:cs="宋体"/>
                <w:color w:val="auto"/>
              </w:rPr>
              <w:t>数量</w:t>
            </w:r>
          </w:p>
        </w:tc>
        <w:tc>
          <w:tcPr>
            <w:tcW w:w="1785" w:type="dxa"/>
            <w:vAlign w:val="center"/>
          </w:tcPr>
          <w:p w14:paraId="45FEEA8F">
            <w:pPr>
              <w:jc w:val="center"/>
              <w:rPr>
                <w:rFonts w:ascii="宋体" w:hAnsi="宋体" w:cs="宋体"/>
                <w:color w:val="auto"/>
              </w:rPr>
            </w:pPr>
            <w:r>
              <w:rPr>
                <w:rFonts w:hint="eastAsia" w:ascii="宋体" w:hAnsi="宋体" w:cs="宋体"/>
                <w:color w:val="auto"/>
              </w:rPr>
              <w:t>详细配置</w:t>
            </w:r>
          </w:p>
        </w:tc>
        <w:tc>
          <w:tcPr>
            <w:tcW w:w="2361" w:type="dxa"/>
            <w:vAlign w:val="center"/>
          </w:tcPr>
          <w:p w14:paraId="5AE85346">
            <w:pPr>
              <w:jc w:val="center"/>
              <w:rPr>
                <w:rFonts w:ascii="宋体" w:hAnsi="宋体" w:cs="宋体"/>
                <w:color w:val="auto"/>
              </w:rPr>
            </w:pPr>
            <w:r>
              <w:rPr>
                <w:rFonts w:hint="eastAsia" w:ascii="宋体" w:hAnsi="宋体" w:cs="宋体"/>
                <w:color w:val="auto"/>
              </w:rPr>
              <w:t>备注</w:t>
            </w:r>
          </w:p>
        </w:tc>
      </w:tr>
      <w:tr w14:paraId="75F5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6" w:type="dxa"/>
            <w:vAlign w:val="center"/>
          </w:tcPr>
          <w:p w14:paraId="012D9C51">
            <w:pPr>
              <w:jc w:val="center"/>
              <w:rPr>
                <w:rFonts w:ascii="宋体" w:hAnsi="宋体" w:cs="宋体"/>
                <w:color w:val="auto"/>
              </w:rPr>
            </w:pPr>
          </w:p>
        </w:tc>
        <w:tc>
          <w:tcPr>
            <w:tcW w:w="2054" w:type="dxa"/>
            <w:vAlign w:val="center"/>
          </w:tcPr>
          <w:p w14:paraId="4BF7925C">
            <w:pPr>
              <w:jc w:val="center"/>
              <w:rPr>
                <w:rFonts w:ascii="宋体" w:hAnsi="宋体" w:cs="宋体"/>
                <w:color w:val="auto"/>
              </w:rPr>
            </w:pPr>
          </w:p>
        </w:tc>
        <w:tc>
          <w:tcPr>
            <w:tcW w:w="1785" w:type="dxa"/>
            <w:vAlign w:val="center"/>
          </w:tcPr>
          <w:p w14:paraId="5F5E61E2">
            <w:pPr>
              <w:jc w:val="center"/>
              <w:rPr>
                <w:rFonts w:ascii="宋体" w:hAnsi="宋体" w:cs="宋体"/>
                <w:color w:val="auto"/>
              </w:rPr>
            </w:pPr>
            <w:r>
              <w:rPr>
                <w:rFonts w:hint="eastAsia" w:ascii="宋体" w:hAnsi="宋体" w:cs="宋体"/>
                <w:color w:val="auto"/>
              </w:rPr>
              <w:t>详见第八篇</w:t>
            </w:r>
          </w:p>
        </w:tc>
        <w:tc>
          <w:tcPr>
            <w:tcW w:w="2361" w:type="dxa"/>
            <w:vAlign w:val="center"/>
          </w:tcPr>
          <w:p w14:paraId="750C4ACD">
            <w:pPr>
              <w:jc w:val="center"/>
              <w:rPr>
                <w:rFonts w:ascii="宋体" w:hAnsi="宋体" w:cs="宋体"/>
                <w:color w:val="auto"/>
              </w:rPr>
            </w:pPr>
            <w:r>
              <w:rPr>
                <w:rFonts w:hint="eastAsia" w:ascii="宋体" w:hAnsi="宋体" w:cs="宋体"/>
                <w:color w:val="auto"/>
              </w:rPr>
              <w:t>无</w:t>
            </w:r>
          </w:p>
        </w:tc>
      </w:tr>
      <w:tr w14:paraId="5D5F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396" w:type="dxa"/>
            <w:gridSpan w:val="4"/>
            <w:vAlign w:val="center"/>
          </w:tcPr>
          <w:p w14:paraId="78CF858D">
            <w:pPr>
              <w:numPr>
                <w:ilvl w:val="0"/>
                <w:numId w:val="12"/>
              </w:numPr>
              <w:spacing w:line="360" w:lineRule="auto"/>
              <w:rPr>
                <w:rFonts w:hint="eastAsia"/>
                <w:color w:val="auto"/>
                <w:highlight w:val="none"/>
                <w:lang w:eastAsia="zh-CN"/>
              </w:rPr>
            </w:pPr>
            <w:r>
              <w:rPr>
                <w:rFonts w:hint="eastAsia" w:ascii="宋体" w:hAnsi="宋体" w:cs="宋体"/>
                <w:color w:val="auto"/>
              </w:rPr>
              <w:t>付款方式：</w:t>
            </w:r>
            <w:r>
              <w:rPr>
                <w:rFonts w:hint="eastAsia"/>
                <w:color w:val="auto"/>
                <w:highlight w:val="none"/>
                <w:lang w:eastAsia="zh-CN"/>
              </w:rPr>
              <w:t>按月结算支付</w:t>
            </w:r>
          </w:p>
          <w:p w14:paraId="1AE57D53">
            <w:pPr>
              <w:spacing w:line="360" w:lineRule="auto"/>
              <w:rPr>
                <w:rFonts w:hint="eastAsia" w:ascii="宋体" w:hAnsi="宋体" w:eastAsia="宋体" w:cs="宋体"/>
                <w:color w:val="auto"/>
                <w:highlight w:val="none"/>
                <w:lang w:eastAsia="zh-CN"/>
              </w:rPr>
            </w:pPr>
            <w:r>
              <w:rPr>
                <w:rFonts w:hint="eastAsia" w:ascii="宋体" w:hAnsi="宋体" w:cs="宋体"/>
                <w:color w:val="auto"/>
              </w:rPr>
              <w:t>2、交货期限</w:t>
            </w:r>
            <w:r>
              <w:rPr>
                <w:rFonts w:hint="eastAsia"/>
                <w:color w:val="auto"/>
                <w:highlight w:val="none"/>
              </w:rPr>
              <w:t>：</w:t>
            </w:r>
            <w:r>
              <w:rPr>
                <w:rFonts w:hint="eastAsia" w:ascii="宋体" w:hAnsi="宋体" w:eastAsia="宋体" w:cs="宋体"/>
                <w:color w:val="auto"/>
                <w:highlight w:val="none"/>
                <w:lang w:val="en-US" w:eastAsia="zh-CN"/>
              </w:rPr>
              <w:t>自合同签订之日起</w:t>
            </w:r>
            <w:r>
              <w:rPr>
                <w:rFonts w:hint="eastAsia" w:ascii="宋体" w:hAnsi="宋体" w:cs="宋体"/>
                <w:color w:val="auto"/>
                <w:highlight w:val="none"/>
                <w:lang w:val="en-US" w:eastAsia="zh-CN"/>
              </w:rPr>
              <w:t>一年。</w:t>
            </w:r>
          </w:p>
          <w:p w14:paraId="6F8451CC">
            <w:pPr>
              <w:spacing w:line="360" w:lineRule="auto"/>
              <w:rPr>
                <w:rFonts w:hint="eastAsia"/>
                <w:color w:val="auto"/>
                <w:highlight w:val="none"/>
              </w:rPr>
            </w:pPr>
            <w:r>
              <w:rPr>
                <w:rFonts w:hint="eastAsia" w:ascii="宋体" w:hAnsi="宋体" w:cs="宋体"/>
                <w:color w:val="auto"/>
                <w:highlight w:val="none"/>
              </w:rPr>
              <w:t>3、交货地点及方式：</w:t>
            </w:r>
            <w:r>
              <w:rPr>
                <w:rFonts w:hint="eastAsia"/>
                <w:color w:val="auto"/>
                <w:highlight w:val="none"/>
              </w:rPr>
              <w:t>由成交商将货物运输到采购人指定地点。</w:t>
            </w:r>
          </w:p>
          <w:p w14:paraId="7CBA09E5">
            <w:pPr>
              <w:spacing w:line="360" w:lineRule="auto"/>
              <w:rPr>
                <w:rFonts w:ascii="宋体" w:hAnsi="宋体" w:cs="宋体"/>
                <w:color w:val="auto"/>
                <w:highlight w:val="none"/>
              </w:rPr>
            </w:pPr>
            <w:r>
              <w:rPr>
                <w:rFonts w:hint="eastAsia" w:ascii="宋体" w:hAnsi="宋体" w:cs="宋体"/>
                <w:color w:val="auto"/>
                <w:highlight w:val="none"/>
              </w:rPr>
              <w:t>4、质量保证期:</w:t>
            </w:r>
            <w:r>
              <w:rPr>
                <w:rFonts w:hint="eastAsia" w:ascii="宋体" w:hAnsi="宋体" w:cs="宋体"/>
                <w:color w:val="auto"/>
                <w:highlight w:val="none"/>
                <w:lang w:val="en-US" w:eastAsia="zh-CN"/>
              </w:rPr>
              <w:t>1</w:t>
            </w:r>
            <w:r>
              <w:rPr>
                <w:rFonts w:hint="eastAsia" w:ascii="宋体" w:hAnsi="宋体" w:cs="宋体"/>
                <w:color w:val="auto"/>
                <w:highlight w:val="none"/>
              </w:rPr>
              <w:t>年。</w:t>
            </w:r>
          </w:p>
          <w:p w14:paraId="78A52AD9">
            <w:pPr>
              <w:spacing w:line="360" w:lineRule="auto"/>
              <w:rPr>
                <w:rFonts w:hint="default" w:ascii="宋体" w:hAnsi="宋体" w:eastAsia="宋体" w:cs="宋体"/>
                <w:color w:val="auto"/>
                <w:lang w:val="en-US" w:eastAsia="zh-CN"/>
              </w:rPr>
            </w:pPr>
            <w:r>
              <w:rPr>
                <w:rFonts w:hint="eastAsia" w:ascii="宋体" w:hAnsi="宋体" w:cs="宋体"/>
                <w:color w:val="auto"/>
              </w:rPr>
              <w:t>5、履约保证金：中标后签订合同</w:t>
            </w:r>
            <w:r>
              <w:rPr>
                <w:rFonts w:hint="eastAsia" w:ascii="宋体" w:hAnsi="宋体" w:cs="宋体"/>
                <w:color w:val="auto"/>
                <w:lang w:eastAsia="zh-CN"/>
              </w:rPr>
              <w:t>一个月内</w:t>
            </w:r>
            <w:r>
              <w:rPr>
                <w:rFonts w:hint="eastAsia" w:ascii="宋体" w:hAnsi="宋体" w:cs="宋体"/>
                <w:color w:val="auto"/>
              </w:rPr>
              <w:t>，</w:t>
            </w:r>
            <w:r>
              <w:rPr>
                <w:rFonts w:hint="eastAsia" w:ascii="宋体" w:hAnsi="宋体" w:cs="宋体"/>
                <w:color w:val="auto"/>
                <w:lang w:eastAsia="zh-CN"/>
              </w:rPr>
              <w:t>供应商对公</w:t>
            </w:r>
            <w:r>
              <w:rPr>
                <w:rFonts w:hint="eastAsia" w:ascii="宋体" w:hAnsi="宋体" w:cs="宋体"/>
                <w:color w:val="auto"/>
              </w:rPr>
              <w:t>应向</w:t>
            </w:r>
            <w:r>
              <w:rPr>
                <w:rFonts w:hint="eastAsia" w:ascii="宋体" w:hAnsi="宋体" w:cs="宋体"/>
                <w:color w:val="auto"/>
                <w:lang w:val="en-US" w:eastAsia="zh-CN"/>
              </w:rPr>
              <w:t>扶余市消防救援大队</w:t>
            </w:r>
            <w:r>
              <w:rPr>
                <w:rFonts w:hint="eastAsia" w:ascii="宋体" w:hAnsi="宋体" w:cs="宋体"/>
                <w:color w:val="auto"/>
              </w:rPr>
              <w:t>缴纳</w:t>
            </w:r>
            <w:r>
              <w:rPr>
                <w:rFonts w:hint="eastAsia" w:ascii="宋体" w:hAnsi="宋体" w:cs="宋体"/>
                <w:color w:val="auto"/>
                <w:lang w:val="en-US" w:eastAsia="zh-CN"/>
              </w:rPr>
              <w:t>1</w:t>
            </w:r>
            <w:r>
              <w:rPr>
                <w:rFonts w:hint="eastAsia" w:ascii="宋体" w:hAnsi="宋体" w:cs="宋体"/>
                <w:color w:val="auto"/>
              </w:rPr>
              <w:t>万元作为履约保证金。</w:t>
            </w:r>
          </w:p>
          <w:p w14:paraId="08D02DCB">
            <w:pPr>
              <w:spacing w:line="360" w:lineRule="auto"/>
              <w:rPr>
                <w:rFonts w:hint="eastAsia" w:ascii="宋体" w:hAnsi="宋体" w:eastAsia="宋体" w:cs="宋体"/>
                <w:color w:val="auto"/>
                <w:lang w:eastAsia="zh-CN"/>
              </w:rPr>
            </w:pPr>
            <w:r>
              <w:rPr>
                <w:rFonts w:hint="eastAsia" w:ascii="宋体" w:hAnsi="宋体" w:cs="宋体"/>
                <w:color w:val="auto"/>
              </w:rPr>
              <w:t>6、售后服务：满足或高于本次采购需求</w:t>
            </w:r>
            <w:r>
              <w:rPr>
                <w:rFonts w:hint="eastAsia" w:ascii="宋体" w:hAnsi="宋体" w:cs="宋体"/>
                <w:color w:val="auto"/>
                <w:lang w:eastAsia="zh-CN"/>
              </w:rPr>
              <w:t>。</w:t>
            </w:r>
          </w:p>
        </w:tc>
      </w:tr>
    </w:tbl>
    <w:p w14:paraId="44A60538">
      <w:pPr>
        <w:jc w:val="center"/>
        <w:rPr>
          <w:rFonts w:ascii="宋体" w:hAnsi="宋体" w:cs="宋体"/>
          <w:b/>
          <w:bCs/>
          <w:color w:val="auto"/>
          <w:sz w:val="32"/>
          <w:szCs w:val="32"/>
          <w:shd w:val="clear" w:color="FFFFFF" w:fill="D9D9D9"/>
        </w:rPr>
      </w:pPr>
      <w:bookmarkStart w:id="162" w:name="_Hlk35571980"/>
      <w:bookmarkStart w:id="163" w:name="_Hlk35571981"/>
      <w:bookmarkStart w:id="164" w:name="_Hlk35571982"/>
    </w:p>
    <w:p w14:paraId="17E72BA4">
      <w:pPr>
        <w:jc w:val="center"/>
        <w:rPr>
          <w:rFonts w:ascii="宋体" w:hAnsi="宋体" w:cs="宋体"/>
          <w:b/>
          <w:bCs/>
          <w:color w:val="auto"/>
          <w:sz w:val="32"/>
          <w:szCs w:val="32"/>
          <w:shd w:val="clear" w:color="FFFFFF" w:fill="D9D9D9"/>
        </w:rPr>
      </w:pPr>
    </w:p>
    <w:p w14:paraId="0B8659E7">
      <w:pPr>
        <w:jc w:val="center"/>
        <w:rPr>
          <w:rFonts w:ascii="宋体" w:hAnsi="宋体" w:cs="宋体"/>
          <w:b/>
          <w:bCs/>
          <w:color w:val="auto"/>
          <w:sz w:val="32"/>
          <w:szCs w:val="32"/>
          <w:shd w:val="clear" w:color="FFFFFF" w:fill="D9D9D9"/>
        </w:rPr>
      </w:pPr>
    </w:p>
    <w:p w14:paraId="481924AE">
      <w:pPr>
        <w:jc w:val="center"/>
        <w:rPr>
          <w:rFonts w:ascii="宋体" w:hAnsi="宋体" w:cs="宋体"/>
          <w:b/>
          <w:bCs/>
          <w:color w:val="auto"/>
          <w:sz w:val="32"/>
          <w:szCs w:val="32"/>
          <w:shd w:val="clear" w:color="FFFFFF" w:fill="D9D9D9"/>
        </w:rPr>
      </w:pPr>
    </w:p>
    <w:p w14:paraId="090750E9">
      <w:pPr>
        <w:jc w:val="center"/>
        <w:rPr>
          <w:rFonts w:ascii="宋体" w:hAnsi="宋体" w:cs="宋体"/>
          <w:b/>
          <w:bCs/>
          <w:color w:val="auto"/>
          <w:sz w:val="32"/>
          <w:szCs w:val="32"/>
          <w:shd w:val="clear" w:color="FFFFFF" w:fill="D9D9D9"/>
        </w:rPr>
        <w:sectPr>
          <w:pgSz w:w="11907" w:h="16840"/>
          <w:pgMar w:top="1247" w:right="1134" w:bottom="1247" w:left="1134" w:header="851" w:footer="992" w:gutter="0"/>
          <w:cols w:space="720" w:num="1"/>
          <w:titlePg/>
          <w:docGrid w:linePitch="312" w:charSpace="0"/>
        </w:sectPr>
      </w:pPr>
    </w:p>
    <w:p w14:paraId="19DCA39D">
      <w:pPr>
        <w:ind w:firstLine="643" w:firstLineChars="200"/>
        <w:jc w:val="center"/>
        <w:rPr>
          <w:rFonts w:hint="eastAsia" w:ascii="宋体" w:hAnsi="宋体" w:cs="宋体"/>
          <w:b/>
          <w:bCs/>
          <w:color w:val="auto"/>
          <w:sz w:val="32"/>
          <w:szCs w:val="32"/>
        </w:rPr>
      </w:pPr>
    </w:p>
    <w:p w14:paraId="68778859">
      <w:pPr>
        <w:ind w:firstLine="643" w:firstLineChars="200"/>
        <w:jc w:val="center"/>
        <w:rPr>
          <w:rFonts w:hint="eastAsia" w:ascii="宋体" w:hAnsi="宋体" w:cs="宋体"/>
          <w:b/>
          <w:bCs/>
          <w:color w:val="auto"/>
          <w:sz w:val="32"/>
          <w:szCs w:val="32"/>
        </w:rPr>
      </w:pPr>
      <w:r>
        <w:rPr>
          <w:rFonts w:hint="eastAsia" w:ascii="宋体" w:hAnsi="宋体" w:cs="宋体"/>
          <w:b/>
          <w:bCs/>
          <w:color w:val="auto"/>
          <w:sz w:val="32"/>
          <w:szCs w:val="32"/>
        </w:rPr>
        <w:t>第八章技术规格与要求</w:t>
      </w:r>
      <w:bookmarkEnd w:id="162"/>
      <w:bookmarkEnd w:id="163"/>
      <w:bookmarkEnd w:id="164"/>
      <w:bookmarkStart w:id="165" w:name="_Hlk35572268"/>
      <w:bookmarkStart w:id="166" w:name="_Hlk35572267"/>
      <w:bookmarkStart w:id="167" w:name="_Hlk35572269"/>
    </w:p>
    <w:p w14:paraId="3C5414E5">
      <w:pPr>
        <w:ind w:firstLine="643" w:firstLineChars="200"/>
        <w:jc w:val="center"/>
        <w:rPr>
          <w:rFonts w:hint="eastAsia" w:ascii="宋体" w:hAnsi="宋体" w:cs="宋体"/>
          <w:b/>
          <w:bCs/>
          <w:color w:val="auto"/>
          <w:sz w:val="32"/>
          <w:szCs w:val="32"/>
        </w:rPr>
      </w:pPr>
    </w:p>
    <w:p w14:paraId="0622CB63">
      <w:pPr>
        <w:jc w:val="center"/>
        <w:rPr>
          <w:rFonts w:ascii="Arial" w:hAnsi="Arial" w:cs="Arial"/>
          <w:b/>
          <w:color w:val="auto"/>
          <w:sz w:val="32"/>
          <w:szCs w:val="32"/>
          <w:highlight w:val="none"/>
        </w:rPr>
      </w:pPr>
    </w:p>
    <w:p w14:paraId="4248D5D3">
      <w:pPr>
        <w:numPr>
          <w:ilvl w:val="0"/>
          <w:numId w:val="0"/>
        </w:numPr>
        <w:spacing w:line="360" w:lineRule="auto"/>
        <w:jc w:val="center"/>
        <w:rPr>
          <w:rFonts w:hint="default"/>
          <w:b/>
          <w:bCs/>
          <w:color w:val="auto"/>
          <w:sz w:val="44"/>
          <w:szCs w:val="44"/>
          <w:lang w:val="en-US" w:eastAsia="zh-CN"/>
        </w:rPr>
      </w:pPr>
      <w:r>
        <w:rPr>
          <w:rFonts w:hint="eastAsia"/>
          <w:b/>
          <w:bCs/>
          <w:color w:val="auto"/>
          <w:sz w:val="44"/>
          <w:szCs w:val="44"/>
          <w:lang w:val="en-US" w:eastAsia="zh-CN"/>
        </w:rPr>
        <w:t>采购需求</w:t>
      </w:r>
    </w:p>
    <w:p w14:paraId="59ADD976">
      <w:pPr>
        <w:spacing w:line="400" w:lineRule="exact"/>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一、</w:t>
      </w:r>
      <w:r>
        <w:rPr>
          <w:rFonts w:hint="eastAsia" w:ascii="宋体" w:hAnsi="宋体" w:eastAsia="宋体" w:cs="宋体"/>
          <w:b/>
          <w:color w:val="auto"/>
          <w:sz w:val="28"/>
          <w:szCs w:val="28"/>
          <w:lang w:eastAsia="zh-CN"/>
        </w:rPr>
        <w:t>服务内容</w:t>
      </w:r>
    </w:p>
    <w:p w14:paraId="779DAC83">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本次</w:t>
      </w:r>
      <w:r>
        <w:rPr>
          <w:rFonts w:hint="eastAsia" w:ascii="宋体" w:hAnsi="宋体" w:cs="宋体"/>
          <w:color w:val="auto"/>
          <w:sz w:val="24"/>
          <w:szCs w:val="24"/>
          <w:lang w:eastAsia="zh-CN"/>
        </w:rPr>
        <w:t>采购</w:t>
      </w:r>
      <w:r>
        <w:rPr>
          <w:rFonts w:hint="eastAsia" w:ascii="宋体" w:hAnsi="宋体" w:cs="宋体"/>
          <w:color w:val="auto"/>
          <w:sz w:val="24"/>
          <w:szCs w:val="24"/>
        </w:rPr>
        <w:t>内容是遴选确定</w:t>
      </w:r>
      <w:r>
        <w:rPr>
          <w:rFonts w:hint="eastAsia" w:ascii="宋体" w:hAnsi="宋体" w:cs="宋体"/>
          <w:b w:val="0"/>
          <w:bCs w:val="0"/>
          <w:color w:val="auto"/>
          <w:sz w:val="24"/>
          <w:szCs w:val="24"/>
          <w:lang w:val="en-US" w:eastAsia="zh-CN"/>
        </w:rPr>
        <w:t>扶余市消防救援大队2025年2月-2026年1月食堂主副食采购及配送项目</w:t>
      </w:r>
      <w:r>
        <w:rPr>
          <w:rFonts w:hint="eastAsia" w:ascii="宋体" w:hAnsi="宋体" w:cs="宋体"/>
          <w:b w:val="0"/>
          <w:bCs w:val="0"/>
          <w:color w:val="auto"/>
          <w:sz w:val="24"/>
          <w:szCs w:val="24"/>
          <w:lang w:eastAsia="zh-CN"/>
        </w:rPr>
        <w:t>的中标人</w:t>
      </w:r>
      <w:r>
        <w:rPr>
          <w:rFonts w:hint="eastAsia" w:ascii="宋体" w:hAnsi="宋体" w:cs="宋体"/>
          <w:b w:val="0"/>
          <w:bCs w:val="0"/>
          <w:color w:val="auto"/>
          <w:sz w:val="24"/>
          <w:szCs w:val="24"/>
        </w:rPr>
        <w:t>，</w:t>
      </w:r>
      <w:r>
        <w:rPr>
          <w:rFonts w:hint="eastAsia" w:ascii="宋体" w:hAnsi="宋体" w:cs="宋体"/>
          <w:color w:val="auto"/>
          <w:sz w:val="24"/>
          <w:szCs w:val="24"/>
        </w:rPr>
        <w:t>主要负责为采购人所属食堂所需</w:t>
      </w:r>
      <w:r>
        <w:rPr>
          <w:rFonts w:hint="eastAsia" w:ascii="宋体" w:hAnsi="宋体" w:cs="宋体"/>
          <w:color w:val="auto"/>
          <w:sz w:val="24"/>
          <w:szCs w:val="24"/>
          <w:lang w:eastAsia="zh-CN"/>
        </w:rPr>
        <w:t>主、</w:t>
      </w:r>
      <w:r>
        <w:rPr>
          <w:rFonts w:hint="eastAsia" w:ascii="宋体" w:hAnsi="宋体" w:cs="宋体"/>
          <w:color w:val="auto"/>
          <w:sz w:val="24"/>
          <w:szCs w:val="24"/>
        </w:rPr>
        <w:t>副食品</w:t>
      </w:r>
      <w:r>
        <w:rPr>
          <w:rFonts w:hint="eastAsia" w:ascii="宋体" w:hAnsi="宋体" w:cs="宋体"/>
          <w:b w:val="0"/>
          <w:bCs w:val="0"/>
          <w:color w:val="auto"/>
          <w:sz w:val="24"/>
          <w:szCs w:val="24"/>
        </w:rPr>
        <w:t>采购</w:t>
      </w:r>
      <w:r>
        <w:rPr>
          <w:rFonts w:hint="eastAsia" w:ascii="宋体" w:hAnsi="宋体" w:cs="宋体"/>
          <w:b w:val="0"/>
          <w:bCs w:val="0"/>
          <w:color w:val="auto"/>
          <w:sz w:val="24"/>
          <w:szCs w:val="24"/>
          <w:lang w:eastAsia="zh-CN"/>
        </w:rPr>
        <w:t>及</w:t>
      </w:r>
      <w:r>
        <w:rPr>
          <w:rFonts w:hint="eastAsia" w:ascii="宋体" w:hAnsi="宋体" w:cs="宋体"/>
          <w:color w:val="auto"/>
          <w:sz w:val="24"/>
          <w:szCs w:val="24"/>
        </w:rPr>
        <w:t>配送服务。</w:t>
      </w:r>
    </w:p>
    <w:p w14:paraId="10024BE2">
      <w:pPr>
        <w:pStyle w:val="39"/>
        <w:ind w:left="0" w:leftChars="0" w:firstLine="0" w:firstLineChars="0"/>
        <w:jc w:val="both"/>
        <w:rPr>
          <w:rFonts w:hint="eastAsia" w:ascii="宋体" w:hAnsi="宋体" w:cs="宋体"/>
          <w:b/>
          <w:bCs/>
          <w:color w:val="auto"/>
          <w:sz w:val="24"/>
          <w:szCs w:val="32"/>
          <w:lang w:eastAsia="zh-CN"/>
        </w:rPr>
      </w:pPr>
    </w:p>
    <w:p w14:paraId="1F1F7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hAnsi="宋体" w:eastAsia="宋体" w:cs="宋体"/>
          <w:b/>
          <w:color w:val="auto"/>
          <w:sz w:val="28"/>
          <w:szCs w:val="28"/>
        </w:rPr>
      </w:pPr>
      <w:r>
        <w:rPr>
          <w:rFonts w:hint="eastAsia" w:ascii="宋体" w:hAnsi="宋体" w:eastAsia="宋体" w:cs="宋体"/>
          <w:b/>
          <w:color w:val="auto"/>
          <w:sz w:val="28"/>
          <w:szCs w:val="28"/>
        </w:rPr>
        <w:t>二、产品质量标准要求</w:t>
      </w:r>
    </w:p>
    <w:tbl>
      <w:tblPr>
        <w:tblStyle w:val="15"/>
        <w:tblW w:w="946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59"/>
        <w:gridCol w:w="1134"/>
        <w:gridCol w:w="3827"/>
        <w:gridCol w:w="2126"/>
        <w:gridCol w:w="1418"/>
      </w:tblGrid>
      <w:tr w14:paraId="4EF548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5" w:hRule="atLeast"/>
          <w:tblHeader/>
        </w:trPr>
        <w:tc>
          <w:tcPr>
            <w:tcW w:w="2093" w:type="dxa"/>
            <w:gridSpan w:val="2"/>
            <w:noWrap w:val="0"/>
            <w:vAlign w:val="center"/>
          </w:tcPr>
          <w:p w14:paraId="4A166BC5">
            <w:pPr>
              <w:jc w:val="center"/>
              <w:rPr>
                <w:snapToGrid w:val="0"/>
                <w:color w:val="auto"/>
                <w:sz w:val="24"/>
                <w:szCs w:val="24"/>
              </w:rPr>
            </w:pPr>
            <w:r>
              <w:rPr>
                <w:rFonts w:hint="eastAsia"/>
                <w:snapToGrid w:val="0"/>
                <w:color w:val="auto"/>
                <w:sz w:val="24"/>
                <w:szCs w:val="24"/>
              </w:rPr>
              <w:t>产品种类</w:t>
            </w:r>
          </w:p>
        </w:tc>
        <w:tc>
          <w:tcPr>
            <w:tcW w:w="3827" w:type="dxa"/>
            <w:tcBorders>
              <w:right w:val="single" w:color="auto" w:sz="4" w:space="0"/>
            </w:tcBorders>
            <w:noWrap w:val="0"/>
            <w:vAlign w:val="center"/>
          </w:tcPr>
          <w:p w14:paraId="287CA580">
            <w:pPr>
              <w:jc w:val="center"/>
              <w:rPr>
                <w:snapToGrid w:val="0"/>
                <w:color w:val="auto"/>
                <w:sz w:val="24"/>
                <w:szCs w:val="24"/>
              </w:rPr>
            </w:pPr>
            <w:r>
              <w:rPr>
                <w:rFonts w:hint="eastAsia"/>
                <w:snapToGrid w:val="0"/>
                <w:color w:val="auto"/>
                <w:sz w:val="24"/>
                <w:szCs w:val="24"/>
              </w:rPr>
              <w:t>质量标准要求</w:t>
            </w:r>
          </w:p>
        </w:tc>
        <w:tc>
          <w:tcPr>
            <w:tcW w:w="2126" w:type="dxa"/>
            <w:tcBorders>
              <w:left w:val="single" w:color="auto" w:sz="4" w:space="0"/>
              <w:right w:val="single" w:color="auto" w:sz="4" w:space="0"/>
            </w:tcBorders>
            <w:noWrap w:val="0"/>
            <w:vAlign w:val="center"/>
          </w:tcPr>
          <w:p w14:paraId="49538BD6">
            <w:pPr>
              <w:jc w:val="center"/>
              <w:rPr>
                <w:b/>
                <w:snapToGrid w:val="0"/>
                <w:color w:val="auto"/>
                <w:sz w:val="24"/>
                <w:szCs w:val="24"/>
              </w:rPr>
            </w:pPr>
            <w:r>
              <w:rPr>
                <w:rFonts w:ascii="宋体" w:hAnsi="宋体"/>
                <w:b/>
                <w:color w:val="auto"/>
                <w:sz w:val="24"/>
                <w:szCs w:val="24"/>
                <w:lang w:val="zh-CN"/>
              </w:rPr>
              <w:t>★</w:t>
            </w:r>
            <w:r>
              <w:rPr>
                <w:rFonts w:hint="eastAsia"/>
                <w:b/>
                <w:snapToGrid w:val="0"/>
                <w:color w:val="auto"/>
                <w:sz w:val="24"/>
                <w:szCs w:val="24"/>
              </w:rPr>
              <w:t>退货依据</w:t>
            </w:r>
          </w:p>
        </w:tc>
        <w:tc>
          <w:tcPr>
            <w:tcW w:w="1418" w:type="dxa"/>
            <w:tcBorders>
              <w:left w:val="single" w:color="auto" w:sz="4" w:space="0"/>
            </w:tcBorders>
            <w:noWrap w:val="0"/>
            <w:vAlign w:val="center"/>
          </w:tcPr>
          <w:p w14:paraId="1CF758E4">
            <w:pPr>
              <w:jc w:val="center"/>
              <w:rPr>
                <w:snapToGrid w:val="0"/>
                <w:color w:val="auto"/>
                <w:sz w:val="24"/>
                <w:szCs w:val="24"/>
              </w:rPr>
            </w:pPr>
            <w:r>
              <w:rPr>
                <w:rFonts w:hint="eastAsia"/>
                <w:snapToGrid w:val="0"/>
                <w:color w:val="auto"/>
                <w:sz w:val="24"/>
                <w:szCs w:val="24"/>
              </w:rPr>
              <w:t>国家标准</w:t>
            </w:r>
          </w:p>
        </w:tc>
      </w:tr>
      <w:tr w14:paraId="4D0DAA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71" w:hRule="atLeast"/>
        </w:trPr>
        <w:tc>
          <w:tcPr>
            <w:tcW w:w="959" w:type="dxa"/>
            <w:vMerge w:val="restart"/>
            <w:noWrap w:val="0"/>
            <w:vAlign w:val="center"/>
          </w:tcPr>
          <w:p w14:paraId="4A2E1340">
            <w:pPr>
              <w:jc w:val="center"/>
              <w:rPr>
                <w:rFonts w:ascii="宋体" w:hAnsi="宋体"/>
                <w:color w:val="auto"/>
                <w:sz w:val="24"/>
                <w:szCs w:val="24"/>
              </w:rPr>
            </w:pPr>
            <w:r>
              <w:rPr>
                <w:rFonts w:hint="eastAsia" w:ascii="宋体" w:hAnsi="宋体"/>
                <w:color w:val="auto"/>
                <w:sz w:val="24"/>
                <w:szCs w:val="24"/>
              </w:rPr>
              <w:t>肉类</w:t>
            </w:r>
          </w:p>
        </w:tc>
        <w:tc>
          <w:tcPr>
            <w:tcW w:w="1134" w:type="dxa"/>
            <w:noWrap w:val="0"/>
            <w:vAlign w:val="center"/>
          </w:tcPr>
          <w:p w14:paraId="7A20AFFB">
            <w:pPr>
              <w:jc w:val="center"/>
              <w:rPr>
                <w:rFonts w:ascii="宋体" w:hAnsi="宋体"/>
                <w:color w:val="auto"/>
                <w:sz w:val="24"/>
                <w:szCs w:val="24"/>
              </w:rPr>
            </w:pPr>
            <w:r>
              <w:rPr>
                <w:rFonts w:hint="eastAsia" w:ascii="宋体" w:hAnsi="宋体"/>
                <w:color w:val="auto"/>
                <w:sz w:val="24"/>
                <w:szCs w:val="24"/>
              </w:rPr>
              <w:t>猪肉</w:t>
            </w:r>
          </w:p>
        </w:tc>
        <w:tc>
          <w:tcPr>
            <w:tcW w:w="3827" w:type="dxa"/>
            <w:tcBorders>
              <w:right w:val="single" w:color="auto" w:sz="4" w:space="0"/>
            </w:tcBorders>
            <w:noWrap w:val="0"/>
            <w:vAlign w:val="center"/>
          </w:tcPr>
          <w:p w14:paraId="27D6C977">
            <w:pPr>
              <w:rPr>
                <w:rFonts w:ascii="宋体" w:hAnsi="宋体"/>
                <w:color w:val="auto"/>
                <w:sz w:val="24"/>
                <w:szCs w:val="24"/>
              </w:rPr>
            </w:pPr>
            <w:r>
              <w:rPr>
                <w:rFonts w:hint="eastAsia" w:ascii="宋体" w:hAnsi="宋体"/>
                <w:color w:val="auto"/>
                <w:sz w:val="24"/>
                <w:szCs w:val="24"/>
              </w:rPr>
              <w:t>1.色泽鲜艳，无注水，表面有一层微干的薄膜，瘦肉新切面稍湿润，呈淡玫瑰色或淡红色；</w:t>
            </w:r>
          </w:p>
          <w:p w14:paraId="1BA0559C">
            <w:pPr>
              <w:rPr>
                <w:rFonts w:ascii="宋体" w:hAnsi="宋体"/>
                <w:color w:val="auto"/>
                <w:sz w:val="24"/>
                <w:szCs w:val="24"/>
              </w:rPr>
            </w:pPr>
            <w:r>
              <w:rPr>
                <w:rFonts w:hint="eastAsia" w:ascii="宋体" w:hAnsi="宋体"/>
                <w:color w:val="auto"/>
                <w:sz w:val="24"/>
                <w:szCs w:val="24"/>
              </w:rPr>
              <w:t>2.触摸有弹性，不粘手，指压不留陷窝；</w:t>
            </w:r>
          </w:p>
          <w:p w14:paraId="12900447">
            <w:pPr>
              <w:rPr>
                <w:rFonts w:ascii="宋体" w:hAnsi="宋体"/>
                <w:color w:val="auto"/>
                <w:sz w:val="24"/>
                <w:szCs w:val="24"/>
              </w:rPr>
            </w:pPr>
            <w:r>
              <w:rPr>
                <w:rFonts w:hint="eastAsia" w:ascii="宋体" w:hAnsi="宋体"/>
                <w:color w:val="auto"/>
                <w:sz w:val="24"/>
                <w:szCs w:val="24"/>
              </w:rPr>
              <w:t>3.外表干净，皮毛清理干净，无异味，根据需要进行了改刀和加工；</w:t>
            </w:r>
          </w:p>
          <w:p w14:paraId="57179341">
            <w:pPr>
              <w:rPr>
                <w:rFonts w:ascii="宋体" w:hAnsi="宋体"/>
                <w:color w:val="auto"/>
                <w:sz w:val="24"/>
                <w:szCs w:val="24"/>
              </w:rPr>
            </w:pPr>
            <w:r>
              <w:rPr>
                <w:rFonts w:hint="eastAsia" w:ascii="宋体" w:hAnsi="宋体"/>
                <w:color w:val="auto"/>
                <w:sz w:val="24"/>
                <w:szCs w:val="24"/>
              </w:rPr>
              <w:t>4.含水量检测值低于77%。</w:t>
            </w:r>
          </w:p>
        </w:tc>
        <w:tc>
          <w:tcPr>
            <w:tcW w:w="2126" w:type="dxa"/>
            <w:tcBorders>
              <w:left w:val="single" w:color="auto" w:sz="4" w:space="0"/>
              <w:right w:val="single" w:color="auto" w:sz="4" w:space="0"/>
            </w:tcBorders>
            <w:noWrap w:val="0"/>
            <w:vAlign w:val="center"/>
          </w:tcPr>
          <w:p w14:paraId="1E57BCC9">
            <w:pPr>
              <w:rPr>
                <w:rFonts w:ascii="宋体" w:hAnsi="宋体"/>
                <w:color w:val="auto"/>
                <w:sz w:val="24"/>
                <w:szCs w:val="24"/>
              </w:rPr>
            </w:pPr>
            <w:r>
              <w:rPr>
                <w:rFonts w:hint="eastAsia" w:ascii="宋体" w:hAnsi="宋体"/>
                <w:color w:val="auto"/>
                <w:sz w:val="24"/>
                <w:szCs w:val="24"/>
              </w:rPr>
              <w:t>1.与质量标准要求不符，病死或死因不明的畜禽肉及其制品；</w:t>
            </w:r>
          </w:p>
          <w:p w14:paraId="21D7C171">
            <w:pPr>
              <w:rPr>
                <w:rFonts w:ascii="宋体" w:hAnsi="宋体"/>
                <w:color w:val="auto"/>
                <w:sz w:val="24"/>
                <w:szCs w:val="24"/>
              </w:rPr>
            </w:pPr>
            <w:r>
              <w:rPr>
                <w:rFonts w:hint="eastAsia" w:ascii="宋体" w:hAnsi="宋体"/>
                <w:color w:val="auto"/>
                <w:sz w:val="24"/>
                <w:szCs w:val="24"/>
              </w:rPr>
              <w:t>2.不符合国家标准要求。</w:t>
            </w:r>
          </w:p>
        </w:tc>
        <w:tc>
          <w:tcPr>
            <w:tcW w:w="1418" w:type="dxa"/>
            <w:vMerge w:val="restart"/>
            <w:tcBorders>
              <w:left w:val="single" w:color="auto" w:sz="4" w:space="0"/>
            </w:tcBorders>
            <w:noWrap w:val="0"/>
            <w:vAlign w:val="center"/>
          </w:tcPr>
          <w:p w14:paraId="26465D44">
            <w:pPr>
              <w:jc w:val="center"/>
              <w:rPr>
                <w:rFonts w:ascii="宋体" w:hAnsi="宋体"/>
                <w:color w:val="auto"/>
                <w:sz w:val="24"/>
                <w:szCs w:val="24"/>
              </w:rPr>
            </w:pPr>
            <w:r>
              <w:rPr>
                <w:rFonts w:hint="eastAsia" w:ascii="宋体" w:hAnsi="宋体"/>
                <w:color w:val="auto"/>
                <w:sz w:val="24"/>
                <w:szCs w:val="24"/>
              </w:rPr>
              <w:t>GB 2707-2016《食品安全国家标准鲜（冻）畜、禽产品》</w:t>
            </w:r>
          </w:p>
        </w:tc>
      </w:tr>
      <w:tr w14:paraId="78A1BA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959" w:type="dxa"/>
            <w:vMerge w:val="continue"/>
            <w:noWrap w:val="0"/>
            <w:vAlign w:val="center"/>
          </w:tcPr>
          <w:p w14:paraId="617739FA">
            <w:pPr>
              <w:jc w:val="center"/>
              <w:rPr>
                <w:rFonts w:ascii="宋体" w:hAnsi="宋体" w:cs="宋体"/>
                <w:color w:val="auto"/>
                <w:sz w:val="24"/>
                <w:szCs w:val="24"/>
              </w:rPr>
            </w:pPr>
          </w:p>
        </w:tc>
        <w:tc>
          <w:tcPr>
            <w:tcW w:w="1134" w:type="dxa"/>
            <w:noWrap w:val="0"/>
            <w:vAlign w:val="center"/>
          </w:tcPr>
          <w:p w14:paraId="54071DF3">
            <w:pPr>
              <w:jc w:val="center"/>
              <w:rPr>
                <w:rFonts w:ascii="宋体" w:hAnsi="宋体" w:cs="宋体"/>
                <w:color w:val="auto"/>
                <w:sz w:val="24"/>
                <w:szCs w:val="24"/>
              </w:rPr>
            </w:pPr>
            <w:r>
              <w:rPr>
                <w:rFonts w:hint="eastAsia" w:ascii="宋体" w:hAnsi="宋体" w:cs="宋体"/>
                <w:color w:val="auto"/>
                <w:sz w:val="24"/>
                <w:szCs w:val="24"/>
              </w:rPr>
              <w:t>牛羊肉</w:t>
            </w:r>
          </w:p>
        </w:tc>
        <w:tc>
          <w:tcPr>
            <w:tcW w:w="3827" w:type="dxa"/>
            <w:tcBorders>
              <w:right w:val="single" w:color="auto" w:sz="4" w:space="0"/>
            </w:tcBorders>
            <w:noWrap w:val="0"/>
            <w:vAlign w:val="center"/>
          </w:tcPr>
          <w:p w14:paraId="34BEDB02">
            <w:pPr>
              <w:rPr>
                <w:rFonts w:ascii="宋体" w:hAnsi="宋体"/>
                <w:color w:val="auto"/>
                <w:sz w:val="24"/>
                <w:szCs w:val="24"/>
              </w:rPr>
            </w:pPr>
            <w:r>
              <w:rPr>
                <w:rFonts w:hint="eastAsia" w:ascii="宋体" w:hAnsi="宋体"/>
                <w:color w:val="auto"/>
                <w:sz w:val="24"/>
                <w:szCs w:val="24"/>
              </w:rPr>
              <w:t>1.肌肉有光泽，色泽鲜红或深红；脂肪呈乳白色或黄色；</w:t>
            </w:r>
          </w:p>
          <w:p w14:paraId="369A5348">
            <w:pPr>
              <w:rPr>
                <w:rFonts w:ascii="宋体" w:hAnsi="宋体"/>
                <w:color w:val="auto"/>
                <w:sz w:val="24"/>
                <w:szCs w:val="24"/>
              </w:rPr>
            </w:pPr>
            <w:r>
              <w:rPr>
                <w:rFonts w:hint="eastAsia" w:ascii="宋体" w:hAnsi="宋体"/>
                <w:color w:val="auto"/>
                <w:sz w:val="24"/>
                <w:szCs w:val="24"/>
              </w:rPr>
              <w:t>2.外表微干有风干膜，不粘手；</w:t>
            </w:r>
          </w:p>
          <w:p w14:paraId="74388D1B">
            <w:pPr>
              <w:rPr>
                <w:rFonts w:ascii="宋体" w:hAnsi="宋体"/>
                <w:color w:val="auto"/>
                <w:sz w:val="24"/>
                <w:szCs w:val="24"/>
              </w:rPr>
            </w:pPr>
            <w:r>
              <w:rPr>
                <w:rFonts w:hint="eastAsia" w:ascii="宋体" w:hAnsi="宋体"/>
                <w:color w:val="auto"/>
                <w:sz w:val="24"/>
                <w:szCs w:val="24"/>
              </w:rPr>
              <w:t>3.具有鲜牛羊肉正常气味；</w:t>
            </w:r>
          </w:p>
          <w:p w14:paraId="6656D1A4">
            <w:pPr>
              <w:rPr>
                <w:rFonts w:ascii="宋体" w:hAnsi="宋体"/>
                <w:color w:val="auto"/>
                <w:sz w:val="24"/>
                <w:szCs w:val="24"/>
              </w:rPr>
            </w:pPr>
            <w:r>
              <w:rPr>
                <w:rFonts w:hint="eastAsia" w:ascii="宋体" w:hAnsi="宋体"/>
                <w:color w:val="auto"/>
                <w:sz w:val="24"/>
                <w:szCs w:val="24"/>
              </w:rPr>
              <w:t>4.牛肉、羊肉含水量检测值分别低于77%、78%。</w:t>
            </w:r>
          </w:p>
        </w:tc>
        <w:tc>
          <w:tcPr>
            <w:tcW w:w="2126" w:type="dxa"/>
            <w:tcBorders>
              <w:left w:val="single" w:color="auto" w:sz="4" w:space="0"/>
              <w:right w:val="single" w:color="auto" w:sz="4" w:space="0"/>
            </w:tcBorders>
            <w:noWrap w:val="0"/>
            <w:vAlign w:val="center"/>
          </w:tcPr>
          <w:p w14:paraId="25655199">
            <w:pPr>
              <w:rPr>
                <w:rFonts w:ascii="宋体" w:hAnsi="宋体"/>
                <w:color w:val="auto"/>
                <w:sz w:val="24"/>
                <w:szCs w:val="24"/>
              </w:rPr>
            </w:pPr>
            <w:r>
              <w:rPr>
                <w:rFonts w:hint="eastAsia" w:ascii="宋体" w:hAnsi="宋体"/>
                <w:color w:val="auto"/>
                <w:sz w:val="24"/>
                <w:szCs w:val="24"/>
              </w:rPr>
              <w:t>1.与质量标准要求不符，病死或死因不明的畜禽肉及其制品；</w:t>
            </w:r>
          </w:p>
          <w:p w14:paraId="30DB0EF0">
            <w:pPr>
              <w:rPr>
                <w:rFonts w:ascii="宋体" w:hAnsi="宋体"/>
                <w:color w:val="auto"/>
                <w:sz w:val="24"/>
                <w:szCs w:val="24"/>
              </w:rPr>
            </w:pPr>
            <w:r>
              <w:rPr>
                <w:rFonts w:hint="eastAsia" w:ascii="宋体" w:hAnsi="宋体"/>
                <w:color w:val="auto"/>
                <w:sz w:val="24"/>
                <w:szCs w:val="24"/>
              </w:rPr>
              <w:t>2.不符合国家标准要求。</w:t>
            </w:r>
          </w:p>
        </w:tc>
        <w:tc>
          <w:tcPr>
            <w:tcW w:w="1418" w:type="dxa"/>
            <w:vMerge w:val="continue"/>
            <w:tcBorders>
              <w:left w:val="single" w:color="auto" w:sz="4" w:space="0"/>
            </w:tcBorders>
            <w:noWrap w:val="0"/>
            <w:vAlign w:val="center"/>
          </w:tcPr>
          <w:p w14:paraId="50ABD739">
            <w:pPr>
              <w:jc w:val="center"/>
              <w:rPr>
                <w:rFonts w:ascii="宋体" w:hAnsi="宋体"/>
                <w:color w:val="auto"/>
                <w:sz w:val="24"/>
                <w:szCs w:val="24"/>
              </w:rPr>
            </w:pPr>
          </w:p>
        </w:tc>
      </w:tr>
      <w:tr w14:paraId="32C218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5" w:hRule="atLeast"/>
        </w:trPr>
        <w:tc>
          <w:tcPr>
            <w:tcW w:w="959" w:type="dxa"/>
            <w:vMerge w:val="continue"/>
            <w:noWrap w:val="0"/>
            <w:vAlign w:val="center"/>
          </w:tcPr>
          <w:p w14:paraId="74EBCB6B">
            <w:pPr>
              <w:jc w:val="center"/>
              <w:rPr>
                <w:rFonts w:ascii="宋体" w:hAnsi="宋体" w:cs="宋体"/>
                <w:color w:val="auto"/>
                <w:sz w:val="24"/>
                <w:szCs w:val="24"/>
              </w:rPr>
            </w:pPr>
          </w:p>
        </w:tc>
        <w:tc>
          <w:tcPr>
            <w:tcW w:w="1134" w:type="dxa"/>
            <w:noWrap w:val="0"/>
            <w:vAlign w:val="center"/>
          </w:tcPr>
          <w:p w14:paraId="7C873AA3">
            <w:pPr>
              <w:jc w:val="center"/>
              <w:rPr>
                <w:rFonts w:ascii="宋体" w:hAnsi="宋体" w:cs="宋体"/>
                <w:color w:val="auto"/>
                <w:sz w:val="24"/>
                <w:szCs w:val="24"/>
              </w:rPr>
            </w:pPr>
            <w:r>
              <w:rPr>
                <w:rFonts w:hint="eastAsia" w:ascii="宋体" w:hAnsi="宋体" w:cs="宋体"/>
                <w:color w:val="auto"/>
                <w:sz w:val="24"/>
                <w:szCs w:val="24"/>
              </w:rPr>
              <w:t>禽肉</w:t>
            </w:r>
          </w:p>
        </w:tc>
        <w:tc>
          <w:tcPr>
            <w:tcW w:w="3827" w:type="dxa"/>
            <w:tcBorders>
              <w:right w:val="single" w:color="auto" w:sz="4" w:space="0"/>
            </w:tcBorders>
            <w:noWrap w:val="0"/>
            <w:vAlign w:val="center"/>
          </w:tcPr>
          <w:p w14:paraId="48BF7A2D">
            <w:pPr>
              <w:rPr>
                <w:rFonts w:ascii="宋体" w:hAnsi="宋体"/>
                <w:color w:val="auto"/>
                <w:sz w:val="24"/>
                <w:szCs w:val="24"/>
              </w:rPr>
            </w:pPr>
            <w:r>
              <w:rPr>
                <w:rFonts w:hint="eastAsia" w:ascii="宋体" w:hAnsi="宋体"/>
                <w:color w:val="auto"/>
                <w:sz w:val="24"/>
                <w:szCs w:val="24"/>
              </w:rPr>
              <w:t>1.杜绝注水禽类；</w:t>
            </w:r>
          </w:p>
          <w:p w14:paraId="2C020DF6">
            <w:pPr>
              <w:rPr>
                <w:rFonts w:ascii="宋体" w:hAnsi="宋体"/>
                <w:color w:val="auto"/>
                <w:sz w:val="24"/>
                <w:szCs w:val="24"/>
              </w:rPr>
            </w:pPr>
            <w:r>
              <w:rPr>
                <w:rFonts w:hint="eastAsia" w:ascii="宋体" w:hAnsi="宋体"/>
                <w:color w:val="auto"/>
                <w:sz w:val="24"/>
                <w:szCs w:val="24"/>
              </w:rPr>
              <w:t>2.体表色泽洁白，肉质紧密，角膜有弹性，不粘手，指压不留陷窝；</w:t>
            </w:r>
          </w:p>
          <w:p w14:paraId="3A50E5BE">
            <w:pPr>
              <w:rPr>
                <w:rFonts w:ascii="宋体" w:hAnsi="宋体"/>
                <w:color w:val="auto"/>
                <w:sz w:val="24"/>
                <w:szCs w:val="24"/>
              </w:rPr>
            </w:pPr>
            <w:r>
              <w:rPr>
                <w:rFonts w:hint="eastAsia" w:ascii="宋体" w:hAnsi="宋体"/>
                <w:color w:val="auto"/>
                <w:sz w:val="24"/>
                <w:szCs w:val="24"/>
              </w:rPr>
              <w:t>3.具有该禽类所固有的气味，无其他异味；</w:t>
            </w:r>
          </w:p>
          <w:p w14:paraId="0ED926DB">
            <w:pPr>
              <w:rPr>
                <w:rFonts w:ascii="宋体" w:hAnsi="宋体"/>
                <w:color w:val="auto"/>
                <w:sz w:val="24"/>
                <w:szCs w:val="24"/>
              </w:rPr>
            </w:pPr>
            <w:r>
              <w:rPr>
                <w:rFonts w:hint="eastAsia" w:ascii="宋体" w:hAnsi="宋体"/>
                <w:color w:val="auto"/>
                <w:sz w:val="24"/>
                <w:szCs w:val="24"/>
              </w:rPr>
              <w:t>4.腔内无杂物。</w:t>
            </w:r>
          </w:p>
        </w:tc>
        <w:tc>
          <w:tcPr>
            <w:tcW w:w="2126" w:type="dxa"/>
            <w:tcBorders>
              <w:left w:val="single" w:color="auto" w:sz="4" w:space="0"/>
              <w:right w:val="single" w:color="auto" w:sz="4" w:space="0"/>
            </w:tcBorders>
            <w:noWrap w:val="0"/>
            <w:vAlign w:val="center"/>
          </w:tcPr>
          <w:p w14:paraId="35E192B7">
            <w:pPr>
              <w:rPr>
                <w:rFonts w:ascii="宋体" w:hAnsi="宋体"/>
                <w:color w:val="auto"/>
                <w:sz w:val="24"/>
                <w:szCs w:val="24"/>
              </w:rPr>
            </w:pPr>
            <w:r>
              <w:rPr>
                <w:rFonts w:hint="eastAsia" w:ascii="宋体" w:hAnsi="宋体"/>
                <w:color w:val="auto"/>
                <w:sz w:val="24"/>
                <w:szCs w:val="24"/>
              </w:rPr>
              <w:t>1.与质量标准要求不符，病死或死因不明的畜禽肉及其制品；</w:t>
            </w:r>
          </w:p>
          <w:p w14:paraId="6DAEFBE9">
            <w:pPr>
              <w:rPr>
                <w:rFonts w:ascii="宋体" w:hAnsi="宋体"/>
                <w:color w:val="auto"/>
                <w:sz w:val="24"/>
                <w:szCs w:val="24"/>
              </w:rPr>
            </w:pPr>
            <w:r>
              <w:rPr>
                <w:rFonts w:hint="eastAsia" w:ascii="宋体" w:hAnsi="宋体"/>
                <w:color w:val="auto"/>
                <w:sz w:val="24"/>
                <w:szCs w:val="24"/>
              </w:rPr>
              <w:t>2.不符合国家标准要求。</w:t>
            </w:r>
          </w:p>
        </w:tc>
        <w:tc>
          <w:tcPr>
            <w:tcW w:w="1418" w:type="dxa"/>
            <w:vMerge w:val="continue"/>
            <w:tcBorders>
              <w:left w:val="single" w:color="auto" w:sz="4" w:space="0"/>
            </w:tcBorders>
            <w:noWrap w:val="0"/>
            <w:vAlign w:val="center"/>
          </w:tcPr>
          <w:p w14:paraId="2887B7A6">
            <w:pPr>
              <w:jc w:val="center"/>
              <w:rPr>
                <w:rFonts w:ascii="宋体" w:hAnsi="宋体"/>
                <w:color w:val="auto"/>
                <w:sz w:val="24"/>
                <w:szCs w:val="24"/>
              </w:rPr>
            </w:pPr>
          </w:p>
        </w:tc>
      </w:tr>
      <w:tr w14:paraId="5EA766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959" w:type="dxa"/>
            <w:noWrap w:val="0"/>
            <w:vAlign w:val="center"/>
          </w:tcPr>
          <w:p w14:paraId="473E8597">
            <w:pPr>
              <w:jc w:val="center"/>
              <w:rPr>
                <w:rFonts w:ascii="宋体" w:hAnsi="宋体" w:cs="宋体"/>
                <w:color w:val="auto"/>
                <w:sz w:val="24"/>
                <w:szCs w:val="24"/>
              </w:rPr>
            </w:pPr>
            <w:r>
              <w:rPr>
                <w:rFonts w:hint="eastAsia" w:ascii="宋体" w:hAnsi="宋体" w:cs="宋体"/>
                <w:color w:val="auto"/>
                <w:sz w:val="24"/>
                <w:szCs w:val="24"/>
              </w:rPr>
              <w:t>水产类</w:t>
            </w:r>
          </w:p>
        </w:tc>
        <w:tc>
          <w:tcPr>
            <w:tcW w:w="1134" w:type="dxa"/>
            <w:noWrap w:val="0"/>
            <w:vAlign w:val="center"/>
          </w:tcPr>
          <w:p w14:paraId="64DB41F4">
            <w:pPr>
              <w:jc w:val="center"/>
              <w:rPr>
                <w:rFonts w:ascii="宋体" w:hAnsi="宋体" w:cs="宋体"/>
                <w:color w:val="auto"/>
                <w:sz w:val="24"/>
                <w:szCs w:val="24"/>
              </w:rPr>
            </w:pPr>
            <w:r>
              <w:rPr>
                <w:rFonts w:hint="eastAsia" w:ascii="宋体" w:hAnsi="宋体" w:cs="宋体"/>
                <w:color w:val="auto"/>
                <w:sz w:val="24"/>
                <w:szCs w:val="24"/>
              </w:rPr>
              <w:t>鱼类</w:t>
            </w:r>
          </w:p>
        </w:tc>
        <w:tc>
          <w:tcPr>
            <w:tcW w:w="3827" w:type="dxa"/>
            <w:tcBorders>
              <w:right w:val="single" w:color="auto" w:sz="4" w:space="0"/>
            </w:tcBorders>
            <w:noWrap w:val="0"/>
            <w:vAlign w:val="center"/>
          </w:tcPr>
          <w:p w14:paraId="48B0F33C">
            <w:pPr>
              <w:rPr>
                <w:rFonts w:ascii="宋体" w:hAnsi="宋体"/>
                <w:color w:val="auto"/>
                <w:sz w:val="24"/>
                <w:szCs w:val="24"/>
              </w:rPr>
            </w:pPr>
            <w:r>
              <w:rPr>
                <w:rFonts w:hint="eastAsia" w:ascii="宋体" w:hAnsi="宋体"/>
                <w:color w:val="auto"/>
                <w:sz w:val="24"/>
                <w:szCs w:val="24"/>
              </w:rPr>
              <w:t>1.鱼眼突出，角膜清晰透明；</w:t>
            </w:r>
          </w:p>
          <w:p w14:paraId="207E5C5C">
            <w:pPr>
              <w:rPr>
                <w:rFonts w:ascii="宋体" w:hAnsi="宋体"/>
                <w:color w:val="auto"/>
                <w:sz w:val="24"/>
                <w:szCs w:val="24"/>
              </w:rPr>
            </w:pPr>
            <w:r>
              <w:rPr>
                <w:rFonts w:hint="eastAsia" w:ascii="宋体" w:hAnsi="宋体"/>
                <w:color w:val="auto"/>
                <w:sz w:val="24"/>
                <w:szCs w:val="24"/>
              </w:rPr>
              <w:t>2.体表面色泽鲜明，鳞完整或稍有花鳞，鳞片紧粘皮上不易剥落，有透明粘液；</w:t>
            </w:r>
          </w:p>
          <w:p w14:paraId="2DFF17FF">
            <w:pPr>
              <w:rPr>
                <w:rFonts w:ascii="宋体" w:hAnsi="宋体"/>
                <w:color w:val="auto"/>
                <w:sz w:val="24"/>
                <w:szCs w:val="24"/>
              </w:rPr>
            </w:pPr>
            <w:r>
              <w:rPr>
                <w:rFonts w:hint="eastAsia" w:ascii="宋体" w:hAnsi="宋体"/>
                <w:color w:val="auto"/>
                <w:sz w:val="24"/>
                <w:szCs w:val="24"/>
              </w:rPr>
              <w:t>3.鳃鲜红，鳃丝鲜红或紫红，鳃盖禁闭易揭开，肉质坚实，有弹性，骨肉不分离；</w:t>
            </w:r>
          </w:p>
          <w:p w14:paraId="4FD93522">
            <w:pPr>
              <w:rPr>
                <w:rFonts w:ascii="宋体" w:hAnsi="宋体"/>
                <w:color w:val="auto"/>
                <w:sz w:val="24"/>
                <w:szCs w:val="24"/>
              </w:rPr>
            </w:pPr>
            <w:r>
              <w:rPr>
                <w:rFonts w:hint="eastAsia" w:ascii="宋体" w:hAnsi="宋体"/>
                <w:color w:val="auto"/>
                <w:sz w:val="24"/>
                <w:szCs w:val="24"/>
              </w:rPr>
              <w:t>4.淡水鱼实行活鱼供应，具有鲜鱼固有的鲜明色泽，粘度透明；</w:t>
            </w:r>
          </w:p>
          <w:p w14:paraId="632A0A58">
            <w:pPr>
              <w:rPr>
                <w:rFonts w:ascii="宋体" w:hAnsi="宋体"/>
                <w:color w:val="auto"/>
                <w:sz w:val="24"/>
                <w:szCs w:val="24"/>
              </w:rPr>
            </w:pPr>
            <w:r>
              <w:rPr>
                <w:rFonts w:hint="eastAsia" w:ascii="宋体" w:hAnsi="宋体"/>
                <w:color w:val="auto"/>
                <w:sz w:val="24"/>
                <w:szCs w:val="24"/>
              </w:rPr>
              <w:t>5.具有鲜鱼虾的正常腥味，无异臭味。</w:t>
            </w:r>
          </w:p>
        </w:tc>
        <w:tc>
          <w:tcPr>
            <w:tcW w:w="2126" w:type="dxa"/>
            <w:tcBorders>
              <w:left w:val="single" w:color="auto" w:sz="4" w:space="0"/>
              <w:right w:val="single" w:color="auto" w:sz="4" w:space="0"/>
            </w:tcBorders>
            <w:noWrap w:val="0"/>
            <w:vAlign w:val="center"/>
          </w:tcPr>
          <w:p w14:paraId="0A5D0B23">
            <w:pPr>
              <w:rPr>
                <w:rFonts w:ascii="宋体" w:hAnsi="宋体"/>
                <w:color w:val="auto"/>
                <w:sz w:val="24"/>
                <w:szCs w:val="24"/>
              </w:rPr>
            </w:pPr>
            <w:r>
              <w:rPr>
                <w:rFonts w:hint="eastAsia" w:ascii="宋体" w:hAnsi="宋体"/>
                <w:color w:val="auto"/>
                <w:sz w:val="24"/>
                <w:szCs w:val="24"/>
              </w:rPr>
              <w:t>1.与质量标准要求不符；</w:t>
            </w:r>
          </w:p>
          <w:p w14:paraId="6ADC9E2A">
            <w:pPr>
              <w:rPr>
                <w:rFonts w:ascii="宋体" w:hAnsi="宋体"/>
                <w:color w:val="auto"/>
                <w:sz w:val="24"/>
                <w:szCs w:val="24"/>
              </w:rPr>
            </w:pPr>
            <w:r>
              <w:rPr>
                <w:rFonts w:hint="eastAsia" w:ascii="宋体" w:hAnsi="宋体"/>
                <w:color w:val="auto"/>
                <w:sz w:val="24"/>
                <w:szCs w:val="24"/>
              </w:rPr>
              <w:t>2.不符合国家标准要求。</w:t>
            </w:r>
          </w:p>
        </w:tc>
        <w:tc>
          <w:tcPr>
            <w:tcW w:w="1418" w:type="dxa"/>
            <w:tcBorders>
              <w:left w:val="single" w:color="auto" w:sz="4" w:space="0"/>
            </w:tcBorders>
            <w:noWrap w:val="0"/>
            <w:vAlign w:val="center"/>
          </w:tcPr>
          <w:p w14:paraId="44B0B780">
            <w:pPr>
              <w:jc w:val="center"/>
              <w:rPr>
                <w:rFonts w:ascii="宋体" w:hAnsi="宋体"/>
                <w:color w:val="auto"/>
                <w:sz w:val="24"/>
                <w:szCs w:val="24"/>
              </w:rPr>
            </w:pPr>
            <w:r>
              <w:rPr>
                <w:rFonts w:hint="eastAsia" w:ascii="宋体" w:hAnsi="宋体"/>
                <w:color w:val="auto"/>
                <w:sz w:val="24"/>
                <w:szCs w:val="24"/>
              </w:rPr>
              <w:t>GB 20941-2016《食品安全国家标准水产制品生产卫生规范》</w:t>
            </w:r>
          </w:p>
        </w:tc>
      </w:tr>
      <w:tr w14:paraId="4953C8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959" w:type="dxa"/>
            <w:noWrap w:val="0"/>
            <w:vAlign w:val="center"/>
          </w:tcPr>
          <w:p w14:paraId="4D85AA4D">
            <w:pPr>
              <w:jc w:val="center"/>
              <w:rPr>
                <w:rFonts w:ascii="宋体" w:hAnsi="宋体" w:cs="宋体"/>
                <w:color w:val="auto"/>
                <w:sz w:val="24"/>
                <w:szCs w:val="24"/>
              </w:rPr>
            </w:pPr>
            <w:r>
              <w:rPr>
                <w:rFonts w:hint="eastAsia" w:ascii="宋体" w:hAnsi="宋体" w:cs="宋体"/>
                <w:color w:val="auto"/>
                <w:sz w:val="24"/>
                <w:szCs w:val="24"/>
              </w:rPr>
              <w:t>果蔬类</w:t>
            </w:r>
          </w:p>
        </w:tc>
        <w:tc>
          <w:tcPr>
            <w:tcW w:w="1134" w:type="dxa"/>
            <w:noWrap w:val="0"/>
            <w:vAlign w:val="center"/>
          </w:tcPr>
          <w:p w14:paraId="5AC7A793">
            <w:pPr>
              <w:jc w:val="center"/>
              <w:rPr>
                <w:rFonts w:ascii="宋体" w:hAnsi="宋体" w:cs="宋体"/>
                <w:color w:val="auto"/>
                <w:sz w:val="24"/>
                <w:szCs w:val="24"/>
              </w:rPr>
            </w:pPr>
            <w:r>
              <w:rPr>
                <w:rFonts w:hint="eastAsia" w:ascii="宋体" w:hAnsi="宋体" w:cs="宋体"/>
                <w:color w:val="auto"/>
                <w:sz w:val="24"/>
                <w:szCs w:val="24"/>
              </w:rPr>
              <w:t>叶菜</w:t>
            </w:r>
          </w:p>
          <w:p w14:paraId="76016549">
            <w:pPr>
              <w:jc w:val="center"/>
              <w:rPr>
                <w:rFonts w:ascii="宋体" w:hAnsi="宋体" w:cs="宋体"/>
                <w:color w:val="auto"/>
                <w:sz w:val="24"/>
                <w:szCs w:val="24"/>
              </w:rPr>
            </w:pPr>
            <w:r>
              <w:rPr>
                <w:rFonts w:hint="eastAsia" w:ascii="宋体" w:hAnsi="宋体" w:cs="宋体"/>
                <w:color w:val="auto"/>
                <w:sz w:val="24"/>
                <w:szCs w:val="24"/>
              </w:rPr>
              <w:t>（白菜、菠菜、空心菜、筒篙、芹菜等）</w:t>
            </w:r>
          </w:p>
        </w:tc>
        <w:tc>
          <w:tcPr>
            <w:tcW w:w="3827" w:type="dxa"/>
            <w:tcBorders>
              <w:right w:val="single" w:color="auto" w:sz="4" w:space="0"/>
            </w:tcBorders>
            <w:noWrap w:val="0"/>
            <w:vAlign w:val="center"/>
          </w:tcPr>
          <w:p w14:paraId="0B6316BC">
            <w:pPr>
              <w:rPr>
                <w:color w:val="auto"/>
                <w:sz w:val="24"/>
                <w:szCs w:val="24"/>
              </w:rPr>
            </w:pPr>
            <w:r>
              <w:rPr>
                <w:rFonts w:hint="eastAsia"/>
                <w:color w:val="auto"/>
                <w:sz w:val="24"/>
                <w:szCs w:val="24"/>
              </w:rPr>
              <w:t>1.外形正常，肉质鲜嫩形态好，色泽正常；</w:t>
            </w:r>
          </w:p>
          <w:p w14:paraId="433AB611">
            <w:pPr>
              <w:rPr>
                <w:color w:val="auto"/>
                <w:sz w:val="24"/>
                <w:szCs w:val="24"/>
              </w:rPr>
            </w:pPr>
            <w:r>
              <w:rPr>
                <w:rFonts w:hint="eastAsia"/>
                <w:color w:val="auto"/>
                <w:sz w:val="24"/>
                <w:szCs w:val="24"/>
              </w:rPr>
              <w:t>2.叶梗光滑幼嫩，茎基部削平，无枯黄叶、病叶、泥土、明显机械伤和病虫害伤，无烧心焦边、腐烂等现象；</w:t>
            </w:r>
          </w:p>
          <w:p w14:paraId="7C077352">
            <w:pPr>
              <w:rPr>
                <w:color w:val="auto"/>
                <w:sz w:val="24"/>
                <w:szCs w:val="24"/>
              </w:rPr>
            </w:pPr>
            <w:r>
              <w:rPr>
                <w:rFonts w:hint="eastAsia"/>
                <w:color w:val="auto"/>
                <w:sz w:val="24"/>
                <w:szCs w:val="24"/>
              </w:rPr>
              <w:t>3.无抽苔（菜心除外），无异味，结球叶菜要结球适度，花椰菜应新鲜洁白，不带叶鼓，无畸形花；</w:t>
            </w:r>
          </w:p>
          <w:p w14:paraId="0A16A28C">
            <w:pPr>
              <w:rPr>
                <w:color w:val="auto"/>
                <w:sz w:val="24"/>
                <w:szCs w:val="24"/>
              </w:rPr>
            </w:pPr>
            <w:r>
              <w:rPr>
                <w:rFonts w:hint="eastAsia"/>
                <w:color w:val="auto"/>
                <w:sz w:val="24"/>
                <w:szCs w:val="24"/>
              </w:rPr>
              <w:t>4.无明显浸水现象；</w:t>
            </w:r>
          </w:p>
          <w:p w14:paraId="46826A96">
            <w:pPr>
              <w:rPr>
                <w:rFonts w:hint="eastAsia"/>
                <w:color w:val="auto"/>
                <w:sz w:val="24"/>
                <w:szCs w:val="24"/>
              </w:rPr>
            </w:pPr>
            <w:r>
              <w:rPr>
                <w:rFonts w:hint="eastAsia"/>
                <w:color w:val="auto"/>
                <w:sz w:val="24"/>
                <w:szCs w:val="24"/>
              </w:rPr>
              <w:t>5.农药残留不超标。</w:t>
            </w:r>
          </w:p>
          <w:p w14:paraId="5AE93CB5">
            <w:pPr>
              <w:pStyle w:val="39"/>
              <w:rPr>
                <w:color w:val="auto"/>
                <w:sz w:val="24"/>
                <w:szCs w:val="24"/>
              </w:rPr>
            </w:pPr>
          </w:p>
        </w:tc>
        <w:tc>
          <w:tcPr>
            <w:tcW w:w="2126" w:type="dxa"/>
            <w:tcBorders>
              <w:left w:val="single" w:color="auto" w:sz="4" w:space="0"/>
              <w:right w:val="single" w:color="auto" w:sz="4" w:space="0"/>
            </w:tcBorders>
            <w:noWrap w:val="0"/>
            <w:vAlign w:val="center"/>
          </w:tcPr>
          <w:p w14:paraId="4F1AC451">
            <w:pPr>
              <w:rPr>
                <w:rFonts w:ascii="宋体" w:hAnsi="宋体"/>
                <w:color w:val="auto"/>
                <w:sz w:val="24"/>
                <w:szCs w:val="24"/>
              </w:rPr>
            </w:pPr>
            <w:r>
              <w:rPr>
                <w:rFonts w:hint="eastAsia" w:ascii="宋体" w:hAnsi="宋体"/>
                <w:color w:val="auto"/>
                <w:sz w:val="24"/>
                <w:szCs w:val="24"/>
              </w:rPr>
              <w:t>鲜度嫩度明显不佳，含黄叶、须根、泥土，虫害严重，萎捏严重，浸水后仍不可恢复，农药残留超标。</w:t>
            </w:r>
          </w:p>
        </w:tc>
        <w:tc>
          <w:tcPr>
            <w:tcW w:w="1418" w:type="dxa"/>
            <w:tcBorders>
              <w:left w:val="single" w:color="auto" w:sz="4" w:space="0"/>
            </w:tcBorders>
            <w:noWrap w:val="0"/>
            <w:vAlign w:val="center"/>
          </w:tcPr>
          <w:p w14:paraId="73B6A362">
            <w:pPr>
              <w:jc w:val="center"/>
              <w:rPr>
                <w:rFonts w:ascii="宋体" w:hAnsi="宋体"/>
                <w:color w:val="auto"/>
                <w:sz w:val="24"/>
                <w:szCs w:val="24"/>
              </w:rPr>
            </w:pPr>
            <w:r>
              <w:rPr>
                <w:rFonts w:hint="eastAsia" w:ascii="宋体" w:hAnsi="宋体"/>
                <w:color w:val="auto"/>
                <w:sz w:val="24"/>
                <w:szCs w:val="24"/>
              </w:rPr>
              <w:t>国家或行业相关标准</w:t>
            </w:r>
          </w:p>
        </w:tc>
      </w:tr>
      <w:tr w14:paraId="387B3A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959" w:type="dxa"/>
            <w:vMerge w:val="restart"/>
            <w:noWrap w:val="0"/>
            <w:vAlign w:val="center"/>
          </w:tcPr>
          <w:p w14:paraId="2543D5D9">
            <w:pPr>
              <w:jc w:val="center"/>
              <w:rPr>
                <w:rFonts w:ascii="宋体" w:hAnsi="宋体" w:cs="宋体"/>
                <w:color w:val="auto"/>
                <w:sz w:val="24"/>
                <w:szCs w:val="24"/>
              </w:rPr>
            </w:pPr>
            <w:r>
              <w:rPr>
                <w:rFonts w:hint="eastAsia" w:ascii="宋体" w:hAnsi="宋体" w:cs="宋体"/>
                <w:color w:val="auto"/>
                <w:sz w:val="24"/>
                <w:szCs w:val="24"/>
              </w:rPr>
              <w:t>果蔬类</w:t>
            </w:r>
          </w:p>
        </w:tc>
        <w:tc>
          <w:tcPr>
            <w:tcW w:w="1134" w:type="dxa"/>
            <w:noWrap w:val="0"/>
            <w:vAlign w:val="center"/>
          </w:tcPr>
          <w:p w14:paraId="3502959B">
            <w:pPr>
              <w:jc w:val="center"/>
              <w:rPr>
                <w:rFonts w:ascii="宋体" w:hAnsi="宋体" w:cs="宋体"/>
                <w:color w:val="auto"/>
                <w:sz w:val="24"/>
                <w:szCs w:val="24"/>
              </w:rPr>
            </w:pPr>
            <w:r>
              <w:rPr>
                <w:rFonts w:hint="eastAsia" w:ascii="宋体" w:hAnsi="宋体" w:cs="宋体"/>
                <w:color w:val="auto"/>
                <w:sz w:val="24"/>
                <w:szCs w:val="24"/>
              </w:rPr>
              <w:t>果蔬类</w:t>
            </w:r>
          </w:p>
          <w:p w14:paraId="2BAD4BE8">
            <w:pPr>
              <w:jc w:val="center"/>
              <w:rPr>
                <w:rFonts w:ascii="宋体" w:hAnsi="宋体" w:cs="宋体"/>
                <w:color w:val="auto"/>
                <w:sz w:val="24"/>
                <w:szCs w:val="24"/>
              </w:rPr>
            </w:pPr>
            <w:r>
              <w:rPr>
                <w:rFonts w:hint="eastAsia" w:ascii="宋体" w:hAnsi="宋体" w:cs="宋体"/>
                <w:color w:val="auto"/>
                <w:sz w:val="24"/>
                <w:szCs w:val="24"/>
              </w:rPr>
              <w:t>（番茄、黄瓜、茄子、辣椒等）</w:t>
            </w:r>
          </w:p>
        </w:tc>
        <w:tc>
          <w:tcPr>
            <w:tcW w:w="3827" w:type="dxa"/>
            <w:tcBorders>
              <w:right w:val="single" w:color="auto" w:sz="4" w:space="0"/>
            </w:tcBorders>
            <w:noWrap w:val="0"/>
            <w:vAlign w:val="center"/>
          </w:tcPr>
          <w:p w14:paraId="05ACBC7E">
            <w:pPr>
              <w:rPr>
                <w:rFonts w:ascii="宋体" w:hAnsi="宋体"/>
                <w:color w:val="auto"/>
                <w:sz w:val="24"/>
                <w:szCs w:val="24"/>
              </w:rPr>
            </w:pPr>
            <w:r>
              <w:rPr>
                <w:rFonts w:hint="eastAsia" w:ascii="宋体" w:hAnsi="宋体" w:cs="宋体"/>
                <w:color w:val="auto"/>
                <w:sz w:val="24"/>
                <w:szCs w:val="24"/>
              </w:rPr>
              <w:t>果实整洁，成熟度适中，无裂果及空洞现象，茄果不能有裂蒂及果皮变硬现象，无虫害，无疤点，无断裂，无腐烂、异味，不带泥土，无明显机械伤，</w:t>
            </w:r>
            <w:r>
              <w:rPr>
                <w:rFonts w:hint="eastAsia" w:ascii="宋体" w:hAnsi="宋体"/>
                <w:color w:val="auto"/>
                <w:sz w:val="24"/>
                <w:szCs w:val="24"/>
              </w:rPr>
              <w:t>农药残留不超标</w:t>
            </w:r>
            <w:r>
              <w:rPr>
                <w:rFonts w:hint="eastAsia" w:ascii="宋体" w:hAnsi="宋体" w:cs="宋体"/>
                <w:color w:val="auto"/>
                <w:sz w:val="24"/>
                <w:szCs w:val="24"/>
              </w:rPr>
              <w:t>。</w:t>
            </w:r>
          </w:p>
        </w:tc>
        <w:tc>
          <w:tcPr>
            <w:tcW w:w="2126" w:type="dxa"/>
            <w:tcBorders>
              <w:left w:val="single" w:color="auto" w:sz="4" w:space="0"/>
              <w:right w:val="single" w:color="auto" w:sz="4" w:space="0"/>
            </w:tcBorders>
            <w:noWrap w:val="0"/>
            <w:vAlign w:val="center"/>
          </w:tcPr>
          <w:p w14:paraId="34F0CA26">
            <w:pPr>
              <w:rPr>
                <w:rFonts w:ascii="宋体" w:hAnsi="宋体"/>
                <w:color w:val="auto"/>
                <w:sz w:val="24"/>
                <w:szCs w:val="24"/>
              </w:rPr>
            </w:pPr>
            <w:r>
              <w:rPr>
                <w:rFonts w:hint="eastAsia" w:ascii="宋体" w:hAnsi="宋体"/>
                <w:color w:val="auto"/>
                <w:sz w:val="24"/>
                <w:szCs w:val="24"/>
              </w:rPr>
              <w:t>与质量标准要求不符，部分产品浸水后仍不可恢复，与采购人自购标准存在较大负偏差，农药残留超标。</w:t>
            </w:r>
          </w:p>
        </w:tc>
        <w:tc>
          <w:tcPr>
            <w:tcW w:w="1418" w:type="dxa"/>
            <w:vMerge w:val="restart"/>
            <w:tcBorders>
              <w:left w:val="single" w:color="auto" w:sz="4" w:space="0"/>
            </w:tcBorders>
            <w:noWrap w:val="0"/>
            <w:vAlign w:val="center"/>
          </w:tcPr>
          <w:p w14:paraId="2FA38E64">
            <w:pPr>
              <w:jc w:val="center"/>
              <w:rPr>
                <w:rFonts w:ascii="宋体" w:hAnsi="宋体"/>
                <w:color w:val="auto"/>
                <w:sz w:val="24"/>
                <w:szCs w:val="24"/>
              </w:rPr>
            </w:pPr>
            <w:r>
              <w:rPr>
                <w:rFonts w:hint="eastAsia" w:ascii="宋体" w:hAnsi="宋体"/>
                <w:color w:val="auto"/>
                <w:sz w:val="24"/>
                <w:szCs w:val="24"/>
              </w:rPr>
              <w:t>国家或行业相关标准</w:t>
            </w:r>
          </w:p>
        </w:tc>
      </w:tr>
      <w:tr w14:paraId="6460F1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959" w:type="dxa"/>
            <w:vMerge w:val="continue"/>
            <w:noWrap w:val="0"/>
            <w:vAlign w:val="center"/>
          </w:tcPr>
          <w:p w14:paraId="278CA166">
            <w:pPr>
              <w:jc w:val="center"/>
              <w:rPr>
                <w:rFonts w:ascii="宋体" w:hAnsi="宋体" w:cs="宋体"/>
                <w:color w:val="auto"/>
                <w:sz w:val="24"/>
                <w:szCs w:val="24"/>
              </w:rPr>
            </w:pPr>
          </w:p>
        </w:tc>
        <w:tc>
          <w:tcPr>
            <w:tcW w:w="1134" w:type="dxa"/>
            <w:noWrap w:val="0"/>
            <w:vAlign w:val="center"/>
          </w:tcPr>
          <w:p w14:paraId="706AB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color w:val="auto"/>
                <w:sz w:val="24"/>
                <w:szCs w:val="24"/>
              </w:rPr>
            </w:pPr>
            <w:r>
              <w:rPr>
                <w:rFonts w:hint="eastAsia" w:ascii="宋体" w:hAnsi="宋体" w:cs="宋体"/>
                <w:color w:val="auto"/>
                <w:sz w:val="24"/>
                <w:szCs w:val="24"/>
              </w:rPr>
              <w:t>根茎类</w:t>
            </w:r>
          </w:p>
          <w:p w14:paraId="29A7DD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color w:val="auto"/>
                <w:sz w:val="24"/>
                <w:szCs w:val="24"/>
              </w:rPr>
            </w:pPr>
            <w:r>
              <w:rPr>
                <w:rFonts w:hint="eastAsia" w:ascii="宋体" w:hAnsi="宋体" w:cs="宋体"/>
                <w:color w:val="auto"/>
                <w:sz w:val="24"/>
                <w:szCs w:val="24"/>
              </w:rPr>
              <w:t>（萝卜、土豆等）</w:t>
            </w:r>
          </w:p>
        </w:tc>
        <w:tc>
          <w:tcPr>
            <w:tcW w:w="3827" w:type="dxa"/>
            <w:tcBorders>
              <w:right w:val="single" w:color="auto" w:sz="4" w:space="0"/>
            </w:tcBorders>
            <w:noWrap w:val="0"/>
            <w:vAlign w:val="center"/>
          </w:tcPr>
          <w:p w14:paraId="5C9E32C7">
            <w:pPr>
              <w:rPr>
                <w:rFonts w:ascii="宋体" w:hAnsi="宋体"/>
                <w:color w:val="auto"/>
                <w:sz w:val="24"/>
                <w:szCs w:val="24"/>
              </w:rPr>
            </w:pPr>
            <w:r>
              <w:rPr>
                <w:rFonts w:hint="eastAsia" w:ascii="宋体" w:hAnsi="宋体" w:cs="宋体"/>
                <w:color w:val="auto"/>
                <w:sz w:val="24"/>
                <w:szCs w:val="24"/>
              </w:rPr>
              <w:t>无虫咬、发芽、发霉现象，表皮细致光滑，肉质脆嫩致密新鲜，无腐烂、裂痕、糠心、异味，不带泥沙，不带茎叶和须根。</w:t>
            </w:r>
          </w:p>
        </w:tc>
        <w:tc>
          <w:tcPr>
            <w:tcW w:w="2126" w:type="dxa"/>
            <w:vMerge w:val="restart"/>
            <w:tcBorders>
              <w:left w:val="single" w:color="auto" w:sz="4" w:space="0"/>
              <w:right w:val="single" w:color="auto" w:sz="4" w:space="0"/>
            </w:tcBorders>
            <w:noWrap w:val="0"/>
            <w:vAlign w:val="center"/>
          </w:tcPr>
          <w:p w14:paraId="17B3E129">
            <w:pPr>
              <w:rPr>
                <w:rFonts w:ascii="宋体" w:hAnsi="宋体"/>
                <w:color w:val="auto"/>
                <w:sz w:val="24"/>
                <w:szCs w:val="24"/>
              </w:rPr>
            </w:pPr>
            <w:r>
              <w:rPr>
                <w:rFonts w:hint="eastAsia" w:ascii="宋体" w:hAnsi="宋体"/>
                <w:color w:val="auto"/>
                <w:sz w:val="24"/>
                <w:szCs w:val="24"/>
              </w:rPr>
              <w:t>与质量标准要求不符，部分产品浸水后仍不可恢复，与采购人自购标准存在较大负偏差。</w:t>
            </w:r>
          </w:p>
        </w:tc>
        <w:tc>
          <w:tcPr>
            <w:tcW w:w="1418" w:type="dxa"/>
            <w:vMerge w:val="continue"/>
            <w:tcBorders>
              <w:left w:val="single" w:color="auto" w:sz="4" w:space="0"/>
            </w:tcBorders>
            <w:noWrap w:val="0"/>
            <w:vAlign w:val="center"/>
          </w:tcPr>
          <w:p w14:paraId="64A71CAE">
            <w:pPr>
              <w:jc w:val="center"/>
              <w:rPr>
                <w:rFonts w:ascii="宋体" w:hAnsi="宋体"/>
                <w:color w:val="auto"/>
                <w:sz w:val="24"/>
                <w:szCs w:val="24"/>
              </w:rPr>
            </w:pPr>
          </w:p>
        </w:tc>
      </w:tr>
      <w:tr w14:paraId="75F201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959" w:type="dxa"/>
            <w:vMerge w:val="continue"/>
            <w:noWrap w:val="0"/>
            <w:vAlign w:val="center"/>
          </w:tcPr>
          <w:p w14:paraId="3740C586">
            <w:pPr>
              <w:jc w:val="center"/>
              <w:rPr>
                <w:rFonts w:ascii="宋体" w:hAnsi="宋体" w:cs="宋体"/>
                <w:color w:val="auto"/>
                <w:sz w:val="24"/>
                <w:szCs w:val="24"/>
              </w:rPr>
            </w:pPr>
          </w:p>
        </w:tc>
        <w:tc>
          <w:tcPr>
            <w:tcW w:w="1134" w:type="dxa"/>
            <w:noWrap w:val="0"/>
            <w:vAlign w:val="center"/>
          </w:tcPr>
          <w:p w14:paraId="6D226484">
            <w:pPr>
              <w:jc w:val="center"/>
              <w:rPr>
                <w:rFonts w:ascii="宋体" w:hAnsi="宋体" w:cs="宋体"/>
                <w:color w:val="auto"/>
                <w:sz w:val="24"/>
                <w:szCs w:val="24"/>
              </w:rPr>
            </w:pPr>
            <w:r>
              <w:rPr>
                <w:rFonts w:hint="eastAsia" w:ascii="宋体" w:hAnsi="宋体" w:cs="宋体"/>
                <w:color w:val="auto"/>
                <w:sz w:val="24"/>
                <w:szCs w:val="24"/>
              </w:rPr>
              <w:t>葱蒜类</w:t>
            </w:r>
          </w:p>
          <w:p w14:paraId="3B197858">
            <w:pPr>
              <w:jc w:val="center"/>
              <w:rPr>
                <w:rFonts w:ascii="宋体" w:hAnsi="宋体" w:cs="宋体"/>
                <w:color w:val="auto"/>
                <w:sz w:val="24"/>
                <w:szCs w:val="24"/>
              </w:rPr>
            </w:pPr>
            <w:r>
              <w:rPr>
                <w:rFonts w:hint="eastAsia" w:ascii="宋体" w:hAnsi="宋体" w:cs="宋体"/>
                <w:color w:val="auto"/>
                <w:sz w:val="24"/>
                <w:szCs w:val="24"/>
              </w:rPr>
              <w:t>（葱、蒜、韭菜、洋葱等）</w:t>
            </w:r>
          </w:p>
        </w:tc>
        <w:tc>
          <w:tcPr>
            <w:tcW w:w="3827" w:type="dxa"/>
            <w:tcBorders>
              <w:right w:val="single" w:color="auto" w:sz="4" w:space="0"/>
            </w:tcBorders>
            <w:noWrap w:val="0"/>
            <w:vAlign w:val="center"/>
          </w:tcPr>
          <w:p w14:paraId="184EF9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olor w:val="auto"/>
                <w:sz w:val="24"/>
                <w:szCs w:val="24"/>
              </w:rPr>
            </w:pPr>
            <w:r>
              <w:rPr>
                <w:rFonts w:hint="eastAsia" w:ascii="宋体" w:hAnsi="宋体" w:cs="宋体"/>
                <w:color w:val="auto"/>
                <w:sz w:val="24"/>
                <w:szCs w:val="24"/>
              </w:rPr>
              <w:t>允许葱、青蒜类保留干净须根，葱、蒜、韭菜不带老叶，蒜头、洋葱去根去枯叶，可食部分新鲜幼嫩，无腐烂、异味。</w:t>
            </w:r>
          </w:p>
        </w:tc>
        <w:tc>
          <w:tcPr>
            <w:tcW w:w="2126" w:type="dxa"/>
            <w:vMerge w:val="continue"/>
            <w:tcBorders>
              <w:left w:val="single" w:color="auto" w:sz="4" w:space="0"/>
              <w:right w:val="single" w:color="auto" w:sz="4" w:space="0"/>
            </w:tcBorders>
            <w:noWrap w:val="0"/>
            <w:vAlign w:val="center"/>
          </w:tcPr>
          <w:p w14:paraId="395A85E4">
            <w:pPr>
              <w:jc w:val="center"/>
              <w:rPr>
                <w:rFonts w:ascii="宋体" w:hAnsi="宋体"/>
                <w:color w:val="auto"/>
                <w:sz w:val="24"/>
                <w:szCs w:val="24"/>
              </w:rPr>
            </w:pPr>
          </w:p>
        </w:tc>
        <w:tc>
          <w:tcPr>
            <w:tcW w:w="1418" w:type="dxa"/>
            <w:vMerge w:val="continue"/>
            <w:tcBorders>
              <w:left w:val="single" w:color="auto" w:sz="4" w:space="0"/>
            </w:tcBorders>
            <w:noWrap w:val="0"/>
            <w:vAlign w:val="center"/>
          </w:tcPr>
          <w:p w14:paraId="4B2690E4">
            <w:pPr>
              <w:jc w:val="center"/>
              <w:rPr>
                <w:rFonts w:ascii="宋体" w:hAnsi="宋体"/>
                <w:color w:val="auto"/>
                <w:sz w:val="24"/>
                <w:szCs w:val="24"/>
              </w:rPr>
            </w:pPr>
          </w:p>
        </w:tc>
      </w:tr>
      <w:tr w14:paraId="52DB18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959" w:type="dxa"/>
            <w:vMerge w:val="continue"/>
            <w:noWrap w:val="0"/>
            <w:vAlign w:val="center"/>
          </w:tcPr>
          <w:p w14:paraId="3AF6D84D">
            <w:pPr>
              <w:jc w:val="center"/>
              <w:rPr>
                <w:rFonts w:ascii="宋体" w:hAnsi="宋体" w:cs="宋体"/>
                <w:color w:val="auto"/>
                <w:sz w:val="24"/>
                <w:szCs w:val="24"/>
              </w:rPr>
            </w:pPr>
          </w:p>
        </w:tc>
        <w:tc>
          <w:tcPr>
            <w:tcW w:w="1134" w:type="dxa"/>
            <w:noWrap w:val="0"/>
            <w:vAlign w:val="center"/>
          </w:tcPr>
          <w:p w14:paraId="72EA04A2">
            <w:pPr>
              <w:jc w:val="center"/>
              <w:rPr>
                <w:rFonts w:ascii="宋体" w:hAnsi="宋体" w:cs="宋体"/>
                <w:color w:val="auto"/>
                <w:sz w:val="24"/>
                <w:szCs w:val="24"/>
              </w:rPr>
            </w:pPr>
            <w:r>
              <w:rPr>
                <w:rFonts w:hint="eastAsia" w:ascii="宋体" w:hAnsi="宋体" w:cs="宋体"/>
                <w:color w:val="auto"/>
                <w:sz w:val="24"/>
                <w:szCs w:val="24"/>
              </w:rPr>
              <w:t>水生菜类</w:t>
            </w:r>
          </w:p>
          <w:p w14:paraId="1CDAE0CF">
            <w:pPr>
              <w:jc w:val="center"/>
              <w:rPr>
                <w:rFonts w:ascii="宋体" w:hAnsi="宋体" w:cs="宋体"/>
                <w:color w:val="auto"/>
                <w:sz w:val="24"/>
                <w:szCs w:val="24"/>
              </w:rPr>
            </w:pPr>
            <w:r>
              <w:rPr>
                <w:rFonts w:hint="eastAsia" w:ascii="宋体" w:hAnsi="宋体" w:cs="宋体"/>
                <w:color w:val="auto"/>
                <w:sz w:val="24"/>
                <w:szCs w:val="24"/>
              </w:rPr>
              <w:t>（藕、菱白等）</w:t>
            </w:r>
          </w:p>
        </w:tc>
        <w:tc>
          <w:tcPr>
            <w:tcW w:w="3827" w:type="dxa"/>
            <w:tcBorders>
              <w:right w:val="single" w:color="auto" w:sz="4" w:space="0"/>
            </w:tcBorders>
            <w:noWrap w:val="0"/>
            <w:vAlign w:val="center"/>
          </w:tcPr>
          <w:p w14:paraId="719DFB34">
            <w:pPr>
              <w:rPr>
                <w:rFonts w:ascii="宋体" w:hAnsi="宋体"/>
                <w:color w:val="auto"/>
                <w:sz w:val="24"/>
                <w:szCs w:val="24"/>
              </w:rPr>
            </w:pPr>
            <w:r>
              <w:rPr>
                <w:rFonts w:hint="eastAsia" w:ascii="宋体" w:hAnsi="宋体" w:cs="宋体"/>
                <w:color w:val="auto"/>
                <w:sz w:val="24"/>
                <w:szCs w:val="24"/>
              </w:rPr>
              <w:t>肉质嫩，成熟度适中，无腐烂、异味，无明显机械伤，不带泥土和杂质，不干瘪，菱白不黑心。</w:t>
            </w:r>
          </w:p>
        </w:tc>
        <w:tc>
          <w:tcPr>
            <w:tcW w:w="2126" w:type="dxa"/>
            <w:vMerge w:val="continue"/>
            <w:tcBorders>
              <w:left w:val="single" w:color="auto" w:sz="4" w:space="0"/>
              <w:right w:val="single" w:color="auto" w:sz="4" w:space="0"/>
            </w:tcBorders>
            <w:noWrap w:val="0"/>
            <w:vAlign w:val="center"/>
          </w:tcPr>
          <w:p w14:paraId="23B758FE">
            <w:pPr>
              <w:jc w:val="center"/>
              <w:rPr>
                <w:rFonts w:ascii="宋体" w:hAnsi="宋体"/>
                <w:color w:val="auto"/>
                <w:sz w:val="24"/>
                <w:szCs w:val="24"/>
              </w:rPr>
            </w:pPr>
          </w:p>
        </w:tc>
        <w:tc>
          <w:tcPr>
            <w:tcW w:w="1418" w:type="dxa"/>
            <w:vMerge w:val="continue"/>
            <w:tcBorders>
              <w:left w:val="single" w:color="auto" w:sz="4" w:space="0"/>
            </w:tcBorders>
            <w:noWrap w:val="0"/>
            <w:vAlign w:val="center"/>
          </w:tcPr>
          <w:p w14:paraId="49194DDF">
            <w:pPr>
              <w:jc w:val="center"/>
              <w:rPr>
                <w:rFonts w:ascii="宋体" w:hAnsi="宋体"/>
                <w:color w:val="auto"/>
                <w:sz w:val="24"/>
                <w:szCs w:val="24"/>
              </w:rPr>
            </w:pPr>
          </w:p>
        </w:tc>
      </w:tr>
      <w:tr w14:paraId="2EC03B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36" w:hRule="atLeast"/>
        </w:trPr>
        <w:tc>
          <w:tcPr>
            <w:tcW w:w="959" w:type="dxa"/>
            <w:vMerge w:val="continue"/>
            <w:noWrap w:val="0"/>
            <w:vAlign w:val="center"/>
          </w:tcPr>
          <w:p w14:paraId="304C43E1">
            <w:pPr>
              <w:jc w:val="center"/>
              <w:rPr>
                <w:rFonts w:ascii="宋体" w:hAnsi="宋体" w:cs="宋体"/>
                <w:color w:val="auto"/>
                <w:sz w:val="24"/>
                <w:szCs w:val="24"/>
              </w:rPr>
            </w:pPr>
          </w:p>
        </w:tc>
        <w:tc>
          <w:tcPr>
            <w:tcW w:w="1134" w:type="dxa"/>
            <w:noWrap w:val="0"/>
            <w:vAlign w:val="center"/>
          </w:tcPr>
          <w:p w14:paraId="13A4D2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color w:val="auto"/>
                <w:sz w:val="24"/>
                <w:szCs w:val="24"/>
              </w:rPr>
            </w:pPr>
            <w:r>
              <w:rPr>
                <w:rFonts w:hint="eastAsia" w:ascii="宋体" w:hAnsi="宋体" w:cs="宋体"/>
                <w:color w:val="auto"/>
                <w:sz w:val="24"/>
                <w:szCs w:val="24"/>
              </w:rPr>
              <w:t>芽苗类</w:t>
            </w:r>
          </w:p>
          <w:p w14:paraId="3D520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color w:val="auto"/>
                <w:sz w:val="24"/>
                <w:szCs w:val="24"/>
              </w:rPr>
            </w:pPr>
            <w:r>
              <w:rPr>
                <w:rFonts w:hint="eastAsia" w:ascii="宋体" w:hAnsi="宋体" w:cs="宋体"/>
                <w:color w:val="auto"/>
                <w:sz w:val="24"/>
                <w:szCs w:val="24"/>
              </w:rPr>
              <w:t>（豆芽、香椿苗等）</w:t>
            </w:r>
          </w:p>
        </w:tc>
        <w:tc>
          <w:tcPr>
            <w:tcW w:w="3827" w:type="dxa"/>
            <w:tcBorders>
              <w:right w:val="single" w:color="auto" w:sz="4" w:space="0"/>
            </w:tcBorders>
            <w:noWrap w:val="0"/>
            <w:vAlign w:val="center"/>
          </w:tcPr>
          <w:p w14:paraId="25B3A0E9">
            <w:pPr>
              <w:rPr>
                <w:rFonts w:ascii="宋体" w:hAnsi="宋体"/>
                <w:color w:val="auto"/>
                <w:sz w:val="24"/>
                <w:szCs w:val="24"/>
              </w:rPr>
            </w:pPr>
            <w:r>
              <w:rPr>
                <w:rFonts w:hint="eastAsia" w:ascii="宋体" w:hAnsi="宋体" w:cs="宋体"/>
                <w:color w:val="auto"/>
                <w:sz w:val="24"/>
                <w:szCs w:val="24"/>
              </w:rPr>
              <w:t>芽苗幼嫩，不带豆壳杂质，新鲜，不浸水，无腐烂、异味。</w:t>
            </w:r>
          </w:p>
        </w:tc>
        <w:tc>
          <w:tcPr>
            <w:tcW w:w="2126" w:type="dxa"/>
            <w:vMerge w:val="continue"/>
            <w:tcBorders>
              <w:left w:val="single" w:color="auto" w:sz="4" w:space="0"/>
              <w:right w:val="single" w:color="auto" w:sz="4" w:space="0"/>
            </w:tcBorders>
            <w:noWrap w:val="0"/>
            <w:vAlign w:val="center"/>
          </w:tcPr>
          <w:p w14:paraId="0EA7CEDC">
            <w:pPr>
              <w:jc w:val="center"/>
              <w:rPr>
                <w:rFonts w:ascii="宋体" w:hAnsi="宋体"/>
                <w:color w:val="auto"/>
                <w:sz w:val="24"/>
                <w:szCs w:val="24"/>
              </w:rPr>
            </w:pPr>
          </w:p>
        </w:tc>
        <w:tc>
          <w:tcPr>
            <w:tcW w:w="1418" w:type="dxa"/>
            <w:vMerge w:val="continue"/>
            <w:tcBorders>
              <w:left w:val="single" w:color="auto" w:sz="4" w:space="0"/>
            </w:tcBorders>
            <w:noWrap w:val="0"/>
            <w:vAlign w:val="center"/>
          </w:tcPr>
          <w:p w14:paraId="45B0D210">
            <w:pPr>
              <w:jc w:val="center"/>
              <w:rPr>
                <w:rFonts w:ascii="宋体" w:hAnsi="宋体"/>
                <w:color w:val="auto"/>
                <w:sz w:val="24"/>
                <w:szCs w:val="24"/>
              </w:rPr>
            </w:pPr>
          </w:p>
        </w:tc>
      </w:tr>
      <w:tr w14:paraId="509855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1" w:hRule="atLeast"/>
        </w:trPr>
        <w:tc>
          <w:tcPr>
            <w:tcW w:w="959" w:type="dxa"/>
            <w:vMerge w:val="continue"/>
            <w:noWrap w:val="0"/>
            <w:vAlign w:val="center"/>
          </w:tcPr>
          <w:p w14:paraId="434E044B">
            <w:pPr>
              <w:jc w:val="center"/>
              <w:rPr>
                <w:rFonts w:ascii="宋体" w:hAnsi="宋体" w:cs="宋体"/>
                <w:color w:val="auto"/>
                <w:sz w:val="24"/>
                <w:szCs w:val="24"/>
              </w:rPr>
            </w:pPr>
          </w:p>
        </w:tc>
        <w:tc>
          <w:tcPr>
            <w:tcW w:w="1134" w:type="dxa"/>
            <w:noWrap w:val="0"/>
            <w:vAlign w:val="center"/>
          </w:tcPr>
          <w:p w14:paraId="4B2AC0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color w:val="auto"/>
                <w:sz w:val="24"/>
                <w:szCs w:val="24"/>
              </w:rPr>
            </w:pPr>
            <w:r>
              <w:rPr>
                <w:rFonts w:hint="eastAsia" w:ascii="宋体" w:hAnsi="宋体" w:cs="宋体"/>
                <w:color w:val="auto"/>
                <w:sz w:val="24"/>
                <w:szCs w:val="24"/>
              </w:rPr>
              <w:t>水果类</w:t>
            </w:r>
          </w:p>
        </w:tc>
        <w:tc>
          <w:tcPr>
            <w:tcW w:w="3827" w:type="dxa"/>
            <w:tcBorders>
              <w:right w:val="single" w:color="auto" w:sz="4" w:space="0"/>
            </w:tcBorders>
            <w:noWrap w:val="0"/>
            <w:vAlign w:val="center"/>
          </w:tcPr>
          <w:p w14:paraId="4B1506CC">
            <w:pPr>
              <w:rPr>
                <w:rFonts w:ascii="宋体" w:hAnsi="宋体" w:cs="宋体"/>
                <w:color w:val="auto"/>
                <w:sz w:val="24"/>
                <w:szCs w:val="24"/>
              </w:rPr>
            </w:pPr>
            <w:r>
              <w:rPr>
                <w:rFonts w:hint="eastAsia" w:ascii="宋体" w:hAnsi="宋体" w:cs="宋体"/>
                <w:color w:val="auto"/>
                <w:sz w:val="24"/>
                <w:szCs w:val="24"/>
              </w:rPr>
              <w:t>产品新鲜，有水果应有的颜色；发育充分，无刀伤，无腐烂部位，无农药气味，无臭味；农药残留不超标；成箱包装的品相大小保持一致。</w:t>
            </w:r>
          </w:p>
        </w:tc>
        <w:tc>
          <w:tcPr>
            <w:tcW w:w="2126" w:type="dxa"/>
            <w:tcBorders>
              <w:left w:val="single" w:color="auto" w:sz="4" w:space="0"/>
              <w:right w:val="single" w:color="auto" w:sz="4" w:space="0"/>
            </w:tcBorders>
            <w:noWrap w:val="0"/>
            <w:vAlign w:val="center"/>
          </w:tcPr>
          <w:p w14:paraId="54B803CE">
            <w:pPr>
              <w:jc w:val="center"/>
              <w:rPr>
                <w:rFonts w:ascii="宋体" w:hAnsi="宋体"/>
                <w:color w:val="auto"/>
                <w:sz w:val="24"/>
                <w:szCs w:val="24"/>
              </w:rPr>
            </w:pPr>
            <w:r>
              <w:rPr>
                <w:rFonts w:hint="eastAsia" w:ascii="宋体" w:hAnsi="宋体"/>
                <w:color w:val="auto"/>
                <w:sz w:val="24"/>
                <w:szCs w:val="24"/>
              </w:rPr>
              <w:t>产品腐烂变质，表皮变皱却水分，发育不充分，未完全成熟，品相大小差距比较大，农药残留超标。</w:t>
            </w:r>
          </w:p>
        </w:tc>
        <w:tc>
          <w:tcPr>
            <w:tcW w:w="1418" w:type="dxa"/>
            <w:vMerge w:val="continue"/>
            <w:tcBorders>
              <w:left w:val="single" w:color="auto" w:sz="4" w:space="0"/>
            </w:tcBorders>
            <w:noWrap w:val="0"/>
            <w:vAlign w:val="center"/>
          </w:tcPr>
          <w:p w14:paraId="2D26D6AE">
            <w:pPr>
              <w:jc w:val="center"/>
              <w:rPr>
                <w:rFonts w:ascii="宋体" w:hAnsi="宋体"/>
                <w:color w:val="auto"/>
                <w:sz w:val="24"/>
                <w:szCs w:val="24"/>
              </w:rPr>
            </w:pPr>
          </w:p>
        </w:tc>
      </w:tr>
      <w:tr w14:paraId="15D22F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80" w:hRule="atLeast"/>
        </w:trPr>
        <w:tc>
          <w:tcPr>
            <w:tcW w:w="959" w:type="dxa"/>
            <w:vMerge w:val="restart"/>
            <w:noWrap w:val="0"/>
            <w:vAlign w:val="center"/>
          </w:tcPr>
          <w:p w14:paraId="748D41AC">
            <w:pPr>
              <w:jc w:val="center"/>
              <w:rPr>
                <w:rFonts w:ascii="宋体" w:hAnsi="宋体" w:cs="宋体"/>
                <w:color w:val="auto"/>
                <w:sz w:val="24"/>
                <w:szCs w:val="24"/>
              </w:rPr>
            </w:pPr>
            <w:r>
              <w:rPr>
                <w:rFonts w:hint="eastAsia" w:ascii="宋体" w:hAnsi="宋体" w:cs="宋体"/>
                <w:color w:val="auto"/>
                <w:sz w:val="24"/>
                <w:szCs w:val="24"/>
              </w:rPr>
              <w:t>蛋奶</w:t>
            </w:r>
          </w:p>
        </w:tc>
        <w:tc>
          <w:tcPr>
            <w:tcW w:w="1134" w:type="dxa"/>
            <w:noWrap w:val="0"/>
            <w:vAlign w:val="center"/>
          </w:tcPr>
          <w:p w14:paraId="0E7E98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color w:val="auto"/>
                <w:sz w:val="24"/>
                <w:szCs w:val="24"/>
              </w:rPr>
            </w:pPr>
            <w:r>
              <w:rPr>
                <w:rFonts w:hint="eastAsia" w:ascii="宋体" w:hAnsi="宋体" w:cs="宋体"/>
                <w:color w:val="auto"/>
                <w:sz w:val="24"/>
                <w:szCs w:val="24"/>
              </w:rPr>
              <w:t>鸡蛋</w:t>
            </w:r>
          </w:p>
        </w:tc>
        <w:tc>
          <w:tcPr>
            <w:tcW w:w="3827" w:type="dxa"/>
            <w:tcBorders>
              <w:right w:val="single" w:color="auto" w:sz="4" w:space="0"/>
            </w:tcBorders>
            <w:noWrap w:val="0"/>
            <w:vAlign w:val="center"/>
          </w:tcPr>
          <w:p w14:paraId="28D8AF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olor w:val="auto"/>
                <w:sz w:val="24"/>
                <w:szCs w:val="24"/>
              </w:rPr>
            </w:pPr>
            <w:r>
              <w:rPr>
                <w:rFonts w:hint="eastAsia" w:ascii="宋体" w:hAnsi="宋体" w:cs="宋体"/>
                <w:color w:val="auto"/>
                <w:sz w:val="24"/>
                <w:szCs w:val="24"/>
              </w:rPr>
              <w:t>蛋壳清洁完整，色泽鲜明，无破损、裂纹，无霉斑，灯光透视时，整个蛋呈桔黄色至橙红色，蛋黄不见或略见阴影，没有霉味、酸味，臭味等不良气味，打开后蛋黄凸起、完整、有韧性，蛋白澄清、透明、稀稠分明，无异味。</w:t>
            </w:r>
          </w:p>
        </w:tc>
        <w:tc>
          <w:tcPr>
            <w:tcW w:w="2126" w:type="dxa"/>
            <w:vMerge w:val="restart"/>
            <w:tcBorders>
              <w:left w:val="single" w:color="auto" w:sz="4" w:space="0"/>
              <w:right w:val="single" w:color="auto" w:sz="4" w:space="0"/>
            </w:tcBorders>
            <w:noWrap w:val="0"/>
            <w:vAlign w:val="center"/>
          </w:tcPr>
          <w:p w14:paraId="3C17DC48">
            <w:pPr>
              <w:rPr>
                <w:rFonts w:ascii="宋体" w:hAnsi="宋体"/>
                <w:color w:val="auto"/>
                <w:sz w:val="24"/>
                <w:szCs w:val="24"/>
              </w:rPr>
            </w:pPr>
            <w:r>
              <w:rPr>
                <w:rFonts w:hint="eastAsia" w:ascii="宋体" w:hAnsi="宋体"/>
                <w:color w:val="auto"/>
                <w:sz w:val="24"/>
                <w:szCs w:val="24"/>
              </w:rPr>
              <w:t>蛋壳破损严重，有霉斑，散发霉臭味，与质量标准要求较多不符。</w:t>
            </w:r>
          </w:p>
        </w:tc>
        <w:tc>
          <w:tcPr>
            <w:tcW w:w="1418" w:type="dxa"/>
            <w:vMerge w:val="restart"/>
            <w:tcBorders>
              <w:left w:val="single" w:color="auto" w:sz="4" w:space="0"/>
            </w:tcBorders>
            <w:noWrap w:val="0"/>
            <w:vAlign w:val="center"/>
          </w:tcPr>
          <w:p w14:paraId="0E6F0505">
            <w:pPr>
              <w:jc w:val="center"/>
              <w:rPr>
                <w:rFonts w:ascii="宋体" w:hAnsi="宋体"/>
                <w:color w:val="auto"/>
                <w:sz w:val="24"/>
                <w:szCs w:val="24"/>
              </w:rPr>
            </w:pPr>
            <w:r>
              <w:rPr>
                <w:rFonts w:hint="eastAsia" w:ascii="宋体" w:hAnsi="宋体"/>
                <w:color w:val="auto"/>
                <w:sz w:val="24"/>
                <w:szCs w:val="24"/>
              </w:rPr>
              <w:t>国家或行业相关标准</w:t>
            </w:r>
          </w:p>
        </w:tc>
      </w:tr>
      <w:tr w14:paraId="3552BF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48" w:hRule="atLeast"/>
        </w:trPr>
        <w:tc>
          <w:tcPr>
            <w:tcW w:w="959" w:type="dxa"/>
            <w:vMerge w:val="continue"/>
            <w:noWrap w:val="0"/>
            <w:vAlign w:val="center"/>
          </w:tcPr>
          <w:p w14:paraId="579844DC">
            <w:pPr>
              <w:jc w:val="center"/>
              <w:rPr>
                <w:rFonts w:ascii="宋体" w:hAnsi="宋体" w:cs="宋体"/>
                <w:color w:val="auto"/>
                <w:sz w:val="24"/>
                <w:szCs w:val="24"/>
              </w:rPr>
            </w:pPr>
          </w:p>
        </w:tc>
        <w:tc>
          <w:tcPr>
            <w:tcW w:w="1134" w:type="dxa"/>
            <w:noWrap w:val="0"/>
            <w:vAlign w:val="center"/>
          </w:tcPr>
          <w:p w14:paraId="70897E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color w:val="auto"/>
                <w:sz w:val="24"/>
                <w:szCs w:val="24"/>
              </w:rPr>
            </w:pPr>
            <w:r>
              <w:rPr>
                <w:rFonts w:hint="eastAsia" w:ascii="宋体" w:hAnsi="宋体" w:cs="宋体"/>
                <w:color w:val="auto"/>
                <w:sz w:val="24"/>
                <w:szCs w:val="24"/>
              </w:rPr>
              <w:t>皮蛋</w:t>
            </w:r>
          </w:p>
        </w:tc>
        <w:tc>
          <w:tcPr>
            <w:tcW w:w="3827" w:type="dxa"/>
            <w:tcBorders>
              <w:right w:val="single" w:color="auto" w:sz="4" w:space="0"/>
            </w:tcBorders>
            <w:noWrap w:val="0"/>
            <w:vAlign w:val="center"/>
          </w:tcPr>
          <w:p w14:paraId="02872F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olor w:val="auto"/>
                <w:sz w:val="24"/>
                <w:szCs w:val="24"/>
              </w:rPr>
            </w:pPr>
            <w:r>
              <w:rPr>
                <w:rFonts w:hint="eastAsia" w:ascii="宋体" w:hAnsi="宋体" w:cs="宋体"/>
                <w:color w:val="auto"/>
                <w:sz w:val="24"/>
                <w:szCs w:val="24"/>
              </w:rPr>
              <w:t>外表泥状包料完整、无霉斑，包料除掉后蛋壳亦完整无损，灯光透照蛋内容物凝固不动，打开观察，整个蛋凝固、不粘壳、清洁而有弹性，呈半透明的棕黄色，闻起来有芳香，无辛辣气。</w:t>
            </w:r>
          </w:p>
        </w:tc>
        <w:tc>
          <w:tcPr>
            <w:tcW w:w="2126" w:type="dxa"/>
            <w:vMerge w:val="continue"/>
            <w:tcBorders>
              <w:left w:val="single" w:color="auto" w:sz="4" w:space="0"/>
              <w:right w:val="single" w:color="auto" w:sz="4" w:space="0"/>
            </w:tcBorders>
            <w:noWrap w:val="0"/>
            <w:vAlign w:val="center"/>
          </w:tcPr>
          <w:p w14:paraId="6641C7B6">
            <w:pPr>
              <w:jc w:val="center"/>
              <w:rPr>
                <w:rFonts w:ascii="宋体" w:hAnsi="宋体"/>
                <w:color w:val="auto"/>
                <w:sz w:val="24"/>
                <w:szCs w:val="24"/>
              </w:rPr>
            </w:pPr>
          </w:p>
        </w:tc>
        <w:tc>
          <w:tcPr>
            <w:tcW w:w="1418" w:type="dxa"/>
            <w:vMerge w:val="continue"/>
            <w:tcBorders>
              <w:left w:val="single" w:color="auto" w:sz="4" w:space="0"/>
            </w:tcBorders>
            <w:noWrap w:val="0"/>
            <w:vAlign w:val="center"/>
          </w:tcPr>
          <w:p w14:paraId="3BF9FBF1">
            <w:pPr>
              <w:jc w:val="center"/>
              <w:rPr>
                <w:rFonts w:ascii="宋体" w:hAnsi="宋体"/>
                <w:color w:val="auto"/>
                <w:sz w:val="24"/>
                <w:szCs w:val="24"/>
              </w:rPr>
            </w:pPr>
          </w:p>
        </w:tc>
      </w:tr>
      <w:tr w14:paraId="5E6D09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05" w:hRule="atLeast"/>
        </w:trPr>
        <w:tc>
          <w:tcPr>
            <w:tcW w:w="959" w:type="dxa"/>
            <w:vMerge w:val="continue"/>
            <w:noWrap w:val="0"/>
            <w:vAlign w:val="center"/>
          </w:tcPr>
          <w:p w14:paraId="3B0555A0">
            <w:pPr>
              <w:jc w:val="center"/>
              <w:rPr>
                <w:rFonts w:ascii="宋体" w:hAnsi="宋体" w:cs="宋体"/>
                <w:color w:val="auto"/>
                <w:sz w:val="24"/>
                <w:szCs w:val="24"/>
              </w:rPr>
            </w:pPr>
          </w:p>
        </w:tc>
        <w:tc>
          <w:tcPr>
            <w:tcW w:w="1134" w:type="dxa"/>
            <w:noWrap w:val="0"/>
            <w:vAlign w:val="center"/>
          </w:tcPr>
          <w:p w14:paraId="0984D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s="宋体"/>
                <w:color w:val="auto"/>
                <w:sz w:val="24"/>
                <w:szCs w:val="24"/>
              </w:rPr>
            </w:pPr>
            <w:r>
              <w:rPr>
                <w:rFonts w:hint="eastAsia" w:ascii="宋体" w:hAnsi="宋体" w:cs="宋体"/>
                <w:color w:val="auto"/>
                <w:sz w:val="24"/>
                <w:szCs w:val="24"/>
              </w:rPr>
              <w:t>咸蛋</w:t>
            </w:r>
          </w:p>
        </w:tc>
        <w:tc>
          <w:tcPr>
            <w:tcW w:w="3827" w:type="dxa"/>
            <w:tcBorders>
              <w:right w:val="single" w:color="auto" w:sz="4" w:space="0"/>
            </w:tcBorders>
            <w:noWrap w:val="0"/>
            <w:vAlign w:val="center"/>
          </w:tcPr>
          <w:p w14:paraId="1896F719">
            <w:pPr>
              <w:rPr>
                <w:rFonts w:ascii="宋体" w:hAnsi="宋体"/>
                <w:color w:val="auto"/>
                <w:sz w:val="24"/>
                <w:szCs w:val="24"/>
              </w:rPr>
            </w:pPr>
            <w:r>
              <w:rPr>
                <w:rFonts w:hint="eastAsia" w:ascii="宋体" w:hAnsi="宋体" w:cs="宋体"/>
                <w:color w:val="auto"/>
                <w:sz w:val="24"/>
                <w:szCs w:val="24"/>
              </w:rPr>
              <w:t>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tc>
        <w:tc>
          <w:tcPr>
            <w:tcW w:w="2126" w:type="dxa"/>
            <w:vMerge w:val="continue"/>
            <w:tcBorders>
              <w:left w:val="single" w:color="auto" w:sz="4" w:space="0"/>
              <w:right w:val="single" w:color="auto" w:sz="4" w:space="0"/>
            </w:tcBorders>
            <w:noWrap w:val="0"/>
            <w:vAlign w:val="center"/>
          </w:tcPr>
          <w:p w14:paraId="5186B898">
            <w:pPr>
              <w:jc w:val="center"/>
              <w:rPr>
                <w:rFonts w:ascii="宋体" w:hAnsi="宋体"/>
                <w:color w:val="auto"/>
                <w:sz w:val="24"/>
                <w:szCs w:val="24"/>
              </w:rPr>
            </w:pPr>
          </w:p>
        </w:tc>
        <w:tc>
          <w:tcPr>
            <w:tcW w:w="1418" w:type="dxa"/>
            <w:vMerge w:val="continue"/>
            <w:tcBorders>
              <w:left w:val="single" w:color="auto" w:sz="4" w:space="0"/>
            </w:tcBorders>
            <w:noWrap w:val="0"/>
            <w:vAlign w:val="center"/>
          </w:tcPr>
          <w:p w14:paraId="0FB051F9">
            <w:pPr>
              <w:jc w:val="center"/>
              <w:rPr>
                <w:rFonts w:ascii="宋体" w:hAnsi="宋体"/>
                <w:color w:val="auto"/>
                <w:sz w:val="24"/>
                <w:szCs w:val="24"/>
              </w:rPr>
            </w:pPr>
          </w:p>
        </w:tc>
      </w:tr>
      <w:tr w14:paraId="4A689E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959" w:type="dxa"/>
            <w:vMerge w:val="continue"/>
            <w:noWrap w:val="0"/>
            <w:vAlign w:val="center"/>
          </w:tcPr>
          <w:p w14:paraId="028D671D">
            <w:pPr>
              <w:jc w:val="center"/>
              <w:rPr>
                <w:rFonts w:ascii="宋体" w:hAnsi="宋体" w:cs="宋体"/>
                <w:color w:val="auto"/>
                <w:sz w:val="24"/>
                <w:szCs w:val="24"/>
              </w:rPr>
            </w:pPr>
          </w:p>
        </w:tc>
        <w:tc>
          <w:tcPr>
            <w:tcW w:w="1134" w:type="dxa"/>
            <w:noWrap w:val="0"/>
            <w:vAlign w:val="center"/>
          </w:tcPr>
          <w:p w14:paraId="08718F0C">
            <w:pPr>
              <w:jc w:val="center"/>
              <w:rPr>
                <w:rFonts w:ascii="宋体" w:hAnsi="宋体" w:cs="宋体"/>
                <w:color w:val="auto"/>
                <w:sz w:val="24"/>
                <w:szCs w:val="24"/>
              </w:rPr>
            </w:pPr>
            <w:r>
              <w:rPr>
                <w:rFonts w:hint="eastAsia" w:ascii="宋体" w:hAnsi="宋体" w:cs="宋体"/>
                <w:color w:val="auto"/>
                <w:sz w:val="24"/>
                <w:szCs w:val="24"/>
              </w:rPr>
              <w:t>牛奶</w:t>
            </w:r>
          </w:p>
        </w:tc>
        <w:tc>
          <w:tcPr>
            <w:tcW w:w="3827" w:type="dxa"/>
            <w:tcBorders>
              <w:right w:val="single" w:color="auto" w:sz="4" w:space="0"/>
            </w:tcBorders>
            <w:noWrap w:val="0"/>
            <w:vAlign w:val="center"/>
          </w:tcPr>
          <w:p w14:paraId="784C5C5D">
            <w:pPr>
              <w:rPr>
                <w:rFonts w:ascii="宋体" w:hAnsi="宋体"/>
                <w:color w:val="auto"/>
                <w:sz w:val="24"/>
                <w:szCs w:val="24"/>
              </w:rPr>
            </w:pPr>
            <w:r>
              <w:rPr>
                <w:rFonts w:hint="eastAsia" w:ascii="宋体" w:hAnsi="宋体"/>
                <w:color w:val="auto"/>
                <w:sz w:val="24"/>
                <w:szCs w:val="24"/>
              </w:rPr>
              <w:t>品牌袋装奶，距出厂日期10天以内且按照厂家要求保存条件储存未超出保质期，色泽乳白，有纯奶的鲜香味。</w:t>
            </w:r>
          </w:p>
        </w:tc>
        <w:tc>
          <w:tcPr>
            <w:tcW w:w="2126" w:type="dxa"/>
            <w:tcBorders>
              <w:left w:val="single" w:color="auto" w:sz="4" w:space="0"/>
              <w:right w:val="single" w:color="auto" w:sz="4" w:space="0"/>
            </w:tcBorders>
            <w:noWrap w:val="0"/>
            <w:vAlign w:val="center"/>
          </w:tcPr>
          <w:p w14:paraId="45F9BC0F">
            <w:pPr>
              <w:rPr>
                <w:rFonts w:ascii="宋体" w:hAnsi="宋体"/>
                <w:color w:val="auto"/>
                <w:sz w:val="24"/>
                <w:szCs w:val="24"/>
              </w:rPr>
            </w:pPr>
            <w:r>
              <w:rPr>
                <w:rFonts w:hint="eastAsia" w:ascii="宋体" w:hAnsi="宋体"/>
                <w:color w:val="auto"/>
                <w:sz w:val="24"/>
                <w:szCs w:val="24"/>
              </w:rPr>
              <w:t>与质量标准要求不符</w:t>
            </w:r>
          </w:p>
        </w:tc>
        <w:tc>
          <w:tcPr>
            <w:tcW w:w="1418" w:type="dxa"/>
            <w:vMerge w:val="continue"/>
            <w:tcBorders>
              <w:left w:val="single" w:color="auto" w:sz="4" w:space="0"/>
            </w:tcBorders>
            <w:noWrap w:val="0"/>
            <w:vAlign w:val="center"/>
          </w:tcPr>
          <w:p w14:paraId="293731DB">
            <w:pPr>
              <w:jc w:val="center"/>
              <w:rPr>
                <w:rFonts w:ascii="宋体" w:hAnsi="宋体"/>
                <w:color w:val="auto"/>
                <w:sz w:val="24"/>
                <w:szCs w:val="24"/>
              </w:rPr>
            </w:pPr>
          </w:p>
        </w:tc>
      </w:tr>
      <w:tr w14:paraId="52A090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81" w:hRule="atLeast"/>
        </w:trPr>
        <w:tc>
          <w:tcPr>
            <w:tcW w:w="959" w:type="dxa"/>
            <w:noWrap w:val="0"/>
            <w:vAlign w:val="center"/>
          </w:tcPr>
          <w:p w14:paraId="18B738D0">
            <w:pPr>
              <w:jc w:val="center"/>
              <w:rPr>
                <w:rFonts w:ascii="宋体" w:hAnsi="宋体" w:cs="宋体"/>
                <w:color w:val="auto"/>
                <w:sz w:val="24"/>
                <w:szCs w:val="24"/>
              </w:rPr>
            </w:pPr>
            <w:r>
              <w:rPr>
                <w:rFonts w:hint="eastAsia" w:ascii="宋体" w:hAnsi="宋体" w:cs="宋体"/>
                <w:color w:val="auto"/>
                <w:sz w:val="24"/>
                <w:szCs w:val="24"/>
              </w:rPr>
              <w:t>豆制品</w:t>
            </w:r>
          </w:p>
        </w:tc>
        <w:tc>
          <w:tcPr>
            <w:tcW w:w="1134" w:type="dxa"/>
            <w:noWrap w:val="0"/>
            <w:vAlign w:val="center"/>
          </w:tcPr>
          <w:p w14:paraId="4E9042F9">
            <w:pPr>
              <w:jc w:val="center"/>
              <w:rPr>
                <w:rFonts w:ascii="宋体" w:hAnsi="宋体" w:cs="宋体"/>
                <w:color w:val="auto"/>
                <w:sz w:val="24"/>
                <w:szCs w:val="24"/>
              </w:rPr>
            </w:pPr>
            <w:r>
              <w:rPr>
                <w:rFonts w:hint="eastAsia" w:ascii="宋体" w:hAnsi="宋体"/>
                <w:color w:val="auto"/>
                <w:sz w:val="24"/>
                <w:szCs w:val="24"/>
              </w:rPr>
              <w:t>豆腐</w:t>
            </w:r>
          </w:p>
        </w:tc>
        <w:tc>
          <w:tcPr>
            <w:tcW w:w="3827" w:type="dxa"/>
            <w:tcBorders>
              <w:right w:val="single" w:color="auto" w:sz="4" w:space="0"/>
            </w:tcBorders>
            <w:noWrap w:val="0"/>
            <w:vAlign w:val="center"/>
          </w:tcPr>
          <w:p w14:paraId="5D9D5414">
            <w:pPr>
              <w:rPr>
                <w:rFonts w:ascii="宋体" w:hAnsi="宋体"/>
                <w:color w:val="auto"/>
                <w:sz w:val="24"/>
                <w:szCs w:val="24"/>
              </w:rPr>
            </w:pPr>
            <w:r>
              <w:rPr>
                <w:rFonts w:hint="eastAsia" w:ascii="宋体" w:hAnsi="宋体"/>
                <w:color w:val="auto"/>
                <w:sz w:val="24"/>
                <w:szCs w:val="24"/>
              </w:rPr>
              <w:t>豆腐呈均匀的乳白色或淡黄色，稍有光泽，块形完整，软硬适度，富有一定的弹性，质地细嫩，结构均匀，无杂质，具有豆腐特有的香味，取样品品尝时口感细腻鲜嫩，味道纯正清香。</w:t>
            </w:r>
          </w:p>
        </w:tc>
        <w:tc>
          <w:tcPr>
            <w:tcW w:w="2126" w:type="dxa"/>
            <w:tcBorders>
              <w:left w:val="single" w:color="auto" w:sz="4" w:space="0"/>
              <w:right w:val="single" w:color="auto" w:sz="4" w:space="0"/>
            </w:tcBorders>
            <w:noWrap w:val="0"/>
            <w:vAlign w:val="center"/>
          </w:tcPr>
          <w:p w14:paraId="3D37F1BF">
            <w:pPr>
              <w:rPr>
                <w:rFonts w:ascii="宋体" w:hAnsi="宋体"/>
                <w:color w:val="auto"/>
                <w:sz w:val="24"/>
                <w:szCs w:val="24"/>
              </w:rPr>
            </w:pPr>
            <w:r>
              <w:rPr>
                <w:rFonts w:hint="eastAsia" w:ascii="宋体" w:hAnsi="宋体"/>
                <w:color w:val="auto"/>
                <w:sz w:val="24"/>
                <w:szCs w:val="24"/>
              </w:rPr>
              <w:t>与质量标准要求较多不符</w:t>
            </w:r>
          </w:p>
        </w:tc>
        <w:tc>
          <w:tcPr>
            <w:tcW w:w="1418" w:type="dxa"/>
            <w:tcBorders>
              <w:left w:val="single" w:color="auto" w:sz="4" w:space="0"/>
            </w:tcBorders>
            <w:noWrap w:val="0"/>
            <w:vAlign w:val="center"/>
          </w:tcPr>
          <w:p w14:paraId="0350BBC5">
            <w:pPr>
              <w:jc w:val="center"/>
              <w:rPr>
                <w:rFonts w:ascii="宋体" w:hAnsi="宋体"/>
                <w:color w:val="auto"/>
                <w:sz w:val="24"/>
                <w:szCs w:val="24"/>
              </w:rPr>
            </w:pPr>
            <w:r>
              <w:rPr>
                <w:rFonts w:hint="eastAsia" w:ascii="宋体" w:hAnsi="宋体"/>
                <w:color w:val="auto"/>
                <w:sz w:val="24"/>
                <w:szCs w:val="24"/>
              </w:rPr>
              <w:t>国家或行业相关标准</w:t>
            </w:r>
          </w:p>
        </w:tc>
      </w:tr>
      <w:tr w14:paraId="388097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959" w:type="dxa"/>
            <w:noWrap w:val="0"/>
            <w:vAlign w:val="center"/>
          </w:tcPr>
          <w:p w14:paraId="26371086">
            <w:pPr>
              <w:jc w:val="center"/>
              <w:rPr>
                <w:rFonts w:ascii="宋体" w:hAnsi="宋体" w:cs="宋体"/>
                <w:color w:val="auto"/>
                <w:sz w:val="24"/>
                <w:szCs w:val="24"/>
              </w:rPr>
            </w:pPr>
            <w:r>
              <w:rPr>
                <w:rFonts w:hint="eastAsia" w:ascii="宋体" w:hAnsi="宋体" w:cs="宋体"/>
                <w:color w:val="auto"/>
                <w:sz w:val="24"/>
                <w:szCs w:val="24"/>
              </w:rPr>
              <w:t>调料</w:t>
            </w:r>
          </w:p>
        </w:tc>
        <w:tc>
          <w:tcPr>
            <w:tcW w:w="1134" w:type="dxa"/>
            <w:noWrap w:val="0"/>
            <w:vAlign w:val="center"/>
          </w:tcPr>
          <w:p w14:paraId="0BACE6C4">
            <w:pPr>
              <w:jc w:val="center"/>
              <w:rPr>
                <w:rFonts w:ascii="宋体" w:hAnsi="宋体" w:cs="宋体"/>
                <w:color w:val="auto"/>
                <w:sz w:val="24"/>
                <w:szCs w:val="24"/>
              </w:rPr>
            </w:pPr>
            <w:r>
              <w:rPr>
                <w:rFonts w:hint="eastAsia" w:ascii="宋体" w:hAnsi="宋体" w:cs="宋体"/>
                <w:color w:val="auto"/>
                <w:sz w:val="24"/>
                <w:szCs w:val="24"/>
              </w:rPr>
              <w:t>调料</w:t>
            </w:r>
          </w:p>
        </w:tc>
        <w:tc>
          <w:tcPr>
            <w:tcW w:w="3827" w:type="dxa"/>
            <w:tcBorders>
              <w:right w:val="single" w:color="auto" w:sz="4" w:space="0"/>
            </w:tcBorders>
            <w:noWrap w:val="0"/>
            <w:vAlign w:val="center"/>
          </w:tcPr>
          <w:p w14:paraId="0AC281CF">
            <w:pPr>
              <w:rPr>
                <w:rFonts w:ascii="宋体" w:hAnsi="宋体"/>
                <w:color w:val="auto"/>
                <w:sz w:val="24"/>
                <w:szCs w:val="24"/>
              </w:rPr>
            </w:pPr>
            <w:r>
              <w:rPr>
                <w:rFonts w:hint="eastAsia" w:ascii="宋体" w:hAnsi="宋体"/>
                <w:color w:val="auto"/>
                <w:sz w:val="24"/>
                <w:szCs w:val="24"/>
              </w:rPr>
              <w:t>1.无霉变和虫蛀鼠咬现象；</w:t>
            </w:r>
          </w:p>
          <w:p w14:paraId="0A8691C0">
            <w:pPr>
              <w:rPr>
                <w:rFonts w:ascii="宋体" w:hAnsi="宋体"/>
                <w:color w:val="auto"/>
                <w:sz w:val="24"/>
                <w:szCs w:val="24"/>
              </w:rPr>
            </w:pPr>
            <w:r>
              <w:rPr>
                <w:rFonts w:hint="eastAsia" w:ascii="宋体" w:hAnsi="宋体"/>
                <w:color w:val="auto"/>
                <w:sz w:val="24"/>
                <w:szCs w:val="24"/>
              </w:rPr>
              <w:t>2.无臭味，货品新鲜，色泽正常；</w:t>
            </w:r>
          </w:p>
          <w:p w14:paraId="07151B69">
            <w:pPr>
              <w:rPr>
                <w:rFonts w:ascii="宋体" w:hAnsi="宋体"/>
                <w:color w:val="auto"/>
                <w:sz w:val="24"/>
                <w:szCs w:val="24"/>
              </w:rPr>
            </w:pPr>
            <w:r>
              <w:rPr>
                <w:rFonts w:hint="eastAsia" w:ascii="宋体" w:hAnsi="宋体"/>
                <w:color w:val="auto"/>
                <w:sz w:val="24"/>
                <w:szCs w:val="24"/>
              </w:rPr>
              <w:t>3.无“三无”产品，货品在保质期以内，外包装清洁卫生、无破损，包装上的商品名称、厂址、规格、生产日期、质保期等信息与内容物相符，标示清晰，批次号清楚等；</w:t>
            </w:r>
          </w:p>
          <w:p w14:paraId="6DDBC18C">
            <w:pPr>
              <w:rPr>
                <w:rFonts w:ascii="宋体" w:hAnsi="宋体"/>
                <w:color w:val="auto"/>
                <w:sz w:val="24"/>
                <w:szCs w:val="24"/>
              </w:rPr>
            </w:pPr>
            <w:r>
              <w:rPr>
                <w:rFonts w:hint="eastAsia" w:ascii="宋体" w:hAnsi="宋体"/>
                <w:color w:val="auto"/>
                <w:sz w:val="24"/>
                <w:szCs w:val="24"/>
              </w:rPr>
              <w:t>4.经食品检验检疫合格，调料成分符合国家卫生标准。</w:t>
            </w:r>
          </w:p>
        </w:tc>
        <w:tc>
          <w:tcPr>
            <w:tcW w:w="2126" w:type="dxa"/>
            <w:tcBorders>
              <w:left w:val="single" w:color="auto" w:sz="4" w:space="0"/>
              <w:right w:val="single" w:color="auto" w:sz="4" w:space="0"/>
            </w:tcBorders>
            <w:noWrap w:val="0"/>
            <w:vAlign w:val="center"/>
          </w:tcPr>
          <w:p w14:paraId="4CFAD92A">
            <w:pPr>
              <w:rPr>
                <w:rFonts w:ascii="宋体" w:hAnsi="宋体"/>
                <w:color w:val="auto"/>
                <w:sz w:val="24"/>
                <w:szCs w:val="24"/>
              </w:rPr>
            </w:pPr>
            <w:r>
              <w:rPr>
                <w:rFonts w:hint="eastAsia" w:ascii="宋体" w:hAnsi="宋体"/>
                <w:color w:val="auto"/>
                <w:sz w:val="24"/>
                <w:szCs w:val="24"/>
              </w:rPr>
              <w:t>1.不符合质量标准要求，无“QS”食品安全认证的产品；</w:t>
            </w:r>
          </w:p>
          <w:p w14:paraId="37A97F3F">
            <w:pPr>
              <w:rPr>
                <w:rFonts w:ascii="宋体" w:hAnsi="宋体"/>
                <w:color w:val="auto"/>
                <w:sz w:val="24"/>
                <w:szCs w:val="24"/>
              </w:rPr>
            </w:pPr>
            <w:r>
              <w:rPr>
                <w:rFonts w:hint="eastAsia" w:ascii="宋体" w:hAnsi="宋体"/>
                <w:color w:val="auto"/>
                <w:sz w:val="24"/>
                <w:szCs w:val="24"/>
              </w:rPr>
              <w:t>2.无品名、产地、厂名、生产日期、质保期及中文标识、原料说明的定型包装食品；</w:t>
            </w:r>
          </w:p>
          <w:p w14:paraId="6E552E6F">
            <w:pPr>
              <w:rPr>
                <w:rFonts w:ascii="宋体" w:hAnsi="宋体"/>
                <w:color w:val="auto"/>
                <w:sz w:val="24"/>
                <w:szCs w:val="24"/>
              </w:rPr>
            </w:pPr>
            <w:r>
              <w:rPr>
                <w:rFonts w:hint="eastAsia" w:ascii="宋体" w:hAnsi="宋体"/>
                <w:color w:val="auto"/>
                <w:sz w:val="24"/>
                <w:szCs w:val="24"/>
              </w:rPr>
              <w:t>3.超过质保期或不符合食品标签规定的定型包装食品；</w:t>
            </w:r>
          </w:p>
          <w:p w14:paraId="24ECE09E">
            <w:pPr>
              <w:rPr>
                <w:rFonts w:ascii="宋体" w:hAnsi="宋体"/>
                <w:color w:val="auto"/>
                <w:sz w:val="24"/>
                <w:szCs w:val="24"/>
              </w:rPr>
            </w:pPr>
            <w:r>
              <w:rPr>
                <w:rFonts w:hint="eastAsia" w:ascii="宋体" w:hAnsi="宋体"/>
                <w:color w:val="auto"/>
                <w:sz w:val="24"/>
                <w:szCs w:val="24"/>
              </w:rPr>
              <w:t>4.腐败变质，油脂酸败，霉变，生虫，污秽不洁，混有异味或者其他感官性状异常，含有毒或有害物质污染，可能对人体健康有害的食品。</w:t>
            </w:r>
          </w:p>
        </w:tc>
        <w:tc>
          <w:tcPr>
            <w:tcW w:w="1418" w:type="dxa"/>
            <w:tcBorders>
              <w:left w:val="single" w:color="auto" w:sz="4" w:space="0"/>
            </w:tcBorders>
            <w:noWrap w:val="0"/>
            <w:vAlign w:val="center"/>
          </w:tcPr>
          <w:p w14:paraId="3BC6833F">
            <w:pPr>
              <w:jc w:val="center"/>
              <w:rPr>
                <w:rFonts w:ascii="宋体" w:hAnsi="宋体"/>
                <w:color w:val="auto"/>
                <w:sz w:val="24"/>
                <w:szCs w:val="24"/>
              </w:rPr>
            </w:pPr>
            <w:r>
              <w:rPr>
                <w:rFonts w:hint="eastAsia" w:ascii="宋体" w:hAnsi="宋体"/>
                <w:color w:val="auto"/>
                <w:sz w:val="24"/>
                <w:szCs w:val="24"/>
              </w:rPr>
              <w:t>国家或行业相关标准</w:t>
            </w:r>
          </w:p>
        </w:tc>
      </w:tr>
      <w:tr w14:paraId="28D550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959" w:type="dxa"/>
            <w:vMerge w:val="restart"/>
            <w:noWrap w:val="0"/>
            <w:vAlign w:val="center"/>
          </w:tcPr>
          <w:p w14:paraId="13AE6396">
            <w:pPr>
              <w:jc w:val="center"/>
              <w:rPr>
                <w:rFonts w:hint="eastAsia" w:ascii="宋体" w:hAnsi="宋体" w:cs="宋体"/>
                <w:color w:val="auto"/>
                <w:sz w:val="24"/>
                <w:szCs w:val="24"/>
              </w:rPr>
            </w:pPr>
            <w:r>
              <w:rPr>
                <w:rFonts w:hint="eastAsia" w:ascii="宋体" w:hAnsi="宋体" w:cs="宋体"/>
                <w:color w:val="auto"/>
                <w:sz w:val="24"/>
                <w:szCs w:val="24"/>
              </w:rPr>
              <w:t>粮油</w:t>
            </w:r>
          </w:p>
        </w:tc>
        <w:tc>
          <w:tcPr>
            <w:tcW w:w="1134" w:type="dxa"/>
            <w:noWrap w:val="0"/>
            <w:vAlign w:val="center"/>
          </w:tcPr>
          <w:p w14:paraId="15C7247C">
            <w:pPr>
              <w:jc w:val="center"/>
              <w:rPr>
                <w:rFonts w:hint="eastAsia" w:ascii="宋体" w:hAnsi="宋体" w:cs="宋体"/>
                <w:color w:val="auto"/>
                <w:sz w:val="24"/>
                <w:szCs w:val="24"/>
              </w:rPr>
            </w:pPr>
            <w:r>
              <w:rPr>
                <w:rFonts w:hint="eastAsia" w:ascii="宋体" w:hAnsi="宋体" w:cs="宋体"/>
                <w:color w:val="auto"/>
                <w:sz w:val="24"/>
                <w:szCs w:val="24"/>
              </w:rPr>
              <w:t>面粉</w:t>
            </w:r>
          </w:p>
        </w:tc>
        <w:tc>
          <w:tcPr>
            <w:tcW w:w="3827" w:type="dxa"/>
            <w:tcBorders>
              <w:right w:val="single" w:color="auto" w:sz="4" w:space="0"/>
            </w:tcBorders>
            <w:noWrap w:val="0"/>
            <w:vAlign w:val="center"/>
          </w:tcPr>
          <w:p w14:paraId="7FDB26B8">
            <w:pPr>
              <w:rPr>
                <w:rFonts w:hint="eastAsia" w:ascii="宋体" w:hAnsi="宋体"/>
                <w:color w:val="auto"/>
                <w:sz w:val="24"/>
                <w:szCs w:val="24"/>
              </w:rPr>
            </w:pPr>
            <w:r>
              <w:rPr>
                <w:rFonts w:hint="eastAsia" w:ascii="宋体" w:hAnsi="宋体"/>
                <w:color w:val="auto"/>
                <w:sz w:val="24"/>
                <w:szCs w:val="24"/>
              </w:rPr>
              <w:t>面粉主要是标准粉、精白粉。标准粉色灰白</w:t>
            </w:r>
            <w:r>
              <w:rPr>
                <w:rFonts w:ascii="宋体" w:hAnsi="宋体"/>
                <w:color w:val="auto"/>
                <w:sz w:val="24"/>
                <w:szCs w:val="24"/>
              </w:rPr>
              <w:t>,</w:t>
            </w:r>
            <w:r>
              <w:rPr>
                <w:rFonts w:hint="eastAsia" w:ascii="宋体" w:hAnsi="宋体"/>
                <w:color w:val="auto"/>
                <w:sz w:val="24"/>
                <w:szCs w:val="24"/>
              </w:rPr>
              <w:t>精白粉色洁白</w:t>
            </w:r>
            <w:r>
              <w:rPr>
                <w:rFonts w:ascii="宋体" w:hAnsi="宋体"/>
                <w:color w:val="auto"/>
                <w:sz w:val="24"/>
                <w:szCs w:val="24"/>
              </w:rPr>
              <w:t>,</w:t>
            </w:r>
            <w:r>
              <w:rPr>
                <w:rFonts w:hint="eastAsia" w:ascii="宋体" w:hAnsi="宋体"/>
                <w:color w:val="auto"/>
                <w:sz w:val="24"/>
                <w:szCs w:val="24"/>
              </w:rPr>
              <w:t>呈粉末状</w:t>
            </w:r>
            <w:r>
              <w:rPr>
                <w:rFonts w:ascii="宋体" w:hAnsi="宋体"/>
                <w:color w:val="auto"/>
                <w:sz w:val="24"/>
                <w:szCs w:val="24"/>
              </w:rPr>
              <w:t>,</w:t>
            </w:r>
            <w:r>
              <w:rPr>
                <w:rFonts w:hint="eastAsia" w:ascii="宋体" w:hAnsi="宋体"/>
                <w:color w:val="auto"/>
                <w:sz w:val="24"/>
                <w:szCs w:val="24"/>
              </w:rPr>
              <w:t>无杂质</w:t>
            </w:r>
            <w:r>
              <w:rPr>
                <w:rFonts w:ascii="宋体" w:hAnsi="宋体"/>
                <w:color w:val="auto"/>
                <w:sz w:val="24"/>
                <w:szCs w:val="24"/>
              </w:rPr>
              <w:t>,</w:t>
            </w:r>
            <w:r>
              <w:rPr>
                <w:rFonts w:hint="eastAsia" w:ascii="宋体" w:hAnsi="宋体"/>
                <w:color w:val="auto"/>
                <w:sz w:val="24"/>
                <w:szCs w:val="24"/>
              </w:rPr>
              <w:t>用手捏无粗粒感</w:t>
            </w:r>
            <w:r>
              <w:rPr>
                <w:rFonts w:ascii="宋体" w:hAnsi="宋体"/>
                <w:color w:val="auto"/>
                <w:sz w:val="24"/>
                <w:szCs w:val="24"/>
              </w:rPr>
              <w:t>,</w:t>
            </w:r>
            <w:r>
              <w:rPr>
                <w:rFonts w:hint="eastAsia" w:ascii="宋体" w:hAnsi="宋体"/>
                <w:color w:val="auto"/>
                <w:sz w:val="24"/>
                <w:szCs w:val="24"/>
              </w:rPr>
              <w:t>具有正常的香甜气味。</w:t>
            </w:r>
          </w:p>
        </w:tc>
        <w:tc>
          <w:tcPr>
            <w:tcW w:w="2126" w:type="dxa"/>
            <w:tcBorders>
              <w:left w:val="single" w:color="auto" w:sz="4" w:space="0"/>
              <w:right w:val="single" w:color="auto" w:sz="4" w:space="0"/>
            </w:tcBorders>
            <w:noWrap w:val="0"/>
            <w:vAlign w:val="center"/>
          </w:tcPr>
          <w:p w14:paraId="53111C47">
            <w:pPr>
              <w:rPr>
                <w:rFonts w:hint="eastAsia" w:ascii="宋体" w:hAnsi="宋体"/>
                <w:color w:val="auto"/>
                <w:sz w:val="24"/>
                <w:szCs w:val="24"/>
              </w:rPr>
            </w:pPr>
            <w:r>
              <w:rPr>
                <w:rFonts w:hint="eastAsia" w:ascii="宋体" w:hAnsi="宋体"/>
                <w:color w:val="auto"/>
                <w:sz w:val="24"/>
                <w:szCs w:val="24"/>
              </w:rPr>
              <w:t>与质量标准要求不符</w:t>
            </w:r>
          </w:p>
        </w:tc>
        <w:tc>
          <w:tcPr>
            <w:tcW w:w="1418" w:type="dxa"/>
            <w:tcBorders>
              <w:left w:val="single" w:color="auto" w:sz="4" w:space="0"/>
            </w:tcBorders>
            <w:noWrap w:val="0"/>
            <w:vAlign w:val="center"/>
          </w:tcPr>
          <w:p w14:paraId="2FE31DBF">
            <w:pPr>
              <w:jc w:val="center"/>
              <w:rPr>
                <w:rFonts w:hint="eastAsia" w:ascii="宋体" w:hAnsi="宋体"/>
                <w:color w:val="auto"/>
                <w:sz w:val="24"/>
                <w:szCs w:val="24"/>
              </w:rPr>
            </w:pPr>
            <w:r>
              <w:rPr>
                <w:rFonts w:hint="eastAsia" w:ascii="宋体" w:hAnsi="宋体"/>
                <w:color w:val="auto"/>
                <w:sz w:val="24"/>
                <w:szCs w:val="24"/>
              </w:rPr>
              <w:t>国家或行业相关标准</w:t>
            </w:r>
          </w:p>
        </w:tc>
      </w:tr>
      <w:tr w14:paraId="69F9B9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959" w:type="dxa"/>
            <w:vMerge w:val="continue"/>
            <w:noWrap w:val="0"/>
            <w:vAlign w:val="center"/>
          </w:tcPr>
          <w:p w14:paraId="41F8C259">
            <w:pPr>
              <w:jc w:val="center"/>
              <w:rPr>
                <w:rFonts w:hint="eastAsia" w:ascii="宋体" w:hAnsi="宋体" w:cs="宋体"/>
                <w:color w:val="auto"/>
                <w:sz w:val="24"/>
                <w:szCs w:val="24"/>
              </w:rPr>
            </w:pPr>
          </w:p>
        </w:tc>
        <w:tc>
          <w:tcPr>
            <w:tcW w:w="1134" w:type="dxa"/>
            <w:noWrap w:val="0"/>
            <w:vAlign w:val="center"/>
          </w:tcPr>
          <w:p w14:paraId="678D0D46">
            <w:pPr>
              <w:jc w:val="center"/>
              <w:rPr>
                <w:rFonts w:hint="eastAsia" w:ascii="宋体" w:hAnsi="宋体" w:cs="宋体"/>
                <w:color w:val="auto"/>
                <w:sz w:val="24"/>
                <w:szCs w:val="24"/>
              </w:rPr>
            </w:pPr>
            <w:r>
              <w:rPr>
                <w:rFonts w:hint="eastAsia" w:ascii="宋体" w:hAnsi="宋体" w:cs="宋体"/>
                <w:color w:val="auto"/>
                <w:sz w:val="24"/>
                <w:szCs w:val="24"/>
              </w:rPr>
              <w:t>米</w:t>
            </w:r>
          </w:p>
        </w:tc>
        <w:tc>
          <w:tcPr>
            <w:tcW w:w="3827" w:type="dxa"/>
            <w:tcBorders>
              <w:right w:val="single" w:color="auto" w:sz="4" w:space="0"/>
            </w:tcBorders>
            <w:noWrap w:val="0"/>
            <w:vAlign w:val="center"/>
          </w:tcPr>
          <w:p w14:paraId="053534FA">
            <w:pPr>
              <w:rPr>
                <w:rFonts w:hint="eastAsia" w:ascii="宋体" w:hAnsi="宋体"/>
                <w:color w:val="auto"/>
                <w:sz w:val="24"/>
                <w:szCs w:val="24"/>
              </w:rPr>
            </w:pPr>
            <w:r>
              <w:rPr>
                <w:rFonts w:hint="eastAsia" w:ascii="宋体" w:hAnsi="宋体"/>
                <w:color w:val="auto"/>
                <w:sz w:val="24"/>
                <w:szCs w:val="24"/>
              </w:rPr>
              <w:t>米粒饱满</w:t>
            </w:r>
            <w:r>
              <w:rPr>
                <w:rFonts w:ascii="宋体" w:hAnsi="宋体"/>
                <w:color w:val="auto"/>
                <w:sz w:val="24"/>
                <w:szCs w:val="24"/>
              </w:rPr>
              <w:t>,</w:t>
            </w:r>
            <w:r>
              <w:rPr>
                <w:rFonts w:hint="eastAsia" w:ascii="宋体" w:hAnsi="宋体"/>
                <w:color w:val="auto"/>
                <w:sz w:val="24"/>
                <w:szCs w:val="24"/>
              </w:rPr>
              <w:t>洁净</w:t>
            </w:r>
            <w:r>
              <w:rPr>
                <w:rFonts w:ascii="宋体" w:hAnsi="宋体"/>
                <w:color w:val="auto"/>
                <w:sz w:val="24"/>
                <w:szCs w:val="24"/>
              </w:rPr>
              <w:t>,</w:t>
            </w:r>
            <w:r>
              <w:rPr>
                <w:rFonts w:hint="eastAsia" w:ascii="宋体" w:hAnsi="宋体"/>
                <w:color w:val="auto"/>
                <w:sz w:val="24"/>
                <w:szCs w:val="24"/>
              </w:rPr>
              <w:t>有光泽纵沟较浅</w:t>
            </w:r>
            <w:r>
              <w:rPr>
                <w:rFonts w:ascii="宋体" w:hAnsi="宋体"/>
                <w:color w:val="auto"/>
                <w:sz w:val="24"/>
                <w:szCs w:val="24"/>
              </w:rPr>
              <w:t>,</w:t>
            </w:r>
            <w:r>
              <w:rPr>
                <w:rFonts w:hint="eastAsia" w:ascii="宋体" w:hAnsi="宋体"/>
                <w:color w:val="auto"/>
                <w:sz w:val="24"/>
                <w:szCs w:val="24"/>
              </w:rPr>
              <w:t>掰开米粒其断面呈半透明白色。闻之有清新气味</w:t>
            </w:r>
            <w:r>
              <w:rPr>
                <w:rFonts w:ascii="宋体" w:hAnsi="宋体"/>
                <w:color w:val="auto"/>
                <w:sz w:val="24"/>
                <w:szCs w:val="24"/>
              </w:rPr>
              <w:t>,</w:t>
            </w:r>
            <w:r>
              <w:rPr>
                <w:rFonts w:hint="eastAsia" w:ascii="宋体" w:hAnsi="宋体"/>
                <w:color w:val="auto"/>
                <w:sz w:val="24"/>
                <w:szCs w:val="24"/>
              </w:rPr>
              <w:t>蒸熟后米粒油亮</w:t>
            </w:r>
            <w:r>
              <w:rPr>
                <w:rFonts w:ascii="宋体" w:hAnsi="宋体"/>
                <w:color w:val="auto"/>
                <w:sz w:val="24"/>
                <w:szCs w:val="24"/>
              </w:rPr>
              <w:t>,</w:t>
            </w:r>
            <w:r>
              <w:rPr>
                <w:rFonts w:hint="eastAsia" w:ascii="宋体" w:hAnsi="宋体"/>
                <w:color w:val="auto"/>
                <w:sz w:val="24"/>
                <w:szCs w:val="24"/>
              </w:rPr>
              <w:t>有嚼劲</w:t>
            </w:r>
            <w:r>
              <w:rPr>
                <w:rFonts w:ascii="宋体" w:hAnsi="宋体"/>
                <w:color w:val="auto"/>
                <w:sz w:val="24"/>
                <w:szCs w:val="24"/>
              </w:rPr>
              <w:t>,</w:t>
            </w:r>
            <w:r>
              <w:rPr>
                <w:rFonts w:hint="eastAsia" w:ascii="宋体" w:hAnsi="宋体"/>
                <w:color w:val="auto"/>
                <w:sz w:val="24"/>
                <w:szCs w:val="24"/>
              </w:rPr>
              <w:t>气味喷香。</w:t>
            </w:r>
          </w:p>
        </w:tc>
        <w:tc>
          <w:tcPr>
            <w:tcW w:w="2126" w:type="dxa"/>
            <w:tcBorders>
              <w:left w:val="single" w:color="auto" w:sz="4" w:space="0"/>
              <w:right w:val="single" w:color="auto" w:sz="4" w:space="0"/>
            </w:tcBorders>
            <w:noWrap w:val="0"/>
            <w:vAlign w:val="center"/>
          </w:tcPr>
          <w:p w14:paraId="5CF2F407">
            <w:pPr>
              <w:rPr>
                <w:rFonts w:hint="eastAsia" w:ascii="宋体" w:hAnsi="宋体"/>
                <w:color w:val="auto"/>
                <w:sz w:val="24"/>
                <w:szCs w:val="24"/>
              </w:rPr>
            </w:pPr>
            <w:r>
              <w:rPr>
                <w:rFonts w:hint="eastAsia" w:ascii="宋体" w:hAnsi="宋体"/>
                <w:color w:val="auto"/>
                <w:sz w:val="24"/>
                <w:szCs w:val="24"/>
              </w:rPr>
              <w:t>与质量标准要求不符</w:t>
            </w:r>
          </w:p>
        </w:tc>
        <w:tc>
          <w:tcPr>
            <w:tcW w:w="1418" w:type="dxa"/>
            <w:tcBorders>
              <w:left w:val="single" w:color="auto" w:sz="4" w:space="0"/>
            </w:tcBorders>
            <w:noWrap w:val="0"/>
            <w:vAlign w:val="center"/>
          </w:tcPr>
          <w:p w14:paraId="6145184B">
            <w:pPr>
              <w:jc w:val="center"/>
              <w:rPr>
                <w:rFonts w:hint="eastAsia" w:ascii="宋体" w:hAnsi="宋体"/>
                <w:color w:val="auto"/>
                <w:sz w:val="24"/>
                <w:szCs w:val="24"/>
              </w:rPr>
            </w:pPr>
            <w:r>
              <w:rPr>
                <w:rFonts w:hint="eastAsia" w:ascii="宋体" w:hAnsi="宋体"/>
                <w:color w:val="auto"/>
                <w:sz w:val="24"/>
                <w:szCs w:val="24"/>
              </w:rPr>
              <w:t>国家或行业相关标准</w:t>
            </w:r>
          </w:p>
        </w:tc>
      </w:tr>
      <w:tr w14:paraId="150EAD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959" w:type="dxa"/>
            <w:vMerge w:val="continue"/>
            <w:noWrap w:val="0"/>
            <w:vAlign w:val="center"/>
          </w:tcPr>
          <w:p w14:paraId="17A527A0">
            <w:pPr>
              <w:jc w:val="center"/>
              <w:rPr>
                <w:rFonts w:hint="eastAsia" w:ascii="宋体" w:hAnsi="宋体" w:cs="宋体"/>
                <w:color w:val="auto"/>
                <w:sz w:val="24"/>
                <w:szCs w:val="24"/>
              </w:rPr>
            </w:pPr>
          </w:p>
        </w:tc>
        <w:tc>
          <w:tcPr>
            <w:tcW w:w="1134" w:type="dxa"/>
            <w:noWrap w:val="0"/>
            <w:vAlign w:val="center"/>
          </w:tcPr>
          <w:p w14:paraId="69E07D29">
            <w:pPr>
              <w:jc w:val="center"/>
              <w:rPr>
                <w:rFonts w:hint="eastAsia" w:ascii="宋体" w:hAnsi="宋体" w:cs="宋体"/>
                <w:color w:val="auto"/>
                <w:sz w:val="24"/>
                <w:szCs w:val="24"/>
              </w:rPr>
            </w:pPr>
            <w:r>
              <w:rPr>
                <w:rFonts w:hint="eastAsia" w:ascii="宋体" w:hAnsi="宋体" w:cs="宋体"/>
                <w:color w:val="auto"/>
                <w:sz w:val="24"/>
                <w:szCs w:val="24"/>
              </w:rPr>
              <w:t>食用油</w:t>
            </w:r>
          </w:p>
        </w:tc>
        <w:tc>
          <w:tcPr>
            <w:tcW w:w="3827" w:type="dxa"/>
            <w:tcBorders>
              <w:right w:val="single" w:color="auto" w:sz="4" w:space="0"/>
            </w:tcBorders>
            <w:noWrap w:val="0"/>
            <w:vAlign w:val="center"/>
          </w:tcPr>
          <w:p w14:paraId="4E5D96C9">
            <w:pPr>
              <w:rPr>
                <w:rFonts w:hint="eastAsia" w:ascii="宋体" w:hAnsi="宋体"/>
                <w:color w:val="auto"/>
                <w:sz w:val="24"/>
                <w:szCs w:val="24"/>
              </w:rPr>
            </w:pPr>
            <w:r>
              <w:rPr>
                <w:rFonts w:hint="eastAsia" w:ascii="宋体" w:hAnsi="宋体"/>
                <w:color w:val="auto"/>
                <w:sz w:val="24"/>
                <w:szCs w:val="24"/>
              </w:rPr>
              <w:t>食用油脂分为植物油脂和动物油脂。色泽透明</w:t>
            </w:r>
            <w:r>
              <w:rPr>
                <w:rFonts w:ascii="宋体" w:hAnsi="宋体"/>
                <w:color w:val="auto"/>
                <w:sz w:val="24"/>
                <w:szCs w:val="24"/>
              </w:rPr>
              <w:t>,</w:t>
            </w:r>
            <w:r>
              <w:rPr>
                <w:rFonts w:hint="eastAsia" w:ascii="宋体" w:hAnsi="宋体"/>
                <w:color w:val="auto"/>
                <w:sz w:val="24"/>
                <w:szCs w:val="24"/>
              </w:rPr>
              <w:t>无腥辣气味和异味，加温时烟极少。</w:t>
            </w:r>
          </w:p>
        </w:tc>
        <w:tc>
          <w:tcPr>
            <w:tcW w:w="2126" w:type="dxa"/>
            <w:tcBorders>
              <w:left w:val="single" w:color="auto" w:sz="4" w:space="0"/>
              <w:right w:val="single" w:color="auto" w:sz="4" w:space="0"/>
            </w:tcBorders>
            <w:noWrap w:val="0"/>
            <w:vAlign w:val="center"/>
          </w:tcPr>
          <w:p w14:paraId="6D5FE3DB">
            <w:pPr>
              <w:rPr>
                <w:rFonts w:hint="eastAsia" w:ascii="宋体" w:hAnsi="宋体"/>
                <w:color w:val="auto"/>
                <w:sz w:val="24"/>
                <w:szCs w:val="24"/>
              </w:rPr>
            </w:pPr>
            <w:r>
              <w:rPr>
                <w:rFonts w:hint="eastAsia" w:ascii="宋体" w:hAnsi="宋体"/>
                <w:color w:val="auto"/>
                <w:sz w:val="24"/>
                <w:szCs w:val="24"/>
              </w:rPr>
              <w:t>与质量标准要求不符</w:t>
            </w:r>
          </w:p>
        </w:tc>
        <w:tc>
          <w:tcPr>
            <w:tcW w:w="1418" w:type="dxa"/>
            <w:tcBorders>
              <w:left w:val="single" w:color="auto" w:sz="4" w:space="0"/>
            </w:tcBorders>
            <w:noWrap w:val="0"/>
            <w:vAlign w:val="center"/>
          </w:tcPr>
          <w:p w14:paraId="0444DC3A">
            <w:pPr>
              <w:jc w:val="center"/>
              <w:rPr>
                <w:rFonts w:hint="eastAsia" w:ascii="宋体" w:hAnsi="宋体"/>
                <w:color w:val="auto"/>
                <w:sz w:val="24"/>
                <w:szCs w:val="24"/>
              </w:rPr>
            </w:pPr>
            <w:r>
              <w:rPr>
                <w:rFonts w:hint="eastAsia" w:ascii="宋体" w:hAnsi="宋体"/>
                <w:color w:val="auto"/>
                <w:sz w:val="24"/>
                <w:szCs w:val="24"/>
              </w:rPr>
              <w:t>国家或行业相关标准</w:t>
            </w:r>
          </w:p>
        </w:tc>
      </w:tr>
    </w:tbl>
    <w:p w14:paraId="67C23B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宋体" w:hAnsi="宋体" w:eastAsia="宋体" w:cs="宋体"/>
          <w:b/>
          <w:color w:val="auto"/>
          <w:sz w:val="28"/>
          <w:szCs w:val="28"/>
        </w:rPr>
      </w:pPr>
      <w:r>
        <w:rPr>
          <w:rFonts w:hint="eastAsia" w:ascii="宋体" w:hAnsi="宋体" w:eastAsia="宋体" w:cs="宋体"/>
          <w:b/>
          <w:color w:val="auto"/>
          <w:sz w:val="28"/>
          <w:szCs w:val="28"/>
        </w:rPr>
        <w:t>三、商务要求</w:t>
      </w:r>
    </w:p>
    <w:p w14:paraId="277B7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ascii="宋体" w:hAnsi="宋体"/>
          <w:color w:val="auto"/>
          <w:sz w:val="24"/>
          <w:szCs w:val="24"/>
          <w:lang w:val="zh-CN"/>
        </w:rPr>
        <w:t>★</w:t>
      </w:r>
      <w:r>
        <w:rPr>
          <w:rFonts w:hint="eastAsia" w:ascii="宋体" w:hAnsi="宋体" w:cs="宋体"/>
          <w:color w:val="auto"/>
          <w:sz w:val="24"/>
          <w:szCs w:val="24"/>
        </w:rPr>
        <w:t>（一）配送时间、地点、方式及要求</w:t>
      </w:r>
    </w:p>
    <w:p w14:paraId="746384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1.配送时间：配送当天上午0</w:t>
      </w:r>
      <w:r>
        <w:rPr>
          <w:rFonts w:hint="eastAsia" w:ascii="宋体" w:hAnsi="宋体" w:cs="宋体"/>
          <w:color w:val="auto"/>
          <w:sz w:val="24"/>
          <w:szCs w:val="24"/>
          <w:lang w:val="en-US" w:eastAsia="zh-CN"/>
        </w:rPr>
        <w:t>6</w:t>
      </w:r>
      <w:r>
        <w:rPr>
          <w:rFonts w:hint="eastAsia" w:ascii="宋体" w:hAnsi="宋体" w:cs="宋体"/>
          <w:color w:val="auto"/>
          <w:sz w:val="24"/>
          <w:szCs w:val="24"/>
        </w:rPr>
        <w:t>:00前配送到</w:t>
      </w:r>
      <w:r>
        <w:rPr>
          <w:rFonts w:hint="eastAsia" w:ascii="宋体" w:hAnsi="宋体" w:cs="宋体"/>
          <w:color w:val="auto"/>
          <w:sz w:val="24"/>
          <w:szCs w:val="24"/>
          <w:lang w:eastAsia="zh-CN"/>
        </w:rPr>
        <w:t>扶余市消防救援大队</w:t>
      </w:r>
      <w:r>
        <w:rPr>
          <w:rFonts w:hint="eastAsia" w:ascii="宋体" w:hAnsi="宋体" w:cs="宋体"/>
          <w:color w:val="auto"/>
          <w:sz w:val="24"/>
          <w:szCs w:val="24"/>
        </w:rPr>
        <w:t>；</w:t>
      </w:r>
      <w:r>
        <w:rPr>
          <w:rFonts w:ascii="宋体" w:hAnsi="宋体"/>
          <w:color w:val="auto"/>
          <w:sz w:val="24"/>
          <w:szCs w:val="24"/>
        </w:rPr>
        <w:t>如遇特殊情况，甲方确需多次供货的，乙方应按照甲方要求及时将所需副食品配送到位。</w:t>
      </w:r>
    </w:p>
    <w:p w14:paraId="0FD87B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2.配送方式：指定</w:t>
      </w:r>
      <w:r>
        <w:rPr>
          <w:rFonts w:hint="eastAsia" w:ascii="宋体" w:hAnsi="宋体" w:cs="宋体"/>
          <w:color w:val="auto"/>
          <w:sz w:val="24"/>
          <w:szCs w:val="24"/>
          <w:lang w:eastAsia="zh-CN"/>
        </w:rPr>
        <w:t>专人对接</w:t>
      </w:r>
      <w:r>
        <w:rPr>
          <w:rFonts w:hint="eastAsia" w:ascii="宋体" w:hAnsi="宋体" w:cs="宋体"/>
          <w:color w:val="auto"/>
          <w:sz w:val="24"/>
          <w:szCs w:val="24"/>
        </w:rPr>
        <w:t>，以食堂为单位，每1天为一个配送周期。由各食堂根据下个周期批次实际需求，提前</w:t>
      </w:r>
      <w:r>
        <w:rPr>
          <w:rFonts w:hint="eastAsia" w:ascii="宋体" w:hAnsi="宋体" w:cs="宋体"/>
          <w:color w:val="auto"/>
          <w:sz w:val="24"/>
          <w:szCs w:val="24"/>
          <w:u w:val="single"/>
        </w:rPr>
        <w:t>1</w:t>
      </w:r>
      <w:r>
        <w:rPr>
          <w:rFonts w:hint="eastAsia" w:ascii="宋体" w:hAnsi="宋体" w:cs="宋体"/>
          <w:color w:val="auto"/>
          <w:sz w:val="24"/>
          <w:szCs w:val="24"/>
        </w:rPr>
        <w:t>天，将食堂下个批次副食品需求清单按双方约定方式通知中标人。中标人按照需求清单及相关要求，将所需产品准时送至配送地点。中标人送货时</w:t>
      </w:r>
      <w:r>
        <w:rPr>
          <w:rFonts w:hint="eastAsia" w:ascii="宋体" w:hAnsi="宋体" w:cs="宋体"/>
          <w:color w:val="auto"/>
          <w:sz w:val="24"/>
          <w:szCs w:val="24"/>
          <w:lang w:eastAsia="zh-CN"/>
        </w:rPr>
        <w:t>须提供当日机打小票（小票上注明产品规格、数量、价格）并盖公章</w:t>
      </w:r>
      <w:r>
        <w:rPr>
          <w:rFonts w:hint="eastAsia" w:ascii="宋体" w:hAnsi="宋体" w:cs="宋体"/>
          <w:color w:val="auto"/>
          <w:sz w:val="24"/>
          <w:szCs w:val="24"/>
        </w:rPr>
        <w:t>。指定联络人组织食堂验收人员按照产品质量标准要求，对照需求清单组织产品验收，经验收合格后，在中标人提供的</w:t>
      </w:r>
      <w:r>
        <w:rPr>
          <w:rFonts w:hint="eastAsia" w:ascii="宋体" w:hAnsi="宋体" w:cs="宋体"/>
          <w:color w:val="auto"/>
          <w:sz w:val="24"/>
          <w:szCs w:val="24"/>
          <w:lang w:eastAsia="zh-CN"/>
        </w:rPr>
        <w:t>盖章机打小票上</w:t>
      </w:r>
      <w:r>
        <w:rPr>
          <w:rFonts w:hint="eastAsia" w:ascii="宋体" w:hAnsi="宋体" w:cs="宋体"/>
          <w:color w:val="auto"/>
          <w:sz w:val="24"/>
          <w:szCs w:val="24"/>
        </w:rPr>
        <w:t>签字</w:t>
      </w:r>
      <w:r>
        <w:rPr>
          <w:rFonts w:hint="eastAsia" w:ascii="宋体" w:hAnsi="宋体" w:cs="宋体"/>
          <w:color w:val="auto"/>
          <w:sz w:val="24"/>
          <w:szCs w:val="24"/>
          <w:lang w:eastAsia="zh-CN"/>
        </w:rPr>
        <w:t>或盖章</w:t>
      </w:r>
      <w:r>
        <w:rPr>
          <w:rFonts w:hint="eastAsia" w:ascii="宋体" w:hAnsi="宋体" w:cs="宋体"/>
          <w:color w:val="auto"/>
          <w:sz w:val="24"/>
          <w:szCs w:val="24"/>
        </w:rPr>
        <w:t>确认。送货清单一式两份，双方各留存一份，用于月底清算配送费用。</w:t>
      </w:r>
    </w:p>
    <w:p w14:paraId="6594C5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3.要求：</w:t>
      </w:r>
    </w:p>
    <w:p w14:paraId="4B16B4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eastAsia="宋体" w:cs="宋体"/>
          <w:color w:val="auto"/>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eastAsia="zh-CN"/>
        </w:rPr>
        <w:t>中标人需要有对公账户，结算时提供发票和清单，每周提供一次在售商品价格表。</w:t>
      </w:r>
    </w:p>
    <w:p w14:paraId="210113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2</w:t>
      </w:r>
      <w:r>
        <w:rPr>
          <w:rFonts w:hint="eastAsia" w:ascii="宋体" w:hAnsi="宋体" w:cs="宋体"/>
          <w:color w:val="auto"/>
          <w:sz w:val="24"/>
          <w:szCs w:val="24"/>
        </w:rPr>
        <w:t>）若中标人不能按时、按质、按量供货，导致食堂无法正常供应伙食的，采购人有权自行采购同等质量的货物，由此造成的经济损失和责任均由中标人承担，并承担违约责任。</w:t>
      </w:r>
    </w:p>
    <w:p w14:paraId="2BF1F3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color w:val="auto"/>
          <w:sz w:val="24"/>
          <w:szCs w:val="24"/>
        </w:rPr>
        <w:t>肉类、水产、禽蛋等产品必须具有动物检验检疫合格证明或化验单；调料等必须具有“QS”食品质量安全认证标志。</w:t>
      </w:r>
    </w:p>
    <w:p w14:paraId="2814B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）果蔬必须保证新鲜，按供货批次提供蔬菜农药检测结果，且符合食品卫生安全法要求。</w:t>
      </w:r>
    </w:p>
    <w:p w14:paraId="1A63E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）中标人对提供的所有副食品必须在供货清单上加盖单位公章。</w:t>
      </w:r>
    </w:p>
    <w:p w14:paraId="7C5E22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6</w:t>
      </w:r>
      <w:r>
        <w:rPr>
          <w:rFonts w:hint="eastAsia" w:ascii="宋体" w:hAnsi="宋体" w:cs="宋体"/>
          <w:color w:val="auto"/>
          <w:sz w:val="24"/>
          <w:szCs w:val="24"/>
        </w:rPr>
        <w:t>）中标人负责供货产品的食品安全，必须做到来源可溯。</w:t>
      </w:r>
    </w:p>
    <w:p w14:paraId="1F84D5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ascii="宋体" w:hAnsi="宋体"/>
          <w:color w:val="auto"/>
          <w:sz w:val="24"/>
          <w:szCs w:val="24"/>
          <w:lang w:val="zh-CN"/>
        </w:rPr>
        <w:t>★</w:t>
      </w:r>
      <w:r>
        <w:rPr>
          <w:rFonts w:hint="eastAsia" w:ascii="宋体" w:hAnsi="宋体" w:cs="宋体"/>
          <w:color w:val="auto"/>
          <w:sz w:val="24"/>
          <w:szCs w:val="24"/>
        </w:rPr>
        <w:t>（二）售后服务</w:t>
      </w:r>
    </w:p>
    <w:p w14:paraId="2923A5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1.送货上门：</w:t>
      </w:r>
      <w:r>
        <w:rPr>
          <w:rFonts w:hint="eastAsia" w:ascii="宋体" w:hAnsi="宋体" w:cs="宋体"/>
          <w:color w:val="auto"/>
          <w:sz w:val="24"/>
          <w:szCs w:val="24"/>
          <w:lang w:eastAsia="zh-CN"/>
        </w:rPr>
        <w:t>供应商</w:t>
      </w:r>
      <w:r>
        <w:rPr>
          <w:rFonts w:hint="eastAsia" w:ascii="宋体" w:hAnsi="宋体" w:cs="宋体"/>
          <w:color w:val="auto"/>
          <w:sz w:val="24"/>
          <w:szCs w:val="24"/>
        </w:rPr>
        <w:t>整个运输过程应科学合理，运输必须采用符合卫生要求的外包装和运载工具，并且要保持清洁和定期消毒，车厢内无不良气味、异味。</w:t>
      </w:r>
    </w:p>
    <w:p w14:paraId="4357EC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olor w:val="auto"/>
          <w:sz w:val="24"/>
          <w:szCs w:val="24"/>
        </w:rPr>
      </w:pPr>
      <w:r>
        <w:rPr>
          <w:rFonts w:hint="eastAsia" w:ascii="宋体" w:hAnsi="宋体"/>
          <w:color w:val="auto"/>
          <w:sz w:val="24"/>
          <w:szCs w:val="24"/>
        </w:rPr>
        <w:t>2.产品验收：</w:t>
      </w:r>
    </w:p>
    <w:p w14:paraId="4CD762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olor w:val="auto"/>
          <w:sz w:val="24"/>
          <w:szCs w:val="24"/>
        </w:rPr>
        <w:t>（</w:t>
      </w:r>
      <w:r>
        <w:rPr>
          <w:rFonts w:hint="eastAsia" w:ascii="宋体" w:hAnsi="宋体" w:cs="宋体"/>
          <w:color w:val="auto"/>
          <w:sz w:val="24"/>
          <w:szCs w:val="24"/>
        </w:rPr>
        <w:t>1）卸货前的检查</w:t>
      </w:r>
    </w:p>
    <w:p w14:paraId="6F94B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验收人员卸货前应对场地和验收设备做好准备，并对货物的外观质量进行初步了解。</w:t>
      </w:r>
    </w:p>
    <w:p w14:paraId="2EE49F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食品运输必须采用符合卫生要求的外包装和运输工具，车厢内保持清洁和定期消毒，无异味。冷冻食品没有曾经解冻痕迹或软化现象，包装呈干爽状态。食品应清洁，无损伤、腐烂现象，外包装完整，无寄生虫或已受虫害现象。</w:t>
      </w:r>
    </w:p>
    <w:p w14:paraId="2E4B04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olor w:val="auto"/>
          <w:sz w:val="24"/>
          <w:szCs w:val="24"/>
        </w:rPr>
        <w:t>（</w:t>
      </w:r>
      <w:r>
        <w:rPr>
          <w:rFonts w:hint="eastAsia" w:ascii="宋体" w:hAnsi="宋体" w:cs="宋体"/>
          <w:color w:val="auto"/>
          <w:sz w:val="24"/>
          <w:szCs w:val="24"/>
        </w:rPr>
        <w:t>2）清点品种数量</w:t>
      </w:r>
    </w:p>
    <w:p w14:paraId="039885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验收人员对需求清单和</w:t>
      </w:r>
      <w:r>
        <w:rPr>
          <w:rFonts w:hint="eastAsia" w:ascii="宋体" w:hAnsi="宋体" w:cs="宋体"/>
          <w:color w:val="auto"/>
          <w:sz w:val="24"/>
          <w:szCs w:val="24"/>
          <w:lang w:eastAsia="zh-CN"/>
        </w:rPr>
        <w:t>中标人</w:t>
      </w:r>
      <w:r>
        <w:rPr>
          <w:rFonts w:hint="eastAsia" w:ascii="宋体" w:hAnsi="宋体" w:cs="宋体"/>
          <w:color w:val="auto"/>
          <w:sz w:val="24"/>
          <w:szCs w:val="24"/>
        </w:rPr>
        <w:t>提交的</w:t>
      </w:r>
      <w:r>
        <w:rPr>
          <w:rFonts w:hint="eastAsia" w:ascii="宋体" w:hAnsi="宋体" w:cs="宋体"/>
          <w:color w:val="auto"/>
          <w:sz w:val="24"/>
          <w:szCs w:val="24"/>
          <w:lang w:eastAsia="zh-CN"/>
        </w:rPr>
        <w:t>盖章机打小票</w:t>
      </w:r>
      <w:r>
        <w:rPr>
          <w:rFonts w:hint="eastAsia" w:ascii="宋体" w:hAnsi="宋体" w:cs="宋体"/>
          <w:color w:val="auto"/>
          <w:sz w:val="24"/>
          <w:szCs w:val="24"/>
        </w:rPr>
        <w:t>进行对比，无差错后，按照</w:t>
      </w:r>
      <w:r>
        <w:rPr>
          <w:rFonts w:hint="eastAsia" w:ascii="宋体" w:hAnsi="宋体" w:cs="宋体"/>
          <w:color w:val="auto"/>
          <w:sz w:val="24"/>
          <w:szCs w:val="24"/>
          <w:lang w:eastAsia="zh-CN"/>
        </w:rPr>
        <w:t>盖章机打小票</w:t>
      </w:r>
      <w:r>
        <w:rPr>
          <w:rFonts w:hint="eastAsia" w:ascii="宋体" w:hAnsi="宋体" w:cs="宋体"/>
          <w:color w:val="auto"/>
          <w:sz w:val="24"/>
          <w:szCs w:val="24"/>
        </w:rPr>
        <w:t>进行副食品验收。</w:t>
      </w:r>
    </w:p>
    <w:p w14:paraId="428C40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olor w:val="auto"/>
          <w:sz w:val="24"/>
          <w:szCs w:val="24"/>
        </w:rPr>
        <w:t>（</w:t>
      </w:r>
      <w:r>
        <w:rPr>
          <w:rFonts w:hint="eastAsia" w:ascii="宋体" w:hAnsi="宋体" w:cs="宋体"/>
          <w:color w:val="auto"/>
          <w:sz w:val="24"/>
          <w:szCs w:val="24"/>
        </w:rPr>
        <w:t>3）副食品现场验收</w:t>
      </w:r>
    </w:p>
    <w:p w14:paraId="08D6E6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采取现场验收方式，验收人认真检查物资的质量，按核对（品种核对）→索证→抽查（检测）→数量、重量验收（过磅）→入库→签章的程序完成验收。</w:t>
      </w:r>
      <w:r>
        <w:rPr>
          <w:rFonts w:hint="eastAsia" w:ascii="宋体" w:hAnsi="宋体" w:cs="宋体"/>
          <w:color w:val="auto"/>
          <w:sz w:val="24"/>
          <w:szCs w:val="24"/>
          <w:lang w:eastAsia="zh-CN"/>
        </w:rPr>
        <w:t>中标人</w:t>
      </w:r>
      <w:r>
        <w:rPr>
          <w:rFonts w:hint="eastAsia" w:ascii="宋体" w:hAnsi="宋体" w:cs="宋体"/>
          <w:color w:val="auto"/>
          <w:sz w:val="24"/>
          <w:szCs w:val="24"/>
        </w:rPr>
        <w:t>应提供票证原件</w:t>
      </w:r>
      <w:r>
        <w:rPr>
          <w:rFonts w:hint="eastAsia" w:ascii="宋体" w:hAnsi="宋体" w:cs="宋体"/>
          <w:color w:val="auto"/>
          <w:sz w:val="24"/>
          <w:szCs w:val="24"/>
          <w:lang w:eastAsia="zh-CN"/>
        </w:rPr>
        <w:t>，</w:t>
      </w:r>
      <w:r>
        <w:rPr>
          <w:rFonts w:hint="eastAsia" w:ascii="宋体" w:hAnsi="宋体" w:cs="宋体"/>
          <w:color w:val="auto"/>
          <w:sz w:val="24"/>
          <w:szCs w:val="24"/>
        </w:rPr>
        <w:t>原件只有一份且无法提供给采购人的，经验收人查验原件后，提供复印件交由验收人归档留存。（各类品种票证要求参照本办法第四项“各类物资索票要求”）</w:t>
      </w:r>
    </w:p>
    <w:p w14:paraId="6FA81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（4）按照“第二项产品质量标准要求”对产品质量进行检查，符合退货条件的，按照退货依据进行退货。</w:t>
      </w:r>
    </w:p>
    <w:p w14:paraId="4098B2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olor w:val="auto"/>
          <w:sz w:val="24"/>
          <w:szCs w:val="24"/>
        </w:rPr>
        <w:t>（</w:t>
      </w:r>
      <w:r>
        <w:rPr>
          <w:rFonts w:hint="eastAsia" w:ascii="宋体" w:hAnsi="宋体" w:cs="宋体"/>
          <w:color w:val="auto"/>
          <w:sz w:val="24"/>
          <w:szCs w:val="24"/>
        </w:rPr>
        <w:t>5）抽查发现食品安全质量问题的处理：对危及人身安全的食品质量问题当日所送同批次产品全部退货。若抽查未发现问题，按储藏要求储藏后在加工食用前发现产品质量问题的，应立即通知</w:t>
      </w:r>
      <w:r>
        <w:rPr>
          <w:rFonts w:hint="eastAsia" w:ascii="宋体" w:hAnsi="宋体" w:cs="宋体"/>
          <w:color w:val="auto"/>
          <w:sz w:val="24"/>
          <w:szCs w:val="24"/>
          <w:lang w:eastAsia="zh-CN"/>
        </w:rPr>
        <w:t>中标人</w:t>
      </w:r>
      <w:r>
        <w:rPr>
          <w:rFonts w:hint="eastAsia" w:ascii="宋体" w:hAnsi="宋体" w:cs="宋体"/>
          <w:color w:val="auto"/>
          <w:sz w:val="24"/>
          <w:szCs w:val="24"/>
        </w:rPr>
        <w:t>，将问题产品退货处理。</w:t>
      </w:r>
    </w:p>
    <w:p w14:paraId="483FC1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olor w:val="auto"/>
          <w:sz w:val="24"/>
          <w:szCs w:val="24"/>
        </w:rPr>
        <w:t>（</w:t>
      </w:r>
      <w:r>
        <w:rPr>
          <w:rFonts w:hint="eastAsia" w:ascii="宋体" w:hAnsi="宋体" w:cs="宋体"/>
          <w:color w:val="auto"/>
          <w:sz w:val="24"/>
          <w:szCs w:val="24"/>
        </w:rPr>
        <w:t>6）其余无法出具相关票证的货物作退货处理。</w:t>
      </w:r>
    </w:p>
    <w:p w14:paraId="4209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olor w:val="auto"/>
          <w:sz w:val="24"/>
          <w:szCs w:val="24"/>
        </w:rPr>
        <w:t>（</w:t>
      </w:r>
      <w:r>
        <w:rPr>
          <w:rFonts w:hint="eastAsia" w:ascii="宋体" w:hAnsi="宋体" w:cs="宋体"/>
          <w:color w:val="auto"/>
          <w:sz w:val="24"/>
          <w:szCs w:val="24"/>
        </w:rPr>
        <w:t>7）货物重量验收：</w:t>
      </w:r>
    </w:p>
    <w:p w14:paraId="169D3B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丸类、火腿、腊肠类等不含冰货物直接称重验收。（根据《定量包装商品计量监督管理办法》，标注净含量与实际含量之差不得大于标注净含量的1％。）</w:t>
      </w:r>
    </w:p>
    <w:p w14:paraId="5DB02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蔬菜：去筐包装后按实物过磅称重验收。</w:t>
      </w:r>
    </w:p>
    <w:p w14:paraId="610F8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黑体" w:hAnsi="宋体" w:eastAsia="黑体" w:cs="宋体"/>
          <w:color w:val="auto"/>
          <w:sz w:val="24"/>
          <w:szCs w:val="24"/>
        </w:rPr>
      </w:pPr>
      <w:r>
        <w:rPr>
          <w:rFonts w:hint="eastAsia" w:ascii="宋体" w:hAnsi="宋体"/>
          <w:color w:val="auto"/>
          <w:sz w:val="24"/>
          <w:szCs w:val="24"/>
        </w:rPr>
        <w:t>3.</w:t>
      </w:r>
      <w:r>
        <w:rPr>
          <w:rFonts w:hint="eastAsia" w:ascii="黑体" w:hAnsi="宋体" w:eastAsia="黑体" w:cs="宋体"/>
          <w:color w:val="auto"/>
          <w:sz w:val="24"/>
          <w:szCs w:val="24"/>
        </w:rPr>
        <w:t xml:space="preserve"> </w:t>
      </w:r>
      <w:r>
        <w:rPr>
          <w:rFonts w:hint="eastAsia" w:ascii="宋体" w:hAnsi="宋体" w:cs="宋体"/>
          <w:color w:val="auto"/>
          <w:sz w:val="24"/>
          <w:szCs w:val="24"/>
        </w:rPr>
        <w:t>退（补）货流程：</w:t>
      </w:r>
    </w:p>
    <w:p w14:paraId="5825E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对不符合采购质量标准要求的副食品由验收人员提出退（补）货申请，由食堂直接与</w:t>
      </w:r>
      <w:r>
        <w:rPr>
          <w:rFonts w:hint="eastAsia" w:ascii="宋体" w:hAnsi="宋体" w:cs="宋体"/>
          <w:color w:val="auto"/>
          <w:sz w:val="24"/>
          <w:szCs w:val="24"/>
          <w:lang w:eastAsia="zh-CN"/>
        </w:rPr>
        <w:t>中标人</w:t>
      </w:r>
      <w:r>
        <w:rPr>
          <w:rFonts w:hint="eastAsia" w:ascii="宋体" w:hAnsi="宋体" w:cs="宋体"/>
          <w:color w:val="auto"/>
          <w:sz w:val="24"/>
          <w:szCs w:val="24"/>
        </w:rPr>
        <w:t>协商办理。如双方对质量或重量有争议的可送具有检验资质的第三方部门检测，检测费用由过错方承担；对数量不足或符合退货条件的，</w:t>
      </w:r>
      <w:r>
        <w:rPr>
          <w:rFonts w:hint="eastAsia" w:ascii="宋体" w:hAnsi="宋体" w:cs="宋体"/>
          <w:color w:val="auto"/>
          <w:sz w:val="24"/>
          <w:szCs w:val="24"/>
          <w:lang w:eastAsia="zh-CN"/>
        </w:rPr>
        <w:t>中标人</w:t>
      </w:r>
      <w:r>
        <w:rPr>
          <w:rFonts w:hint="eastAsia" w:ascii="宋体" w:hAnsi="宋体" w:cs="宋体"/>
          <w:color w:val="auto"/>
          <w:sz w:val="24"/>
          <w:szCs w:val="24"/>
        </w:rPr>
        <w:t>以不影响单位伙食供应为前提尽快补送。</w:t>
      </w:r>
    </w:p>
    <w:p w14:paraId="126F5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olor w:val="auto"/>
          <w:sz w:val="24"/>
          <w:szCs w:val="24"/>
        </w:rPr>
      </w:pPr>
      <w:r>
        <w:rPr>
          <w:rFonts w:hint="eastAsia" w:ascii="宋体" w:hAnsi="宋体"/>
          <w:color w:val="auto"/>
          <w:sz w:val="24"/>
          <w:szCs w:val="24"/>
        </w:rPr>
        <w:t>4.处罚管理：</w:t>
      </w:r>
    </w:p>
    <w:p w14:paraId="2686E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ascii="宋体" w:hAnsi="宋体" w:cs="宋体"/>
          <w:color w:val="auto"/>
          <w:sz w:val="24"/>
          <w:szCs w:val="24"/>
        </w:rPr>
      </w:pPr>
      <w:r>
        <w:rPr>
          <w:rFonts w:hint="eastAsia" w:ascii="宋体" w:hAnsi="宋体"/>
          <w:color w:val="auto"/>
          <w:sz w:val="24"/>
          <w:szCs w:val="24"/>
        </w:rPr>
        <w:t>（</w:t>
      </w:r>
      <w:r>
        <w:rPr>
          <w:rFonts w:hint="eastAsia" w:ascii="宋体" w:hAnsi="宋体" w:cs="宋体"/>
          <w:color w:val="auto"/>
          <w:sz w:val="24"/>
          <w:szCs w:val="24"/>
        </w:rPr>
        <w:t>1）</w:t>
      </w:r>
      <w:r>
        <w:rPr>
          <w:rFonts w:hint="eastAsia" w:ascii="宋体" w:hAnsi="宋体" w:cs="宋体"/>
          <w:color w:val="auto"/>
          <w:sz w:val="24"/>
          <w:szCs w:val="24"/>
          <w:lang w:eastAsia="zh-CN"/>
        </w:rPr>
        <w:t>中标人</w:t>
      </w:r>
      <w:r>
        <w:rPr>
          <w:rFonts w:hint="eastAsia" w:ascii="宋体" w:hAnsi="宋体" w:cs="宋体"/>
          <w:color w:val="auto"/>
          <w:sz w:val="24"/>
          <w:szCs w:val="24"/>
        </w:rPr>
        <w:t>未按照</w:t>
      </w:r>
      <w:r>
        <w:rPr>
          <w:rFonts w:hint="eastAsia" w:ascii="宋体" w:hAnsi="宋体" w:cs="宋体"/>
          <w:color w:val="auto"/>
          <w:sz w:val="24"/>
          <w:szCs w:val="24"/>
          <w:lang w:eastAsia="zh-CN"/>
        </w:rPr>
        <w:t>扶余市消防救援大队</w:t>
      </w:r>
      <w:r>
        <w:rPr>
          <w:rFonts w:hint="eastAsia" w:ascii="宋体" w:hAnsi="宋体" w:cs="宋体"/>
          <w:color w:val="auto"/>
          <w:sz w:val="24"/>
          <w:szCs w:val="24"/>
        </w:rPr>
        <w:t>规定的时间、地点和要求进行副食品供应配送的，属于</w:t>
      </w:r>
      <w:r>
        <w:rPr>
          <w:rFonts w:hint="eastAsia" w:ascii="宋体" w:hAnsi="宋体" w:cs="宋体"/>
          <w:color w:val="auto"/>
          <w:sz w:val="24"/>
          <w:szCs w:val="24"/>
          <w:lang w:eastAsia="zh-CN"/>
        </w:rPr>
        <w:t>中标人</w:t>
      </w:r>
      <w:r>
        <w:rPr>
          <w:rFonts w:hint="eastAsia" w:ascii="宋体" w:hAnsi="宋体" w:cs="宋体"/>
          <w:color w:val="auto"/>
          <w:sz w:val="24"/>
          <w:szCs w:val="24"/>
        </w:rPr>
        <w:t>主观因素的，一次警告，两次取消</w:t>
      </w:r>
      <w:r>
        <w:rPr>
          <w:rFonts w:hint="eastAsia" w:ascii="宋体" w:hAnsi="宋体" w:cs="宋体"/>
          <w:color w:val="auto"/>
          <w:sz w:val="24"/>
          <w:szCs w:val="24"/>
          <w:lang w:eastAsia="zh-CN"/>
        </w:rPr>
        <w:t>中标人</w:t>
      </w:r>
      <w:r>
        <w:rPr>
          <w:rFonts w:hint="eastAsia" w:ascii="宋体" w:hAnsi="宋体" w:cs="宋体"/>
          <w:color w:val="auto"/>
          <w:sz w:val="24"/>
          <w:szCs w:val="24"/>
        </w:rPr>
        <w:t>资格。</w:t>
      </w:r>
    </w:p>
    <w:p w14:paraId="7F6E4C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ascii="宋体" w:hAnsi="宋体" w:cs="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s="宋体"/>
          <w:color w:val="auto"/>
          <w:sz w:val="24"/>
          <w:szCs w:val="24"/>
        </w:rPr>
        <w:t>）</w:t>
      </w:r>
      <w:r>
        <w:rPr>
          <w:rFonts w:hint="eastAsia" w:ascii="宋体" w:hAnsi="宋体" w:cs="宋体"/>
          <w:color w:val="auto"/>
          <w:sz w:val="24"/>
          <w:szCs w:val="24"/>
          <w:lang w:eastAsia="zh-CN"/>
        </w:rPr>
        <w:t>中标人</w:t>
      </w:r>
      <w:r>
        <w:rPr>
          <w:rFonts w:hint="eastAsia" w:ascii="宋体" w:hAnsi="宋体" w:cs="宋体"/>
          <w:color w:val="auto"/>
          <w:sz w:val="24"/>
          <w:szCs w:val="24"/>
        </w:rPr>
        <w:t>配送的副食品缺斤短两超出3%的，</w:t>
      </w:r>
      <w:r>
        <w:rPr>
          <w:rFonts w:hint="eastAsia" w:ascii="宋体" w:hAnsi="宋体" w:cs="宋体"/>
          <w:color w:val="auto"/>
          <w:sz w:val="24"/>
          <w:szCs w:val="24"/>
          <w:lang w:eastAsia="zh-CN"/>
        </w:rPr>
        <w:t>采购单位</w:t>
      </w:r>
      <w:r>
        <w:rPr>
          <w:rFonts w:hint="eastAsia" w:ascii="宋体" w:hAnsi="宋体" w:cs="宋体"/>
          <w:color w:val="auto"/>
          <w:sz w:val="24"/>
          <w:szCs w:val="24"/>
        </w:rPr>
        <w:t>应及时提出，</w:t>
      </w:r>
      <w:r>
        <w:rPr>
          <w:rFonts w:hint="eastAsia" w:ascii="宋体" w:hAnsi="宋体" w:cs="宋体"/>
          <w:color w:val="auto"/>
          <w:sz w:val="24"/>
          <w:szCs w:val="24"/>
          <w:lang w:eastAsia="zh-CN"/>
        </w:rPr>
        <w:t>中标人</w:t>
      </w:r>
      <w:r>
        <w:rPr>
          <w:rFonts w:hint="eastAsia" w:ascii="宋体" w:hAnsi="宋体" w:cs="宋体"/>
          <w:color w:val="auto"/>
          <w:sz w:val="24"/>
          <w:szCs w:val="24"/>
        </w:rPr>
        <w:t>应立即补足，不准拖欠。拖欠不补或经民主测评有50%以上食堂验收人员反映经常出现缺斤短两的，第一次罚款2000元，第二次扣除50%履约保证金，第三次取消资格。</w:t>
      </w:r>
    </w:p>
    <w:p w14:paraId="1A242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ascii="宋体" w:hAnsi="宋体" w:cs="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s="宋体"/>
          <w:color w:val="auto"/>
          <w:sz w:val="24"/>
          <w:szCs w:val="24"/>
        </w:rPr>
        <w:t>）由于</w:t>
      </w:r>
      <w:r>
        <w:rPr>
          <w:rFonts w:hint="eastAsia" w:ascii="宋体" w:hAnsi="宋体" w:cs="宋体"/>
          <w:color w:val="auto"/>
          <w:sz w:val="24"/>
          <w:szCs w:val="24"/>
          <w:lang w:eastAsia="zh-CN"/>
        </w:rPr>
        <w:t>中标人</w:t>
      </w:r>
      <w:r>
        <w:rPr>
          <w:rFonts w:hint="eastAsia" w:ascii="宋体" w:hAnsi="宋体" w:cs="宋体"/>
          <w:color w:val="auto"/>
          <w:sz w:val="24"/>
          <w:szCs w:val="24"/>
        </w:rPr>
        <w:t>原因，某一品种供应量不足或遗漏品种致使伙食单位不能按计划就餐的，一次一个品种罚款2000元。</w:t>
      </w:r>
    </w:p>
    <w:p w14:paraId="672CA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ascii="宋体" w:hAnsi="宋体" w:cs="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eastAsia="zh-CN"/>
        </w:rPr>
        <w:t>中标人</w:t>
      </w:r>
      <w:r>
        <w:rPr>
          <w:rFonts w:hint="eastAsia" w:ascii="宋体" w:hAnsi="宋体" w:cs="宋体"/>
          <w:color w:val="auto"/>
          <w:sz w:val="24"/>
          <w:szCs w:val="24"/>
        </w:rPr>
        <w:t>采取冷冻、外包装以及其他不正当手段，故意掺杂低于所订购食品标准的，除扣除相应所得外，一次罚款2000元。</w:t>
      </w:r>
    </w:p>
    <w:p w14:paraId="4B5FDF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ascii="宋体" w:hAnsi="宋体" w:cs="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eastAsia="zh-CN"/>
        </w:rPr>
        <w:t>中标人</w:t>
      </w:r>
      <w:r>
        <w:rPr>
          <w:rFonts w:hint="eastAsia" w:ascii="宋体" w:hAnsi="宋体" w:cs="宋体"/>
          <w:color w:val="auto"/>
          <w:sz w:val="24"/>
          <w:szCs w:val="24"/>
        </w:rPr>
        <w:t>在配送过程中如有遇验收人员对所供食品品质、数量有争议的，应本着先保障供应，后到</w:t>
      </w:r>
      <w:r>
        <w:rPr>
          <w:rFonts w:hint="eastAsia" w:ascii="宋体" w:hAnsi="宋体" w:cs="宋体"/>
          <w:color w:val="auto"/>
          <w:sz w:val="24"/>
          <w:szCs w:val="24"/>
          <w:lang w:eastAsia="zh-CN"/>
        </w:rPr>
        <w:t>扶余市消防救援大队</w:t>
      </w:r>
      <w:r>
        <w:rPr>
          <w:rFonts w:hint="eastAsia" w:ascii="宋体" w:hAnsi="宋体" w:cs="宋体"/>
          <w:color w:val="auto"/>
          <w:sz w:val="24"/>
          <w:szCs w:val="24"/>
        </w:rPr>
        <w:t>核查澄清的程序解决，不得蛮横处理，违反本条一次罚款500元。</w:t>
      </w:r>
    </w:p>
    <w:p w14:paraId="07552B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s="宋体"/>
          <w:color w:val="auto"/>
          <w:sz w:val="24"/>
          <w:szCs w:val="24"/>
        </w:rPr>
        <w:t>）</w:t>
      </w:r>
      <w:r>
        <w:rPr>
          <w:rFonts w:hint="eastAsia" w:ascii="宋体" w:hAnsi="宋体" w:cs="宋体"/>
          <w:color w:val="auto"/>
          <w:sz w:val="24"/>
          <w:szCs w:val="24"/>
          <w:lang w:eastAsia="zh-CN"/>
        </w:rPr>
        <w:t>中标人</w:t>
      </w:r>
      <w:r>
        <w:rPr>
          <w:rFonts w:hint="eastAsia" w:ascii="宋体" w:hAnsi="宋体" w:cs="宋体"/>
          <w:color w:val="auto"/>
          <w:sz w:val="24"/>
          <w:szCs w:val="24"/>
        </w:rPr>
        <w:t>如不能及时供应配送</w:t>
      </w:r>
      <w:r>
        <w:rPr>
          <w:rFonts w:hint="eastAsia" w:ascii="宋体" w:hAnsi="宋体" w:cs="宋体"/>
          <w:color w:val="auto"/>
          <w:sz w:val="24"/>
          <w:szCs w:val="24"/>
          <w:lang w:eastAsia="zh-CN"/>
        </w:rPr>
        <w:t>扶余市消防救援大队</w:t>
      </w:r>
      <w:r>
        <w:rPr>
          <w:rFonts w:hint="eastAsia" w:ascii="宋体" w:hAnsi="宋体" w:cs="宋体"/>
          <w:color w:val="auto"/>
          <w:sz w:val="24"/>
          <w:szCs w:val="24"/>
        </w:rPr>
        <w:t>所缺物资，将由食堂启动应急采购资金，到就近市场进行采购，采购资金由</w:t>
      </w:r>
      <w:r>
        <w:rPr>
          <w:rFonts w:hint="eastAsia" w:ascii="宋体" w:hAnsi="宋体" w:cs="宋体"/>
          <w:color w:val="auto"/>
          <w:sz w:val="24"/>
          <w:szCs w:val="24"/>
          <w:lang w:eastAsia="zh-CN"/>
        </w:rPr>
        <w:t>中标人</w:t>
      </w:r>
      <w:r>
        <w:rPr>
          <w:rFonts w:hint="eastAsia" w:ascii="宋体" w:hAnsi="宋体" w:cs="宋体"/>
          <w:color w:val="auto"/>
          <w:sz w:val="24"/>
          <w:szCs w:val="24"/>
        </w:rPr>
        <w:t>根据票据无条件给以全额结算。</w:t>
      </w:r>
    </w:p>
    <w:p w14:paraId="497101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7</w:t>
      </w:r>
      <w:r>
        <w:rPr>
          <w:rFonts w:hint="eastAsia" w:ascii="宋体" w:hAnsi="宋体" w:cs="宋体"/>
          <w:color w:val="auto"/>
          <w:sz w:val="24"/>
          <w:szCs w:val="24"/>
        </w:rPr>
        <w:t>）</w:t>
      </w:r>
      <w:r>
        <w:rPr>
          <w:rFonts w:hint="eastAsia" w:hAnsi="宋体" w:cs="宋体-18030"/>
          <w:bCs/>
          <w:color w:val="auto"/>
          <w:kern w:val="15"/>
          <w:sz w:val="24"/>
          <w:szCs w:val="24"/>
        </w:rPr>
        <w:t>采购人通过不定期的方式组织相关人员进行市场调研，开展市场询价，调研场所主要包含大型生鲜超市、各大农贸市场等，</w:t>
      </w:r>
      <w:r>
        <w:rPr>
          <w:rFonts w:hint="eastAsia" w:ascii="宋体" w:hAnsi="宋体" w:cs="宋体"/>
          <w:color w:val="auto"/>
          <w:sz w:val="24"/>
          <w:szCs w:val="24"/>
          <w:lang w:eastAsia="zh-CN"/>
        </w:rPr>
        <w:t>中标人</w:t>
      </w:r>
      <w:r>
        <w:rPr>
          <w:rFonts w:hint="eastAsia" w:ascii="宋体" w:hAnsi="宋体" w:cs="宋体"/>
          <w:color w:val="auto"/>
          <w:sz w:val="24"/>
          <w:szCs w:val="24"/>
        </w:rPr>
        <w:t>配送的副食价格应与松原市区内农贸市场当日价格相当，一经发现同一产品价格虚高超过15%的，第一次罚款2000元，第二次扣除履约保证金，第三次取消</w:t>
      </w:r>
      <w:r>
        <w:rPr>
          <w:rFonts w:hint="eastAsia" w:ascii="宋体" w:hAnsi="宋体" w:cs="宋体"/>
          <w:color w:val="auto"/>
          <w:sz w:val="24"/>
          <w:szCs w:val="24"/>
          <w:lang w:eastAsia="zh-CN"/>
        </w:rPr>
        <w:t>中标人</w:t>
      </w:r>
      <w:r>
        <w:rPr>
          <w:rFonts w:hint="eastAsia" w:ascii="宋体" w:hAnsi="宋体" w:cs="宋体"/>
          <w:color w:val="auto"/>
          <w:sz w:val="24"/>
          <w:szCs w:val="24"/>
        </w:rPr>
        <w:t>资格。</w:t>
      </w:r>
    </w:p>
    <w:p w14:paraId="26122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rFonts w:hint="eastAsia"/>
          <w:snapToGrid w:val="0"/>
          <w:color w:val="auto"/>
          <w:sz w:val="24"/>
          <w:szCs w:val="24"/>
        </w:rPr>
      </w:pPr>
      <w:r>
        <w:rPr>
          <w:rFonts w:ascii="宋体" w:hAnsi="宋体"/>
          <w:color w:val="auto"/>
          <w:sz w:val="24"/>
          <w:szCs w:val="24"/>
          <w:lang w:val="zh-CN"/>
        </w:rPr>
        <w:t>★</w:t>
      </w:r>
      <w:r>
        <w:rPr>
          <w:rFonts w:hint="eastAsia"/>
          <w:snapToGrid w:val="0"/>
          <w:color w:val="auto"/>
          <w:sz w:val="24"/>
          <w:szCs w:val="24"/>
        </w:rPr>
        <w:t>（三）</w:t>
      </w:r>
      <w:r>
        <w:rPr>
          <w:rFonts w:hint="eastAsia" w:ascii="宋体" w:hAnsi="宋体" w:cs="宋体"/>
          <w:color w:val="auto"/>
          <w:sz w:val="24"/>
          <w:szCs w:val="24"/>
        </w:rPr>
        <w:t>履约保证金</w:t>
      </w:r>
    </w:p>
    <w:p w14:paraId="20249200">
      <w:pPr>
        <w:spacing w:line="400" w:lineRule="exact"/>
        <w:ind w:firstLine="480" w:firstLineChars="200"/>
        <w:rPr>
          <w:rFonts w:hint="eastAsia"/>
          <w:snapToGrid w:val="0"/>
          <w:color w:val="auto"/>
          <w:sz w:val="24"/>
          <w:szCs w:val="24"/>
        </w:rPr>
      </w:pPr>
      <w:r>
        <w:rPr>
          <w:rFonts w:hint="eastAsia"/>
          <w:snapToGrid w:val="0"/>
          <w:color w:val="auto"/>
          <w:sz w:val="24"/>
          <w:szCs w:val="24"/>
        </w:rPr>
        <w:t>中标后签订合同</w:t>
      </w:r>
      <w:r>
        <w:rPr>
          <w:rFonts w:hint="eastAsia"/>
          <w:snapToGrid w:val="0"/>
          <w:color w:val="auto"/>
          <w:sz w:val="24"/>
          <w:szCs w:val="24"/>
          <w:lang w:eastAsia="zh-CN"/>
        </w:rPr>
        <w:t>一个月内</w:t>
      </w:r>
      <w:r>
        <w:rPr>
          <w:rFonts w:hint="eastAsia"/>
          <w:snapToGrid w:val="0"/>
          <w:color w:val="auto"/>
          <w:sz w:val="24"/>
          <w:szCs w:val="24"/>
        </w:rPr>
        <w:t>，</w:t>
      </w:r>
      <w:r>
        <w:rPr>
          <w:rFonts w:hint="eastAsia"/>
          <w:snapToGrid w:val="0"/>
          <w:color w:val="auto"/>
          <w:sz w:val="24"/>
          <w:szCs w:val="24"/>
          <w:lang w:eastAsia="zh-CN"/>
        </w:rPr>
        <w:t>供应商对公</w:t>
      </w:r>
      <w:r>
        <w:rPr>
          <w:rFonts w:hint="eastAsia"/>
          <w:snapToGrid w:val="0"/>
          <w:color w:val="auto"/>
          <w:sz w:val="24"/>
          <w:szCs w:val="24"/>
        </w:rPr>
        <w:t>应向</w:t>
      </w:r>
      <w:r>
        <w:rPr>
          <w:rFonts w:hint="eastAsia"/>
          <w:snapToGrid w:val="0"/>
          <w:color w:val="auto"/>
          <w:sz w:val="24"/>
          <w:szCs w:val="24"/>
          <w:lang w:val="en-US" w:eastAsia="zh-CN"/>
        </w:rPr>
        <w:t>扶余市消防救援大队</w:t>
      </w:r>
      <w:r>
        <w:rPr>
          <w:rFonts w:hint="eastAsia"/>
          <w:snapToGrid w:val="0"/>
          <w:color w:val="auto"/>
          <w:sz w:val="24"/>
          <w:szCs w:val="24"/>
        </w:rPr>
        <w:t>缴纳</w:t>
      </w:r>
      <w:r>
        <w:rPr>
          <w:rFonts w:hint="eastAsia"/>
          <w:snapToGrid w:val="0"/>
          <w:color w:val="auto"/>
          <w:sz w:val="24"/>
          <w:szCs w:val="24"/>
          <w:lang w:val="en-US" w:eastAsia="zh-CN"/>
        </w:rPr>
        <w:t>1</w:t>
      </w:r>
      <w:r>
        <w:rPr>
          <w:rFonts w:hint="eastAsia"/>
          <w:snapToGrid w:val="0"/>
          <w:color w:val="auto"/>
          <w:sz w:val="24"/>
          <w:szCs w:val="24"/>
        </w:rPr>
        <w:t>万元作为履约保证金。</w:t>
      </w:r>
    </w:p>
    <w:p w14:paraId="0048FB77">
      <w:pPr>
        <w:pStyle w:val="5"/>
        <w:rPr>
          <w:rFonts w:hint="eastAsia"/>
          <w:snapToGrid w:val="0"/>
          <w:color w:val="auto"/>
          <w:sz w:val="24"/>
          <w:szCs w:val="24"/>
        </w:rPr>
      </w:pPr>
    </w:p>
    <w:p w14:paraId="2FB79C30">
      <w:pPr>
        <w:jc w:val="both"/>
        <w:rPr>
          <w:rFonts w:hint="default"/>
          <w:b/>
          <w:bCs/>
          <w:color w:val="auto"/>
          <w:sz w:val="32"/>
          <w:szCs w:val="40"/>
          <w:highlight w:val="none"/>
          <w:lang w:val="en-US" w:eastAsia="zh-CN"/>
        </w:rPr>
      </w:pPr>
      <w:r>
        <w:rPr>
          <w:rFonts w:hint="eastAsia"/>
          <w:b/>
          <w:bCs/>
          <w:color w:val="auto"/>
          <w:sz w:val="32"/>
          <w:szCs w:val="40"/>
          <w:highlight w:val="none"/>
          <w:lang w:val="en-US" w:eastAsia="zh-CN"/>
        </w:rPr>
        <w:t>注：请各供应商在正确下载招标文件后（在有效报名期内）联系招标公司核对参数信息。如未及时核对参数，导致参数有出入，投标无效，后果自负。</w:t>
      </w:r>
    </w:p>
    <w:p w14:paraId="206C1EF6">
      <w:pPr>
        <w:jc w:val="both"/>
        <w:rPr>
          <w:rFonts w:hint="default" w:ascii="Arial" w:hAnsi="Arial" w:cs="Arial"/>
          <w:b/>
          <w:color w:val="auto"/>
          <w:sz w:val="32"/>
          <w:szCs w:val="32"/>
          <w:highlight w:val="none"/>
          <w:lang w:val="en-US"/>
        </w:rPr>
      </w:pPr>
      <w:r>
        <w:rPr>
          <w:rFonts w:hint="eastAsia"/>
          <w:b/>
          <w:bCs/>
          <w:color w:val="auto"/>
          <w:sz w:val="32"/>
          <w:szCs w:val="40"/>
          <w:highlight w:val="none"/>
          <w:lang w:val="en-US" w:eastAsia="zh-CN"/>
        </w:rPr>
        <w:t>联系电话：15584565977</w:t>
      </w:r>
    </w:p>
    <w:p w14:paraId="14DCFDD7">
      <w:pPr>
        <w:spacing w:line="360" w:lineRule="auto"/>
        <w:jc w:val="center"/>
        <w:rPr>
          <w:rFonts w:hint="eastAsia" w:ascii="宋体" w:hAnsi="宋体" w:cs="宋体"/>
          <w:b/>
          <w:bCs/>
          <w:color w:val="auto"/>
          <w:sz w:val="32"/>
          <w:szCs w:val="32"/>
        </w:rPr>
      </w:pPr>
    </w:p>
    <w:p w14:paraId="7DD54380">
      <w:pPr>
        <w:spacing w:line="360" w:lineRule="auto"/>
        <w:jc w:val="center"/>
        <w:rPr>
          <w:rFonts w:hint="eastAsia" w:ascii="宋体" w:hAnsi="宋体" w:cs="宋体"/>
          <w:b/>
          <w:bCs/>
          <w:color w:val="auto"/>
          <w:sz w:val="32"/>
          <w:szCs w:val="32"/>
        </w:rPr>
      </w:pPr>
    </w:p>
    <w:p w14:paraId="6C781745">
      <w:pPr>
        <w:spacing w:line="360" w:lineRule="auto"/>
        <w:jc w:val="center"/>
        <w:rPr>
          <w:rFonts w:hint="eastAsia" w:ascii="宋体" w:hAnsi="宋体" w:cs="宋体"/>
          <w:b/>
          <w:bCs/>
          <w:color w:val="auto"/>
          <w:sz w:val="32"/>
          <w:szCs w:val="32"/>
        </w:rPr>
      </w:pPr>
    </w:p>
    <w:p w14:paraId="004660C0">
      <w:pPr>
        <w:spacing w:line="360" w:lineRule="auto"/>
        <w:jc w:val="center"/>
        <w:rPr>
          <w:rFonts w:hint="eastAsia" w:ascii="宋体" w:hAnsi="宋体" w:cs="宋体"/>
          <w:b/>
          <w:bCs/>
          <w:color w:val="auto"/>
          <w:sz w:val="32"/>
          <w:szCs w:val="32"/>
        </w:rPr>
      </w:pPr>
    </w:p>
    <w:p w14:paraId="5596B40A">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第九篇  附表</w:t>
      </w:r>
    </w:p>
    <w:p w14:paraId="600AA12D">
      <w:pPr>
        <w:jc w:val="center"/>
        <w:rPr>
          <w:rFonts w:ascii="宋体" w:hAnsi="宋体" w:cs="宋体"/>
          <w:b/>
          <w:bCs/>
          <w:color w:val="auto"/>
        </w:rPr>
      </w:pPr>
    </w:p>
    <w:p w14:paraId="35493693">
      <w:pPr>
        <w:spacing w:line="480" w:lineRule="auto"/>
        <w:rPr>
          <w:rFonts w:hint="default" w:ascii="宋体" w:hAnsi="宋体" w:eastAsia="宋体" w:cs="宋体"/>
          <w:b/>
          <w:bCs/>
          <w:color w:val="auto"/>
          <w:sz w:val="24"/>
          <w:szCs w:val="24"/>
          <w:lang w:val="en-US" w:eastAsia="zh-CN"/>
        </w:rPr>
      </w:pPr>
    </w:p>
    <w:p w14:paraId="1328AFE1">
      <w:pPr>
        <w:spacing w:line="480" w:lineRule="auto"/>
        <w:rPr>
          <w:rFonts w:hint="eastAsia" w:ascii="宋体" w:hAnsi="宋体" w:eastAsia="宋体" w:cs="宋体"/>
          <w:b/>
          <w:bCs/>
          <w:color w:val="auto"/>
          <w:sz w:val="24"/>
          <w:szCs w:val="24"/>
          <w:lang w:val="en-US" w:eastAsia="zh-CN"/>
        </w:rPr>
      </w:pPr>
    </w:p>
    <w:p w14:paraId="490B9E52">
      <w:pPr>
        <w:spacing w:line="480" w:lineRule="auto"/>
        <w:ind w:firstLine="420"/>
        <w:rPr>
          <w:rFonts w:ascii="宋体" w:hAnsi="宋体" w:cs="宋体"/>
          <w:b/>
          <w:bCs/>
          <w:color w:val="auto"/>
          <w:sz w:val="24"/>
          <w:szCs w:val="24"/>
        </w:rPr>
      </w:pPr>
    </w:p>
    <w:p w14:paraId="1C428D36">
      <w:pPr>
        <w:spacing w:line="480" w:lineRule="auto"/>
        <w:ind w:firstLine="420"/>
        <w:rPr>
          <w:rFonts w:ascii="宋体" w:hAnsi="宋体" w:cs="宋体"/>
          <w:b/>
          <w:bCs/>
          <w:color w:val="auto"/>
          <w:sz w:val="24"/>
          <w:szCs w:val="24"/>
        </w:rPr>
      </w:pPr>
    </w:p>
    <w:bookmarkEnd w:id="165"/>
    <w:bookmarkEnd w:id="166"/>
    <w:bookmarkEnd w:id="167"/>
    <w:p w14:paraId="23918899">
      <w:pPr>
        <w:widowControl/>
        <w:autoSpaceDE w:val="0"/>
        <w:autoSpaceDN w:val="0"/>
        <w:ind w:right="-12"/>
        <w:jc w:val="center"/>
        <w:textAlignment w:val="bottom"/>
        <w:rPr>
          <w:rFonts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color w:val="auto"/>
          <w:sz w:val="32"/>
          <w:szCs w:val="32"/>
        </w:rPr>
        <w:t>1.</w:t>
      </w:r>
      <w:r>
        <w:rPr>
          <w:rFonts w:hint="eastAsia" w:ascii="宋体" w:hAnsi="宋体" w:cs="宋体"/>
          <w:b/>
          <w:bCs/>
          <w:color w:val="auto"/>
          <w:sz w:val="32"/>
          <w:szCs w:val="32"/>
        </w:rPr>
        <w:t>响应文件格式</w:t>
      </w:r>
    </w:p>
    <w:p w14:paraId="22E71100">
      <w:pPr>
        <w:widowControl/>
        <w:autoSpaceDE w:val="0"/>
        <w:autoSpaceDN w:val="0"/>
        <w:spacing w:line="360" w:lineRule="auto"/>
        <w:ind w:right="-12"/>
        <w:textAlignment w:val="bottom"/>
        <w:rPr>
          <w:rFonts w:ascii="宋体" w:hAnsi="宋体" w:cs="宋体"/>
          <w:color w:val="auto"/>
        </w:rPr>
      </w:pPr>
    </w:p>
    <w:p w14:paraId="77073706">
      <w:pPr>
        <w:widowControl/>
        <w:autoSpaceDE w:val="0"/>
        <w:autoSpaceDN w:val="0"/>
        <w:spacing w:line="360" w:lineRule="auto"/>
        <w:ind w:right="-12"/>
        <w:textAlignment w:val="bottom"/>
        <w:rPr>
          <w:rFonts w:ascii="宋体" w:hAnsi="宋体" w:cs="宋体"/>
          <w:color w:val="auto"/>
        </w:rPr>
      </w:pPr>
    </w:p>
    <w:p w14:paraId="7B4A7E08">
      <w:pPr>
        <w:widowControl/>
        <w:autoSpaceDE w:val="0"/>
        <w:autoSpaceDN w:val="0"/>
        <w:spacing w:line="360" w:lineRule="auto"/>
        <w:ind w:right="-12"/>
        <w:textAlignment w:val="bottom"/>
        <w:rPr>
          <w:rFonts w:ascii="宋体" w:hAnsi="宋体" w:cs="宋体"/>
          <w:color w:val="auto"/>
        </w:rPr>
      </w:pPr>
      <w:r>
        <w:rPr>
          <w:rFonts w:hint="eastAsia" w:ascii="宋体" w:hAnsi="宋体" w:cs="宋体"/>
          <w:color w:val="auto"/>
        </w:rPr>
        <w:t>致：采购代理机构</w:t>
      </w:r>
    </w:p>
    <w:p w14:paraId="51913BDE">
      <w:pPr>
        <w:widowControl/>
        <w:autoSpaceDE w:val="0"/>
        <w:autoSpaceDN w:val="0"/>
        <w:spacing w:line="360" w:lineRule="auto"/>
        <w:ind w:right="17" w:firstLine="420" w:firstLineChars="200"/>
        <w:textAlignment w:val="bottom"/>
        <w:rPr>
          <w:rFonts w:hint="eastAsia" w:ascii="宋体" w:hAnsi="宋体" w:eastAsia="宋体" w:cs="宋体"/>
          <w:color w:val="auto"/>
          <w:lang w:eastAsia="zh-CN"/>
        </w:rPr>
      </w:pPr>
      <w:r>
        <w:rPr>
          <w:rFonts w:hint="eastAsia" w:ascii="宋体" w:hAnsi="宋体" w:cs="宋体"/>
          <w:color w:val="auto"/>
        </w:rPr>
        <w:t>根据贵方为项目采购的货物的竞争性磋商邀请（项目编号和包号），签字代表 （职务）经正式授权并代表供应商（供应商名称、地址）提交下述文件</w:t>
      </w:r>
      <w:r>
        <w:rPr>
          <w:rFonts w:hint="eastAsia" w:ascii="宋体" w:hAnsi="宋体" w:cs="宋体"/>
          <w:b/>
          <w:bCs/>
          <w:color w:val="auto"/>
        </w:rPr>
        <w:t>正本一份</w:t>
      </w:r>
      <w:r>
        <w:rPr>
          <w:rFonts w:hint="eastAsia" w:ascii="宋体" w:hAnsi="宋体" w:cs="宋体"/>
          <w:b/>
          <w:bCs/>
          <w:color w:val="auto"/>
          <w:lang w:eastAsia="zh-CN"/>
        </w:rPr>
        <w:t>。</w:t>
      </w:r>
    </w:p>
    <w:p w14:paraId="2F993830">
      <w:pPr>
        <w:widowControl/>
        <w:numPr>
          <w:ilvl w:val="0"/>
          <w:numId w:val="13"/>
        </w:numPr>
        <w:autoSpaceDE w:val="0"/>
        <w:autoSpaceDN w:val="0"/>
        <w:spacing w:line="360" w:lineRule="auto"/>
        <w:ind w:right="17" w:hanging="431"/>
        <w:textAlignment w:val="bottom"/>
        <w:rPr>
          <w:rFonts w:ascii="宋体" w:hAnsi="宋体" w:cs="宋体"/>
          <w:color w:val="auto"/>
        </w:rPr>
      </w:pPr>
      <w:r>
        <w:rPr>
          <w:rFonts w:hint="eastAsia" w:ascii="宋体" w:hAnsi="宋体" w:cs="宋体"/>
          <w:color w:val="auto"/>
        </w:rPr>
        <w:t>首次报价一览表；</w:t>
      </w:r>
    </w:p>
    <w:p w14:paraId="3EAF25DF">
      <w:pPr>
        <w:widowControl/>
        <w:numPr>
          <w:ilvl w:val="0"/>
          <w:numId w:val="13"/>
        </w:numPr>
        <w:autoSpaceDE w:val="0"/>
        <w:autoSpaceDN w:val="0"/>
        <w:spacing w:line="360" w:lineRule="auto"/>
        <w:ind w:right="17" w:hanging="431"/>
        <w:textAlignment w:val="bottom"/>
        <w:rPr>
          <w:rFonts w:ascii="宋体" w:hAnsi="宋体" w:cs="宋体"/>
          <w:color w:val="auto"/>
        </w:rPr>
      </w:pPr>
      <w:r>
        <w:rPr>
          <w:rFonts w:hint="eastAsia" w:ascii="宋体" w:hAnsi="宋体" w:cs="宋体"/>
          <w:color w:val="auto"/>
        </w:rPr>
        <w:t>磋商分项报价表；</w:t>
      </w:r>
    </w:p>
    <w:p w14:paraId="123C4754">
      <w:pPr>
        <w:widowControl/>
        <w:numPr>
          <w:ilvl w:val="0"/>
          <w:numId w:val="13"/>
        </w:numPr>
        <w:autoSpaceDE w:val="0"/>
        <w:autoSpaceDN w:val="0"/>
        <w:spacing w:line="360" w:lineRule="auto"/>
        <w:ind w:right="17" w:hanging="431"/>
        <w:textAlignment w:val="bottom"/>
        <w:rPr>
          <w:rFonts w:ascii="宋体" w:hAnsi="宋体" w:cs="宋体"/>
          <w:color w:val="auto"/>
        </w:rPr>
      </w:pPr>
      <w:r>
        <w:rPr>
          <w:rFonts w:hint="eastAsia" w:ascii="宋体" w:hAnsi="宋体" w:cs="宋体"/>
          <w:color w:val="auto"/>
        </w:rPr>
        <w:t>货物说明一览表；</w:t>
      </w:r>
    </w:p>
    <w:p w14:paraId="2FFD271C">
      <w:pPr>
        <w:widowControl/>
        <w:numPr>
          <w:ilvl w:val="0"/>
          <w:numId w:val="13"/>
        </w:numPr>
        <w:autoSpaceDE w:val="0"/>
        <w:autoSpaceDN w:val="0"/>
        <w:spacing w:line="360" w:lineRule="auto"/>
        <w:ind w:right="17" w:hanging="431"/>
        <w:textAlignment w:val="bottom"/>
        <w:rPr>
          <w:rFonts w:ascii="宋体" w:hAnsi="宋体" w:cs="宋体"/>
          <w:color w:val="auto"/>
        </w:rPr>
      </w:pPr>
      <w:r>
        <w:rPr>
          <w:rFonts w:hint="eastAsia" w:ascii="宋体" w:hAnsi="宋体" w:cs="宋体"/>
          <w:color w:val="auto"/>
        </w:rPr>
        <w:t>技术规格偏离表；</w:t>
      </w:r>
    </w:p>
    <w:p w14:paraId="4E458959">
      <w:pPr>
        <w:widowControl/>
        <w:numPr>
          <w:ilvl w:val="0"/>
          <w:numId w:val="13"/>
        </w:numPr>
        <w:autoSpaceDE w:val="0"/>
        <w:autoSpaceDN w:val="0"/>
        <w:spacing w:line="360" w:lineRule="auto"/>
        <w:ind w:right="17" w:hanging="431"/>
        <w:textAlignment w:val="bottom"/>
        <w:rPr>
          <w:rFonts w:ascii="宋体" w:hAnsi="宋体" w:cs="宋体"/>
          <w:color w:val="auto"/>
        </w:rPr>
      </w:pPr>
      <w:r>
        <w:rPr>
          <w:rFonts w:hint="eastAsia" w:ascii="宋体" w:hAnsi="宋体" w:cs="宋体"/>
          <w:color w:val="auto"/>
        </w:rPr>
        <w:t>商务条款偏离表；</w:t>
      </w:r>
    </w:p>
    <w:p w14:paraId="287562F8">
      <w:pPr>
        <w:widowControl/>
        <w:numPr>
          <w:ilvl w:val="0"/>
          <w:numId w:val="13"/>
        </w:numPr>
        <w:autoSpaceDE w:val="0"/>
        <w:autoSpaceDN w:val="0"/>
        <w:spacing w:line="360" w:lineRule="auto"/>
        <w:ind w:right="17" w:hanging="431"/>
        <w:textAlignment w:val="bottom"/>
        <w:rPr>
          <w:rFonts w:ascii="宋体" w:hAnsi="宋体" w:cs="宋体"/>
          <w:color w:val="auto"/>
        </w:rPr>
      </w:pPr>
      <w:r>
        <w:rPr>
          <w:rFonts w:hint="eastAsia" w:ascii="宋体" w:hAnsi="宋体" w:cs="宋体"/>
          <w:color w:val="auto"/>
        </w:rPr>
        <w:t>合同条款响应一览表；</w:t>
      </w:r>
    </w:p>
    <w:p w14:paraId="56384B85">
      <w:pPr>
        <w:widowControl/>
        <w:numPr>
          <w:ilvl w:val="0"/>
          <w:numId w:val="13"/>
        </w:numPr>
        <w:autoSpaceDE w:val="0"/>
        <w:autoSpaceDN w:val="0"/>
        <w:spacing w:line="360" w:lineRule="auto"/>
        <w:ind w:right="17" w:hanging="431"/>
        <w:textAlignment w:val="bottom"/>
        <w:rPr>
          <w:rFonts w:ascii="宋体" w:hAnsi="宋体" w:cs="宋体"/>
          <w:color w:val="auto"/>
        </w:rPr>
      </w:pPr>
      <w:r>
        <w:rPr>
          <w:rFonts w:hint="eastAsia" w:ascii="宋体" w:hAnsi="宋体" w:cs="宋体"/>
          <w:color w:val="auto"/>
        </w:rPr>
        <w:t>成交服务费承诺书；</w:t>
      </w:r>
    </w:p>
    <w:p w14:paraId="04C72260">
      <w:pPr>
        <w:widowControl/>
        <w:numPr>
          <w:ilvl w:val="0"/>
          <w:numId w:val="13"/>
        </w:numPr>
        <w:autoSpaceDE w:val="0"/>
        <w:autoSpaceDN w:val="0"/>
        <w:spacing w:line="360" w:lineRule="auto"/>
        <w:ind w:right="17" w:hanging="431"/>
        <w:textAlignment w:val="bottom"/>
        <w:rPr>
          <w:rFonts w:ascii="宋体" w:hAnsi="宋体" w:cs="宋体"/>
          <w:color w:val="auto"/>
        </w:rPr>
      </w:pPr>
      <w:r>
        <w:rPr>
          <w:rFonts w:hint="eastAsia" w:ascii="宋体" w:hAnsi="宋体" w:cs="宋体"/>
          <w:color w:val="auto"/>
        </w:rPr>
        <w:t>资格证明文件；</w:t>
      </w:r>
    </w:p>
    <w:p w14:paraId="64B0D82A">
      <w:pPr>
        <w:widowControl/>
        <w:numPr>
          <w:ilvl w:val="0"/>
          <w:numId w:val="13"/>
        </w:numPr>
        <w:autoSpaceDE w:val="0"/>
        <w:autoSpaceDN w:val="0"/>
        <w:spacing w:line="360" w:lineRule="auto"/>
        <w:ind w:right="17" w:hanging="431"/>
        <w:textAlignment w:val="bottom"/>
        <w:rPr>
          <w:rFonts w:ascii="宋体" w:hAnsi="宋体" w:cs="宋体"/>
          <w:color w:val="auto"/>
        </w:rPr>
      </w:pPr>
      <w:r>
        <w:rPr>
          <w:rFonts w:hint="eastAsia" w:ascii="宋体" w:hAnsi="宋体" w:cs="宋体"/>
          <w:color w:val="auto"/>
        </w:rPr>
        <w:t>磋商文件中供应商须知要求的所有文件；</w:t>
      </w:r>
    </w:p>
    <w:p w14:paraId="3CF810D5">
      <w:pPr>
        <w:widowControl/>
        <w:numPr>
          <w:ilvl w:val="0"/>
          <w:numId w:val="13"/>
        </w:numPr>
        <w:autoSpaceDE w:val="0"/>
        <w:autoSpaceDN w:val="0"/>
        <w:spacing w:line="360" w:lineRule="auto"/>
        <w:ind w:right="17"/>
        <w:textAlignment w:val="bottom"/>
        <w:rPr>
          <w:rFonts w:ascii="宋体" w:hAnsi="宋体" w:cs="宋体"/>
          <w:color w:val="auto"/>
        </w:rPr>
      </w:pPr>
      <w:r>
        <w:rPr>
          <w:rFonts w:hint="eastAsia" w:ascii="宋体" w:hAnsi="宋体" w:cs="宋体"/>
          <w:color w:val="auto"/>
        </w:rPr>
        <w:t>金额为</w:t>
      </w:r>
      <w:r>
        <w:rPr>
          <w:rFonts w:hint="eastAsia" w:ascii="宋体" w:hAnsi="宋体" w:cs="宋体"/>
          <w:color w:val="auto"/>
          <w:lang w:val="en-US" w:eastAsia="zh-CN"/>
        </w:rPr>
        <w:t>0</w:t>
      </w:r>
      <w:r>
        <w:rPr>
          <w:rFonts w:hint="eastAsia" w:ascii="宋体" w:hAnsi="宋体" w:cs="宋体"/>
          <w:color w:val="auto"/>
        </w:rPr>
        <w:t>的磋商保证金（金额根据国家相关规定执行）。</w:t>
      </w:r>
    </w:p>
    <w:p w14:paraId="2F5B4F2B">
      <w:pPr>
        <w:widowControl/>
        <w:autoSpaceDE w:val="0"/>
        <w:autoSpaceDN w:val="0"/>
        <w:spacing w:line="360" w:lineRule="auto"/>
        <w:ind w:right="17"/>
        <w:textAlignment w:val="bottom"/>
        <w:rPr>
          <w:rFonts w:ascii="宋体" w:hAnsi="宋体" w:cs="宋体"/>
          <w:color w:val="auto"/>
        </w:rPr>
      </w:pPr>
      <w:r>
        <w:rPr>
          <w:rFonts w:hint="eastAsia" w:ascii="宋体" w:hAnsi="宋体" w:cs="宋体"/>
          <w:color w:val="auto"/>
        </w:rPr>
        <w:t>据此函，签字代表宣布同意如下：</w:t>
      </w:r>
    </w:p>
    <w:p w14:paraId="7DCC27B0">
      <w:pPr>
        <w:widowControl/>
        <w:autoSpaceDE w:val="0"/>
        <w:autoSpaceDN w:val="0"/>
        <w:spacing w:line="360" w:lineRule="auto"/>
        <w:ind w:left="397" w:right="17"/>
        <w:textAlignment w:val="bottom"/>
        <w:rPr>
          <w:rFonts w:ascii="宋体" w:hAnsi="宋体" w:cs="宋体"/>
          <w:color w:val="auto"/>
        </w:rPr>
      </w:pPr>
      <w:r>
        <w:rPr>
          <w:rFonts w:hint="eastAsia" w:ascii="宋体" w:hAnsi="宋体" w:cs="宋体"/>
          <w:color w:val="auto"/>
        </w:rPr>
        <w:t>11）所附货物分项价格表中规定的应提交和交付的报价（货物总价）为_______（</w:t>
      </w:r>
      <w:r>
        <w:rPr>
          <w:rFonts w:hint="eastAsia" w:ascii="宋体" w:hAnsi="宋体" w:cs="宋体"/>
          <w:color w:val="auto"/>
          <w:lang w:eastAsia="zh-CN"/>
        </w:rPr>
        <w:t>折扣系数</w:t>
      </w:r>
      <w:r>
        <w:rPr>
          <w:rFonts w:hint="eastAsia" w:ascii="宋体" w:hAnsi="宋体" w:cs="宋体"/>
          <w:color w:val="auto"/>
        </w:rPr>
        <w:t xml:space="preserve">）。        </w:t>
      </w:r>
    </w:p>
    <w:p w14:paraId="12D8F26F">
      <w:pPr>
        <w:widowControl/>
        <w:autoSpaceDE w:val="0"/>
        <w:autoSpaceDN w:val="0"/>
        <w:spacing w:line="360" w:lineRule="auto"/>
        <w:ind w:left="397" w:right="17"/>
        <w:textAlignment w:val="bottom"/>
        <w:rPr>
          <w:rFonts w:ascii="宋体" w:hAnsi="宋体" w:cs="宋体"/>
          <w:color w:val="auto"/>
        </w:rPr>
      </w:pPr>
      <w:r>
        <w:rPr>
          <w:rFonts w:hint="eastAsia" w:ascii="宋体" w:hAnsi="宋体" w:cs="宋体"/>
          <w:color w:val="auto"/>
        </w:rPr>
        <w:t>12）供应商将按磋商文件的规定履行合同责任和义务。</w:t>
      </w:r>
    </w:p>
    <w:p w14:paraId="6DA1183F">
      <w:pPr>
        <w:widowControl/>
        <w:autoSpaceDE w:val="0"/>
        <w:autoSpaceDN w:val="0"/>
        <w:spacing w:line="360" w:lineRule="auto"/>
        <w:ind w:left="397" w:right="17"/>
        <w:textAlignment w:val="bottom"/>
        <w:rPr>
          <w:rFonts w:ascii="宋体" w:hAnsi="宋体" w:cs="宋体"/>
          <w:color w:val="auto"/>
        </w:rPr>
      </w:pPr>
      <w:r>
        <w:rPr>
          <w:rFonts w:hint="eastAsia" w:ascii="宋体" w:hAnsi="宋体" w:cs="宋体"/>
          <w:color w:val="auto"/>
        </w:rPr>
        <w:t>13）供应商已详细审查全部磋商文件，包括澄清函和修改文件（若有）以及全部参考资料和有关附件。供应商完全清楚其应放弃提出一切引起含糊不清或误解的权利。</w:t>
      </w:r>
    </w:p>
    <w:p w14:paraId="23879822">
      <w:pPr>
        <w:widowControl/>
        <w:autoSpaceDE w:val="0"/>
        <w:autoSpaceDN w:val="0"/>
        <w:spacing w:line="360" w:lineRule="auto"/>
        <w:ind w:left="397" w:right="17"/>
        <w:textAlignment w:val="bottom"/>
        <w:rPr>
          <w:rFonts w:ascii="宋体" w:hAnsi="宋体" w:cs="宋体"/>
          <w:color w:val="auto"/>
        </w:rPr>
      </w:pPr>
      <w:r>
        <w:rPr>
          <w:rFonts w:hint="eastAsia" w:ascii="宋体" w:hAnsi="宋体" w:cs="宋体"/>
          <w:color w:val="auto"/>
        </w:rPr>
        <w:t>14) 自响应文件开启日起有效期为日历日。</w:t>
      </w:r>
    </w:p>
    <w:p w14:paraId="038AFB94">
      <w:pPr>
        <w:widowControl/>
        <w:autoSpaceDE w:val="0"/>
        <w:autoSpaceDN w:val="0"/>
        <w:spacing w:line="360" w:lineRule="auto"/>
        <w:ind w:left="397" w:right="17"/>
        <w:textAlignment w:val="bottom"/>
        <w:rPr>
          <w:rFonts w:ascii="宋体" w:hAnsi="宋体" w:cs="宋体"/>
          <w:color w:val="auto"/>
        </w:rPr>
      </w:pPr>
      <w:r>
        <w:rPr>
          <w:rFonts w:hint="eastAsia" w:ascii="宋体" w:hAnsi="宋体" w:cs="宋体"/>
          <w:color w:val="auto"/>
        </w:rPr>
        <w:t>15) 如果在响应文件开启规定时间和日期后，供应商在响应文件有效期内撤回响应文件，其磋商保证金将被采购代理机构方没收。</w:t>
      </w:r>
    </w:p>
    <w:p w14:paraId="6460219F">
      <w:pPr>
        <w:widowControl/>
        <w:autoSpaceDE w:val="0"/>
        <w:autoSpaceDN w:val="0"/>
        <w:spacing w:line="360" w:lineRule="auto"/>
        <w:ind w:left="397" w:right="17"/>
        <w:textAlignment w:val="bottom"/>
        <w:rPr>
          <w:rFonts w:ascii="宋体" w:hAnsi="宋体" w:cs="宋体"/>
          <w:color w:val="auto"/>
        </w:rPr>
      </w:pPr>
      <w:r>
        <w:rPr>
          <w:rFonts w:hint="eastAsia" w:ascii="宋体" w:hAnsi="宋体" w:cs="宋体"/>
          <w:color w:val="auto"/>
        </w:rPr>
        <w:t>16)供应商同意提供按照买方可能要求的与其投标有关的一切数字或资料，并对买方可能不接受最低价授标及任何投标表示理解。</w:t>
      </w:r>
    </w:p>
    <w:p w14:paraId="7C31C8E4">
      <w:pPr>
        <w:widowControl/>
        <w:autoSpaceDE w:val="0"/>
        <w:autoSpaceDN w:val="0"/>
        <w:spacing w:line="360" w:lineRule="auto"/>
        <w:ind w:left="397" w:right="17"/>
        <w:textAlignment w:val="bottom"/>
        <w:rPr>
          <w:rFonts w:ascii="宋体" w:hAnsi="宋体" w:cs="宋体"/>
          <w:color w:val="auto"/>
        </w:rPr>
      </w:pPr>
      <w:r>
        <w:rPr>
          <w:rFonts w:hint="eastAsia" w:ascii="宋体" w:hAnsi="宋体" w:cs="宋体"/>
          <w:color w:val="auto"/>
        </w:rPr>
        <w:t>17)与本磋商有关的一切正式往来通讯请寄：</w:t>
      </w:r>
    </w:p>
    <w:p w14:paraId="00EE6F04">
      <w:pPr>
        <w:widowControl/>
        <w:autoSpaceDE w:val="0"/>
        <w:autoSpaceDN w:val="0"/>
        <w:spacing w:line="360" w:lineRule="auto"/>
        <w:ind w:right="-154"/>
        <w:textAlignment w:val="bottom"/>
        <w:rPr>
          <w:rFonts w:ascii="宋体" w:hAnsi="宋体" w:cs="宋体"/>
          <w:color w:val="auto"/>
        </w:rPr>
      </w:pPr>
    </w:p>
    <w:p w14:paraId="177D2DD5">
      <w:pPr>
        <w:widowControl/>
        <w:autoSpaceDE w:val="0"/>
        <w:autoSpaceDN w:val="0"/>
        <w:spacing w:line="360" w:lineRule="auto"/>
        <w:ind w:right="-154"/>
        <w:textAlignment w:val="bottom"/>
        <w:rPr>
          <w:rFonts w:ascii="宋体" w:hAnsi="宋体" w:cs="宋体"/>
          <w:color w:val="auto"/>
          <w:u w:val="single"/>
        </w:rPr>
      </w:pPr>
      <w:r>
        <w:rPr>
          <w:rFonts w:hint="eastAsia" w:ascii="宋体" w:hAnsi="宋体" w:cs="宋体"/>
          <w:color w:val="auto"/>
        </w:rPr>
        <w:t>供应商名称（公章）：         地址：</w:t>
      </w:r>
    </w:p>
    <w:p w14:paraId="6FEABB74">
      <w:pPr>
        <w:widowControl/>
        <w:autoSpaceDE w:val="0"/>
        <w:autoSpaceDN w:val="0"/>
        <w:spacing w:line="360" w:lineRule="auto"/>
        <w:ind w:right="-154"/>
        <w:textAlignment w:val="bottom"/>
        <w:rPr>
          <w:rFonts w:ascii="宋体" w:hAnsi="宋体" w:cs="宋体"/>
          <w:color w:val="auto"/>
          <w:u w:val="single"/>
        </w:rPr>
      </w:pPr>
      <w:r>
        <w:rPr>
          <w:rFonts w:hint="eastAsia" w:ascii="宋体" w:hAnsi="宋体" w:cs="宋体"/>
          <w:color w:val="auto"/>
        </w:rPr>
        <w:t>电话：         传真：</w:t>
      </w:r>
    </w:p>
    <w:p w14:paraId="5A2CA9C3">
      <w:pPr>
        <w:widowControl/>
        <w:autoSpaceDE w:val="0"/>
        <w:autoSpaceDN w:val="0"/>
        <w:spacing w:line="360" w:lineRule="auto"/>
        <w:ind w:right="-154"/>
        <w:textAlignment w:val="bottom"/>
        <w:rPr>
          <w:rFonts w:ascii="宋体" w:hAnsi="宋体" w:cs="宋体"/>
          <w:color w:val="auto"/>
          <w:u w:val="single"/>
        </w:rPr>
      </w:pPr>
      <w:r>
        <w:rPr>
          <w:rFonts w:hint="eastAsia" w:ascii="宋体" w:hAnsi="宋体" w:cs="宋体"/>
          <w:color w:val="auto"/>
        </w:rPr>
        <w:t>授权人签字：</w:t>
      </w:r>
    </w:p>
    <w:p w14:paraId="622344C3">
      <w:pPr>
        <w:widowControl/>
        <w:autoSpaceDE w:val="0"/>
        <w:autoSpaceDN w:val="0"/>
        <w:spacing w:line="360" w:lineRule="auto"/>
        <w:ind w:right="893"/>
        <w:jc w:val="center"/>
        <w:textAlignment w:val="bottom"/>
        <w:rPr>
          <w:rFonts w:ascii="宋体" w:hAnsi="宋体" w:cs="宋体"/>
          <w:b/>
          <w:bCs/>
          <w:color w:val="auto"/>
          <w:sz w:val="32"/>
          <w:szCs w:val="32"/>
        </w:rPr>
      </w:pPr>
      <w:r>
        <w:rPr>
          <w:rFonts w:hint="eastAsia" w:ascii="宋体" w:hAnsi="宋体" w:cs="宋体"/>
          <w:color w:val="auto"/>
        </w:rPr>
        <w:br w:type="page"/>
      </w:r>
      <w:r>
        <w:rPr>
          <w:rFonts w:hint="eastAsia" w:ascii="宋体" w:hAnsi="宋体" w:cs="宋体"/>
          <w:color w:val="auto"/>
          <w:sz w:val="32"/>
          <w:szCs w:val="32"/>
        </w:rPr>
        <w:t>2.</w:t>
      </w:r>
      <w:r>
        <w:rPr>
          <w:rFonts w:hint="eastAsia" w:ascii="宋体" w:hAnsi="宋体" w:cs="宋体"/>
          <w:b/>
          <w:bCs/>
          <w:color w:val="auto"/>
          <w:sz w:val="32"/>
          <w:szCs w:val="32"/>
        </w:rPr>
        <w:t>首次报价一览表格式</w:t>
      </w:r>
    </w:p>
    <w:p w14:paraId="1A063877">
      <w:pPr>
        <w:widowControl/>
        <w:autoSpaceDE w:val="0"/>
        <w:autoSpaceDN w:val="0"/>
        <w:spacing w:line="360" w:lineRule="auto"/>
        <w:ind w:right="893"/>
        <w:jc w:val="center"/>
        <w:textAlignment w:val="bottom"/>
        <w:rPr>
          <w:rFonts w:ascii="宋体" w:hAnsi="宋体" w:cs="宋体"/>
          <w:color w:val="auto"/>
          <w:sz w:val="32"/>
          <w:szCs w:val="32"/>
        </w:rPr>
      </w:pPr>
    </w:p>
    <w:p w14:paraId="555C3093">
      <w:pPr>
        <w:widowControl/>
        <w:autoSpaceDE w:val="0"/>
        <w:autoSpaceDN w:val="0"/>
        <w:spacing w:line="360" w:lineRule="auto"/>
        <w:ind w:right="893"/>
        <w:jc w:val="center"/>
        <w:textAlignment w:val="bottom"/>
        <w:rPr>
          <w:rFonts w:ascii="宋体" w:hAnsi="宋体" w:cs="宋体"/>
          <w:color w:val="auto"/>
          <w:sz w:val="32"/>
          <w:szCs w:val="32"/>
        </w:rPr>
      </w:pPr>
    </w:p>
    <w:p w14:paraId="73E006EB">
      <w:pPr>
        <w:widowControl/>
        <w:autoSpaceDE w:val="0"/>
        <w:autoSpaceDN w:val="0"/>
        <w:spacing w:line="360" w:lineRule="auto"/>
        <w:ind w:right="890"/>
        <w:textAlignment w:val="bottom"/>
        <w:rPr>
          <w:rFonts w:hint="eastAsia" w:ascii="宋体" w:hAnsi="宋体" w:cs="宋体"/>
          <w:color w:val="auto"/>
        </w:rPr>
      </w:pPr>
      <w:r>
        <w:rPr>
          <w:rFonts w:hint="eastAsia" w:ascii="宋体" w:hAnsi="宋体" w:cs="宋体"/>
          <w:color w:val="auto"/>
        </w:rPr>
        <w:t xml:space="preserve">项目名称：  </w:t>
      </w:r>
      <w:r>
        <w:rPr>
          <w:rFonts w:hint="eastAsia" w:ascii="宋体" w:hAnsi="宋体" w:cs="宋体"/>
          <w:color w:val="auto"/>
          <w:lang w:val="en-US" w:eastAsia="zh-CN"/>
        </w:rPr>
        <w:t xml:space="preserve">       </w:t>
      </w:r>
      <w:r>
        <w:rPr>
          <w:rFonts w:hint="eastAsia" w:ascii="宋体" w:hAnsi="宋体" w:cs="宋体"/>
          <w:color w:val="auto"/>
        </w:rPr>
        <w:t xml:space="preserve"> </w:t>
      </w:r>
    </w:p>
    <w:p w14:paraId="710BB992">
      <w:pPr>
        <w:widowControl/>
        <w:autoSpaceDE w:val="0"/>
        <w:autoSpaceDN w:val="0"/>
        <w:spacing w:line="360" w:lineRule="auto"/>
        <w:ind w:right="890"/>
        <w:textAlignment w:val="bottom"/>
        <w:rPr>
          <w:rFonts w:ascii="宋体" w:hAnsi="宋体" w:cs="宋体"/>
          <w:color w:val="auto"/>
        </w:rPr>
      </w:pPr>
      <w:r>
        <w:rPr>
          <w:rFonts w:hint="eastAsia" w:ascii="宋体" w:hAnsi="宋体" w:cs="宋体"/>
          <w:color w:val="auto"/>
        </w:rPr>
        <w:t>项目编号：</w:t>
      </w:r>
    </w:p>
    <w:p w14:paraId="2FABA473">
      <w:pPr>
        <w:widowControl/>
        <w:autoSpaceDE w:val="0"/>
        <w:autoSpaceDN w:val="0"/>
        <w:spacing w:line="360" w:lineRule="auto"/>
        <w:ind w:right="890"/>
        <w:textAlignment w:val="bottom"/>
        <w:rPr>
          <w:rFonts w:ascii="宋体" w:hAnsi="宋体" w:cs="宋体"/>
          <w:color w:val="auto"/>
          <w:u w:val="single"/>
        </w:rPr>
      </w:pPr>
      <w:r>
        <w:rPr>
          <w:rFonts w:hint="eastAsia" w:ascii="宋体" w:hAnsi="宋体" w:cs="宋体"/>
          <w:color w:val="auto"/>
        </w:rPr>
        <w:t>供应商名称（公章）：</w:t>
      </w:r>
    </w:p>
    <w:p w14:paraId="12984563">
      <w:pPr>
        <w:widowControl/>
        <w:autoSpaceDE w:val="0"/>
        <w:autoSpaceDN w:val="0"/>
        <w:spacing w:line="360" w:lineRule="auto"/>
        <w:ind w:right="893"/>
        <w:textAlignment w:val="bottom"/>
        <w:rPr>
          <w:rFonts w:ascii="宋体" w:hAnsi="宋体" w:cs="宋体"/>
          <w:color w:val="auto"/>
          <w:u w:val="single"/>
        </w:rPr>
      </w:pPr>
    </w:p>
    <w:p w14:paraId="3D39FC84">
      <w:pPr>
        <w:widowControl/>
        <w:autoSpaceDE w:val="0"/>
        <w:autoSpaceDN w:val="0"/>
        <w:spacing w:line="360" w:lineRule="auto"/>
        <w:ind w:right="893"/>
        <w:textAlignment w:val="bottom"/>
        <w:rPr>
          <w:rFonts w:ascii="宋体" w:hAnsi="宋体" w:cs="宋体"/>
          <w:color w:val="auto"/>
          <w:u w:val="single"/>
        </w:rPr>
      </w:pPr>
    </w:p>
    <w:tbl>
      <w:tblPr>
        <w:tblStyle w:val="1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685"/>
        <w:gridCol w:w="2347"/>
        <w:gridCol w:w="1749"/>
      </w:tblGrid>
      <w:tr w14:paraId="1E84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16" w:type="dxa"/>
            <w:vAlign w:val="center"/>
          </w:tcPr>
          <w:p w14:paraId="41B3C231">
            <w:pPr>
              <w:widowControl/>
              <w:autoSpaceDE w:val="0"/>
              <w:autoSpaceDN w:val="0"/>
              <w:spacing w:line="360" w:lineRule="auto"/>
              <w:jc w:val="center"/>
              <w:textAlignment w:val="bottom"/>
              <w:rPr>
                <w:rFonts w:ascii="宋体" w:hAnsi="宋体" w:cs="宋体"/>
                <w:color w:val="auto"/>
              </w:rPr>
            </w:pPr>
            <w:r>
              <w:rPr>
                <w:rFonts w:hint="eastAsia" w:ascii="宋体" w:hAnsi="宋体" w:cs="宋体"/>
                <w:color w:val="auto"/>
              </w:rPr>
              <w:t>货物名称</w:t>
            </w:r>
          </w:p>
        </w:tc>
        <w:tc>
          <w:tcPr>
            <w:tcW w:w="2685" w:type="dxa"/>
            <w:vAlign w:val="center"/>
          </w:tcPr>
          <w:p w14:paraId="403F5E5A">
            <w:pPr>
              <w:widowControl/>
              <w:autoSpaceDE w:val="0"/>
              <w:autoSpaceDN w:val="0"/>
              <w:spacing w:line="360" w:lineRule="auto"/>
              <w:jc w:val="center"/>
              <w:textAlignment w:val="bottom"/>
              <w:rPr>
                <w:rFonts w:ascii="宋体" w:hAnsi="宋体" w:cs="宋体"/>
                <w:color w:val="auto"/>
              </w:rPr>
            </w:pPr>
            <w:r>
              <w:rPr>
                <w:rFonts w:hint="eastAsia" w:ascii="宋体" w:hAnsi="宋体" w:cs="宋体"/>
                <w:color w:val="auto"/>
              </w:rPr>
              <w:t>数量</w:t>
            </w:r>
          </w:p>
        </w:tc>
        <w:tc>
          <w:tcPr>
            <w:tcW w:w="2347" w:type="dxa"/>
            <w:vAlign w:val="center"/>
          </w:tcPr>
          <w:p w14:paraId="0548C788">
            <w:pPr>
              <w:widowControl/>
              <w:autoSpaceDE w:val="0"/>
              <w:autoSpaceDN w:val="0"/>
              <w:spacing w:line="360" w:lineRule="auto"/>
              <w:jc w:val="center"/>
              <w:textAlignment w:val="bottom"/>
              <w:rPr>
                <w:rFonts w:ascii="宋体" w:hAnsi="宋体" w:cs="宋体"/>
                <w:color w:val="auto"/>
              </w:rPr>
            </w:pPr>
            <w:r>
              <w:rPr>
                <w:rFonts w:hint="eastAsia" w:ascii="宋体" w:hAnsi="宋体" w:cs="宋体"/>
                <w:color w:val="auto"/>
                <w:lang w:eastAsia="zh-CN"/>
              </w:rPr>
              <w:t>服务</w:t>
            </w:r>
            <w:r>
              <w:rPr>
                <w:rFonts w:hint="eastAsia" w:ascii="宋体" w:hAnsi="宋体" w:cs="宋体"/>
                <w:color w:val="auto"/>
              </w:rPr>
              <w:t>期</w:t>
            </w:r>
          </w:p>
        </w:tc>
        <w:tc>
          <w:tcPr>
            <w:tcW w:w="1749" w:type="dxa"/>
            <w:vAlign w:val="center"/>
          </w:tcPr>
          <w:p w14:paraId="3EF9666C">
            <w:pPr>
              <w:widowControl/>
              <w:autoSpaceDE w:val="0"/>
              <w:autoSpaceDN w:val="0"/>
              <w:spacing w:line="360" w:lineRule="auto"/>
              <w:jc w:val="center"/>
              <w:textAlignment w:val="bottom"/>
              <w:rPr>
                <w:rFonts w:ascii="宋体" w:hAnsi="宋体" w:cs="宋体"/>
                <w:color w:val="auto"/>
              </w:rPr>
            </w:pPr>
            <w:r>
              <w:rPr>
                <w:rFonts w:hint="eastAsia" w:ascii="宋体" w:hAnsi="宋体" w:cs="宋体"/>
                <w:color w:val="auto"/>
              </w:rPr>
              <w:t>备注</w:t>
            </w:r>
          </w:p>
        </w:tc>
      </w:tr>
      <w:tr w14:paraId="7C22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16" w:type="dxa"/>
            <w:vAlign w:val="center"/>
          </w:tcPr>
          <w:p w14:paraId="54D7FD16">
            <w:pPr>
              <w:widowControl/>
              <w:autoSpaceDE w:val="0"/>
              <w:autoSpaceDN w:val="0"/>
              <w:spacing w:line="360" w:lineRule="auto"/>
              <w:ind w:right="893"/>
              <w:jc w:val="center"/>
              <w:textAlignment w:val="bottom"/>
              <w:rPr>
                <w:rFonts w:ascii="宋体" w:hAnsi="宋体" w:cs="宋体"/>
                <w:color w:val="auto"/>
              </w:rPr>
            </w:pPr>
          </w:p>
        </w:tc>
        <w:tc>
          <w:tcPr>
            <w:tcW w:w="2685" w:type="dxa"/>
            <w:vAlign w:val="center"/>
          </w:tcPr>
          <w:p w14:paraId="640B1E08">
            <w:pPr>
              <w:widowControl/>
              <w:autoSpaceDE w:val="0"/>
              <w:autoSpaceDN w:val="0"/>
              <w:spacing w:line="360" w:lineRule="auto"/>
              <w:ind w:right="893"/>
              <w:jc w:val="center"/>
              <w:textAlignment w:val="bottom"/>
              <w:rPr>
                <w:rFonts w:ascii="宋体" w:hAnsi="宋体" w:cs="宋体"/>
                <w:color w:val="auto"/>
              </w:rPr>
            </w:pPr>
          </w:p>
        </w:tc>
        <w:tc>
          <w:tcPr>
            <w:tcW w:w="2347" w:type="dxa"/>
            <w:vAlign w:val="center"/>
          </w:tcPr>
          <w:p w14:paraId="763ABA1E">
            <w:pPr>
              <w:widowControl/>
              <w:autoSpaceDE w:val="0"/>
              <w:autoSpaceDN w:val="0"/>
              <w:spacing w:line="360" w:lineRule="auto"/>
              <w:ind w:right="893"/>
              <w:jc w:val="center"/>
              <w:textAlignment w:val="bottom"/>
              <w:rPr>
                <w:rFonts w:ascii="宋体" w:hAnsi="宋体" w:cs="宋体"/>
                <w:color w:val="auto"/>
              </w:rPr>
            </w:pPr>
          </w:p>
        </w:tc>
        <w:tc>
          <w:tcPr>
            <w:tcW w:w="1749" w:type="dxa"/>
            <w:vAlign w:val="center"/>
          </w:tcPr>
          <w:p w14:paraId="0175E6DA">
            <w:pPr>
              <w:widowControl/>
              <w:autoSpaceDE w:val="0"/>
              <w:autoSpaceDN w:val="0"/>
              <w:spacing w:line="360" w:lineRule="auto"/>
              <w:ind w:right="893"/>
              <w:jc w:val="center"/>
              <w:textAlignment w:val="bottom"/>
              <w:rPr>
                <w:rFonts w:ascii="宋体" w:hAnsi="宋体" w:cs="宋体"/>
                <w:color w:val="auto"/>
              </w:rPr>
            </w:pPr>
          </w:p>
        </w:tc>
      </w:tr>
      <w:tr w14:paraId="299D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16" w:type="dxa"/>
            <w:vAlign w:val="center"/>
          </w:tcPr>
          <w:p w14:paraId="4687B925">
            <w:pPr>
              <w:widowControl/>
              <w:autoSpaceDE w:val="0"/>
              <w:autoSpaceDN w:val="0"/>
              <w:spacing w:line="360" w:lineRule="auto"/>
              <w:ind w:right="893"/>
              <w:jc w:val="center"/>
              <w:textAlignment w:val="bottom"/>
              <w:rPr>
                <w:rFonts w:ascii="宋体" w:hAnsi="宋体" w:cs="宋体"/>
                <w:color w:val="auto"/>
              </w:rPr>
            </w:pPr>
          </w:p>
        </w:tc>
        <w:tc>
          <w:tcPr>
            <w:tcW w:w="2685" w:type="dxa"/>
            <w:vAlign w:val="center"/>
          </w:tcPr>
          <w:p w14:paraId="39AE2551">
            <w:pPr>
              <w:widowControl/>
              <w:autoSpaceDE w:val="0"/>
              <w:autoSpaceDN w:val="0"/>
              <w:spacing w:line="360" w:lineRule="auto"/>
              <w:ind w:right="893"/>
              <w:jc w:val="center"/>
              <w:textAlignment w:val="bottom"/>
              <w:rPr>
                <w:rFonts w:ascii="宋体" w:hAnsi="宋体" w:cs="宋体"/>
                <w:color w:val="auto"/>
              </w:rPr>
            </w:pPr>
          </w:p>
        </w:tc>
        <w:tc>
          <w:tcPr>
            <w:tcW w:w="2347" w:type="dxa"/>
            <w:vAlign w:val="center"/>
          </w:tcPr>
          <w:p w14:paraId="662DA0F8">
            <w:pPr>
              <w:widowControl/>
              <w:autoSpaceDE w:val="0"/>
              <w:autoSpaceDN w:val="0"/>
              <w:spacing w:line="360" w:lineRule="auto"/>
              <w:ind w:right="893"/>
              <w:jc w:val="center"/>
              <w:textAlignment w:val="bottom"/>
              <w:rPr>
                <w:rFonts w:ascii="宋体" w:hAnsi="宋体" w:cs="宋体"/>
                <w:color w:val="auto"/>
              </w:rPr>
            </w:pPr>
          </w:p>
        </w:tc>
        <w:tc>
          <w:tcPr>
            <w:tcW w:w="1749" w:type="dxa"/>
            <w:vAlign w:val="center"/>
          </w:tcPr>
          <w:p w14:paraId="156F72B2">
            <w:pPr>
              <w:widowControl/>
              <w:autoSpaceDE w:val="0"/>
              <w:autoSpaceDN w:val="0"/>
              <w:spacing w:line="360" w:lineRule="auto"/>
              <w:ind w:right="893"/>
              <w:jc w:val="center"/>
              <w:textAlignment w:val="bottom"/>
              <w:rPr>
                <w:rFonts w:ascii="宋体" w:hAnsi="宋体" w:cs="宋体"/>
                <w:color w:val="auto"/>
              </w:rPr>
            </w:pPr>
          </w:p>
        </w:tc>
      </w:tr>
      <w:tr w14:paraId="5579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16" w:type="dxa"/>
            <w:vAlign w:val="center"/>
          </w:tcPr>
          <w:p w14:paraId="60C15EB6">
            <w:pPr>
              <w:widowControl/>
              <w:autoSpaceDE w:val="0"/>
              <w:autoSpaceDN w:val="0"/>
              <w:spacing w:line="360" w:lineRule="auto"/>
              <w:ind w:right="893"/>
              <w:jc w:val="center"/>
              <w:textAlignment w:val="bottom"/>
              <w:rPr>
                <w:rFonts w:ascii="宋体" w:hAnsi="宋体" w:cs="宋体"/>
                <w:color w:val="auto"/>
              </w:rPr>
            </w:pPr>
          </w:p>
        </w:tc>
        <w:tc>
          <w:tcPr>
            <w:tcW w:w="2685" w:type="dxa"/>
            <w:vAlign w:val="center"/>
          </w:tcPr>
          <w:p w14:paraId="5A43D2CC">
            <w:pPr>
              <w:widowControl/>
              <w:autoSpaceDE w:val="0"/>
              <w:autoSpaceDN w:val="0"/>
              <w:spacing w:line="360" w:lineRule="auto"/>
              <w:ind w:right="893"/>
              <w:jc w:val="center"/>
              <w:textAlignment w:val="bottom"/>
              <w:rPr>
                <w:rFonts w:ascii="宋体" w:hAnsi="宋体" w:cs="宋体"/>
                <w:color w:val="auto"/>
              </w:rPr>
            </w:pPr>
          </w:p>
        </w:tc>
        <w:tc>
          <w:tcPr>
            <w:tcW w:w="2347" w:type="dxa"/>
            <w:vAlign w:val="center"/>
          </w:tcPr>
          <w:p w14:paraId="16195140">
            <w:pPr>
              <w:widowControl/>
              <w:autoSpaceDE w:val="0"/>
              <w:autoSpaceDN w:val="0"/>
              <w:spacing w:line="360" w:lineRule="auto"/>
              <w:ind w:right="893"/>
              <w:jc w:val="center"/>
              <w:textAlignment w:val="bottom"/>
              <w:rPr>
                <w:rFonts w:ascii="宋体" w:hAnsi="宋体" w:cs="宋体"/>
                <w:color w:val="auto"/>
              </w:rPr>
            </w:pPr>
          </w:p>
        </w:tc>
        <w:tc>
          <w:tcPr>
            <w:tcW w:w="1749" w:type="dxa"/>
            <w:vAlign w:val="center"/>
          </w:tcPr>
          <w:p w14:paraId="3C3A3BB8">
            <w:pPr>
              <w:widowControl/>
              <w:autoSpaceDE w:val="0"/>
              <w:autoSpaceDN w:val="0"/>
              <w:spacing w:line="360" w:lineRule="auto"/>
              <w:ind w:right="893"/>
              <w:jc w:val="center"/>
              <w:textAlignment w:val="bottom"/>
              <w:rPr>
                <w:rFonts w:ascii="宋体" w:hAnsi="宋体" w:cs="宋体"/>
                <w:color w:val="auto"/>
              </w:rPr>
            </w:pPr>
          </w:p>
        </w:tc>
      </w:tr>
      <w:tr w14:paraId="140C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97" w:type="dxa"/>
            <w:gridSpan w:val="4"/>
            <w:vAlign w:val="center"/>
          </w:tcPr>
          <w:p w14:paraId="335CF8BA">
            <w:pPr>
              <w:widowControl/>
              <w:autoSpaceDE w:val="0"/>
              <w:autoSpaceDN w:val="0"/>
              <w:spacing w:line="360" w:lineRule="auto"/>
              <w:ind w:right="893"/>
              <w:jc w:val="both"/>
              <w:textAlignment w:val="bottom"/>
              <w:rPr>
                <w:rFonts w:hint="eastAsia" w:ascii="宋体" w:hAnsi="宋体" w:eastAsia="宋体" w:cs="宋体"/>
                <w:color w:val="auto"/>
                <w:lang w:eastAsia="zh-CN"/>
              </w:rPr>
            </w:pPr>
            <w:r>
              <w:rPr>
                <w:rFonts w:hint="eastAsia" w:ascii="宋体" w:hAnsi="宋体" w:cs="宋体"/>
                <w:color w:val="auto"/>
                <w:lang w:eastAsia="zh-CN"/>
              </w:rPr>
              <w:t>总价：</w:t>
            </w:r>
            <w:r>
              <w:rPr>
                <w:rFonts w:hint="eastAsia" w:ascii="宋体" w:hAnsi="宋体" w:cs="宋体"/>
                <w:color w:val="auto"/>
                <w:lang w:val="en-US" w:eastAsia="zh-CN"/>
              </w:rPr>
              <w:t xml:space="preserve">                        </w:t>
            </w:r>
            <w:r>
              <w:rPr>
                <w:rFonts w:hint="eastAsia" w:ascii="宋体" w:hAnsi="宋体" w:cs="宋体"/>
                <w:color w:val="auto"/>
                <w:lang w:eastAsia="zh-CN"/>
              </w:rPr>
              <w:t>（折扣系数）</w:t>
            </w:r>
          </w:p>
        </w:tc>
      </w:tr>
    </w:tbl>
    <w:p w14:paraId="64AD41FE">
      <w:pPr>
        <w:widowControl/>
        <w:autoSpaceDE w:val="0"/>
        <w:autoSpaceDN w:val="0"/>
        <w:spacing w:line="360" w:lineRule="auto"/>
        <w:ind w:right="893" w:firstLine="960" w:firstLineChars="300"/>
        <w:jc w:val="center"/>
        <w:textAlignment w:val="bottom"/>
        <w:rPr>
          <w:rFonts w:ascii="宋体" w:hAnsi="宋体" w:cs="宋体"/>
          <w:color w:val="auto"/>
          <w:sz w:val="32"/>
          <w:szCs w:val="32"/>
        </w:rPr>
      </w:pPr>
    </w:p>
    <w:p w14:paraId="5DE8F0B0">
      <w:pPr>
        <w:widowControl/>
        <w:autoSpaceDE w:val="0"/>
        <w:autoSpaceDN w:val="0"/>
        <w:spacing w:line="360" w:lineRule="auto"/>
        <w:ind w:right="893"/>
        <w:textAlignment w:val="bottom"/>
        <w:rPr>
          <w:rFonts w:ascii="宋体" w:hAnsi="宋体" w:cs="宋体"/>
          <w:color w:val="auto"/>
        </w:rPr>
      </w:pPr>
      <w:r>
        <w:rPr>
          <w:rFonts w:hint="eastAsia" w:ascii="宋体" w:hAnsi="宋体" w:cs="宋体"/>
          <w:color w:val="auto"/>
        </w:rPr>
        <w:t>注：</w:t>
      </w:r>
    </w:p>
    <w:p w14:paraId="4AE4FBD6">
      <w:pPr>
        <w:widowControl/>
        <w:numPr>
          <w:ilvl w:val="3"/>
          <w:numId w:val="14"/>
        </w:numPr>
        <w:tabs>
          <w:tab w:val="left" w:pos="525"/>
        </w:tabs>
        <w:autoSpaceDE w:val="0"/>
        <w:autoSpaceDN w:val="0"/>
        <w:spacing w:line="360" w:lineRule="auto"/>
        <w:ind w:left="527" w:right="893" w:hanging="527"/>
        <w:textAlignment w:val="bottom"/>
        <w:rPr>
          <w:rFonts w:ascii="宋体" w:hAnsi="宋体" w:cs="宋体"/>
          <w:color w:val="auto"/>
        </w:rPr>
      </w:pPr>
      <w:r>
        <w:rPr>
          <w:rFonts w:hint="eastAsia" w:ascii="宋体" w:hAnsi="宋体" w:cs="宋体"/>
          <w:color w:val="auto"/>
        </w:rPr>
        <w:t>首次报价一览表一式一份；</w:t>
      </w:r>
    </w:p>
    <w:p w14:paraId="55F45DF7">
      <w:pPr>
        <w:widowControl/>
        <w:numPr>
          <w:ilvl w:val="3"/>
          <w:numId w:val="14"/>
        </w:numPr>
        <w:tabs>
          <w:tab w:val="left" w:pos="525"/>
        </w:tabs>
        <w:autoSpaceDE w:val="0"/>
        <w:autoSpaceDN w:val="0"/>
        <w:spacing w:line="360" w:lineRule="auto"/>
        <w:ind w:left="527" w:right="893" w:hanging="527"/>
        <w:textAlignment w:val="bottom"/>
        <w:rPr>
          <w:rFonts w:ascii="宋体" w:hAnsi="宋体" w:cs="宋体"/>
          <w:color w:val="auto"/>
        </w:rPr>
      </w:pPr>
      <w:r>
        <w:rPr>
          <w:rFonts w:hint="eastAsia" w:ascii="宋体" w:hAnsi="宋体" w:cs="宋体"/>
          <w:color w:val="auto"/>
        </w:rPr>
        <w:t>货币为人民币；如果单价与总价不符，以单价为准；</w:t>
      </w:r>
    </w:p>
    <w:p w14:paraId="24AB8B8F">
      <w:pPr>
        <w:widowControl/>
        <w:numPr>
          <w:ilvl w:val="3"/>
          <w:numId w:val="14"/>
        </w:numPr>
        <w:tabs>
          <w:tab w:val="left" w:pos="525"/>
        </w:tabs>
        <w:autoSpaceDE w:val="0"/>
        <w:autoSpaceDN w:val="0"/>
        <w:spacing w:line="360" w:lineRule="auto"/>
        <w:ind w:left="527" w:right="1" w:hanging="527"/>
        <w:textAlignment w:val="bottom"/>
        <w:rPr>
          <w:rFonts w:ascii="宋体" w:hAnsi="宋体" w:cs="宋体"/>
          <w:color w:val="auto"/>
        </w:rPr>
      </w:pPr>
      <w:r>
        <w:rPr>
          <w:rFonts w:hint="eastAsia" w:ascii="宋体" w:hAnsi="宋体" w:cs="宋体"/>
          <w:color w:val="auto"/>
        </w:rPr>
        <w:t>货物单价及货物总价的报价方式为货物送交合同指定的最终交货地点，含安装费等在内的综合价；</w:t>
      </w:r>
    </w:p>
    <w:p w14:paraId="3C916DA6">
      <w:pPr>
        <w:widowControl/>
        <w:numPr>
          <w:ilvl w:val="3"/>
          <w:numId w:val="14"/>
        </w:numPr>
        <w:tabs>
          <w:tab w:val="left" w:pos="525"/>
        </w:tabs>
        <w:autoSpaceDE w:val="0"/>
        <w:autoSpaceDN w:val="0"/>
        <w:spacing w:line="360" w:lineRule="auto"/>
        <w:ind w:left="527" w:right="1" w:hanging="527"/>
        <w:textAlignment w:val="bottom"/>
        <w:rPr>
          <w:rFonts w:ascii="宋体" w:hAnsi="宋体" w:cs="宋体"/>
          <w:color w:val="auto"/>
        </w:rPr>
      </w:pPr>
      <w:r>
        <w:rPr>
          <w:rFonts w:hint="eastAsia" w:ascii="宋体" w:hAnsi="宋体" w:cs="宋体"/>
          <w:color w:val="auto"/>
        </w:rPr>
        <w:t>报价（货物总价）应包括如果授予合同将要缴纳的包括增值税在内的销售税和其他税；</w:t>
      </w:r>
    </w:p>
    <w:p w14:paraId="62BC0916">
      <w:pPr>
        <w:widowControl/>
        <w:numPr>
          <w:ilvl w:val="3"/>
          <w:numId w:val="14"/>
        </w:numPr>
        <w:tabs>
          <w:tab w:val="left" w:pos="525"/>
        </w:tabs>
        <w:autoSpaceDE w:val="0"/>
        <w:autoSpaceDN w:val="0"/>
        <w:spacing w:line="360" w:lineRule="auto"/>
        <w:ind w:left="527" w:right="893" w:hanging="527"/>
        <w:textAlignment w:val="bottom"/>
        <w:rPr>
          <w:rFonts w:ascii="宋体" w:hAnsi="宋体" w:cs="宋体"/>
          <w:color w:val="auto"/>
        </w:rPr>
      </w:pPr>
      <w:r>
        <w:rPr>
          <w:rFonts w:hint="eastAsia" w:ascii="宋体" w:hAnsi="宋体" w:cs="宋体"/>
          <w:color w:val="auto"/>
        </w:rPr>
        <w:t>此表应按“供应商须知”的规定密封标记。</w:t>
      </w:r>
    </w:p>
    <w:p w14:paraId="1E3F8E6D">
      <w:pPr>
        <w:widowControl/>
        <w:autoSpaceDE w:val="0"/>
        <w:autoSpaceDN w:val="0"/>
        <w:spacing w:line="360" w:lineRule="auto"/>
        <w:ind w:right="893"/>
        <w:textAlignment w:val="bottom"/>
        <w:rPr>
          <w:rFonts w:ascii="宋体" w:hAnsi="宋体" w:cs="宋体"/>
          <w:color w:val="auto"/>
        </w:rPr>
      </w:pPr>
    </w:p>
    <w:p w14:paraId="0D045FD3">
      <w:pPr>
        <w:widowControl/>
        <w:autoSpaceDE w:val="0"/>
        <w:autoSpaceDN w:val="0"/>
        <w:spacing w:line="360" w:lineRule="auto"/>
        <w:ind w:right="893"/>
        <w:textAlignment w:val="bottom"/>
        <w:rPr>
          <w:rFonts w:ascii="宋体" w:hAnsi="宋体" w:cs="宋体"/>
          <w:color w:val="auto"/>
        </w:rPr>
      </w:pPr>
    </w:p>
    <w:p w14:paraId="3A6A4FC6">
      <w:pPr>
        <w:widowControl/>
        <w:autoSpaceDE w:val="0"/>
        <w:autoSpaceDN w:val="0"/>
        <w:spacing w:line="360" w:lineRule="auto"/>
        <w:ind w:right="893"/>
        <w:textAlignment w:val="bottom"/>
        <w:rPr>
          <w:rFonts w:ascii="宋体" w:hAnsi="宋体" w:cs="宋体"/>
          <w:color w:val="auto"/>
          <w:u w:val="single"/>
        </w:rPr>
      </w:pPr>
      <w:r>
        <w:rPr>
          <w:rFonts w:hint="eastAsia" w:ascii="宋体" w:hAnsi="宋体" w:cs="宋体"/>
          <w:color w:val="auto"/>
        </w:rPr>
        <w:t>供应商授权人签字：</w:t>
      </w:r>
    </w:p>
    <w:p w14:paraId="36200CEB">
      <w:pPr>
        <w:widowControl/>
        <w:autoSpaceDE w:val="0"/>
        <w:autoSpaceDN w:val="0"/>
        <w:spacing w:line="360" w:lineRule="auto"/>
        <w:ind w:right="893" w:firstLine="1260" w:firstLineChars="600"/>
        <w:textAlignment w:val="bottom"/>
        <w:rPr>
          <w:rFonts w:ascii="宋体" w:hAnsi="宋体" w:cs="宋体"/>
          <w:color w:val="auto"/>
        </w:rPr>
      </w:pPr>
      <w:r>
        <w:rPr>
          <w:rFonts w:hint="eastAsia" w:ascii="宋体" w:hAnsi="宋体" w:cs="宋体"/>
          <w:color w:val="auto"/>
        </w:rPr>
        <w:t>日期：</w:t>
      </w:r>
    </w:p>
    <w:p w14:paraId="77904900">
      <w:pPr>
        <w:widowControl/>
        <w:autoSpaceDE w:val="0"/>
        <w:autoSpaceDN w:val="0"/>
        <w:spacing w:line="360" w:lineRule="auto"/>
        <w:ind w:right="893"/>
        <w:jc w:val="center"/>
        <w:textAlignment w:val="bottom"/>
        <w:rPr>
          <w:rFonts w:ascii="宋体" w:hAnsi="宋体" w:cs="宋体"/>
          <w:b/>
          <w:bCs/>
          <w:color w:val="auto"/>
          <w:sz w:val="32"/>
          <w:szCs w:val="32"/>
        </w:rPr>
      </w:pPr>
    </w:p>
    <w:p w14:paraId="11056D6D">
      <w:pPr>
        <w:widowControl/>
        <w:autoSpaceDE w:val="0"/>
        <w:autoSpaceDN w:val="0"/>
        <w:spacing w:line="360" w:lineRule="auto"/>
        <w:ind w:right="-154"/>
        <w:textAlignment w:val="bottom"/>
        <w:rPr>
          <w:rFonts w:ascii="宋体" w:hAnsi="宋体" w:cs="宋体"/>
          <w:b/>
          <w:bCs/>
          <w:color w:val="auto"/>
          <w:sz w:val="28"/>
          <w:szCs w:val="28"/>
        </w:rPr>
      </w:pPr>
    </w:p>
    <w:p w14:paraId="72CBCDC7">
      <w:pPr>
        <w:widowControl/>
        <w:autoSpaceDE w:val="0"/>
        <w:autoSpaceDN w:val="0"/>
        <w:ind w:right="-12"/>
        <w:jc w:val="center"/>
        <w:textAlignment w:val="bottom"/>
        <w:rPr>
          <w:rFonts w:ascii="宋体" w:hAnsi="宋体" w:cs="宋体"/>
          <w:b/>
          <w:bCs/>
          <w:color w:val="auto"/>
          <w:sz w:val="32"/>
          <w:szCs w:val="32"/>
        </w:rPr>
      </w:pPr>
    </w:p>
    <w:p w14:paraId="267DA28B">
      <w:pPr>
        <w:widowControl/>
        <w:autoSpaceDE w:val="0"/>
        <w:autoSpaceDN w:val="0"/>
        <w:ind w:right="-12"/>
        <w:jc w:val="center"/>
        <w:textAlignment w:val="bottom"/>
        <w:rPr>
          <w:rFonts w:ascii="宋体" w:hAnsi="宋体" w:cs="宋体"/>
          <w:b/>
          <w:bCs/>
          <w:color w:val="auto"/>
          <w:sz w:val="32"/>
          <w:szCs w:val="32"/>
        </w:rPr>
      </w:pPr>
    </w:p>
    <w:p w14:paraId="08415CB7">
      <w:pPr>
        <w:widowControl/>
        <w:autoSpaceDE w:val="0"/>
        <w:autoSpaceDN w:val="0"/>
        <w:ind w:right="-12"/>
        <w:jc w:val="center"/>
        <w:textAlignment w:val="bottom"/>
        <w:rPr>
          <w:rFonts w:ascii="宋体" w:hAnsi="宋体" w:cs="宋体"/>
          <w:b/>
          <w:bCs/>
          <w:color w:val="auto"/>
          <w:sz w:val="32"/>
          <w:szCs w:val="32"/>
        </w:rPr>
      </w:pPr>
    </w:p>
    <w:p w14:paraId="52A6E62C">
      <w:pPr>
        <w:pStyle w:val="5"/>
        <w:rPr>
          <w:rFonts w:ascii="宋体" w:hAnsi="宋体" w:cs="宋体"/>
          <w:b/>
          <w:bCs/>
          <w:color w:val="auto"/>
          <w:sz w:val="32"/>
          <w:szCs w:val="32"/>
        </w:rPr>
      </w:pPr>
    </w:p>
    <w:p w14:paraId="44ED809A">
      <w:pPr>
        <w:pStyle w:val="5"/>
        <w:rPr>
          <w:rFonts w:ascii="宋体" w:hAnsi="宋体" w:cs="宋体"/>
          <w:b/>
          <w:bCs/>
          <w:color w:val="auto"/>
          <w:sz w:val="32"/>
          <w:szCs w:val="32"/>
        </w:rPr>
      </w:pPr>
    </w:p>
    <w:p w14:paraId="46122C33">
      <w:pPr>
        <w:pStyle w:val="5"/>
        <w:rPr>
          <w:rFonts w:ascii="宋体" w:hAnsi="宋体" w:cs="宋体"/>
          <w:b/>
          <w:bCs/>
          <w:color w:val="auto"/>
          <w:sz w:val="32"/>
          <w:szCs w:val="32"/>
        </w:rPr>
      </w:pPr>
    </w:p>
    <w:p w14:paraId="531A4D80">
      <w:pPr>
        <w:widowControl/>
        <w:autoSpaceDE w:val="0"/>
        <w:autoSpaceDN w:val="0"/>
        <w:ind w:right="893"/>
        <w:jc w:val="center"/>
        <w:textAlignment w:val="bottom"/>
        <w:rPr>
          <w:rFonts w:ascii="宋体" w:hAnsi="宋体" w:cs="宋体"/>
          <w:b/>
          <w:bCs/>
          <w:color w:val="auto"/>
          <w:sz w:val="32"/>
          <w:szCs w:val="32"/>
        </w:rPr>
      </w:pPr>
      <w:r>
        <w:rPr>
          <w:rFonts w:hint="eastAsia" w:ascii="宋体" w:hAnsi="宋体" w:cs="宋体"/>
          <w:color w:val="auto"/>
          <w:sz w:val="32"/>
          <w:szCs w:val="32"/>
        </w:rPr>
        <w:t xml:space="preserve">3. </w:t>
      </w:r>
      <w:r>
        <w:rPr>
          <w:rFonts w:hint="eastAsia" w:ascii="宋体" w:hAnsi="宋体" w:cs="宋体"/>
          <w:b/>
          <w:bCs/>
          <w:color w:val="auto"/>
          <w:sz w:val="32"/>
          <w:szCs w:val="32"/>
        </w:rPr>
        <w:t>磋商分项报价表格式</w:t>
      </w:r>
    </w:p>
    <w:p w14:paraId="62689476">
      <w:pPr>
        <w:widowControl/>
        <w:autoSpaceDE w:val="0"/>
        <w:autoSpaceDN w:val="0"/>
        <w:spacing w:line="360" w:lineRule="auto"/>
        <w:ind w:right="890"/>
        <w:jc w:val="center"/>
        <w:textAlignment w:val="bottom"/>
        <w:rPr>
          <w:rFonts w:ascii="宋体" w:hAnsi="宋体" w:cs="宋体"/>
          <w:color w:val="auto"/>
        </w:rPr>
      </w:pPr>
    </w:p>
    <w:p w14:paraId="773266C2">
      <w:pPr>
        <w:widowControl/>
        <w:autoSpaceDE w:val="0"/>
        <w:autoSpaceDN w:val="0"/>
        <w:spacing w:line="360" w:lineRule="auto"/>
        <w:ind w:right="890"/>
        <w:textAlignment w:val="bottom"/>
        <w:rPr>
          <w:rFonts w:ascii="宋体" w:hAnsi="宋体" w:cs="宋体"/>
          <w:color w:val="auto"/>
        </w:rPr>
      </w:pPr>
    </w:p>
    <w:p w14:paraId="6807A591">
      <w:pPr>
        <w:widowControl/>
        <w:autoSpaceDE w:val="0"/>
        <w:autoSpaceDN w:val="0"/>
        <w:spacing w:line="360" w:lineRule="auto"/>
        <w:ind w:right="890"/>
        <w:textAlignment w:val="bottom"/>
        <w:rPr>
          <w:rFonts w:hint="eastAsia" w:ascii="宋体" w:hAnsi="宋体" w:cs="宋体"/>
          <w:color w:val="auto"/>
        </w:rPr>
      </w:pPr>
      <w:r>
        <w:rPr>
          <w:rFonts w:hint="eastAsia" w:ascii="宋体" w:hAnsi="宋体" w:cs="宋体"/>
          <w:color w:val="auto"/>
        </w:rPr>
        <w:t xml:space="preserve">项目名称：  </w:t>
      </w:r>
    </w:p>
    <w:p w14:paraId="6A2D6F5E">
      <w:pPr>
        <w:widowControl/>
        <w:autoSpaceDE w:val="0"/>
        <w:autoSpaceDN w:val="0"/>
        <w:spacing w:line="360" w:lineRule="auto"/>
        <w:ind w:right="890"/>
        <w:textAlignment w:val="bottom"/>
        <w:rPr>
          <w:rFonts w:ascii="宋体" w:hAnsi="宋体" w:cs="宋体"/>
          <w:color w:val="auto"/>
        </w:rPr>
      </w:pPr>
      <w:r>
        <w:rPr>
          <w:rFonts w:hint="eastAsia" w:ascii="宋体" w:hAnsi="宋体" w:cs="宋体"/>
          <w:color w:val="auto"/>
        </w:rPr>
        <w:t>项目编号：</w:t>
      </w:r>
    </w:p>
    <w:p w14:paraId="27F68070">
      <w:pPr>
        <w:widowControl/>
        <w:autoSpaceDE w:val="0"/>
        <w:autoSpaceDN w:val="0"/>
        <w:spacing w:line="360" w:lineRule="auto"/>
        <w:ind w:right="890"/>
        <w:textAlignment w:val="bottom"/>
        <w:rPr>
          <w:rFonts w:ascii="宋体" w:hAnsi="宋体" w:cs="宋体"/>
          <w:color w:val="auto"/>
          <w:u w:val="single"/>
        </w:rPr>
      </w:pPr>
      <w:r>
        <w:rPr>
          <w:rFonts w:hint="eastAsia" w:ascii="宋体" w:hAnsi="宋体" w:cs="宋体"/>
          <w:color w:val="auto"/>
        </w:rPr>
        <w:t>供应商名称（公章）：</w:t>
      </w:r>
    </w:p>
    <w:p w14:paraId="44C7984B">
      <w:pPr>
        <w:widowControl/>
        <w:tabs>
          <w:tab w:val="left" w:pos="885"/>
        </w:tabs>
        <w:autoSpaceDE w:val="0"/>
        <w:autoSpaceDN w:val="0"/>
        <w:ind w:left="-181" w:leftChars="-86" w:right="893" w:firstLine="105" w:firstLineChars="50"/>
        <w:textAlignment w:val="bottom"/>
        <w:rPr>
          <w:rFonts w:ascii="宋体" w:hAnsi="宋体" w:cs="宋体"/>
          <w:color w:val="auto"/>
        </w:rPr>
      </w:pPr>
      <w:r>
        <w:rPr>
          <w:rFonts w:hint="eastAsia" w:ascii="宋体" w:hAnsi="宋体" w:cs="宋体"/>
          <w:color w:val="auto"/>
        </w:rPr>
        <w:t>其它分项报价表：</w:t>
      </w:r>
    </w:p>
    <w:tbl>
      <w:tblPr>
        <w:tblStyle w:val="15"/>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390"/>
        <w:gridCol w:w="3434"/>
        <w:gridCol w:w="1631"/>
        <w:gridCol w:w="695"/>
      </w:tblGrid>
      <w:tr w14:paraId="7DC5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07E71298">
            <w:pPr>
              <w:jc w:val="center"/>
              <w:rPr>
                <w:rFonts w:ascii="宋体" w:hAnsi="宋体" w:cs="宋体"/>
                <w:color w:val="auto"/>
              </w:rPr>
            </w:pPr>
            <w:r>
              <w:rPr>
                <w:rFonts w:hint="eastAsia" w:ascii="宋体" w:hAnsi="宋体" w:cs="宋体"/>
                <w:color w:val="auto"/>
              </w:rPr>
              <w:t>序号</w:t>
            </w:r>
          </w:p>
        </w:tc>
        <w:tc>
          <w:tcPr>
            <w:tcW w:w="2390" w:type="dxa"/>
            <w:vAlign w:val="center"/>
          </w:tcPr>
          <w:p w14:paraId="404406CA">
            <w:pPr>
              <w:jc w:val="center"/>
              <w:rPr>
                <w:rFonts w:ascii="宋体" w:hAnsi="宋体" w:cs="宋体"/>
                <w:color w:val="auto"/>
              </w:rPr>
            </w:pPr>
            <w:r>
              <w:rPr>
                <w:rFonts w:hint="eastAsia" w:ascii="宋体" w:hAnsi="宋体" w:cs="宋体"/>
                <w:color w:val="auto"/>
              </w:rPr>
              <w:t>报价项目</w:t>
            </w:r>
          </w:p>
        </w:tc>
        <w:tc>
          <w:tcPr>
            <w:tcW w:w="3434" w:type="dxa"/>
            <w:vAlign w:val="center"/>
          </w:tcPr>
          <w:p w14:paraId="413BF21C">
            <w:pPr>
              <w:jc w:val="center"/>
              <w:rPr>
                <w:rFonts w:ascii="宋体" w:hAnsi="宋体" w:cs="宋体"/>
                <w:color w:val="auto"/>
              </w:rPr>
            </w:pPr>
            <w:r>
              <w:rPr>
                <w:rFonts w:hint="eastAsia" w:ascii="宋体" w:hAnsi="宋体" w:cs="宋体"/>
                <w:color w:val="auto"/>
              </w:rPr>
              <w:t>内容和标准</w:t>
            </w:r>
          </w:p>
        </w:tc>
        <w:tc>
          <w:tcPr>
            <w:tcW w:w="1631" w:type="dxa"/>
            <w:vAlign w:val="center"/>
          </w:tcPr>
          <w:p w14:paraId="4008D0A4">
            <w:pPr>
              <w:jc w:val="center"/>
              <w:rPr>
                <w:rFonts w:ascii="宋体" w:hAnsi="宋体" w:cs="宋体"/>
                <w:color w:val="auto"/>
              </w:rPr>
            </w:pPr>
            <w:r>
              <w:rPr>
                <w:rFonts w:hint="eastAsia" w:ascii="宋体" w:hAnsi="宋体" w:cs="宋体"/>
                <w:color w:val="auto"/>
              </w:rPr>
              <w:t>报价</w:t>
            </w:r>
          </w:p>
        </w:tc>
        <w:tc>
          <w:tcPr>
            <w:tcW w:w="695" w:type="dxa"/>
            <w:vAlign w:val="center"/>
          </w:tcPr>
          <w:p w14:paraId="7911CB2E">
            <w:pPr>
              <w:jc w:val="center"/>
              <w:rPr>
                <w:rFonts w:ascii="宋体" w:hAnsi="宋体" w:cs="宋体"/>
                <w:color w:val="auto"/>
              </w:rPr>
            </w:pPr>
            <w:r>
              <w:rPr>
                <w:rFonts w:hint="eastAsia" w:ascii="宋体" w:hAnsi="宋体" w:cs="宋体"/>
                <w:color w:val="auto"/>
              </w:rPr>
              <w:t>备注</w:t>
            </w:r>
          </w:p>
        </w:tc>
      </w:tr>
      <w:tr w14:paraId="60A1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7133C5E8">
            <w:pPr>
              <w:jc w:val="center"/>
              <w:rPr>
                <w:rFonts w:ascii="宋体" w:hAnsi="宋体" w:cs="宋体"/>
                <w:color w:val="auto"/>
              </w:rPr>
            </w:pPr>
            <w:r>
              <w:rPr>
                <w:rFonts w:hint="eastAsia" w:ascii="宋体" w:hAnsi="宋体" w:cs="宋体"/>
                <w:color w:val="auto"/>
              </w:rPr>
              <w:t>1</w:t>
            </w:r>
          </w:p>
        </w:tc>
        <w:tc>
          <w:tcPr>
            <w:tcW w:w="2390" w:type="dxa"/>
            <w:vAlign w:val="center"/>
          </w:tcPr>
          <w:p w14:paraId="6494967C">
            <w:pPr>
              <w:jc w:val="center"/>
              <w:rPr>
                <w:rFonts w:ascii="宋体" w:hAnsi="宋体" w:cs="宋体"/>
                <w:color w:val="auto"/>
              </w:rPr>
            </w:pPr>
          </w:p>
        </w:tc>
        <w:tc>
          <w:tcPr>
            <w:tcW w:w="3434" w:type="dxa"/>
            <w:vAlign w:val="center"/>
          </w:tcPr>
          <w:p w14:paraId="32E1450F">
            <w:pPr>
              <w:jc w:val="center"/>
              <w:rPr>
                <w:rFonts w:ascii="宋体" w:hAnsi="宋体" w:cs="宋体"/>
                <w:b/>
                <w:bCs/>
                <w:color w:val="auto"/>
              </w:rPr>
            </w:pPr>
          </w:p>
        </w:tc>
        <w:tc>
          <w:tcPr>
            <w:tcW w:w="1631" w:type="dxa"/>
            <w:vAlign w:val="center"/>
          </w:tcPr>
          <w:p w14:paraId="4C72B862">
            <w:pPr>
              <w:jc w:val="center"/>
              <w:rPr>
                <w:rFonts w:ascii="宋体" w:hAnsi="宋体" w:cs="宋体"/>
                <w:color w:val="auto"/>
              </w:rPr>
            </w:pPr>
          </w:p>
        </w:tc>
        <w:tc>
          <w:tcPr>
            <w:tcW w:w="695" w:type="dxa"/>
            <w:vAlign w:val="center"/>
          </w:tcPr>
          <w:p w14:paraId="45A628D6">
            <w:pPr>
              <w:jc w:val="center"/>
              <w:rPr>
                <w:rFonts w:ascii="宋体" w:hAnsi="宋体" w:cs="宋体"/>
                <w:color w:val="auto"/>
              </w:rPr>
            </w:pPr>
          </w:p>
        </w:tc>
      </w:tr>
      <w:tr w14:paraId="0BE1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52E1A6E8">
            <w:pPr>
              <w:jc w:val="center"/>
              <w:rPr>
                <w:rFonts w:ascii="宋体" w:hAnsi="宋体" w:cs="宋体"/>
                <w:color w:val="auto"/>
              </w:rPr>
            </w:pPr>
            <w:r>
              <w:rPr>
                <w:rFonts w:hint="eastAsia" w:ascii="宋体" w:hAnsi="宋体" w:cs="宋体"/>
                <w:color w:val="auto"/>
              </w:rPr>
              <w:t>2</w:t>
            </w:r>
          </w:p>
        </w:tc>
        <w:tc>
          <w:tcPr>
            <w:tcW w:w="2390" w:type="dxa"/>
            <w:vAlign w:val="center"/>
          </w:tcPr>
          <w:p w14:paraId="6C88DBDA">
            <w:pPr>
              <w:jc w:val="center"/>
              <w:rPr>
                <w:rFonts w:ascii="宋体" w:hAnsi="宋体" w:cs="宋体"/>
                <w:color w:val="auto"/>
              </w:rPr>
            </w:pPr>
          </w:p>
        </w:tc>
        <w:tc>
          <w:tcPr>
            <w:tcW w:w="3434" w:type="dxa"/>
            <w:vAlign w:val="center"/>
          </w:tcPr>
          <w:p w14:paraId="6B526453">
            <w:pPr>
              <w:jc w:val="center"/>
              <w:rPr>
                <w:rFonts w:ascii="宋体" w:hAnsi="宋体" w:cs="宋体"/>
                <w:b/>
                <w:bCs/>
                <w:color w:val="auto"/>
              </w:rPr>
            </w:pPr>
          </w:p>
        </w:tc>
        <w:tc>
          <w:tcPr>
            <w:tcW w:w="1631" w:type="dxa"/>
            <w:vAlign w:val="center"/>
          </w:tcPr>
          <w:p w14:paraId="2D389A93">
            <w:pPr>
              <w:jc w:val="center"/>
              <w:rPr>
                <w:rFonts w:ascii="宋体" w:hAnsi="宋体" w:cs="宋体"/>
                <w:color w:val="auto"/>
              </w:rPr>
            </w:pPr>
          </w:p>
        </w:tc>
        <w:tc>
          <w:tcPr>
            <w:tcW w:w="695" w:type="dxa"/>
            <w:vAlign w:val="center"/>
          </w:tcPr>
          <w:p w14:paraId="38D87D99">
            <w:pPr>
              <w:jc w:val="center"/>
              <w:rPr>
                <w:rFonts w:ascii="宋体" w:hAnsi="宋体" w:cs="宋体"/>
                <w:color w:val="auto"/>
              </w:rPr>
            </w:pPr>
          </w:p>
        </w:tc>
      </w:tr>
      <w:tr w14:paraId="58EE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1CCBBB45">
            <w:pPr>
              <w:jc w:val="center"/>
              <w:rPr>
                <w:rFonts w:ascii="宋体" w:hAnsi="宋体" w:cs="宋体"/>
                <w:color w:val="auto"/>
              </w:rPr>
            </w:pPr>
            <w:r>
              <w:rPr>
                <w:rFonts w:hint="eastAsia" w:ascii="宋体" w:hAnsi="宋体" w:cs="宋体"/>
                <w:color w:val="auto"/>
              </w:rPr>
              <w:t>3</w:t>
            </w:r>
          </w:p>
        </w:tc>
        <w:tc>
          <w:tcPr>
            <w:tcW w:w="2390" w:type="dxa"/>
            <w:vAlign w:val="center"/>
          </w:tcPr>
          <w:p w14:paraId="42907AB2">
            <w:pPr>
              <w:jc w:val="center"/>
              <w:rPr>
                <w:rFonts w:ascii="宋体" w:hAnsi="宋体" w:cs="宋体"/>
                <w:color w:val="auto"/>
              </w:rPr>
            </w:pPr>
          </w:p>
        </w:tc>
        <w:tc>
          <w:tcPr>
            <w:tcW w:w="3434" w:type="dxa"/>
            <w:vAlign w:val="center"/>
          </w:tcPr>
          <w:p w14:paraId="2A9562F1">
            <w:pPr>
              <w:jc w:val="center"/>
              <w:rPr>
                <w:rFonts w:ascii="宋体" w:hAnsi="宋体" w:cs="宋体"/>
                <w:b/>
                <w:bCs/>
                <w:color w:val="auto"/>
              </w:rPr>
            </w:pPr>
          </w:p>
        </w:tc>
        <w:tc>
          <w:tcPr>
            <w:tcW w:w="1631" w:type="dxa"/>
            <w:vAlign w:val="center"/>
          </w:tcPr>
          <w:p w14:paraId="7A5F5B94">
            <w:pPr>
              <w:jc w:val="center"/>
              <w:rPr>
                <w:rFonts w:ascii="宋体" w:hAnsi="宋体" w:cs="宋体"/>
                <w:color w:val="auto"/>
              </w:rPr>
            </w:pPr>
          </w:p>
        </w:tc>
        <w:tc>
          <w:tcPr>
            <w:tcW w:w="695" w:type="dxa"/>
            <w:vAlign w:val="center"/>
          </w:tcPr>
          <w:p w14:paraId="3B1535D5">
            <w:pPr>
              <w:jc w:val="center"/>
              <w:rPr>
                <w:rFonts w:ascii="宋体" w:hAnsi="宋体" w:cs="宋体"/>
                <w:color w:val="auto"/>
              </w:rPr>
            </w:pPr>
          </w:p>
        </w:tc>
      </w:tr>
      <w:tr w14:paraId="5EEA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79E055A7">
            <w:pPr>
              <w:jc w:val="center"/>
              <w:rPr>
                <w:rFonts w:ascii="宋体" w:hAnsi="宋体" w:cs="宋体"/>
                <w:color w:val="auto"/>
              </w:rPr>
            </w:pPr>
            <w:r>
              <w:rPr>
                <w:rFonts w:hint="eastAsia" w:ascii="宋体" w:hAnsi="宋体" w:cs="宋体"/>
                <w:color w:val="auto"/>
              </w:rPr>
              <w:t>4</w:t>
            </w:r>
          </w:p>
        </w:tc>
        <w:tc>
          <w:tcPr>
            <w:tcW w:w="2390" w:type="dxa"/>
            <w:vAlign w:val="center"/>
          </w:tcPr>
          <w:p w14:paraId="53986D3A">
            <w:pPr>
              <w:jc w:val="center"/>
              <w:rPr>
                <w:rFonts w:ascii="宋体" w:hAnsi="宋体" w:cs="宋体"/>
                <w:color w:val="auto"/>
              </w:rPr>
            </w:pPr>
          </w:p>
        </w:tc>
        <w:tc>
          <w:tcPr>
            <w:tcW w:w="3434" w:type="dxa"/>
            <w:vAlign w:val="center"/>
          </w:tcPr>
          <w:p w14:paraId="59EC4664">
            <w:pPr>
              <w:jc w:val="center"/>
              <w:rPr>
                <w:rFonts w:ascii="宋体" w:hAnsi="宋体" w:cs="宋体"/>
                <w:b/>
                <w:bCs/>
                <w:color w:val="auto"/>
              </w:rPr>
            </w:pPr>
          </w:p>
        </w:tc>
        <w:tc>
          <w:tcPr>
            <w:tcW w:w="1631" w:type="dxa"/>
            <w:vAlign w:val="center"/>
          </w:tcPr>
          <w:p w14:paraId="051E1CC0">
            <w:pPr>
              <w:jc w:val="center"/>
              <w:rPr>
                <w:rFonts w:ascii="宋体" w:hAnsi="宋体" w:cs="宋体"/>
                <w:color w:val="auto"/>
              </w:rPr>
            </w:pPr>
          </w:p>
        </w:tc>
        <w:tc>
          <w:tcPr>
            <w:tcW w:w="695" w:type="dxa"/>
            <w:vAlign w:val="center"/>
          </w:tcPr>
          <w:p w14:paraId="7ABA6E76">
            <w:pPr>
              <w:jc w:val="center"/>
              <w:rPr>
                <w:rFonts w:ascii="宋体" w:hAnsi="宋体" w:cs="宋体"/>
                <w:color w:val="auto"/>
              </w:rPr>
            </w:pPr>
          </w:p>
        </w:tc>
      </w:tr>
      <w:tr w14:paraId="61EF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4FF9FC06">
            <w:pPr>
              <w:jc w:val="center"/>
              <w:rPr>
                <w:rFonts w:ascii="宋体" w:hAnsi="宋体" w:cs="宋体"/>
                <w:color w:val="auto"/>
              </w:rPr>
            </w:pPr>
            <w:r>
              <w:rPr>
                <w:rFonts w:hint="eastAsia" w:ascii="宋体" w:hAnsi="宋体" w:cs="宋体"/>
                <w:color w:val="auto"/>
              </w:rPr>
              <w:t>5</w:t>
            </w:r>
          </w:p>
        </w:tc>
        <w:tc>
          <w:tcPr>
            <w:tcW w:w="2390" w:type="dxa"/>
            <w:vAlign w:val="center"/>
          </w:tcPr>
          <w:p w14:paraId="5950FE23">
            <w:pPr>
              <w:jc w:val="center"/>
              <w:rPr>
                <w:rFonts w:ascii="宋体" w:hAnsi="宋体" w:cs="宋体"/>
                <w:color w:val="auto"/>
              </w:rPr>
            </w:pPr>
          </w:p>
        </w:tc>
        <w:tc>
          <w:tcPr>
            <w:tcW w:w="3434" w:type="dxa"/>
            <w:vAlign w:val="center"/>
          </w:tcPr>
          <w:p w14:paraId="574D650C">
            <w:pPr>
              <w:jc w:val="center"/>
              <w:rPr>
                <w:rFonts w:ascii="宋体" w:hAnsi="宋体" w:cs="宋体"/>
                <w:b/>
                <w:bCs/>
                <w:color w:val="auto"/>
              </w:rPr>
            </w:pPr>
          </w:p>
        </w:tc>
        <w:tc>
          <w:tcPr>
            <w:tcW w:w="1631" w:type="dxa"/>
            <w:vAlign w:val="center"/>
          </w:tcPr>
          <w:p w14:paraId="7A6806D6">
            <w:pPr>
              <w:jc w:val="center"/>
              <w:rPr>
                <w:rFonts w:ascii="宋体" w:hAnsi="宋体" w:cs="宋体"/>
                <w:color w:val="auto"/>
              </w:rPr>
            </w:pPr>
          </w:p>
        </w:tc>
        <w:tc>
          <w:tcPr>
            <w:tcW w:w="695" w:type="dxa"/>
            <w:vAlign w:val="center"/>
          </w:tcPr>
          <w:p w14:paraId="18ED1483">
            <w:pPr>
              <w:jc w:val="center"/>
              <w:rPr>
                <w:rFonts w:ascii="宋体" w:hAnsi="宋体" w:cs="宋体"/>
                <w:color w:val="auto"/>
              </w:rPr>
            </w:pPr>
          </w:p>
        </w:tc>
      </w:tr>
      <w:tr w14:paraId="64B5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7E669945">
            <w:pPr>
              <w:jc w:val="center"/>
              <w:rPr>
                <w:rFonts w:ascii="宋体" w:hAnsi="宋体" w:cs="宋体"/>
                <w:color w:val="auto"/>
              </w:rPr>
            </w:pPr>
            <w:r>
              <w:rPr>
                <w:rFonts w:hint="eastAsia" w:ascii="宋体" w:hAnsi="宋体" w:cs="宋体"/>
                <w:color w:val="auto"/>
              </w:rPr>
              <w:t>6</w:t>
            </w:r>
          </w:p>
        </w:tc>
        <w:tc>
          <w:tcPr>
            <w:tcW w:w="2390" w:type="dxa"/>
            <w:vAlign w:val="center"/>
          </w:tcPr>
          <w:p w14:paraId="4B350EDB">
            <w:pPr>
              <w:jc w:val="center"/>
              <w:rPr>
                <w:rFonts w:ascii="宋体" w:hAnsi="宋体" w:cs="宋体"/>
                <w:color w:val="auto"/>
              </w:rPr>
            </w:pPr>
          </w:p>
        </w:tc>
        <w:tc>
          <w:tcPr>
            <w:tcW w:w="3434" w:type="dxa"/>
            <w:vAlign w:val="center"/>
          </w:tcPr>
          <w:p w14:paraId="4117432B">
            <w:pPr>
              <w:jc w:val="center"/>
              <w:rPr>
                <w:rFonts w:ascii="宋体" w:hAnsi="宋体" w:cs="宋体"/>
                <w:b/>
                <w:bCs/>
                <w:color w:val="auto"/>
              </w:rPr>
            </w:pPr>
          </w:p>
        </w:tc>
        <w:tc>
          <w:tcPr>
            <w:tcW w:w="1631" w:type="dxa"/>
            <w:vAlign w:val="center"/>
          </w:tcPr>
          <w:p w14:paraId="68BD7556">
            <w:pPr>
              <w:jc w:val="center"/>
              <w:rPr>
                <w:rFonts w:ascii="宋体" w:hAnsi="宋体" w:cs="宋体"/>
                <w:color w:val="auto"/>
              </w:rPr>
            </w:pPr>
          </w:p>
        </w:tc>
        <w:tc>
          <w:tcPr>
            <w:tcW w:w="695" w:type="dxa"/>
            <w:vAlign w:val="center"/>
          </w:tcPr>
          <w:p w14:paraId="456E36E7">
            <w:pPr>
              <w:jc w:val="center"/>
              <w:rPr>
                <w:rFonts w:ascii="宋体" w:hAnsi="宋体" w:cs="宋体"/>
                <w:color w:val="auto"/>
              </w:rPr>
            </w:pPr>
          </w:p>
        </w:tc>
      </w:tr>
      <w:tr w14:paraId="21E0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4F460321">
            <w:pPr>
              <w:jc w:val="center"/>
              <w:rPr>
                <w:rFonts w:ascii="宋体" w:hAnsi="宋体" w:cs="宋体"/>
                <w:color w:val="auto"/>
              </w:rPr>
            </w:pPr>
            <w:r>
              <w:rPr>
                <w:rFonts w:hint="eastAsia" w:ascii="宋体" w:hAnsi="宋体" w:cs="宋体"/>
                <w:color w:val="auto"/>
              </w:rPr>
              <w:t>7</w:t>
            </w:r>
          </w:p>
        </w:tc>
        <w:tc>
          <w:tcPr>
            <w:tcW w:w="2390" w:type="dxa"/>
            <w:vAlign w:val="center"/>
          </w:tcPr>
          <w:p w14:paraId="29794DD9">
            <w:pPr>
              <w:jc w:val="center"/>
              <w:rPr>
                <w:rFonts w:ascii="宋体" w:hAnsi="宋体" w:cs="宋体"/>
                <w:color w:val="auto"/>
              </w:rPr>
            </w:pPr>
          </w:p>
        </w:tc>
        <w:tc>
          <w:tcPr>
            <w:tcW w:w="3434" w:type="dxa"/>
            <w:vAlign w:val="center"/>
          </w:tcPr>
          <w:p w14:paraId="20F89CD5">
            <w:pPr>
              <w:jc w:val="center"/>
              <w:rPr>
                <w:rFonts w:ascii="宋体" w:hAnsi="宋体" w:cs="宋体"/>
                <w:b/>
                <w:bCs/>
                <w:color w:val="auto"/>
              </w:rPr>
            </w:pPr>
          </w:p>
        </w:tc>
        <w:tc>
          <w:tcPr>
            <w:tcW w:w="1631" w:type="dxa"/>
            <w:vAlign w:val="center"/>
          </w:tcPr>
          <w:p w14:paraId="31D50B86">
            <w:pPr>
              <w:jc w:val="center"/>
              <w:rPr>
                <w:rFonts w:ascii="宋体" w:hAnsi="宋体" w:cs="宋体"/>
                <w:color w:val="auto"/>
              </w:rPr>
            </w:pPr>
          </w:p>
        </w:tc>
        <w:tc>
          <w:tcPr>
            <w:tcW w:w="695" w:type="dxa"/>
            <w:vAlign w:val="center"/>
          </w:tcPr>
          <w:p w14:paraId="6126B9B6">
            <w:pPr>
              <w:jc w:val="center"/>
              <w:rPr>
                <w:rFonts w:ascii="宋体" w:hAnsi="宋体" w:cs="宋体"/>
                <w:color w:val="auto"/>
              </w:rPr>
            </w:pPr>
          </w:p>
        </w:tc>
      </w:tr>
      <w:tr w14:paraId="2C4B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16A98DBD">
            <w:pPr>
              <w:jc w:val="center"/>
              <w:rPr>
                <w:rFonts w:ascii="宋体" w:hAnsi="宋体" w:cs="宋体"/>
                <w:color w:val="auto"/>
              </w:rPr>
            </w:pPr>
            <w:r>
              <w:rPr>
                <w:rFonts w:hint="eastAsia" w:ascii="宋体" w:hAnsi="宋体" w:cs="宋体"/>
                <w:color w:val="auto"/>
              </w:rPr>
              <w:t>8</w:t>
            </w:r>
          </w:p>
        </w:tc>
        <w:tc>
          <w:tcPr>
            <w:tcW w:w="2390" w:type="dxa"/>
            <w:vAlign w:val="center"/>
          </w:tcPr>
          <w:p w14:paraId="77C587DD">
            <w:pPr>
              <w:jc w:val="center"/>
              <w:rPr>
                <w:rFonts w:ascii="宋体" w:hAnsi="宋体" w:cs="宋体"/>
                <w:color w:val="auto"/>
              </w:rPr>
            </w:pPr>
          </w:p>
        </w:tc>
        <w:tc>
          <w:tcPr>
            <w:tcW w:w="3434" w:type="dxa"/>
            <w:vAlign w:val="center"/>
          </w:tcPr>
          <w:p w14:paraId="7A4AFF8A">
            <w:pPr>
              <w:jc w:val="center"/>
              <w:rPr>
                <w:rFonts w:ascii="宋体" w:hAnsi="宋体" w:cs="宋体"/>
                <w:b/>
                <w:bCs/>
                <w:color w:val="auto"/>
              </w:rPr>
            </w:pPr>
          </w:p>
        </w:tc>
        <w:tc>
          <w:tcPr>
            <w:tcW w:w="1631" w:type="dxa"/>
            <w:vAlign w:val="center"/>
          </w:tcPr>
          <w:p w14:paraId="2B8E1A63">
            <w:pPr>
              <w:jc w:val="center"/>
              <w:rPr>
                <w:rFonts w:ascii="宋体" w:hAnsi="宋体" w:cs="宋体"/>
                <w:color w:val="auto"/>
              </w:rPr>
            </w:pPr>
          </w:p>
        </w:tc>
        <w:tc>
          <w:tcPr>
            <w:tcW w:w="695" w:type="dxa"/>
            <w:vAlign w:val="center"/>
          </w:tcPr>
          <w:p w14:paraId="5BACD210">
            <w:pPr>
              <w:jc w:val="center"/>
              <w:rPr>
                <w:rFonts w:ascii="宋体" w:hAnsi="宋体" w:cs="宋体"/>
                <w:color w:val="auto"/>
              </w:rPr>
            </w:pPr>
          </w:p>
        </w:tc>
      </w:tr>
      <w:tr w14:paraId="7B58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0" w:type="dxa"/>
            <w:vAlign w:val="center"/>
          </w:tcPr>
          <w:p w14:paraId="09F54EDF">
            <w:pPr>
              <w:jc w:val="center"/>
              <w:rPr>
                <w:rFonts w:ascii="宋体" w:hAnsi="宋体" w:cs="宋体"/>
                <w:color w:val="auto"/>
              </w:rPr>
            </w:pPr>
          </w:p>
        </w:tc>
        <w:tc>
          <w:tcPr>
            <w:tcW w:w="2390" w:type="dxa"/>
            <w:vAlign w:val="center"/>
          </w:tcPr>
          <w:p w14:paraId="56BC7B60">
            <w:pPr>
              <w:jc w:val="center"/>
              <w:rPr>
                <w:rFonts w:ascii="宋体" w:hAnsi="宋体" w:cs="宋体"/>
                <w:color w:val="auto"/>
              </w:rPr>
            </w:pPr>
            <w:r>
              <w:rPr>
                <w:rFonts w:hint="eastAsia" w:ascii="宋体" w:hAnsi="宋体" w:cs="宋体"/>
                <w:color w:val="auto"/>
              </w:rPr>
              <w:t>合计</w:t>
            </w:r>
          </w:p>
        </w:tc>
        <w:tc>
          <w:tcPr>
            <w:tcW w:w="3434" w:type="dxa"/>
            <w:vAlign w:val="center"/>
          </w:tcPr>
          <w:p w14:paraId="12D1775F">
            <w:pPr>
              <w:jc w:val="center"/>
              <w:rPr>
                <w:rFonts w:ascii="宋体" w:hAnsi="宋体" w:cs="宋体"/>
                <w:b/>
                <w:bCs/>
                <w:color w:val="auto"/>
              </w:rPr>
            </w:pPr>
          </w:p>
        </w:tc>
        <w:tc>
          <w:tcPr>
            <w:tcW w:w="1631" w:type="dxa"/>
            <w:vAlign w:val="center"/>
          </w:tcPr>
          <w:p w14:paraId="6F2875F4">
            <w:pPr>
              <w:jc w:val="center"/>
              <w:rPr>
                <w:rFonts w:ascii="宋体" w:hAnsi="宋体" w:cs="宋体"/>
                <w:color w:val="auto"/>
              </w:rPr>
            </w:pPr>
          </w:p>
        </w:tc>
        <w:tc>
          <w:tcPr>
            <w:tcW w:w="695" w:type="dxa"/>
            <w:vAlign w:val="center"/>
          </w:tcPr>
          <w:p w14:paraId="1A25A70D">
            <w:pPr>
              <w:jc w:val="center"/>
              <w:rPr>
                <w:rFonts w:ascii="宋体" w:hAnsi="宋体" w:cs="宋体"/>
                <w:color w:val="auto"/>
              </w:rPr>
            </w:pPr>
          </w:p>
        </w:tc>
      </w:tr>
    </w:tbl>
    <w:p w14:paraId="4CB453F6">
      <w:pPr>
        <w:widowControl/>
        <w:autoSpaceDE w:val="0"/>
        <w:autoSpaceDN w:val="0"/>
        <w:ind w:right="893"/>
        <w:textAlignment w:val="bottom"/>
        <w:rPr>
          <w:rFonts w:ascii="宋体" w:hAnsi="宋体" w:cs="宋体"/>
          <w:color w:val="auto"/>
        </w:rPr>
      </w:pPr>
      <w:r>
        <w:rPr>
          <w:rFonts w:hint="eastAsia" w:ascii="宋体" w:hAnsi="宋体" w:cs="宋体"/>
          <w:color w:val="auto"/>
        </w:rPr>
        <w:t>价格汇总表：</w:t>
      </w:r>
    </w:p>
    <w:tbl>
      <w:tblPr>
        <w:tblStyle w:val="1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3"/>
        <w:gridCol w:w="1483"/>
        <w:gridCol w:w="1984"/>
      </w:tblGrid>
      <w:tr w14:paraId="04C0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33" w:type="dxa"/>
            <w:vAlign w:val="center"/>
          </w:tcPr>
          <w:p w14:paraId="40737699">
            <w:pPr>
              <w:widowControl/>
              <w:autoSpaceDE w:val="0"/>
              <w:autoSpaceDN w:val="0"/>
              <w:jc w:val="center"/>
              <w:textAlignment w:val="bottom"/>
              <w:rPr>
                <w:rFonts w:ascii="宋体" w:hAnsi="宋体" w:cs="宋体"/>
                <w:color w:val="auto"/>
              </w:rPr>
            </w:pPr>
            <w:r>
              <w:rPr>
                <w:rFonts w:hint="eastAsia" w:ascii="宋体" w:hAnsi="宋体" w:cs="宋体"/>
                <w:color w:val="auto"/>
              </w:rPr>
              <w:t>货物总价（设备材料总价和其它分项报价表之和）</w:t>
            </w:r>
          </w:p>
        </w:tc>
        <w:tc>
          <w:tcPr>
            <w:tcW w:w="1483" w:type="dxa"/>
            <w:vAlign w:val="center"/>
          </w:tcPr>
          <w:p w14:paraId="7C98AF69">
            <w:pPr>
              <w:widowControl/>
              <w:autoSpaceDE w:val="0"/>
              <w:autoSpaceDN w:val="0"/>
              <w:ind w:right="893"/>
              <w:jc w:val="center"/>
              <w:textAlignment w:val="bottom"/>
              <w:rPr>
                <w:rFonts w:ascii="宋体" w:hAnsi="宋体" w:cs="宋体"/>
                <w:color w:val="auto"/>
              </w:rPr>
            </w:pPr>
          </w:p>
        </w:tc>
        <w:tc>
          <w:tcPr>
            <w:tcW w:w="1984" w:type="dxa"/>
            <w:vAlign w:val="center"/>
          </w:tcPr>
          <w:p w14:paraId="57820895">
            <w:pPr>
              <w:widowControl/>
              <w:tabs>
                <w:tab w:val="left" w:pos="1768"/>
              </w:tabs>
              <w:autoSpaceDE w:val="0"/>
              <w:autoSpaceDN w:val="0"/>
              <w:ind w:right="893"/>
              <w:jc w:val="center"/>
              <w:textAlignment w:val="bottom"/>
              <w:rPr>
                <w:rFonts w:ascii="宋体" w:hAnsi="宋体" w:cs="宋体"/>
                <w:color w:val="auto"/>
              </w:rPr>
            </w:pPr>
            <w:r>
              <w:rPr>
                <w:rFonts w:hint="eastAsia" w:ascii="宋体" w:hAnsi="宋体" w:cs="宋体"/>
                <w:color w:val="auto"/>
              </w:rPr>
              <w:t xml:space="preserve">    备注</w:t>
            </w:r>
          </w:p>
        </w:tc>
      </w:tr>
      <w:tr w14:paraId="16C2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33" w:type="dxa"/>
            <w:vAlign w:val="center"/>
          </w:tcPr>
          <w:p w14:paraId="651BB8A9">
            <w:pPr>
              <w:widowControl/>
              <w:autoSpaceDE w:val="0"/>
              <w:autoSpaceDN w:val="0"/>
              <w:ind w:right="893"/>
              <w:jc w:val="center"/>
              <w:textAlignment w:val="bottom"/>
              <w:rPr>
                <w:rFonts w:ascii="宋体" w:hAnsi="宋体" w:cs="宋体"/>
                <w:color w:val="auto"/>
              </w:rPr>
            </w:pPr>
          </w:p>
        </w:tc>
        <w:tc>
          <w:tcPr>
            <w:tcW w:w="1483" w:type="dxa"/>
            <w:vAlign w:val="center"/>
          </w:tcPr>
          <w:p w14:paraId="24D8552B">
            <w:pPr>
              <w:widowControl/>
              <w:autoSpaceDE w:val="0"/>
              <w:autoSpaceDN w:val="0"/>
              <w:ind w:right="893"/>
              <w:jc w:val="center"/>
              <w:textAlignment w:val="bottom"/>
              <w:rPr>
                <w:rFonts w:ascii="宋体" w:hAnsi="宋体" w:cs="宋体"/>
                <w:color w:val="auto"/>
              </w:rPr>
            </w:pPr>
          </w:p>
        </w:tc>
        <w:tc>
          <w:tcPr>
            <w:tcW w:w="1984" w:type="dxa"/>
            <w:vAlign w:val="center"/>
          </w:tcPr>
          <w:p w14:paraId="395038D6">
            <w:pPr>
              <w:widowControl/>
              <w:autoSpaceDE w:val="0"/>
              <w:autoSpaceDN w:val="0"/>
              <w:ind w:right="893"/>
              <w:textAlignment w:val="bottom"/>
              <w:rPr>
                <w:rFonts w:ascii="宋体" w:hAnsi="宋体" w:cs="宋体"/>
                <w:color w:val="auto"/>
              </w:rPr>
            </w:pPr>
          </w:p>
        </w:tc>
      </w:tr>
    </w:tbl>
    <w:p w14:paraId="48BF3990">
      <w:pPr>
        <w:widowControl/>
        <w:autoSpaceDE w:val="0"/>
        <w:autoSpaceDN w:val="0"/>
        <w:spacing w:line="360" w:lineRule="auto"/>
        <w:ind w:right="17"/>
        <w:textAlignment w:val="bottom"/>
        <w:rPr>
          <w:rFonts w:ascii="宋体" w:hAnsi="宋体" w:cs="宋体"/>
          <w:color w:val="auto"/>
        </w:rPr>
      </w:pPr>
    </w:p>
    <w:p w14:paraId="762A300E">
      <w:pPr>
        <w:widowControl/>
        <w:autoSpaceDE w:val="0"/>
        <w:autoSpaceDN w:val="0"/>
        <w:spacing w:line="360" w:lineRule="auto"/>
        <w:ind w:right="17"/>
        <w:textAlignment w:val="bottom"/>
        <w:rPr>
          <w:rFonts w:ascii="宋体" w:hAnsi="宋体" w:cs="宋体"/>
          <w:color w:val="auto"/>
        </w:rPr>
      </w:pPr>
      <w:r>
        <w:rPr>
          <w:rFonts w:hint="eastAsia" w:ascii="宋体" w:hAnsi="宋体" w:cs="宋体"/>
          <w:color w:val="auto"/>
        </w:rPr>
        <w:t>注：1.价格应按照供应商须知第11款的要求报价。</w:t>
      </w:r>
    </w:p>
    <w:p w14:paraId="00ADB3AF">
      <w:pPr>
        <w:widowControl/>
        <w:numPr>
          <w:ilvl w:val="1"/>
          <w:numId w:val="15"/>
        </w:numPr>
        <w:autoSpaceDE w:val="0"/>
        <w:autoSpaceDN w:val="0"/>
        <w:spacing w:line="360" w:lineRule="auto"/>
        <w:ind w:left="780" w:leftChars="0" w:right="17" w:hanging="360" w:firstLineChars="0"/>
        <w:textAlignment w:val="bottom"/>
        <w:rPr>
          <w:rFonts w:hint="eastAsia" w:ascii="宋体" w:hAnsi="宋体" w:cs="宋体"/>
          <w:color w:val="auto"/>
          <w:lang w:eastAsia="zh-CN"/>
        </w:rPr>
      </w:pPr>
      <w:r>
        <w:rPr>
          <w:rFonts w:hint="eastAsia" w:ascii="宋体" w:hAnsi="宋体" w:cs="宋体"/>
          <w:color w:val="auto"/>
        </w:rPr>
        <w:t>设备列表中的报价请参照磋商文件第八篇技术规格与要求列出的清单，按给出的格式报价</w:t>
      </w:r>
      <w:r>
        <w:rPr>
          <w:rFonts w:hint="eastAsia" w:ascii="宋体" w:hAnsi="宋体" w:cs="宋体"/>
          <w:color w:val="auto"/>
          <w:lang w:eastAsia="zh-CN"/>
        </w:rPr>
        <w:t>。</w:t>
      </w:r>
    </w:p>
    <w:p w14:paraId="19F46E31">
      <w:pPr>
        <w:widowControl/>
        <w:numPr>
          <w:ilvl w:val="0"/>
          <w:numId w:val="0"/>
        </w:numPr>
        <w:autoSpaceDE w:val="0"/>
        <w:autoSpaceDN w:val="0"/>
        <w:spacing w:line="360" w:lineRule="auto"/>
        <w:ind w:left="420" w:leftChars="0" w:right="17" w:rightChars="0"/>
        <w:textAlignment w:val="bottom"/>
        <w:rPr>
          <w:rFonts w:ascii="宋体" w:hAnsi="宋体" w:cs="宋体"/>
          <w:color w:val="auto"/>
        </w:rPr>
      </w:pPr>
      <w:r>
        <w:rPr>
          <w:rFonts w:hint="eastAsia" w:ascii="宋体" w:hAnsi="宋体" w:cs="宋体"/>
          <w:color w:val="auto"/>
        </w:rPr>
        <w:t>3.供应商应承担全部材料、包装、保险、运输、交货、装卸、存储、中转、</w:t>
      </w:r>
      <w:r>
        <w:rPr>
          <w:rFonts w:hint="eastAsia" w:ascii="宋体" w:hAnsi="宋体" w:cs="宋体"/>
          <w:color w:val="auto"/>
          <w:lang w:val="en-US" w:eastAsia="zh-CN"/>
        </w:rPr>
        <w:t>现场</w:t>
      </w:r>
      <w:r>
        <w:rPr>
          <w:rFonts w:hint="eastAsia" w:ascii="宋体" w:hAnsi="宋体" w:cs="宋体"/>
          <w:color w:val="auto"/>
        </w:rPr>
        <w:t>现场服务及磋商过程中所发生的一切费用。磋商过程中全部以人民币报价，本磋商文件所列的全部条款凡涉及报价的，供应商都应在报价中计列，供应商的报价，采购代理机构认为是各项费用和含税综合计算的结果，且该报价为固定价，成交后在响应文件有效期内价格不变。</w:t>
      </w:r>
    </w:p>
    <w:p w14:paraId="4001631B">
      <w:pPr>
        <w:widowControl/>
        <w:tabs>
          <w:tab w:val="left" w:pos="851"/>
        </w:tabs>
        <w:autoSpaceDE w:val="0"/>
        <w:autoSpaceDN w:val="0"/>
        <w:spacing w:line="360" w:lineRule="auto"/>
        <w:ind w:right="17" w:firstLine="420" w:firstLineChars="200"/>
        <w:textAlignment w:val="bottom"/>
        <w:rPr>
          <w:rFonts w:ascii="宋体" w:hAnsi="宋体" w:cs="宋体"/>
          <w:color w:val="auto"/>
        </w:rPr>
      </w:pPr>
      <w:r>
        <w:rPr>
          <w:rFonts w:hint="eastAsia" w:ascii="宋体" w:hAnsi="宋体" w:cs="宋体"/>
          <w:color w:val="auto"/>
        </w:rPr>
        <w:t>4.分项报价的单价为供货到合同指定地点，含安装费等在内的综合单价。</w:t>
      </w:r>
    </w:p>
    <w:p w14:paraId="028162E8">
      <w:pPr>
        <w:widowControl/>
        <w:autoSpaceDE w:val="0"/>
        <w:autoSpaceDN w:val="0"/>
        <w:spacing w:line="360" w:lineRule="auto"/>
        <w:ind w:right="890"/>
        <w:textAlignment w:val="bottom"/>
        <w:rPr>
          <w:rFonts w:hint="eastAsia" w:ascii="宋体" w:hAnsi="宋体" w:cs="宋体"/>
          <w:color w:val="auto"/>
        </w:rPr>
      </w:pPr>
    </w:p>
    <w:p w14:paraId="2793B1CD">
      <w:pPr>
        <w:widowControl/>
        <w:autoSpaceDE w:val="0"/>
        <w:autoSpaceDN w:val="0"/>
        <w:spacing w:line="360" w:lineRule="auto"/>
        <w:ind w:right="890"/>
        <w:textAlignment w:val="bottom"/>
        <w:rPr>
          <w:rFonts w:hint="eastAsia" w:ascii="宋体" w:hAnsi="宋体" w:cs="宋体"/>
          <w:color w:val="auto"/>
        </w:rPr>
      </w:pPr>
    </w:p>
    <w:p w14:paraId="5E2727D1">
      <w:pPr>
        <w:widowControl/>
        <w:autoSpaceDE w:val="0"/>
        <w:autoSpaceDN w:val="0"/>
        <w:spacing w:line="360" w:lineRule="auto"/>
        <w:ind w:right="890"/>
        <w:textAlignment w:val="bottom"/>
        <w:rPr>
          <w:rFonts w:hint="eastAsia" w:ascii="宋体" w:hAnsi="宋体" w:cs="宋体"/>
          <w:color w:val="auto"/>
        </w:rPr>
      </w:pPr>
    </w:p>
    <w:p w14:paraId="40549B86">
      <w:pPr>
        <w:widowControl/>
        <w:autoSpaceDE w:val="0"/>
        <w:autoSpaceDN w:val="0"/>
        <w:spacing w:line="360" w:lineRule="auto"/>
        <w:ind w:right="890"/>
        <w:textAlignment w:val="bottom"/>
        <w:rPr>
          <w:rFonts w:ascii="宋体" w:hAnsi="宋体" w:cs="宋体"/>
          <w:color w:val="auto"/>
          <w:u w:val="single"/>
        </w:rPr>
      </w:pPr>
      <w:r>
        <w:rPr>
          <w:rFonts w:hint="eastAsia" w:ascii="宋体" w:hAnsi="宋体" w:cs="宋体"/>
          <w:color w:val="auto"/>
        </w:rPr>
        <w:t>供应商授权人签字：</w:t>
      </w:r>
    </w:p>
    <w:p w14:paraId="6F25FB57">
      <w:pPr>
        <w:widowControl/>
        <w:autoSpaceDE w:val="0"/>
        <w:autoSpaceDN w:val="0"/>
        <w:spacing w:line="360" w:lineRule="auto"/>
        <w:ind w:right="890" w:firstLine="1260" w:firstLineChars="600"/>
        <w:textAlignment w:val="bottom"/>
        <w:rPr>
          <w:rFonts w:hint="eastAsia" w:ascii="宋体" w:hAnsi="宋体" w:cs="宋体"/>
          <w:color w:val="auto"/>
        </w:rPr>
      </w:pPr>
      <w:r>
        <w:rPr>
          <w:rFonts w:hint="eastAsia" w:ascii="宋体" w:hAnsi="宋体" w:cs="宋体"/>
          <w:color w:val="auto"/>
        </w:rPr>
        <w:t>日期</w:t>
      </w:r>
    </w:p>
    <w:p w14:paraId="2A9C2553">
      <w:pPr>
        <w:widowControl/>
        <w:autoSpaceDE w:val="0"/>
        <w:autoSpaceDN w:val="0"/>
        <w:spacing w:line="360" w:lineRule="auto"/>
        <w:ind w:right="890" w:firstLine="1920" w:firstLineChars="600"/>
        <w:textAlignment w:val="bottom"/>
        <w:rPr>
          <w:rFonts w:ascii="宋体" w:hAnsi="宋体" w:cs="宋体"/>
          <w:color w:val="auto"/>
          <w:sz w:val="32"/>
          <w:szCs w:val="32"/>
        </w:rPr>
      </w:pPr>
      <w:r>
        <w:rPr>
          <w:rFonts w:hint="eastAsia" w:ascii="宋体" w:hAnsi="宋体" w:cs="宋体"/>
          <w:color w:val="auto"/>
          <w:sz w:val="32"/>
          <w:szCs w:val="32"/>
        </w:rPr>
        <w:br w:type="page"/>
      </w:r>
    </w:p>
    <w:p w14:paraId="660FD371">
      <w:pPr>
        <w:jc w:val="both"/>
        <w:rPr>
          <w:rFonts w:ascii="宋体" w:hAnsi="宋体" w:cs="宋体"/>
          <w:color w:val="auto"/>
          <w:sz w:val="32"/>
          <w:szCs w:val="32"/>
        </w:rPr>
      </w:pPr>
    </w:p>
    <w:p w14:paraId="5F82EC7A">
      <w:pPr>
        <w:jc w:val="center"/>
        <w:rPr>
          <w:rFonts w:ascii="宋体" w:hAnsi="宋体" w:cs="宋体"/>
          <w:b/>
          <w:bCs/>
          <w:color w:val="auto"/>
          <w:sz w:val="32"/>
          <w:szCs w:val="32"/>
        </w:rPr>
      </w:pPr>
      <w:r>
        <w:rPr>
          <w:rFonts w:hint="eastAsia" w:ascii="宋体" w:hAnsi="宋体" w:cs="宋体"/>
          <w:color w:val="auto"/>
          <w:sz w:val="32"/>
          <w:szCs w:val="32"/>
          <w:lang w:val="en-US" w:eastAsia="zh-CN"/>
        </w:rPr>
        <w:t>4</w:t>
      </w:r>
      <w:r>
        <w:rPr>
          <w:rFonts w:hint="eastAsia" w:ascii="宋体" w:hAnsi="宋体" w:cs="宋体"/>
          <w:color w:val="auto"/>
          <w:sz w:val="32"/>
          <w:szCs w:val="32"/>
        </w:rPr>
        <w:t xml:space="preserve">. </w:t>
      </w:r>
      <w:r>
        <w:rPr>
          <w:rFonts w:hint="eastAsia" w:ascii="宋体" w:hAnsi="宋体" w:cs="宋体"/>
          <w:b/>
          <w:bCs/>
          <w:color w:val="auto"/>
          <w:sz w:val="32"/>
          <w:szCs w:val="32"/>
        </w:rPr>
        <w:t>商务条款偏离表格式</w:t>
      </w:r>
    </w:p>
    <w:p w14:paraId="4E9E45BC">
      <w:pPr>
        <w:spacing w:line="360" w:lineRule="auto"/>
        <w:jc w:val="center"/>
        <w:rPr>
          <w:rFonts w:ascii="宋体" w:hAnsi="宋体" w:cs="宋体"/>
          <w:b/>
          <w:bCs/>
          <w:color w:val="auto"/>
          <w:sz w:val="32"/>
          <w:szCs w:val="32"/>
        </w:rPr>
      </w:pPr>
    </w:p>
    <w:p w14:paraId="7B1893D2">
      <w:pPr>
        <w:widowControl/>
        <w:autoSpaceDE w:val="0"/>
        <w:autoSpaceDN w:val="0"/>
        <w:spacing w:line="360" w:lineRule="auto"/>
        <w:ind w:right="893"/>
        <w:textAlignment w:val="bottom"/>
        <w:rPr>
          <w:rFonts w:hint="eastAsia" w:ascii="宋体" w:hAnsi="宋体" w:cs="宋体"/>
          <w:color w:val="auto"/>
        </w:rPr>
      </w:pPr>
      <w:r>
        <w:rPr>
          <w:rFonts w:hint="eastAsia" w:ascii="宋体" w:hAnsi="宋体" w:cs="宋体"/>
          <w:color w:val="auto"/>
        </w:rPr>
        <w:t xml:space="preserve">项目名称：   </w:t>
      </w:r>
    </w:p>
    <w:p w14:paraId="49815C07">
      <w:pPr>
        <w:widowControl/>
        <w:autoSpaceDE w:val="0"/>
        <w:autoSpaceDN w:val="0"/>
        <w:spacing w:line="360" w:lineRule="auto"/>
        <w:ind w:right="893"/>
        <w:textAlignment w:val="bottom"/>
        <w:rPr>
          <w:rFonts w:ascii="宋体" w:hAnsi="宋体" w:cs="宋体"/>
          <w:color w:val="auto"/>
          <w:u w:val="single"/>
        </w:rPr>
      </w:pPr>
      <w:r>
        <w:rPr>
          <w:rFonts w:hint="eastAsia" w:ascii="宋体" w:hAnsi="宋体" w:cs="宋体"/>
          <w:color w:val="auto"/>
        </w:rPr>
        <w:t>项目编号：</w:t>
      </w:r>
    </w:p>
    <w:p w14:paraId="2735EB47">
      <w:pPr>
        <w:widowControl/>
        <w:autoSpaceDE w:val="0"/>
        <w:autoSpaceDN w:val="0"/>
        <w:spacing w:line="360" w:lineRule="auto"/>
        <w:ind w:right="893"/>
        <w:textAlignment w:val="bottom"/>
        <w:rPr>
          <w:rFonts w:ascii="宋体" w:hAnsi="宋体" w:cs="宋体"/>
          <w:color w:val="auto"/>
          <w:u w:val="single"/>
        </w:rPr>
      </w:pPr>
      <w:r>
        <w:rPr>
          <w:rFonts w:hint="eastAsia" w:ascii="宋体" w:hAnsi="宋体" w:cs="宋体"/>
          <w:color w:val="auto"/>
        </w:rPr>
        <w:t>供应商名称(公章)：</w:t>
      </w:r>
    </w:p>
    <w:p w14:paraId="1938A760">
      <w:pPr>
        <w:widowControl/>
        <w:tabs>
          <w:tab w:val="left" w:pos="885"/>
        </w:tabs>
        <w:autoSpaceDE w:val="0"/>
        <w:autoSpaceDN w:val="0"/>
        <w:ind w:right="893"/>
        <w:textAlignment w:val="bottom"/>
        <w:rPr>
          <w:rFonts w:ascii="宋体" w:hAnsi="宋体" w:cs="宋体"/>
          <w:color w:val="auto"/>
        </w:rPr>
      </w:pPr>
    </w:p>
    <w:p w14:paraId="010F43DA">
      <w:pPr>
        <w:rPr>
          <w:rFonts w:ascii="宋体" w:hAnsi="宋体" w:cs="宋体"/>
          <w:color w:val="auto"/>
        </w:rPr>
      </w:pPr>
    </w:p>
    <w:tbl>
      <w:tblPr>
        <w:tblStyle w:val="15"/>
        <w:tblW w:w="84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3"/>
        <w:gridCol w:w="945"/>
        <w:gridCol w:w="2730"/>
        <w:gridCol w:w="945"/>
        <w:gridCol w:w="3054"/>
      </w:tblGrid>
      <w:tr w14:paraId="7FF7B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7" w:hRule="atLeast"/>
          <w:jc w:val="center"/>
        </w:trPr>
        <w:tc>
          <w:tcPr>
            <w:tcW w:w="743" w:type="dxa"/>
            <w:vMerge w:val="restart"/>
            <w:vAlign w:val="center"/>
          </w:tcPr>
          <w:p w14:paraId="7DC19045">
            <w:pPr>
              <w:jc w:val="center"/>
              <w:rPr>
                <w:rFonts w:ascii="宋体" w:hAnsi="宋体" w:cs="宋体"/>
                <w:caps/>
                <w:color w:val="auto"/>
              </w:rPr>
            </w:pPr>
            <w:r>
              <w:rPr>
                <w:rFonts w:hint="eastAsia" w:ascii="宋体" w:hAnsi="宋体" w:cs="宋体"/>
                <w:caps/>
                <w:color w:val="auto"/>
              </w:rPr>
              <w:t>序号</w:t>
            </w:r>
          </w:p>
        </w:tc>
        <w:tc>
          <w:tcPr>
            <w:tcW w:w="3675" w:type="dxa"/>
            <w:gridSpan w:val="2"/>
            <w:vAlign w:val="center"/>
          </w:tcPr>
          <w:p w14:paraId="6631307E">
            <w:pPr>
              <w:jc w:val="center"/>
              <w:rPr>
                <w:rFonts w:ascii="宋体" w:hAnsi="宋体" w:cs="宋体"/>
                <w:caps/>
                <w:color w:val="auto"/>
              </w:rPr>
            </w:pPr>
            <w:r>
              <w:rPr>
                <w:rFonts w:hint="eastAsia" w:ascii="宋体" w:hAnsi="宋体" w:cs="宋体"/>
                <w:caps/>
                <w:color w:val="auto"/>
              </w:rPr>
              <w:t>磋商文件</w:t>
            </w:r>
          </w:p>
        </w:tc>
        <w:tc>
          <w:tcPr>
            <w:tcW w:w="3999" w:type="dxa"/>
            <w:gridSpan w:val="2"/>
            <w:vAlign w:val="center"/>
          </w:tcPr>
          <w:p w14:paraId="00318018">
            <w:pPr>
              <w:jc w:val="center"/>
              <w:rPr>
                <w:rFonts w:ascii="宋体" w:hAnsi="宋体" w:cs="宋体"/>
                <w:caps/>
                <w:color w:val="auto"/>
              </w:rPr>
            </w:pPr>
            <w:r>
              <w:rPr>
                <w:rFonts w:hint="eastAsia" w:ascii="宋体" w:hAnsi="宋体" w:cs="宋体"/>
                <w:caps/>
                <w:color w:val="auto"/>
              </w:rPr>
              <w:t>响应文件</w:t>
            </w:r>
          </w:p>
        </w:tc>
      </w:tr>
      <w:tr w14:paraId="3E2C4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4" w:hRule="atLeast"/>
          <w:jc w:val="center"/>
        </w:trPr>
        <w:tc>
          <w:tcPr>
            <w:tcW w:w="743" w:type="dxa"/>
            <w:vMerge w:val="continue"/>
            <w:vAlign w:val="center"/>
          </w:tcPr>
          <w:p w14:paraId="56A8F4C1">
            <w:pPr>
              <w:jc w:val="center"/>
              <w:rPr>
                <w:rFonts w:ascii="宋体" w:hAnsi="宋体" w:cs="宋体"/>
                <w:color w:val="auto"/>
              </w:rPr>
            </w:pPr>
          </w:p>
        </w:tc>
        <w:tc>
          <w:tcPr>
            <w:tcW w:w="945" w:type="dxa"/>
            <w:vAlign w:val="center"/>
          </w:tcPr>
          <w:p w14:paraId="60420084">
            <w:pPr>
              <w:jc w:val="center"/>
              <w:rPr>
                <w:rFonts w:ascii="宋体" w:hAnsi="宋体" w:cs="宋体"/>
                <w:color w:val="auto"/>
              </w:rPr>
            </w:pPr>
            <w:r>
              <w:rPr>
                <w:rFonts w:hint="eastAsia" w:ascii="宋体" w:hAnsi="宋体" w:cs="宋体"/>
                <w:color w:val="auto"/>
              </w:rPr>
              <w:t>条目</w:t>
            </w:r>
          </w:p>
        </w:tc>
        <w:tc>
          <w:tcPr>
            <w:tcW w:w="2730" w:type="dxa"/>
            <w:vAlign w:val="center"/>
          </w:tcPr>
          <w:p w14:paraId="232A302C">
            <w:pPr>
              <w:jc w:val="center"/>
              <w:rPr>
                <w:rFonts w:ascii="宋体" w:hAnsi="宋体" w:cs="宋体"/>
                <w:color w:val="auto"/>
              </w:rPr>
            </w:pPr>
            <w:r>
              <w:rPr>
                <w:rFonts w:hint="eastAsia" w:ascii="宋体" w:hAnsi="宋体" w:cs="宋体"/>
                <w:color w:val="auto"/>
              </w:rPr>
              <w:t>简要内容</w:t>
            </w:r>
          </w:p>
        </w:tc>
        <w:tc>
          <w:tcPr>
            <w:tcW w:w="945" w:type="dxa"/>
            <w:vAlign w:val="center"/>
          </w:tcPr>
          <w:p w14:paraId="1FF56183">
            <w:pPr>
              <w:jc w:val="center"/>
              <w:rPr>
                <w:rFonts w:ascii="宋体" w:hAnsi="宋体" w:cs="宋体"/>
                <w:color w:val="auto"/>
              </w:rPr>
            </w:pPr>
            <w:r>
              <w:rPr>
                <w:rFonts w:hint="eastAsia" w:ascii="宋体" w:hAnsi="宋体" w:cs="宋体"/>
                <w:color w:val="auto"/>
              </w:rPr>
              <w:t>条目</w:t>
            </w:r>
          </w:p>
        </w:tc>
        <w:tc>
          <w:tcPr>
            <w:tcW w:w="3054" w:type="dxa"/>
            <w:vAlign w:val="center"/>
          </w:tcPr>
          <w:p w14:paraId="18C584C2">
            <w:pPr>
              <w:jc w:val="center"/>
              <w:rPr>
                <w:rFonts w:ascii="宋体" w:hAnsi="宋体" w:cs="宋体"/>
                <w:color w:val="auto"/>
              </w:rPr>
            </w:pPr>
            <w:r>
              <w:rPr>
                <w:rFonts w:hint="eastAsia" w:ascii="宋体" w:hAnsi="宋体" w:cs="宋体"/>
                <w:color w:val="auto"/>
              </w:rPr>
              <w:t>简要内容</w:t>
            </w:r>
          </w:p>
        </w:tc>
      </w:tr>
      <w:tr w14:paraId="065D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3F5163CE">
            <w:pPr>
              <w:jc w:val="center"/>
              <w:rPr>
                <w:rFonts w:ascii="宋体" w:hAnsi="宋体" w:cs="宋体"/>
                <w:color w:val="auto"/>
              </w:rPr>
            </w:pPr>
            <w:r>
              <w:rPr>
                <w:rFonts w:hint="eastAsia" w:ascii="宋体" w:hAnsi="宋体" w:cs="宋体"/>
                <w:color w:val="auto"/>
              </w:rPr>
              <w:t>1</w:t>
            </w:r>
          </w:p>
        </w:tc>
        <w:tc>
          <w:tcPr>
            <w:tcW w:w="945" w:type="dxa"/>
            <w:vAlign w:val="center"/>
          </w:tcPr>
          <w:p w14:paraId="19866323">
            <w:pPr>
              <w:jc w:val="center"/>
              <w:rPr>
                <w:rFonts w:ascii="宋体" w:hAnsi="宋体" w:cs="宋体"/>
                <w:color w:val="auto"/>
              </w:rPr>
            </w:pPr>
          </w:p>
        </w:tc>
        <w:tc>
          <w:tcPr>
            <w:tcW w:w="2730" w:type="dxa"/>
            <w:vAlign w:val="center"/>
          </w:tcPr>
          <w:p w14:paraId="03C51EEF">
            <w:pPr>
              <w:jc w:val="center"/>
              <w:rPr>
                <w:rFonts w:ascii="宋体" w:hAnsi="宋体" w:cs="宋体"/>
                <w:color w:val="auto"/>
              </w:rPr>
            </w:pPr>
          </w:p>
        </w:tc>
        <w:tc>
          <w:tcPr>
            <w:tcW w:w="945" w:type="dxa"/>
            <w:vAlign w:val="center"/>
          </w:tcPr>
          <w:p w14:paraId="04FDBB5E">
            <w:pPr>
              <w:jc w:val="center"/>
              <w:rPr>
                <w:rFonts w:ascii="宋体" w:hAnsi="宋体" w:cs="宋体"/>
                <w:color w:val="auto"/>
              </w:rPr>
            </w:pPr>
          </w:p>
        </w:tc>
        <w:tc>
          <w:tcPr>
            <w:tcW w:w="3054" w:type="dxa"/>
            <w:vAlign w:val="center"/>
          </w:tcPr>
          <w:p w14:paraId="52E89502">
            <w:pPr>
              <w:jc w:val="center"/>
              <w:rPr>
                <w:rFonts w:ascii="宋体" w:hAnsi="宋体" w:cs="宋体"/>
                <w:color w:val="auto"/>
              </w:rPr>
            </w:pPr>
          </w:p>
        </w:tc>
      </w:tr>
      <w:tr w14:paraId="6D729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71905C6B">
            <w:pPr>
              <w:jc w:val="center"/>
              <w:rPr>
                <w:rFonts w:ascii="宋体" w:hAnsi="宋体" w:cs="宋体"/>
                <w:color w:val="auto"/>
              </w:rPr>
            </w:pPr>
            <w:r>
              <w:rPr>
                <w:rFonts w:hint="eastAsia" w:ascii="宋体" w:hAnsi="宋体" w:cs="宋体"/>
                <w:color w:val="auto"/>
              </w:rPr>
              <w:t>2</w:t>
            </w:r>
          </w:p>
        </w:tc>
        <w:tc>
          <w:tcPr>
            <w:tcW w:w="945" w:type="dxa"/>
            <w:vAlign w:val="center"/>
          </w:tcPr>
          <w:p w14:paraId="373566AF">
            <w:pPr>
              <w:jc w:val="center"/>
              <w:rPr>
                <w:rFonts w:ascii="宋体" w:hAnsi="宋体" w:cs="宋体"/>
                <w:color w:val="auto"/>
              </w:rPr>
            </w:pPr>
          </w:p>
        </w:tc>
        <w:tc>
          <w:tcPr>
            <w:tcW w:w="2730" w:type="dxa"/>
            <w:vAlign w:val="center"/>
          </w:tcPr>
          <w:p w14:paraId="0412A8AA">
            <w:pPr>
              <w:jc w:val="center"/>
              <w:rPr>
                <w:rFonts w:ascii="宋体" w:hAnsi="宋体" w:cs="宋体"/>
                <w:color w:val="auto"/>
              </w:rPr>
            </w:pPr>
          </w:p>
        </w:tc>
        <w:tc>
          <w:tcPr>
            <w:tcW w:w="945" w:type="dxa"/>
            <w:vAlign w:val="center"/>
          </w:tcPr>
          <w:p w14:paraId="33530F6A">
            <w:pPr>
              <w:jc w:val="center"/>
              <w:rPr>
                <w:rFonts w:ascii="宋体" w:hAnsi="宋体" w:cs="宋体"/>
                <w:color w:val="auto"/>
              </w:rPr>
            </w:pPr>
          </w:p>
        </w:tc>
        <w:tc>
          <w:tcPr>
            <w:tcW w:w="3054" w:type="dxa"/>
            <w:vAlign w:val="center"/>
          </w:tcPr>
          <w:p w14:paraId="31A03A05">
            <w:pPr>
              <w:jc w:val="center"/>
              <w:rPr>
                <w:rFonts w:ascii="宋体" w:hAnsi="宋体" w:cs="宋体"/>
                <w:color w:val="auto"/>
              </w:rPr>
            </w:pPr>
          </w:p>
        </w:tc>
      </w:tr>
      <w:tr w14:paraId="2EE66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7C8CC142">
            <w:pPr>
              <w:jc w:val="center"/>
              <w:rPr>
                <w:rFonts w:ascii="宋体" w:hAnsi="宋体" w:cs="宋体"/>
                <w:color w:val="auto"/>
              </w:rPr>
            </w:pPr>
            <w:r>
              <w:rPr>
                <w:rFonts w:hint="eastAsia" w:ascii="宋体" w:hAnsi="宋体" w:cs="宋体"/>
                <w:color w:val="auto"/>
              </w:rPr>
              <w:t>3</w:t>
            </w:r>
          </w:p>
        </w:tc>
        <w:tc>
          <w:tcPr>
            <w:tcW w:w="945" w:type="dxa"/>
            <w:vAlign w:val="center"/>
          </w:tcPr>
          <w:p w14:paraId="6173C28F">
            <w:pPr>
              <w:jc w:val="center"/>
              <w:rPr>
                <w:rFonts w:ascii="宋体" w:hAnsi="宋体" w:cs="宋体"/>
                <w:color w:val="auto"/>
              </w:rPr>
            </w:pPr>
          </w:p>
        </w:tc>
        <w:tc>
          <w:tcPr>
            <w:tcW w:w="2730" w:type="dxa"/>
            <w:vAlign w:val="center"/>
          </w:tcPr>
          <w:p w14:paraId="01C107BF">
            <w:pPr>
              <w:jc w:val="center"/>
              <w:rPr>
                <w:rFonts w:ascii="宋体" w:hAnsi="宋体" w:cs="宋体"/>
                <w:color w:val="auto"/>
              </w:rPr>
            </w:pPr>
          </w:p>
        </w:tc>
        <w:tc>
          <w:tcPr>
            <w:tcW w:w="945" w:type="dxa"/>
            <w:vAlign w:val="center"/>
          </w:tcPr>
          <w:p w14:paraId="2046BC7C">
            <w:pPr>
              <w:jc w:val="center"/>
              <w:rPr>
                <w:rFonts w:ascii="宋体" w:hAnsi="宋体" w:cs="宋体"/>
                <w:color w:val="auto"/>
              </w:rPr>
            </w:pPr>
          </w:p>
        </w:tc>
        <w:tc>
          <w:tcPr>
            <w:tcW w:w="3054" w:type="dxa"/>
            <w:vAlign w:val="center"/>
          </w:tcPr>
          <w:p w14:paraId="6A489C3B">
            <w:pPr>
              <w:jc w:val="center"/>
              <w:rPr>
                <w:rFonts w:ascii="宋体" w:hAnsi="宋体" w:cs="宋体"/>
                <w:color w:val="auto"/>
              </w:rPr>
            </w:pPr>
          </w:p>
        </w:tc>
      </w:tr>
      <w:tr w14:paraId="0E428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41A3BEF9">
            <w:pPr>
              <w:jc w:val="center"/>
              <w:rPr>
                <w:rFonts w:ascii="宋体" w:hAnsi="宋体" w:cs="宋体"/>
                <w:color w:val="auto"/>
              </w:rPr>
            </w:pPr>
            <w:r>
              <w:rPr>
                <w:rFonts w:hint="eastAsia" w:ascii="宋体" w:hAnsi="宋体" w:cs="宋体"/>
                <w:color w:val="auto"/>
              </w:rPr>
              <w:t>4</w:t>
            </w:r>
          </w:p>
        </w:tc>
        <w:tc>
          <w:tcPr>
            <w:tcW w:w="945" w:type="dxa"/>
            <w:vAlign w:val="center"/>
          </w:tcPr>
          <w:p w14:paraId="53B07A3F">
            <w:pPr>
              <w:jc w:val="center"/>
              <w:rPr>
                <w:rFonts w:ascii="宋体" w:hAnsi="宋体" w:cs="宋体"/>
                <w:color w:val="auto"/>
              </w:rPr>
            </w:pPr>
          </w:p>
        </w:tc>
        <w:tc>
          <w:tcPr>
            <w:tcW w:w="2730" w:type="dxa"/>
            <w:vAlign w:val="center"/>
          </w:tcPr>
          <w:p w14:paraId="761419DB">
            <w:pPr>
              <w:jc w:val="center"/>
              <w:rPr>
                <w:rFonts w:ascii="宋体" w:hAnsi="宋体" w:cs="宋体"/>
                <w:color w:val="auto"/>
              </w:rPr>
            </w:pPr>
          </w:p>
        </w:tc>
        <w:tc>
          <w:tcPr>
            <w:tcW w:w="945" w:type="dxa"/>
            <w:vAlign w:val="center"/>
          </w:tcPr>
          <w:p w14:paraId="227937A4">
            <w:pPr>
              <w:jc w:val="center"/>
              <w:rPr>
                <w:rFonts w:ascii="宋体" w:hAnsi="宋体" w:cs="宋体"/>
                <w:color w:val="auto"/>
              </w:rPr>
            </w:pPr>
          </w:p>
        </w:tc>
        <w:tc>
          <w:tcPr>
            <w:tcW w:w="3054" w:type="dxa"/>
            <w:vAlign w:val="center"/>
          </w:tcPr>
          <w:p w14:paraId="3C834D66">
            <w:pPr>
              <w:jc w:val="center"/>
              <w:rPr>
                <w:rFonts w:ascii="宋体" w:hAnsi="宋体" w:cs="宋体"/>
                <w:color w:val="auto"/>
              </w:rPr>
            </w:pPr>
          </w:p>
        </w:tc>
      </w:tr>
      <w:tr w14:paraId="497CB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65E62B8D">
            <w:pPr>
              <w:jc w:val="center"/>
              <w:rPr>
                <w:rFonts w:ascii="宋体" w:hAnsi="宋体" w:cs="宋体"/>
                <w:color w:val="auto"/>
              </w:rPr>
            </w:pPr>
            <w:r>
              <w:rPr>
                <w:rFonts w:hint="eastAsia" w:ascii="宋体" w:hAnsi="宋体" w:cs="宋体"/>
                <w:color w:val="auto"/>
              </w:rPr>
              <w:t>5</w:t>
            </w:r>
          </w:p>
        </w:tc>
        <w:tc>
          <w:tcPr>
            <w:tcW w:w="945" w:type="dxa"/>
            <w:vAlign w:val="center"/>
          </w:tcPr>
          <w:p w14:paraId="3295714E">
            <w:pPr>
              <w:jc w:val="center"/>
              <w:rPr>
                <w:rFonts w:ascii="宋体" w:hAnsi="宋体" w:cs="宋体"/>
                <w:color w:val="auto"/>
              </w:rPr>
            </w:pPr>
          </w:p>
        </w:tc>
        <w:tc>
          <w:tcPr>
            <w:tcW w:w="2730" w:type="dxa"/>
            <w:vAlign w:val="center"/>
          </w:tcPr>
          <w:p w14:paraId="4EF42C0D">
            <w:pPr>
              <w:jc w:val="center"/>
              <w:rPr>
                <w:rFonts w:ascii="宋体" w:hAnsi="宋体" w:cs="宋体"/>
                <w:color w:val="auto"/>
              </w:rPr>
            </w:pPr>
          </w:p>
        </w:tc>
        <w:tc>
          <w:tcPr>
            <w:tcW w:w="945" w:type="dxa"/>
            <w:vAlign w:val="center"/>
          </w:tcPr>
          <w:p w14:paraId="7AA6A216">
            <w:pPr>
              <w:jc w:val="center"/>
              <w:rPr>
                <w:rFonts w:ascii="宋体" w:hAnsi="宋体" w:cs="宋体"/>
                <w:color w:val="auto"/>
              </w:rPr>
            </w:pPr>
          </w:p>
        </w:tc>
        <w:tc>
          <w:tcPr>
            <w:tcW w:w="3054" w:type="dxa"/>
            <w:vAlign w:val="center"/>
          </w:tcPr>
          <w:p w14:paraId="1BED1D31">
            <w:pPr>
              <w:jc w:val="center"/>
              <w:rPr>
                <w:rFonts w:ascii="宋体" w:hAnsi="宋体" w:cs="宋体"/>
                <w:color w:val="auto"/>
              </w:rPr>
            </w:pPr>
          </w:p>
        </w:tc>
      </w:tr>
      <w:tr w14:paraId="0FD54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4023E229">
            <w:pPr>
              <w:jc w:val="center"/>
              <w:rPr>
                <w:rFonts w:ascii="宋体" w:hAnsi="宋体" w:cs="宋体"/>
                <w:color w:val="auto"/>
              </w:rPr>
            </w:pPr>
            <w:r>
              <w:rPr>
                <w:rFonts w:hint="eastAsia" w:ascii="宋体" w:hAnsi="宋体" w:cs="宋体"/>
                <w:color w:val="auto"/>
              </w:rPr>
              <w:t>6</w:t>
            </w:r>
          </w:p>
        </w:tc>
        <w:tc>
          <w:tcPr>
            <w:tcW w:w="945" w:type="dxa"/>
            <w:vAlign w:val="center"/>
          </w:tcPr>
          <w:p w14:paraId="0B86E1FE">
            <w:pPr>
              <w:jc w:val="center"/>
              <w:rPr>
                <w:rFonts w:ascii="宋体" w:hAnsi="宋体" w:cs="宋体"/>
                <w:color w:val="auto"/>
              </w:rPr>
            </w:pPr>
          </w:p>
        </w:tc>
        <w:tc>
          <w:tcPr>
            <w:tcW w:w="2730" w:type="dxa"/>
            <w:vAlign w:val="center"/>
          </w:tcPr>
          <w:p w14:paraId="30103D4D">
            <w:pPr>
              <w:jc w:val="center"/>
              <w:rPr>
                <w:rFonts w:ascii="宋体" w:hAnsi="宋体" w:cs="宋体"/>
                <w:color w:val="auto"/>
              </w:rPr>
            </w:pPr>
          </w:p>
        </w:tc>
        <w:tc>
          <w:tcPr>
            <w:tcW w:w="945" w:type="dxa"/>
            <w:vAlign w:val="center"/>
          </w:tcPr>
          <w:p w14:paraId="51E86B8D">
            <w:pPr>
              <w:jc w:val="center"/>
              <w:rPr>
                <w:rFonts w:ascii="宋体" w:hAnsi="宋体" w:cs="宋体"/>
                <w:color w:val="auto"/>
              </w:rPr>
            </w:pPr>
          </w:p>
        </w:tc>
        <w:tc>
          <w:tcPr>
            <w:tcW w:w="3054" w:type="dxa"/>
            <w:vAlign w:val="center"/>
          </w:tcPr>
          <w:p w14:paraId="49745BBC">
            <w:pPr>
              <w:jc w:val="center"/>
              <w:rPr>
                <w:rFonts w:ascii="宋体" w:hAnsi="宋体" w:cs="宋体"/>
                <w:color w:val="auto"/>
              </w:rPr>
            </w:pPr>
          </w:p>
        </w:tc>
      </w:tr>
      <w:tr w14:paraId="1875C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6C171741">
            <w:pPr>
              <w:jc w:val="center"/>
              <w:rPr>
                <w:rFonts w:ascii="宋体" w:hAnsi="宋体" w:cs="宋体"/>
                <w:color w:val="auto"/>
              </w:rPr>
            </w:pPr>
            <w:r>
              <w:rPr>
                <w:rFonts w:hint="eastAsia" w:ascii="宋体" w:hAnsi="宋体" w:cs="宋体"/>
                <w:color w:val="auto"/>
              </w:rPr>
              <w:t>7</w:t>
            </w:r>
          </w:p>
        </w:tc>
        <w:tc>
          <w:tcPr>
            <w:tcW w:w="945" w:type="dxa"/>
            <w:vAlign w:val="center"/>
          </w:tcPr>
          <w:p w14:paraId="135229C4">
            <w:pPr>
              <w:jc w:val="center"/>
              <w:rPr>
                <w:rFonts w:ascii="宋体" w:hAnsi="宋体" w:cs="宋体"/>
                <w:color w:val="auto"/>
              </w:rPr>
            </w:pPr>
          </w:p>
        </w:tc>
        <w:tc>
          <w:tcPr>
            <w:tcW w:w="2730" w:type="dxa"/>
            <w:vAlign w:val="center"/>
          </w:tcPr>
          <w:p w14:paraId="400F76BE">
            <w:pPr>
              <w:jc w:val="center"/>
              <w:rPr>
                <w:rFonts w:ascii="宋体" w:hAnsi="宋体" w:cs="宋体"/>
                <w:color w:val="auto"/>
              </w:rPr>
            </w:pPr>
          </w:p>
        </w:tc>
        <w:tc>
          <w:tcPr>
            <w:tcW w:w="945" w:type="dxa"/>
            <w:vAlign w:val="center"/>
          </w:tcPr>
          <w:p w14:paraId="4C9BB381">
            <w:pPr>
              <w:jc w:val="center"/>
              <w:rPr>
                <w:rFonts w:ascii="宋体" w:hAnsi="宋体" w:cs="宋体"/>
                <w:color w:val="auto"/>
              </w:rPr>
            </w:pPr>
          </w:p>
        </w:tc>
        <w:tc>
          <w:tcPr>
            <w:tcW w:w="3054" w:type="dxa"/>
            <w:vAlign w:val="center"/>
          </w:tcPr>
          <w:p w14:paraId="7F3D3865">
            <w:pPr>
              <w:jc w:val="center"/>
              <w:rPr>
                <w:rFonts w:ascii="宋体" w:hAnsi="宋体" w:cs="宋体"/>
                <w:color w:val="auto"/>
              </w:rPr>
            </w:pPr>
          </w:p>
        </w:tc>
      </w:tr>
      <w:tr w14:paraId="21960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43" w:type="dxa"/>
            <w:vAlign w:val="center"/>
          </w:tcPr>
          <w:p w14:paraId="49D9B11B">
            <w:pPr>
              <w:jc w:val="center"/>
              <w:rPr>
                <w:rFonts w:ascii="宋体" w:hAnsi="宋体" w:cs="宋体"/>
                <w:color w:val="auto"/>
              </w:rPr>
            </w:pPr>
            <w:r>
              <w:rPr>
                <w:rFonts w:hint="eastAsia" w:ascii="宋体" w:hAnsi="宋体" w:cs="宋体"/>
                <w:color w:val="auto"/>
              </w:rPr>
              <w:t>8</w:t>
            </w:r>
          </w:p>
        </w:tc>
        <w:tc>
          <w:tcPr>
            <w:tcW w:w="945" w:type="dxa"/>
            <w:vAlign w:val="center"/>
          </w:tcPr>
          <w:p w14:paraId="475C2761">
            <w:pPr>
              <w:jc w:val="center"/>
              <w:rPr>
                <w:rFonts w:ascii="宋体" w:hAnsi="宋体" w:cs="宋体"/>
                <w:color w:val="auto"/>
              </w:rPr>
            </w:pPr>
          </w:p>
        </w:tc>
        <w:tc>
          <w:tcPr>
            <w:tcW w:w="2730" w:type="dxa"/>
            <w:vAlign w:val="center"/>
          </w:tcPr>
          <w:p w14:paraId="519E2CEF">
            <w:pPr>
              <w:jc w:val="center"/>
              <w:rPr>
                <w:rFonts w:ascii="宋体" w:hAnsi="宋体" w:cs="宋体"/>
                <w:color w:val="auto"/>
              </w:rPr>
            </w:pPr>
          </w:p>
        </w:tc>
        <w:tc>
          <w:tcPr>
            <w:tcW w:w="945" w:type="dxa"/>
            <w:vAlign w:val="center"/>
          </w:tcPr>
          <w:p w14:paraId="5929AA0C">
            <w:pPr>
              <w:jc w:val="center"/>
              <w:rPr>
                <w:rFonts w:ascii="宋体" w:hAnsi="宋体" w:cs="宋体"/>
                <w:color w:val="auto"/>
              </w:rPr>
            </w:pPr>
          </w:p>
        </w:tc>
        <w:tc>
          <w:tcPr>
            <w:tcW w:w="3054" w:type="dxa"/>
            <w:vAlign w:val="center"/>
          </w:tcPr>
          <w:p w14:paraId="4A25FB3D">
            <w:pPr>
              <w:jc w:val="center"/>
              <w:rPr>
                <w:rFonts w:ascii="宋体" w:hAnsi="宋体" w:cs="宋体"/>
                <w:color w:val="auto"/>
              </w:rPr>
            </w:pPr>
          </w:p>
        </w:tc>
      </w:tr>
    </w:tbl>
    <w:p w14:paraId="644D7049">
      <w:pPr>
        <w:spacing w:line="360" w:lineRule="auto"/>
        <w:rPr>
          <w:rFonts w:ascii="宋体" w:hAnsi="宋体" w:cs="宋体"/>
          <w:color w:val="auto"/>
        </w:rPr>
      </w:pPr>
    </w:p>
    <w:p w14:paraId="2129B7C6">
      <w:pPr>
        <w:spacing w:line="360" w:lineRule="auto"/>
        <w:ind w:left="420" w:leftChars="200"/>
        <w:rPr>
          <w:rFonts w:ascii="宋体" w:hAnsi="宋体" w:cs="宋体"/>
          <w:color w:val="auto"/>
        </w:rPr>
      </w:pPr>
      <w:r>
        <w:rPr>
          <w:rFonts w:hint="eastAsia" w:ascii="宋体" w:hAnsi="宋体" w:cs="宋体"/>
          <w:color w:val="auto"/>
        </w:rPr>
        <w:t>说明：</w:t>
      </w:r>
    </w:p>
    <w:p w14:paraId="28C782D9">
      <w:pPr>
        <w:spacing w:line="360" w:lineRule="auto"/>
        <w:ind w:left="420" w:leftChars="200"/>
        <w:rPr>
          <w:rFonts w:ascii="宋体" w:hAnsi="宋体" w:cs="宋体"/>
          <w:color w:val="auto"/>
        </w:rPr>
      </w:pPr>
      <w:r>
        <w:rPr>
          <w:rFonts w:hint="eastAsia" w:ascii="宋体" w:hAnsi="宋体" w:cs="宋体"/>
          <w:color w:val="auto"/>
        </w:rPr>
        <w:t>1.商务条款均应根据响应文件对磋商文件的偏离情况相对应地填列。</w:t>
      </w:r>
    </w:p>
    <w:p w14:paraId="259A006C">
      <w:pPr>
        <w:spacing w:line="360" w:lineRule="auto"/>
        <w:ind w:left="420" w:leftChars="200"/>
        <w:rPr>
          <w:rFonts w:ascii="宋体" w:hAnsi="宋体" w:cs="宋体"/>
          <w:color w:val="auto"/>
        </w:rPr>
      </w:pPr>
      <w:r>
        <w:rPr>
          <w:rFonts w:hint="eastAsia" w:ascii="宋体" w:hAnsi="宋体" w:cs="宋体"/>
          <w:color w:val="auto"/>
        </w:rPr>
        <w:t>2.商务条款主要填列付款条件、交货时间、交货方式、售后服务、质量保证、违约赔偿等重要条款方面的偏离情况。</w:t>
      </w:r>
    </w:p>
    <w:p w14:paraId="437E97C8">
      <w:pPr>
        <w:spacing w:line="360" w:lineRule="auto"/>
        <w:ind w:left="420" w:leftChars="200"/>
        <w:rPr>
          <w:rFonts w:ascii="宋体" w:hAnsi="宋体" w:cs="宋体"/>
          <w:color w:val="auto"/>
        </w:rPr>
      </w:pPr>
      <w:r>
        <w:rPr>
          <w:rFonts w:hint="eastAsia" w:ascii="宋体" w:hAnsi="宋体" w:cs="宋体"/>
          <w:color w:val="auto"/>
        </w:rPr>
        <w:t xml:space="preserve">3.表内如果填列不全，可另外附页说明并按规定签字和加盖公章。             </w:t>
      </w:r>
    </w:p>
    <w:p w14:paraId="510139DB">
      <w:pPr>
        <w:spacing w:line="360" w:lineRule="auto"/>
        <w:ind w:left="420" w:leftChars="200"/>
        <w:rPr>
          <w:rFonts w:ascii="宋体" w:hAnsi="宋体" w:cs="宋体"/>
          <w:color w:val="auto"/>
        </w:rPr>
      </w:pPr>
      <w:r>
        <w:rPr>
          <w:rFonts w:hint="eastAsia" w:ascii="宋体" w:hAnsi="宋体" w:cs="宋体"/>
          <w:color w:val="auto"/>
        </w:rPr>
        <w:t>4.采购人要求供应商认真填写本表。</w:t>
      </w:r>
    </w:p>
    <w:p w14:paraId="7C905A08">
      <w:pPr>
        <w:spacing w:line="360" w:lineRule="auto"/>
        <w:ind w:left="420" w:leftChars="200"/>
        <w:rPr>
          <w:rFonts w:ascii="宋体" w:hAnsi="宋体" w:cs="宋体"/>
          <w:color w:val="auto"/>
        </w:rPr>
      </w:pPr>
      <w:r>
        <w:rPr>
          <w:rFonts w:hint="eastAsia" w:ascii="宋体" w:hAnsi="宋体" w:cs="宋体"/>
          <w:color w:val="auto"/>
        </w:rPr>
        <w:t>5.此表可根据需要自行拉长加宽。</w:t>
      </w:r>
    </w:p>
    <w:p w14:paraId="4476CB45">
      <w:pPr>
        <w:spacing w:line="360" w:lineRule="auto"/>
        <w:ind w:left="420" w:leftChars="200"/>
        <w:rPr>
          <w:rFonts w:ascii="宋体" w:hAnsi="宋体" w:cs="宋体"/>
          <w:color w:val="auto"/>
        </w:rPr>
      </w:pPr>
    </w:p>
    <w:p w14:paraId="21F6E762">
      <w:pPr>
        <w:autoSpaceDE w:val="0"/>
        <w:autoSpaceDN w:val="0"/>
        <w:spacing w:line="360" w:lineRule="auto"/>
        <w:ind w:right="890"/>
        <w:textAlignment w:val="bottom"/>
        <w:rPr>
          <w:rFonts w:ascii="宋体" w:hAnsi="宋体" w:cs="宋体"/>
          <w:color w:val="auto"/>
          <w:u w:val="single"/>
        </w:rPr>
      </w:pPr>
      <w:r>
        <w:rPr>
          <w:rFonts w:hint="eastAsia" w:ascii="宋体" w:hAnsi="宋体" w:cs="宋体"/>
          <w:color w:val="auto"/>
        </w:rPr>
        <w:t>供应商授权人签字：</w:t>
      </w:r>
    </w:p>
    <w:p w14:paraId="33961881">
      <w:pPr>
        <w:autoSpaceDE w:val="0"/>
        <w:autoSpaceDN w:val="0"/>
        <w:spacing w:line="360" w:lineRule="auto"/>
        <w:ind w:right="890"/>
        <w:textAlignment w:val="bottom"/>
        <w:rPr>
          <w:rFonts w:ascii="宋体" w:hAnsi="宋体" w:cs="宋体"/>
          <w:color w:val="auto"/>
        </w:rPr>
      </w:pPr>
      <w:r>
        <w:rPr>
          <w:rFonts w:hint="eastAsia" w:ascii="宋体" w:hAnsi="宋体" w:cs="宋体"/>
          <w:color w:val="auto"/>
        </w:rPr>
        <w:t xml:space="preserve">            日期：</w:t>
      </w:r>
    </w:p>
    <w:p w14:paraId="105DF3D9">
      <w:pPr>
        <w:widowControl/>
        <w:autoSpaceDE w:val="0"/>
        <w:autoSpaceDN w:val="0"/>
        <w:ind w:right="-12"/>
        <w:jc w:val="center"/>
        <w:textAlignment w:val="bottom"/>
        <w:rPr>
          <w:rFonts w:ascii="宋体" w:hAnsi="宋体" w:cs="宋体"/>
          <w:b/>
          <w:bCs/>
          <w:color w:val="auto"/>
          <w:sz w:val="32"/>
          <w:szCs w:val="32"/>
        </w:rPr>
      </w:pPr>
    </w:p>
    <w:p w14:paraId="3D11D953">
      <w:pPr>
        <w:autoSpaceDE w:val="0"/>
        <w:autoSpaceDN w:val="0"/>
        <w:ind w:right="893"/>
        <w:jc w:val="center"/>
        <w:textAlignment w:val="bottom"/>
        <w:rPr>
          <w:rFonts w:ascii="宋体" w:hAnsi="宋体" w:cs="宋体"/>
          <w:color w:val="auto"/>
          <w:sz w:val="32"/>
          <w:szCs w:val="32"/>
        </w:rPr>
      </w:pPr>
    </w:p>
    <w:p w14:paraId="2971D4AD">
      <w:pPr>
        <w:autoSpaceDE w:val="0"/>
        <w:autoSpaceDN w:val="0"/>
        <w:ind w:right="893"/>
        <w:jc w:val="center"/>
        <w:textAlignment w:val="bottom"/>
        <w:rPr>
          <w:rFonts w:ascii="宋体" w:hAnsi="宋体" w:cs="宋体"/>
          <w:color w:val="auto"/>
          <w:sz w:val="32"/>
          <w:szCs w:val="32"/>
        </w:rPr>
      </w:pPr>
    </w:p>
    <w:p w14:paraId="7A03CB2A">
      <w:pPr>
        <w:autoSpaceDE w:val="0"/>
        <w:autoSpaceDN w:val="0"/>
        <w:ind w:right="893"/>
        <w:jc w:val="center"/>
        <w:textAlignment w:val="bottom"/>
        <w:rPr>
          <w:rFonts w:ascii="宋体" w:hAnsi="宋体" w:cs="宋体"/>
          <w:b/>
          <w:bCs/>
          <w:color w:val="auto"/>
          <w:sz w:val="32"/>
          <w:szCs w:val="32"/>
        </w:rPr>
      </w:pPr>
      <w:r>
        <w:rPr>
          <w:rFonts w:hint="eastAsia" w:ascii="宋体" w:hAnsi="宋体" w:cs="宋体"/>
          <w:color w:val="auto"/>
          <w:sz w:val="32"/>
          <w:szCs w:val="32"/>
          <w:lang w:val="en-US" w:eastAsia="zh-CN"/>
        </w:rPr>
        <w:t>5</w:t>
      </w:r>
      <w:r>
        <w:rPr>
          <w:rFonts w:hint="eastAsia" w:ascii="宋体" w:hAnsi="宋体" w:cs="宋体"/>
          <w:color w:val="auto"/>
          <w:sz w:val="32"/>
          <w:szCs w:val="32"/>
        </w:rPr>
        <w:t xml:space="preserve">. </w:t>
      </w:r>
      <w:r>
        <w:rPr>
          <w:rFonts w:hint="eastAsia" w:ascii="宋体" w:hAnsi="宋体" w:cs="宋体"/>
          <w:b/>
          <w:bCs/>
          <w:color w:val="auto"/>
          <w:sz w:val="32"/>
          <w:szCs w:val="32"/>
        </w:rPr>
        <w:t>技术规格偏离表格式</w:t>
      </w:r>
    </w:p>
    <w:p w14:paraId="147834B2">
      <w:pPr>
        <w:autoSpaceDE w:val="0"/>
        <w:autoSpaceDN w:val="0"/>
        <w:spacing w:line="360" w:lineRule="auto"/>
        <w:ind w:right="890"/>
        <w:jc w:val="center"/>
        <w:textAlignment w:val="bottom"/>
        <w:rPr>
          <w:rFonts w:ascii="宋体" w:hAnsi="宋体" w:cs="宋体"/>
          <w:b/>
          <w:bCs/>
          <w:color w:val="auto"/>
          <w:sz w:val="32"/>
          <w:szCs w:val="32"/>
        </w:rPr>
      </w:pPr>
    </w:p>
    <w:p w14:paraId="3376F106">
      <w:pPr>
        <w:autoSpaceDE w:val="0"/>
        <w:autoSpaceDN w:val="0"/>
        <w:spacing w:line="360" w:lineRule="auto"/>
        <w:ind w:right="890"/>
        <w:textAlignment w:val="bottom"/>
        <w:rPr>
          <w:rFonts w:hint="eastAsia" w:ascii="宋体" w:hAnsi="宋体" w:cs="宋体"/>
          <w:color w:val="auto"/>
          <w:lang w:val="en-US" w:eastAsia="zh-CN"/>
        </w:rPr>
      </w:pPr>
      <w:r>
        <w:rPr>
          <w:rFonts w:hint="eastAsia" w:ascii="宋体" w:hAnsi="宋体" w:cs="宋体"/>
          <w:color w:val="auto"/>
        </w:rPr>
        <w:t xml:space="preserve">项目名称：   </w:t>
      </w:r>
      <w:r>
        <w:rPr>
          <w:rFonts w:hint="eastAsia" w:ascii="宋体" w:hAnsi="宋体" w:cs="宋体"/>
          <w:color w:val="auto"/>
          <w:lang w:val="en-US" w:eastAsia="zh-CN"/>
        </w:rPr>
        <w:t xml:space="preserve">                      </w:t>
      </w:r>
    </w:p>
    <w:p w14:paraId="43F6E6E2">
      <w:pPr>
        <w:autoSpaceDE w:val="0"/>
        <w:autoSpaceDN w:val="0"/>
        <w:spacing w:line="360" w:lineRule="auto"/>
        <w:ind w:right="890"/>
        <w:textAlignment w:val="bottom"/>
        <w:rPr>
          <w:rFonts w:ascii="宋体" w:hAnsi="宋体" w:cs="宋体"/>
          <w:color w:val="auto"/>
          <w:u w:val="single"/>
        </w:rPr>
      </w:pPr>
      <w:r>
        <w:rPr>
          <w:rFonts w:hint="eastAsia" w:ascii="宋体" w:hAnsi="宋体" w:cs="宋体"/>
          <w:color w:val="auto"/>
        </w:rPr>
        <w:t>项目编号：</w:t>
      </w:r>
    </w:p>
    <w:p w14:paraId="1134B31C">
      <w:pPr>
        <w:autoSpaceDE w:val="0"/>
        <w:autoSpaceDN w:val="0"/>
        <w:spacing w:line="360" w:lineRule="auto"/>
        <w:ind w:right="890"/>
        <w:textAlignment w:val="bottom"/>
        <w:rPr>
          <w:rFonts w:ascii="宋体" w:hAnsi="宋体" w:cs="宋体"/>
          <w:color w:val="auto"/>
          <w:u w:val="single"/>
        </w:rPr>
      </w:pPr>
      <w:r>
        <w:rPr>
          <w:rFonts w:hint="eastAsia" w:ascii="宋体" w:hAnsi="宋体" w:cs="宋体"/>
          <w:color w:val="auto"/>
        </w:rPr>
        <w:t>供应商名称(公章)：</w:t>
      </w:r>
    </w:p>
    <w:p w14:paraId="3A6E2FB8">
      <w:pPr>
        <w:autoSpaceDE w:val="0"/>
        <w:autoSpaceDN w:val="0"/>
        <w:ind w:right="893"/>
        <w:textAlignment w:val="bottom"/>
        <w:rPr>
          <w:rFonts w:ascii="宋体" w:hAnsi="宋体" w:cs="宋体"/>
          <w:color w:val="auto"/>
          <w:u w:val="single"/>
        </w:rPr>
      </w:pPr>
    </w:p>
    <w:p w14:paraId="14360FE6">
      <w:pPr>
        <w:autoSpaceDE w:val="0"/>
        <w:autoSpaceDN w:val="0"/>
        <w:ind w:right="893"/>
        <w:textAlignment w:val="bottom"/>
        <w:rPr>
          <w:rFonts w:ascii="宋体" w:hAnsi="宋体" w:cs="宋体"/>
          <w:color w:val="auto"/>
        </w:rPr>
      </w:pPr>
    </w:p>
    <w:tbl>
      <w:tblPr>
        <w:tblStyle w:val="15"/>
        <w:tblW w:w="945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155"/>
        <w:gridCol w:w="1995"/>
        <w:gridCol w:w="2416"/>
        <w:gridCol w:w="1576"/>
        <w:gridCol w:w="1577"/>
      </w:tblGrid>
      <w:tr w14:paraId="3F18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254CA819">
            <w:pPr>
              <w:jc w:val="center"/>
              <w:rPr>
                <w:rFonts w:ascii="宋体" w:hAnsi="宋体" w:cs="宋体"/>
                <w:color w:val="auto"/>
              </w:rPr>
            </w:pPr>
            <w:r>
              <w:rPr>
                <w:rFonts w:hint="eastAsia" w:ascii="宋体" w:hAnsi="宋体" w:cs="宋体"/>
                <w:color w:val="auto"/>
              </w:rPr>
              <w:t>序号</w:t>
            </w:r>
          </w:p>
        </w:tc>
        <w:tc>
          <w:tcPr>
            <w:tcW w:w="1155" w:type="dxa"/>
            <w:vAlign w:val="center"/>
          </w:tcPr>
          <w:p w14:paraId="459F52BA">
            <w:pPr>
              <w:jc w:val="center"/>
              <w:rPr>
                <w:rFonts w:ascii="宋体" w:hAnsi="宋体" w:cs="宋体"/>
                <w:color w:val="auto"/>
              </w:rPr>
            </w:pPr>
            <w:r>
              <w:rPr>
                <w:rFonts w:hint="eastAsia" w:ascii="宋体" w:hAnsi="宋体" w:cs="宋体"/>
                <w:color w:val="auto"/>
              </w:rPr>
              <w:t>品目号</w:t>
            </w:r>
          </w:p>
        </w:tc>
        <w:tc>
          <w:tcPr>
            <w:tcW w:w="1995" w:type="dxa"/>
            <w:vAlign w:val="center"/>
          </w:tcPr>
          <w:p w14:paraId="6C85CEAA">
            <w:pPr>
              <w:jc w:val="center"/>
              <w:rPr>
                <w:rFonts w:ascii="宋体" w:hAnsi="宋体" w:cs="宋体"/>
                <w:color w:val="auto"/>
              </w:rPr>
            </w:pPr>
            <w:r>
              <w:rPr>
                <w:rFonts w:hint="eastAsia" w:ascii="宋体" w:hAnsi="宋体" w:cs="宋体"/>
                <w:color w:val="auto"/>
              </w:rPr>
              <w:t>采购规格</w:t>
            </w:r>
          </w:p>
        </w:tc>
        <w:tc>
          <w:tcPr>
            <w:tcW w:w="2416" w:type="dxa"/>
            <w:vAlign w:val="center"/>
          </w:tcPr>
          <w:p w14:paraId="34E4C5D7">
            <w:pPr>
              <w:jc w:val="center"/>
              <w:rPr>
                <w:rFonts w:ascii="宋体" w:hAnsi="宋体" w:cs="宋体"/>
                <w:color w:val="auto"/>
              </w:rPr>
            </w:pPr>
            <w:r>
              <w:rPr>
                <w:rFonts w:hint="eastAsia" w:ascii="宋体" w:hAnsi="宋体" w:cs="宋体"/>
                <w:color w:val="auto"/>
              </w:rPr>
              <w:t>供货规格</w:t>
            </w:r>
          </w:p>
        </w:tc>
        <w:tc>
          <w:tcPr>
            <w:tcW w:w="1576" w:type="dxa"/>
            <w:vAlign w:val="center"/>
          </w:tcPr>
          <w:p w14:paraId="2F76AF16">
            <w:pPr>
              <w:jc w:val="center"/>
              <w:rPr>
                <w:rFonts w:ascii="宋体" w:hAnsi="宋体" w:cs="宋体"/>
                <w:color w:val="auto"/>
              </w:rPr>
            </w:pPr>
            <w:r>
              <w:rPr>
                <w:rFonts w:hint="eastAsia" w:ascii="宋体" w:hAnsi="宋体" w:cs="宋体"/>
                <w:color w:val="auto"/>
              </w:rPr>
              <w:t>偏离</w:t>
            </w:r>
          </w:p>
        </w:tc>
        <w:tc>
          <w:tcPr>
            <w:tcW w:w="1577" w:type="dxa"/>
            <w:vAlign w:val="center"/>
          </w:tcPr>
          <w:p w14:paraId="0B117DA9">
            <w:pPr>
              <w:jc w:val="center"/>
              <w:rPr>
                <w:rFonts w:ascii="宋体" w:hAnsi="宋体" w:cs="宋体"/>
                <w:color w:val="auto"/>
              </w:rPr>
            </w:pPr>
            <w:r>
              <w:rPr>
                <w:rFonts w:hint="eastAsia" w:ascii="宋体" w:hAnsi="宋体" w:cs="宋体"/>
                <w:color w:val="auto"/>
              </w:rPr>
              <w:t>偏离说明</w:t>
            </w:r>
          </w:p>
        </w:tc>
      </w:tr>
      <w:tr w14:paraId="5E21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155847C7">
            <w:pPr>
              <w:jc w:val="center"/>
              <w:rPr>
                <w:rFonts w:ascii="宋体" w:hAnsi="宋体" w:cs="宋体"/>
                <w:color w:val="auto"/>
              </w:rPr>
            </w:pPr>
          </w:p>
        </w:tc>
        <w:tc>
          <w:tcPr>
            <w:tcW w:w="1155" w:type="dxa"/>
            <w:vAlign w:val="center"/>
          </w:tcPr>
          <w:p w14:paraId="7CA459E9">
            <w:pPr>
              <w:jc w:val="center"/>
              <w:rPr>
                <w:rFonts w:ascii="宋体" w:hAnsi="宋体" w:cs="宋体"/>
                <w:color w:val="auto"/>
              </w:rPr>
            </w:pPr>
          </w:p>
        </w:tc>
        <w:tc>
          <w:tcPr>
            <w:tcW w:w="1995" w:type="dxa"/>
            <w:vAlign w:val="center"/>
          </w:tcPr>
          <w:p w14:paraId="1088671B">
            <w:pPr>
              <w:jc w:val="center"/>
              <w:rPr>
                <w:rFonts w:ascii="宋体" w:hAnsi="宋体" w:cs="宋体"/>
                <w:color w:val="auto"/>
              </w:rPr>
            </w:pPr>
          </w:p>
        </w:tc>
        <w:tc>
          <w:tcPr>
            <w:tcW w:w="2416" w:type="dxa"/>
            <w:vAlign w:val="center"/>
          </w:tcPr>
          <w:p w14:paraId="1031BB1C">
            <w:pPr>
              <w:jc w:val="center"/>
              <w:rPr>
                <w:rFonts w:ascii="宋体" w:hAnsi="宋体" w:cs="宋体"/>
                <w:color w:val="auto"/>
              </w:rPr>
            </w:pPr>
          </w:p>
        </w:tc>
        <w:tc>
          <w:tcPr>
            <w:tcW w:w="1576" w:type="dxa"/>
            <w:vAlign w:val="center"/>
          </w:tcPr>
          <w:p w14:paraId="606F3E83">
            <w:pPr>
              <w:jc w:val="center"/>
              <w:rPr>
                <w:rFonts w:ascii="宋体" w:hAnsi="宋体" w:cs="宋体"/>
                <w:color w:val="auto"/>
              </w:rPr>
            </w:pPr>
          </w:p>
        </w:tc>
        <w:tc>
          <w:tcPr>
            <w:tcW w:w="1577" w:type="dxa"/>
            <w:vAlign w:val="center"/>
          </w:tcPr>
          <w:p w14:paraId="0D1139BB">
            <w:pPr>
              <w:jc w:val="center"/>
              <w:rPr>
                <w:rFonts w:ascii="宋体" w:hAnsi="宋体" w:cs="宋体"/>
                <w:color w:val="auto"/>
              </w:rPr>
            </w:pPr>
          </w:p>
        </w:tc>
      </w:tr>
      <w:tr w14:paraId="060C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24DCC074">
            <w:pPr>
              <w:jc w:val="center"/>
              <w:rPr>
                <w:rFonts w:ascii="宋体" w:hAnsi="宋体" w:cs="宋体"/>
                <w:color w:val="auto"/>
              </w:rPr>
            </w:pPr>
          </w:p>
        </w:tc>
        <w:tc>
          <w:tcPr>
            <w:tcW w:w="1155" w:type="dxa"/>
            <w:vAlign w:val="center"/>
          </w:tcPr>
          <w:p w14:paraId="300C96B3">
            <w:pPr>
              <w:jc w:val="center"/>
              <w:rPr>
                <w:rFonts w:ascii="宋体" w:hAnsi="宋体" w:cs="宋体"/>
                <w:color w:val="auto"/>
              </w:rPr>
            </w:pPr>
          </w:p>
        </w:tc>
        <w:tc>
          <w:tcPr>
            <w:tcW w:w="1995" w:type="dxa"/>
            <w:vAlign w:val="center"/>
          </w:tcPr>
          <w:p w14:paraId="2C17D937">
            <w:pPr>
              <w:jc w:val="center"/>
              <w:rPr>
                <w:rFonts w:ascii="宋体" w:hAnsi="宋体" w:cs="宋体"/>
                <w:color w:val="auto"/>
              </w:rPr>
            </w:pPr>
          </w:p>
        </w:tc>
        <w:tc>
          <w:tcPr>
            <w:tcW w:w="2416" w:type="dxa"/>
            <w:vAlign w:val="center"/>
          </w:tcPr>
          <w:p w14:paraId="0D9F093F">
            <w:pPr>
              <w:jc w:val="center"/>
              <w:rPr>
                <w:rFonts w:ascii="宋体" w:hAnsi="宋体" w:cs="宋体"/>
                <w:color w:val="auto"/>
              </w:rPr>
            </w:pPr>
          </w:p>
        </w:tc>
        <w:tc>
          <w:tcPr>
            <w:tcW w:w="1576" w:type="dxa"/>
            <w:vAlign w:val="center"/>
          </w:tcPr>
          <w:p w14:paraId="69BE352E">
            <w:pPr>
              <w:jc w:val="center"/>
              <w:rPr>
                <w:rFonts w:ascii="宋体" w:hAnsi="宋体" w:cs="宋体"/>
                <w:color w:val="auto"/>
              </w:rPr>
            </w:pPr>
          </w:p>
        </w:tc>
        <w:tc>
          <w:tcPr>
            <w:tcW w:w="1577" w:type="dxa"/>
            <w:vAlign w:val="center"/>
          </w:tcPr>
          <w:p w14:paraId="1A7E429E">
            <w:pPr>
              <w:jc w:val="center"/>
              <w:rPr>
                <w:rFonts w:ascii="宋体" w:hAnsi="宋体" w:cs="宋体"/>
                <w:color w:val="auto"/>
              </w:rPr>
            </w:pPr>
          </w:p>
        </w:tc>
      </w:tr>
      <w:tr w14:paraId="34F5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107BB74C">
            <w:pPr>
              <w:jc w:val="center"/>
              <w:rPr>
                <w:rFonts w:ascii="宋体" w:hAnsi="宋体" w:cs="宋体"/>
                <w:color w:val="auto"/>
              </w:rPr>
            </w:pPr>
          </w:p>
        </w:tc>
        <w:tc>
          <w:tcPr>
            <w:tcW w:w="1155" w:type="dxa"/>
            <w:vAlign w:val="center"/>
          </w:tcPr>
          <w:p w14:paraId="798DC921">
            <w:pPr>
              <w:jc w:val="center"/>
              <w:rPr>
                <w:rFonts w:ascii="宋体" w:hAnsi="宋体" w:cs="宋体"/>
                <w:color w:val="auto"/>
              </w:rPr>
            </w:pPr>
          </w:p>
        </w:tc>
        <w:tc>
          <w:tcPr>
            <w:tcW w:w="1995" w:type="dxa"/>
            <w:vAlign w:val="center"/>
          </w:tcPr>
          <w:p w14:paraId="55CE7893">
            <w:pPr>
              <w:jc w:val="center"/>
              <w:rPr>
                <w:rFonts w:ascii="宋体" w:hAnsi="宋体" w:cs="宋体"/>
                <w:color w:val="auto"/>
              </w:rPr>
            </w:pPr>
          </w:p>
        </w:tc>
        <w:tc>
          <w:tcPr>
            <w:tcW w:w="2416" w:type="dxa"/>
            <w:vAlign w:val="center"/>
          </w:tcPr>
          <w:p w14:paraId="2D4251EB">
            <w:pPr>
              <w:jc w:val="center"/>
              <w:rPr>
                <w:rFonts w:ascii="宋体" w:hAnsi="宋体" w:cs="宋体"/>
                <w:color w:val="auto"/>
              </w:rPr>
            </w:pPr>
          </w:p>
        </w:tc>
        <w:tc>
          <w:tcPr>
            <w:tcW w:w="1576" w:type="dxa"/>
            <w:vAlign w:val="center"/>
          </w:tcPr>
          <w:p w14:paraId="249D5614">
            <w:pPr>
              <w:jc w:val="center"/>
              <w:rPr>
                <w:rFonts w:ascii="宋体" w:hAnsi="宋体" w:cs="宋体"/>
                <w:color w:val="auto"/>
              </w:rPr>
            </w:pPr>
          </w:p>
        </w:tc>
        <w:tc>
          <w:tcPr>
            <w:tcW w:w="1577" w:type="dxa"/>
            <w:vAlign w:val="center"/>
          </w:tcPr>
          <w:p w14:paraId="26F0694B">
            <w:pPr>
              <w:jc w:val="center"/>
              <w:rPr>
                <w:rFonts w:ascii="宋体" w:hAnsi="宋体" w:cs="宋体"/>
                <w:color w:val="auto"/>
              </w:rPr>
            </w:pPr>
          </w:p>
        </w:tc>
      </w:tr>
      <w:tr w14:paraId="6373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5B225930">
            <w:pPr>
              <w:jc w:val="center"/>
              <w:rPr>
                <w:rFonts w:ascii="宋体" w:hAnsi="宋体" w:cs="宋体"/>
                <w:color w:val="auto"/>
              </w:rPr>
            </w:pPr>
          </w:p>
        </w:tc>
        <w:tc>
          <w:tcPr>
            <w:tcW w:w="1155" w:type="dxa"/>
            <w:vAlign w:val="center"/>
          </w:tcPr>
          <w:p w14:paraId="038AB627">
            <w:pPr>
              <w:jc w:val="center"/>
              <w:rPr>
                <w:rFonts w:ascii="宋体" w:hAnsi="宋体" w:cs="宋体"/>
                <w:color w:val="auto"/>
              </w:rPr>
            </w:pPr>
          </w:p>
        </w:tc>
        <w:tc>
          <w:tcPr>
            <w:tcW w:w="1995" w:type="dxa"/>
            <w:vAlign w:val="center"/>
          </w:tcPr>
          <w:p w14:paraId="4DCA2D42">
            <w:pPr>
              <w:jc w:val="center"/>
              <w:rPr>
                <w:rFonts w:ascii="宋体" w:hAnsi="宋体" w:cs="宋体"/>
                <w:color w:val="auto"/>
              </w:rPr>
            </w:pPr>
          </w:p>
        </w:tc>
        <w:tc>
          <w:tcPr>
            <w:tcW w:w="2416" w:type="dxa"/>
            <w:vAlign w:val="center"/>
          </w:tcPr>
          <w:p w14:paraId="58706437">
            <w:pPr>
              <w:jc w:val="center"/>
              <w:rPr>
                <w:rFonts w:ascii="宋体" w:hAnsi="宋体" w:cs="宋体"/>
                <w:color w:val="auto"/>
              </w:rPr>
            </w:pPr>
          </w:p>
        </w:tc>
        <w:tc>
          <w:tcPr>
            <w:tcW w:w="1576" w:type="dxa"/>
            <w:vAlign w:val="center"/>
          </w:tcPr>
          <w:p w14:paraId="4CBE88B0">
            <w:pPr>
              <w:jc w:val="center"/>
              <w:rPr>
                <w:rFonts w:ascii="宋体" w:hAnsi="宋体" w:cs="宋体"/>
                <w:color w:val="auto"/>
              </w:rPr>
            </w:pPr>
          </w:p>
        </w:tc>
        <w:tc>
          <w:tcPr>
            <w:tcW w:w="1577" w:type="dxa"/>
            <w:vAlign w:val="center"/>
          </w:tcPr>
          <w:p w14:paraId="760C7D78">
            <w:pPr>
              <w:jc w:val="center"/>
              <w:rPr>
                <w:rFonts w:ascii="宋体" w:hAnsi="宋体" w:cs="宋体"/>
                <w:color w:val="auto"/>
              </w:rPr>
            </w:pPr>
          </w:p>
        </w:tc>
      </w:tr>
      <w:tr w14:paraId="56A4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vAlign w:val="center"/>
          </w:tcPr>
          <w:p w14:paraId="1D51C4B6">
            <w:pPr>
              <w:jc w:val="center"/>
              <w:rPr>
                <w:rFonts w:ascii="宋体" w:hAnsi="宋体" w:cs="宋体"/>
                <w:color w:val="auto"/>
              </w:rPr>
            </w:pPr>
          </w:p>
        </w:tc>
        <w:tc>
          <w:tcPr>
            <w:tcW w:w="1155" w:type="dxa"/>
            <w:vAlign w:val="center"/>
          </w:tcPr>
          <w:p w14:paraId="723729A6">
            <w:pPr>
              <w:jc w:val="center"/>
              <w:rPr>
                <w:rFonts w:ascii="宋体" w:hAnsi="宋体" w:cs="宋体"/>
                <w:color w:val="auto"/>
              </w:rPr>
            </w:pPr>
          </w:p>
        </w:tc>
        <w:tc>
          <w:tcPr>
            <w:tcW w:w="1995" w:type="dxa"/>
            <w:vAlign w:val="center"/>
          </w:tcPr>
          <w:p w14:paraId="05CC7A30">
            <w:pPr>
              <w:jc w:val="center"/>
              <w:rPr>
                <w:rFonts w:ascii="宋体" w:hAnsi="宋体" w:cs="宋体"/>
                <w:color w:val="auto"/>
              </w:rPr>
            </w:pPr>
          </w:p>
        </w:tc>
        <w:tc>
          <w:tcPr>
            <w:tcW w:w="2416" w:type="dxa"/>
            <w:vAlign w:val="center"/>
          </w:tcPr>
          <w:p w14:paraId="6E5A130F">
            <w:pPr>
              <w:jc w:val="center"/>
              <w:rPr>
                <w:rFonts w:ascii="宋体" w:hAnsi="宋体" w:cs="宋体"/>
                <w:color w:val="auto"/>
              </w:rPr>
            </w:pPr>
          </w:p>
        </w:tc>
        <w:tc>
          <w:tcPr>
            <w:tcW w:w="1576" w:type="dxa"/>
            <w:vAlign w:val="center"/>
          </w:tcPr>
          <w:p w14:paraId="718F3D69">
            <w:pPr>
              <w:jc w:val="center"/>
              <w:rPr>
                <w:rFonts w:ascii="宋体" w:hAnsi="宋体" w:cs="宋体"/>
                <w:color w:val="auto"/>
              </w:rPr>
            </w:pPr>
          </w:p>
        </w:tc>
        <w:tc>
          <w:tcPr>
            <w:tcW w:w="1577" w:type="dxa"/>
            <w:vAlign w:val="center"/>
          </w:tcPr>
          <w:p w14:paraId="71E4178D">
            <w:pPr>
              <w:jc w:val="center"/>
              <w:rPr>
                <w:rFonts w:ascii="宋体" w:hAnsi="宋体" w:cs="宋体"/>
                <w:color w:val="auto"/>
              </w:rPr>
            </w:pPr>
          </w:p>
        </w:tc>
      </w:tr>
    </w:tbl>
    <w:p w14:paraId="73F1F16D">
      <w:pPr>
        <w:rPr>
          <w:rFonts w:ascii="宋体" w:hAnsi="宋体" w:cs="宋体"/>
          <w:color w:val="auto"/>
        </w:rPr>
      </w:pPr>
    </w:p>
    <w:p w14:paraId="47BCD047">
      <w:pPr>
        <w:rPr>
          <w:rFonts w:ascii="宋体" w:hAnsi="宋体" w:cs="宋体"/>
          <w:color w:val="auto"/>
        </w:rPr>
      </w:pPr>
    </w:p>
    <w:p w14:paraId="16FED9F5">
      <w:pPr>
        <w:spacing w:line="360" w:lineRule="auto"/>
        <w:rPr>
          <w:rFonts w:ascii="宋体" w:hAnsi="宋体" w:cs="宋体"/>
          <w:color w:val="auto"/>
        </w:rPr>
      </w:pPr>
      <w:r>
        <w:rPr>
          <w:rFonts w:hint="eastAsia" w:ascii="宋体" w:hAnsi="宋体" w:cs="宋体"/>
          <w:color w:val="auto"/>
        </w:rPr>
        <w:t>注：</w:t>
      </w:r>
    </w:p>
    <w:p w14:paraId="29DDD441">
      <w:pPr>
        <w:spacing w:line="360" w:lineRule="auto"/>
        <w:ind w:left="420" w:leftChars="200"/>
        <w:rPr>
          <w:rFonts w:ascii="宋体" w:hAnsi="宋体" w:cs="宋体"/>
          <w:color w:val="auto"/>
          <w:u w:val="single"/>
        </w:rPr>
      </w:pPr>
      <w:r>
        <w:rPr>
          <w:rFonts w:hint="eastAsia" w:ascii="宋体" w:hAnsi="宋体" w:cs="宋体"/>
          <w:color w:val="auto"/>
        </w:rPr>
        <w:t>技术上，响应文件与磋商文件有差异之处，均应统一汇总说明到“偏离表”中。供应商应对照磋商文件技术规格，逐条说明所提供货物和服务已对磋商文件的技术规格做出了实质性的响应，并申明与技术规格条文的偏差和例外。</w:t>
      </w:r>
    </w:p>
    <w:p w14:paraId="18F683CA">
      <w:pPr>
        <w:spacing w:line="360" w:lineRule="auto"/>
        <w:ind w:left="420" w:leftChars="200"/>
        <w:rPr>
          <w:rFonts w:ascii="宋体" w:hAnsi="宋体" w:cs="宋体"/>
          <w:color w:val="auto"/>
        </w:rPr>
      </w:pPr>
      <w:r>
        <w:rPr>
          <w:rFonts w:hint="eastAsia" w:ascii="宋体" w:hAnsi="宋体" w:cs="宋体"/>
          <w:color w:val="auto"/>
        </w:rPr>
        <w:t>响应文件中未对磋商文件另作偏离说明，或者说明中未涉及的内容，即视为供应商完全接受，一旦成交即成为双方签订的合同文件的组成部分，不得以任何理由另行提出附加条件。</w:t>
      </w:r>
    </w:p>
    <w:p w14:paraId="4D54B285">
      <w:pPr>
        <w:autoSpaceDE w:val="0"/>
        <w:autoSpaceDN w:val="0"/>
        <w:spacing w:line="360" w:lineRule="auto"/>
        <w:ind w:right="893"/>
        <w:textAlignment w:val="bottom"/>
        <w:rPr>
          <w:rFonts w:ascii="宋体" w:hAnsi="宋体" w:cs="宋体"/>
          <w:b/>
          <w:bCs/>
          <w:color w:val="auto"/>
          <w:sz w:val="30"/>
          <w:szCs w:val="30"/>
        </w:rPr>
      </w:pPr>
    </w:p>
    <w:p w14:paraId="31049986">
      <w:pPr>
        <w:autoSpaceDE w:val="0"/>
        <w:autoSpaceDN w:val="0"/>
        <w:spacing w:line="360" w:lineRule="auto"/>
        <w:ind w:right="890"/>
        <w:textAlignment w:val="bottom"/>
        <w:rPr>
          <w:rFonts w:ascii="宋体" w:hAnsi="宋体" w:cs="宋体"/>
          <w:color w:val="auto"/>
          <w:u w:val="single"/>
        </w:rPr>
      </w:pPr>
      <w:r>
        <w:rPr>
          <w:rFonts w:hint="eastAsia" w:ascii="宋体" w:hAnsi="宋体" w:cs="宋体"/>
          <w:color w:val="auto"/>
        </w:rPr>
        <w:t>供应商授权人签字：</w:t>
      </w:r>
    </w:p>
    <w:p w14:paraId="3FC292FD">
      <w:pPr>
        <w:autoSpaceDE w:val="0"/>
        <w:autoSpaceDN w:val="0"/>
        <w:spacing w:line="360" w:lineRule="auto"/>
        <w:ind w:right="890" w:firstLine="1260" w:firstLineChars="600"/>
        <w:textAlignment w:val="bottom"/>
        <w:rPr>
          <w:rFonts w:ascii="宋体" w:hAnsi="宋体" w:cs="宋体"/>
          <w:color w:val="auto"/>
        </w:rPr>
      </w:pPr>
      <w:r>
        <w:rPr>
          <w:rFonts w:hint="eastAsia" w:ascii="宋体" w:hAnsi="宋体" w:cs="宋体"/>
          <w:color w:val="auto"/>
        </w:rPr>
        <w:t>日期：</w:t>
      </w:r>
    </w:p>
    <w:p w14:paraId="7CE47E30">
      <w:pPr>
        <w:widowControl/>
        <w:autoSpaceDE w:val="0"/>
        <w:autoSpaceDN w:val="0"/>
        <w:spacing w:line="360" w:lineRule="auto"/>
        <w:ind w:right="-11"/>
        <w:textAlignment w:val="bottom"/>
        <w:rPr>
          <w:rFonts w:ascii="宋体" w:hAnsi="宋体" w:cs="宋体"/>
          <w:color w:val="auto"/>
          <w:u w:val="single"/>
        </w:rPr>
      </w:pPr>
      <w:r>
        <w:rPr>
          <w:rFonts w:hint="eastAsia" w:ascii="宋体" w:hAnsi="宋体" w:cs="宋体"/>
          <w:color w:val="auto"/>
        </w:rPr>
        <w:br w:type="page"/>
      </w:r>
    </w:p>
    <w:p w14:paraId="2D4BC54C">
      <w:pPr>
        <w:widowControl/>
        <w:autoSpaceDE w:val="0"/>
        <w:autoSpaceDN w:val="0"/>
        <w:ind w:right="-12"/>
        <w:jc w:val="center"/>
        <w:textAlignment w:val="bottom"/>
        <w:rPr>
          <w:rFonts w:ascii="Arial" w:hAnsi="Arial" w:cs="Arial"/>
          <w:b/>
          <w:color w:val="auto"/>
          <w:sz w:val="32"/>
          <w:szCs w:val="32"/>
        </w:rPr>
      </w:pPr>
      <w:r>
        <w:rPr>
          <w:rFonts w:hint="eastAsia" w:ascii="Arial" w:hAnsi="Arial" w:cs="Arial"/>
          <w:b/>
          <w:color w:val="auto"/>
          <w:sz w:val="32"/>
          <w:szCs w:val="32"/>
          <w:lang w:val="en-US" w:eastAsia="zh-CN"/>
        </w:rPr>
        <w:t>6.</w:t>
      </w:r>
      <w:r>
        <w:rPr>
          <w:rFonts w:hint="eastAsia" w:ascii="Arial" w:hAnsi="Arial" w:cs="Arial"/>
          <w:b/>
          <w:color w:val="auto"/>
          <w:sz w:val="32"/>
          <w:szCs w:val="32"/>
        </w:rPr>
        <w:t>单位负责人授权书</w:t>
      </w:r>
      <w:r>
        <w:rPr>
          <w:rFonts w:ascii="Arial" w:hAnsi="Arial" w:cs="Arial"/>
          <w:b/>
          <w:bCs/>
          <w:color w:val="auto"/>
          <w:sz w:val="32"/>
          <w:szCs w:val="32"/>
        </w:rPr>
        <w:t>格式</w:t>
      </w:r>
    </w:p>
    <w:p w14:paraId="5D1E2FB0">
      <w:pPr>
        <w:widowControl/>
        <w:autoSpaceDE w:val="0"/>
        <w:autoSpaceDN w:val="0"/>
        <w:ind w:right="-12"/>
        <w:textAlignment w:val="bottom"/>
        <w:rPr>
          <w:rFonts w:ascii="Arial" w:hAnsi="Arial" w:cs="Arial"/>
          <w:b/>
          <w:color w:val="auto"/>
          <w:sz w:val="36"/>
        </w:rPr>
      </w:pPr>
    </w:p>
    <w:p w14:paraId="5D33F68A">
      <w:pPr>
        <w:widowControl/>
        <w:autoSpaceDE w:val="0"/>
        <w:autoSpaceDN w:val="0"/>
        <w:ind w:right="-12"/>
        <w:textAlignment w:val="bottom"/>
        <w:rPr>
          <w:rFonts w:ascii="Arial" w:hAnsi="Arial" w:cs="Arial"/>
          <w:b/>
          <w:color w:val="auto"/>
          <w:sz w:val="36"/>
        </w:rPr>
      </w:pPr>
    </w:p>
    <w:p w14:paraId="33B0E7CC">
      <w:pPr>
        <w:widowControl/>
        <w:autoSpaceDE w:val="0"/>
        <w:autoSpaceDN w:val="0"/>
        <w:spacing w:line="360" w:lineRule="auto"/>
        <w:ind w:left="210" w:leftChars="100" w:right="-12" w:firstLine="420" w:firstLineChars="200"/>
        <w:textAlignment w:val="bottom"/>
        <w:rPr>
          <w:rFonts w:ascii="Arial" w:hAnsi="Arial" w:cs="Arial"/>
          <w:color w:val="auto"/>
        </w:rPr>
      </w:pPr>
      <w:r>
        <w:rPr>
          <w:rFonts w:ascii="Arial" w:hAnsi="Arial" w:cs="Arial"/>
          <w:color w:val="auto"/>
        </w:rPr>
        <w:t>本授权书声明：注册于的公司的在下面签字的（</w:t>
      </w:r>
      <w:r>
        <w:rPr>
          <w:rFonts w:hint="eastAsia" w:ascii="Arial" w:hAnsi="Arial" w:cs="Arial"/>
          <w:color w:val="auto"/>
        </w:rPr>
        <w:t>单位负责人</w:t>
      </w:r>
      <w:r>
        <w:rPr>
          <w:rFonts w:ascii="Arial" w:hAnsi="Arial" w:cs="Arial"/>
          <w:color w:val="auto"/>
        </w:rPr>
        <w:t>姓名、职务）代表本公司授权（单位）的在下面签字的（被授权人的姓名、职务）为本公司的合法代理人，就项目的合同</w:t>
      </w:r>
      <w:r>
        <w:rPr>
          <w:rFonts w:hint="eastAsia" w:ascii="Arial" w:hAnsi="Arial" w:cs="Arial"/>
          <w:color w:val="auto"/>
        </w:rPr>
        <w:t>采购</w:t>
      </w:r>
      <w:r>
        <w:rPr>
          <w:rFonts w:ascii="Arial" w:hAnsi="Arial" w:cs="Arial"/>
          <w:color w:val="auto"/>
        </w:rPr>
        <w:t>及合同的执行、完成，以本公司名义处理一切与之有关的事务。</w:t>
      </w:r>
    </w:p>
    <w:p w14:paraId="5B6AEBC3">
      <w:pPr>
        <w:widowControl/>
        <w:autoSpaceDE w:val="0"/>
        <w:autoSpaceDN w:val="0"/>
        <w:spacing w:line="360" w:lineRule="auto"/>
        <w:ind w:right="-12" w:firstLine="420" w:firstLineChars="200"/>
        <w:textAlignment w:val="bottom"/>
        <w:rPr>
          <w:rFonts w:ascii="Arial" w:hAnsi="Arial" w:cs="Arial"/>
          <w:color w:val="auto"/>
        </w:rPr>
      </w:pPr>
      <w:r>
        <w:rPr>
          <w:rFonts w:ascii="Arial" w:hAnsi="Arial" w:cs="Arial"/>
          <w:color w:val="auto"/>
        </w:rPr>
        <w:t xml:space="preserve">本授权书于年月日签字生效，特此声明。  </w:t>
      </w:r>
    </w:p>
    <w:p w14:paraId="0BA4A98B">
      <w:pPr>
        <w:widowControl/>
        <w:autoSpaceDE w:val="0"/>
        <w:autoSpaceDN w:val="0"/>
        <w:spacing w:line="360" w:lineRule="auto"/>
        <w:ind w:right="893"/>
        <w:textAlignment w:val="bottom"/>
        <w:rPr>
          <w:rFonts w:ascii="Arial" w:hAnsi="Arial" w:cs="Arial"/>
          <w:color w:val="auto"/>
        </w:rPr>
      </w:pPr>
    </w:p>
    <w:p w14:paraId="3E9EE664">
      <w:pPr>
        <w:widowControl/>
        <w:autoSpaceDE w:val="0"/>
        <w:autoSpaceDN w:val="0"/>
        <w:ind w:right="893"/>
        <w:textAlignment w:val="bottom"/>
        <w:rPr>
          <w:rFonts w:ascii="Arial" w:hAnsi="Arial" w:cs="Arial"/>
          <w:color w:val="auto"/>
        </w:rPr>
      </w:pPr>
    </w:p>
    <w:p w14:paraId="5D6859F6">
      <w:pPr>
        <w:widowControl/>
        <w:autoSpaceDE w:val="0"/>
        <w:autoSpaceDN w:val="0"/>
        <w:ind w:right="893"/>
        <w:textAlignment w:val="bottom"/>
        <w:rPr>
          <w:rFonts w:ascii="Arial" w:hAnsi="Arial" w:cs="Arial"/>
          <w:color w:val="auto"/>
        </w:rPr>
      </w:pPr>
    </w:p>
    <w:p w14:paraId="5D7763C6">
      <w:pPr>
        <w:widowControl/>
        <w:autoSpaceDE w:val="0"/>
        <w:autoSpaceDN w:val="0"/>
        <w:ind w:right="893"/>
        <w:textAlignment w:val="bottom"/>
        <w:rPr>
          <w:rFonts w:ascii="Arial" w:hAnsi="Arial" w:cs="Arial"/>
          <w:color w:val="auto"/>
        </w:rPr>
      </w:pPr>
    </w:p>
    <w:p w14:paraId="3A19E02E">
      <w:pPr>
        <w:widowControl/>
        <w:autoSpaceDE w:val="0"/>
        <w:autoSpaceDN w:val="0"/>
        <w:ind w:right="893"/>
        <w:textAlignment w:val="bottom"/>
        <w:rPr>
          <w:rFonts w:ascii="Arial" w:hAnsi="Arial" w:cs="Arial"/>
          <w:color w:val="auto"/>
        </w:rPr>
      </w:pPr>
    </w:p>
    <w:p w14:paraId="4F6AC1BE">
      <w:pPr>
        <w:widowControl/>
        <w:autoSpaceDE w:val="0"/>
        <w:autoSpaceDN w:val="0"/>
        <w:ind w:right="893"/>
        <w:textAlignment w:val="bottom"/>
        <w:rPr>
          <w:rFonts w:ascii="Arial" w:hAnsi="Arial" w:cs="Arial"/>
          <w:color w:val="auto"/>
        </w:rPr>
      </w:pPr>
    </w:p>
    <w:p w14:paraId="5B2CC413">
      <w:pPr>
        <w:widowControl/>
        <w:wordWrap w:val="0"/>
        <w:autoSpaceDE w:val="0"/>
        <w:autoSpaceDN w:val="0"/>
        <w:ind w:right="893"/>
        <w:jc w:val="right"/>
        <w:textAlignment w:val="bottom"/>
        <w:rPr>
          <w:rFonts w:ascii="Arial" w:hAnsi="Arial" w:cs="Arial"/>
          <w:color w:val="auto"/>
        </w:rPr>
      </w:pPr>
    </w:p>
    <w:p w14:paraId="655DC232">
      <w:pPr>
        <w:widowControl/>
        <w:autoSpaceDE w:val="0"/>
        <w:autoSpaceDN w:val="0"/>
        <w:spacing w:line="360" w:lineRule="auto"/>
        <w:ind w:right="1106"/>
        <w:textAlignment w:val="bottom"/>
        <w:rPr>
          <w:rFonts w:ascii="Arial" w:hAnsi="Arial" w:cs="Arial"/>
          <w:color w:val="auto"/>
          <w:u w:val="single"/>
        </w:rPr>
      </w:pPr>
      <w:r>
        <w:rPr>
          <w:rFonts w:hint="eastAsia" w:ascii="Arial" w:hAnsi="Arial" w:cs="Arial"/>
          <w:color w:val="auto"/>
        </w:rPr>
        <w:t>单位负责人</w:t>
      </w:r>
      <w:r>
        <w:rPr>
          <w:rFonts w:ascii="Arial" w:hAnsi="Arial" w:cs="Arial"/>
          <w:color w:val="auto"/>
        </w:rPr>
        <w:t>签字盖章：</w:t>
      </w:r>
    </w:p>
    <w:p w14:paraId="4798A3EF">
      <w:pPr>
        <w:widowControl/>
        <w:autoSpaceDE w:val="0"/>
        <w:autoSpaceDN w:val="0"/>
        <w:spacing w:line="360" w:lineRule="auto"/>
        <w:ind w:right="1106"/>
        <w:textAlignment w:val="bottom"/>
        <w:rPr>
          <w:rFonts w:ascii="Arial" w:hAnsi="Arial" w:cs="Arial"/>
          <w:color w:val="auto"/>
          <w:u w:val="single"/>
        </w:rPr>
      </w:pPr>
      <w:r>
        <w:rPr>
          <w:rFonts w:ascii="Arial" w:hAnsi="Arial" w:cs="Arial"/>
          <w:color w:val="auto"/>
        </w:rPr>
        <w:t>被授权人签字：</w:t>
      </w:r>
    </w:p>
    <w:p w14:paraId="386526D5">
      <w:pPr>
        <w:widowControl/>
        <w:autoSpaceDE w:val="0"/>
        <w:autoSpaceDN w:val="0"/>
        <w:spacing w:line="360" w:lineRule="auto"/>
        <w:ind w:right="1106"/>
        <w:textAlignment w:val="bottom"/>
        <w:rPr>
          <w:rFonts w:ascii="宋体" w:hAnsi="宋体" w:cs="宋体"/>
          <w:color w:val="auto"/>
          <w:u w:val="single"/>
        </w:rPr>
      </w:pPr>
      <w:r>
        <w:rPr>
          <w:rFonts w:ascii="Arial" w:hAnsi="Arial" w:cs="Arial"/>
          <w:color w:val="auto"/>
        </w:rPr>
        <w:br w:type="page"/>
      </w:r>
    </w:p>
    <w:p w14:paraId="04BB9607">
      <w:pPr>
        <w:widowControl/>
        <w:autoSpaceDE w:val="0"/>
        <w:autoSpaceDN w:val="0"/>
        <w:spacing w:line="360" w:lineRule="auto"/>
        <w:ind w:right="-11"/>
        <w:jc w:val="center"/>
        <w:textAlignment w:val="bottom"/>
        <w:rPr>
          <w:rFonts w:ascii="宋体" w:hAnsi="宋体" w:cs="宋体"/>
          <w:b/>
          <w:bCs/>
          <w:color w:val="auto"/>
          <w:sz w:val="32"/>
          <w:szCs w:val="32"/>
        </w:rPr>
      </w:pPr>
      <w:r>
        <w:rPr>
          <w:rFonts w:hint="eastAsia" w:ascii="宋体" w:hAnsi="宋体" w:cs="宋体"/>
          <w:color w:val="auto"/>
          <w:sz w:val="32"/>
          <w:szCs w:val="32"/>
          <w:lang w:val="en-US" w:eastAsia="zh-CN"/>
        </w:rPr>
        <w:t>7</w:t>
      </w:r>
      <w:r>
        <w:rPr>
          <w:rFonts w:hint="eastAsia" w:ascii="宋体" w:hAnsi="宋体" w:cs="宋体"/>
          <w:color w:val="auto"/>
          <w:sz w:val="32"/>
          <w:szCs w:val="32"/>
        </w:rPr>
        <w:t xml:space="preserve">. </w:t>
      </w:r>
      <w:r>
        <w:rPr>
          <w:rFonts w:hint="eastAsia" w:ascii="宋体" w:hAnsi="宋体" w:cs="宋体"/>
          <w:b/>
          <w:bCs/>
          <w:color w:val="auto"/>
          <w:sz w:val="32"/>
          <w:szCs w:val="32"/>
        </w:rPr>
        <w:t>售后服务措施及承诺格式</w:t>
      </w:r>
    </w:p>
    <w:p w14:paraId="76317E38">
      <w:pPr>
        <w:spacing w:line="360" w:lineRule="auto"/>
        <w:ind w:left="410" w:hanging="409" w:hangingChars="128"/>
        <w:rPr>
          <w:rFonts w:ascii="宋体" w:hAnsi="宋体" w:cs="宋体"/>
          <w:color w:val="auto"/>
          <w:sz w:val="32"/>
          <w:szCs w:val="32"/>
        </w:rPr>
      </w:pPr>
    </w:p>
    <w:p w14:paraId="7DF98317">
      <w:pPr>
        <w:widowControl/>
        <w:autoSpaceDE w:val="0"/>
        <w:autoSpaceDN w:val="0"/>
        <w:spacing w:line="360" w:lineRule="auto"/>
        <w:ind w:right="893"/>
        <w:textAlignment w:val="bottom"/>
        <w:rPr>
          <w:rFonts w:hint="eastAsia" w:ascii="宋体" w:hAnsi="宋体" w:cs="宋体"/>
          <w:color w:val="auto"/>
        </w:rPr>
      </w:pPr>
      <w:r>
        <w:rPr>
          <w:rFonts w:hint="eastAsia" w:ascii="宋体" w:hAnsi="宋体" w:cs="宋体"/>
          <w:color w:val="auto"/>
        </w:rPr>
        <w:t xml:space="preserve">项目名称：   </w:t>
      </w:r>
    </w:p>
    <w:p w14:paraId="55D325B9">
      <w:pPr>
        <w:widowControl/>
        <w:autoSpaceDE w:val="0"/>
        <w:autoSpaceDN w:val="0"/>
        <w:spacing w:line="360" w:lineRule="auto"/>
        <w:ind w:right="893"/>
        <w:textAlignment w:val="bottom"/>
        <w:rPr>
          <w:rFonts w:ascii="宋体" w:hAnsi="宋体" w:cs="宋体"/>
          <w:color w:val="auto"/>
          <w:u w:val="single"/>
        </w:rPr>
      </w:pPr>
      <w:r>
        <w:rPr>
          <w:rFonts w:hint="eastAsia" w:ascii="宋体" w:hAnsi="宋体" w:cs="宋体"/>
          <w:color w:val="auto"/>
        </w:rPr>
        <w:t>项目编号：</w:t>
      </w:r>
    </w:p>
    <w:p w14:paraId="04AC583C">
      <w:pPr>
        <w:widowControl/>
        <w:autoSpaceDE w:val="0"/>
        <w:autoSpaceDN w:val="0"/>
        <w:spacing w:line="360" w:lineRule="auto"/>
        <w:ind w:right="893"/>
        <w:textAlignment w:val="bottom"/>
        <w:rPr>
          <w:rFonts w:ascii="宋体" w:hAnsi="宋体" w:cs="宋体"/>
          <w:color w:val="auto"/>
          <w:u w:val="single"/>
        </w:rPr>
      </w:pPr>
      <w:r>
        <w:rPr>
          <w:rFonts w:hint="eastAsia" w:ascii="宋体" w:hAnsi="宋体" w:cs="宋体"/>
          <w:color w:val="auto"/>
        </w:rPr>
        <w:t>供应商名称（公章）：</w:t>
      </w:r>
    </w:p>
    <w:p w14:paraId="6B9C3B65">
      <w:pPr>
        <w:widowControl/>
        <w:autoSpaceDE w:val="0"/>
        <w:autoSpaceDN w:val="0"/>
        <w:ind w:right="893"/>
        <w:textAlignment w:val="bottom"/>
        <w:rPr>
          <w:rFonts w:ascii="宋体" w:hAnsi="宋体" w:cs="宋体"/>
          <w:color w:val="auto"/>
        </w:rPr>
      </w:pPr>
    </w:p>
    <w:p w14:paraId="386C0169">
      <w:pPr>
        <w:widowControl/>
        <w:autoSpaceDE w:val="0"/>
        <w:autoSpaceDN w:val="0"/>
        <w:ind w:right="893"/>
        <w:textAlignment w:val="bottom"/>
        <w:rPr>
          <w:rFonts w:ascii="宋体" w:hAnsi="宋体" w:cs="宋体"/>
          <w:color w:val="auto"/>
        </w:rPr>
      </w:pPr>
    </w:p>
    <w:tbl>
      <w:tblPr>
        <w:tblStyle w:val="15"/>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7593"/>
      </w:tblGrid>
      <w:tr w14:paraId="3505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903" w:type="dxa"/>
            <w:vAlign w:val="center"/>
          </w:tcPr>
          <w:p w14:paraId="2E7A0F2E">
            <w:pPr>
              <w:spacing w:line="360" w:lineRule="auto"/>
              <w:jc w:val="center"/>
              <w:rPr>
                <w:rFonts w:ascii="Arial" w:hAnsi="Arial" w:cs="Arial"/>
                <w:color w:val="auto"/>
                <w:highlight w:val="none"/>
              </w:rPr>
            </w:pPr>
            <w:r>
              <w:rPr>
                <w:rFonts w:ascii="Arial" w:hAnsi="Arial" w:cs="Arial"/>
                <w:color w:val="auto"/>
                <w:highlight w:val="none"/>
              </w:rPr>
              <w:t>售</w:t>
            </w:r>
          </w:p>
          <w:p w14:paraId="63BD65A6">
            <w:pPr>
              <w:spacing w:line="360" w:lineRule="auto"/>
              <w:jc w:val="center"/>
              <w:rPr>
                <w:rFonts w:ascii="宋体" w:hAnsi="宋体" w:cs="宋体"/>
                <w:color w:val="auto"/>
              </w:rPr>
            </w:pPr>
            <w:r>
              <w:rPr>
                <w:rFonts w:ascii="Arial" w:hAnsi="Arial" w:cs="Arial"/>
                <w:color w:val="auto"/>
                <w:highlight w:val="none"/>
              </w:rPr>
              <w:t>后</w:t>
            </w:r>
          </w:p>
        </w:tc>
        <w:tc>
          <w:tcPr>
            <w:tcW w:w="7593" w:type="dxa"/>
            <w:vAlign w:val="center"/>
          </w:tcPr>
          <w:p w14:paraId="44345AA8">
            <w:pPr>
              <w:spacing w:line="360" w:lineRule="auto"/>
              <w:jc w:val="center"/>
              <w:rPr>
                <w:rFonts w:ascii="宋体" w:hAnsi="宋体" w:cs="宋体"/>
                <w:color w:val="auto"/>
              </w:rPr>
            </w:pPr>
          </w:p>
        </w:tc>
      </w:tr>
    </w:tbl>
    <w:p w14:paraId="712C4DEA">
      <w:pPr>
        <w:spacing w:line="360" w:lineRule="auto"/>
        <w:ind w:left="355" w:leftChars="169" w:firstLine="2" w:firstLineChars="1"/>
        <w:rPr>
          <w:rFonts w:ascii="宋体" w:hAnsi="宋体" w:cs="宋体"/>
          <w:color w:val="auto"/>
        </w:rPr>
      </w:pPr>
    </w:p>
    <w:p w14:paraId="461AF510">
      <w:pPr>
        <w:spacing w:line="360" w:lineRule="auto"/>
        <w:ind w:left="355" w:leftChars="169" w:firstLine="2" w:firstLineChars="1"/>
        <w:rPr>
          <w:rFonts w:ascii="宋体" w:hAnsi="宋体" w:cs="宋体"/>
          <w:color w:val="auto"/>
        </w:rPr>
      </w:pPr>
    </w:p>
    <w:p w14:paraId="0BDAF9A4">
      <w:pPr>
        <w:spacing w:line="360" w:lineRule="auto"/>
        <w:ind w:left="355" w:leftChars="169" w:firstLine="2" w:firstLineChars="1"/>
        <w:rPr>
          <w:rFonts w:ascii="宋体" w:hAnsi="宋体" w:cs="宋体"/>
          <w:color w:val="auto"/>
          <w:u w:val="single"/>
        </w:rPr>
      </w:pPr>
      <w:r>
        <w:rPr>
          <w:rFonts w:hint="eastAsia" w:ascii="宋体" w:hAnsi="宋体" w:cs="宋体"/>
          <w:color w:val="auto"/>
        </w:rPr>
        <w:t>供应商授权人签字：</w:t>
      </w:r>
    </w:p>
    <w:p w14:paraId="1AAE3BE4">
      <w:pPr>
        <w:spacing w:line="360" w:lineRule="auto"/>
        <w:ind w:left="355" w:leftChars="169" w:firstLine="1260" w:firstLineChars="600"/>
        <w:rPr>
          <w:rFonts w:ascii="宋体" w:hAnsi="宋体" w:cs="宋体"/>
          <w:color w:val="auto"/>
        </w:rPr>
      </w:pPr>
      <w:r>
        <w:rPr>
          <w:rFonts w:hint="eastAsia" w:ascii="宋体" w:hAnsi="宋体" w:cs="宋体"/>
          <w:color w:val="auto"/>
        </w:rPr>
        <w:t>日期：____________</w:t>
      </w:r>
    </w:p>
    <w:p w14:paraId="65A8C091">
      <w:pPr>
        <w:widowControl/>
        <w:autoSpaceDE w:val="0"/>
        <w:autoSpaceDN w:val="0"/>
        <w:ind w:right="-12"/>
        <w:jc w:val="both"/>
        <w:textAlignment w:val="bottom"/>
        <w:rPr>
          <w:rFonts w:ascii="宋体" w:hAnsi="宋体" w:cs="宋体"/>
          <w:color w:val="auto"/>
          <w:sz w:val="32"/>
          <w:szCs w:val="32"/>
        </w:rPr>
      </w:pPr>
    </w:p>
    <w:p w14:paraId="348D317A">
      <w:pPr>
        <w:widowControl/>
        <w:autoSpaceDE w:val="0"/>
        <w:autoSpaceDN w:val="0"/>
        <w:ind w:right="-12"/>
        <w:jc w:val="center"/>
        <w:textAlignment w:val="bottom"/>
        <w:rPr>
          <w:rFonts w:ascii="宋体" w:hAnsi="宋体" w:cs="宋体"/>
          <w:color w:val="auto"/>
          <w:sz w:val="32"/>
          <w:szCs w:val="32"/>
        </w:rPr>
      </w:pPr>
    </w:p>
    <w:p w14:paraId="203D0F43">
      <w:pPr>
        <w:widowControl/>
        <w:autoSpaceDE w:val="0"/>
        <w:autoSpaceDN w:val="0"/>
        <w:ind w:right="-12"/>
        <w:jc w:val="center"/>
        <w:textAlignment w:val="bottom"/>
        <w:rPr>
          <w:rFonts w:ascii="宋体" w:hAnsi="宋体" w:cs="宋体"/>
          <w:color w:val="auto"/>
          <w:sz w:val="32"/>
          <w:szCs w:val="32"/>
        </w:rPr>
      </w:pPr>
    </w:p>
    <w:p w14:paraId="33BB5E3D">
      <w:pPr>
        <w:widowControl/>
        <w:autoSpaceDE w:val="0"/>
        <w:autoSpaceDN w:val="0"/>
        <w:ind w:right="-12"/>
        <w:jc w:val="center"/>
        <w:textAlignment w:val="bottom"/>
        <w:rPr>
          <w:rFonts w:ascii="宋体" w:hAnsi="宋体" w:cs="宋体"/>
          <w:color w:val="auto"/>
          <w:sz w:val="32"/>
          <w:szCs w:val="32"/>
        </w:rPr>
      </w:pPr>
    </w:p>
    <w:p w14:paraId="7A40084E">
      <w:pPr>
        <w:widowControl/>
        <w:autoSpaceDE w:val="0"/>
        <w:autoSpaceDN w:val="0"/>
        <w:ind w:right="-12"/>
        <w:jc w:val="center"/>
        <w:textAlignment w:val="bottom"/>
        <w:rPr>
          <w:rFonts w:ascii="宋体" w:hAnsi="宋体" w:cs="宋体"/>
          <w:color w:val="auto"/>
          <w:sz w:val="32"/>
          <w:szCs w:val="32"/>
        </w:rPr>
        <w:sectPr>
          <w:headerReference r:id="rId7" w:type="default"/>
          <w:pgSz w:w="11907" w:h="16840"/>
          <w:pgMar w:top="1247" w:right="1134" w:bottom="1247" w:left="1134" w:header="851" w:footer="992" w:gutter="0"/>
          <w:cols w:space="720" w:num="1"/>
          <w:titlePg/>
          <w:docGrid w:linePitch="312" w:charSpace="0"/>
        </w:sectPr>
      </w:pPr>
    </w:p>
    <w:p w14:paraId="726B4B55">
      <w:pPr>
        <w:widowControl/>
        <w:autoSpaceDE w:val="0"/>
        <w:autoSpaceDN w:val="0"/>
        <w:spacing w:line="360" w:lineRule="auto"/>
        <w:ind w:right="-11"/>
        <w:jc w:val="center"/>
        <w:textAlignment w:val="bottom"/>
        <w:rPr>
          <w:rFonts w:hint="eastAsia" w:ascii="宋体" w:hAnsi="宋体" w:eastAsia="宋体" w:cs="宋体"/>
          <w:b/>
          <w:bCs/>
          <w:color w:val="auto"/>
          <w:sz w:val="32"/>
          <w:szCs w:val="32"/>
          <w:lang w:eastAsia="zh-CN"/>
        </w:rPr>
      </w:pPr>
      <w:r>
        <w:rPr>
          <w:rFonts w:hint="eastAsia" w:ascii="宋体" w:hAnsi="宋体" w:cs="宋体"/>
          <w:color w:val="auto"/>
          <w:sz w:val="32"/>
          <w:szCs w:val="32"/>
          <w:lang w:val="en-US" w:eastAsia="zh-CN"/>
        </w:rPr>
        <w:t>8.</w:t>
      </w:r>
      <w:r>
        <w:rPr>
          <w:rFonts w:hint="eastAsia" w:ascii="宋体" w:hAnsi="宋体" w:cs="宋体"/>
          <w:color w:val="auto"/>
          <w:sz w:val="32"/>
          <w:szCs w:val="32"/>
        </w:rPr>
        <w:t xml:space="preserve"> </w:t>
      </w:r>
      <w:r>
        <w:rPr>
          <w:rFonts w:hint="eastAsia" w:ascii="宋体" w:hAnsi="宋体" w:cs="宋体"/>
          <w:b/>
          <w:bCs/>
          <w:color w:val="auto"/>
          <w:sz w:val="32"/>
          <w:szCs w:val="32"/>
          <w:lang w:eastAsia="zh-CN"/>
        </w:rPr>
        <w:t>磋商文件要求提供的其他证明资料</w:t>
      </w:r>
    </w:p>
    <w:p w14:paraId="50ADA608">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316CCF5F">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038F6241">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7577CCE8">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7F585B45">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6071F025">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4E0B5099">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7F8C11C5">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522C7C01">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021BB09A">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31982216">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0701929E">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6313CB08">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36A23012">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020DD585">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7ED4D621">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6C02348C">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539A4887">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71822B13">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6FA6DB14">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124A0481">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043E38D1">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371B8CB9">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47AE5EEC">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5F5703FA">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0E28D480">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4A9AC058">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67B03559">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204DD8CD">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733716D6">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49C68BC2">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4B019A91">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2F0CEB4E">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2F7104CE">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1961B2A2">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38EEA734">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1E91B3BA">
      <w:pPr>
        <w:widowControl/>
        <w:autoSpaceDE w:val="0"/>
        <w:autoSpaceDN w:val="0"/>
        <w:ind w:right="-12" w:firstLine="3213" w:firstLineChars="1000"/>
        <w:jc w:val="both"/>
        <w:textAlignment w:val="bottom"/>
        <w:rPr>
          <w:rFonts w:hint="eastAsia" w:ascii="Arial" w:hAnsi="Arial" w:cs="Arial"/>
          <w:b/>
          <w:color w:val="auto"/>
          <w:sz w:val="32"/>
          <w:szCs w:val="32"/>
          <w:highlight w:val="none"/>
          <w:lang w:val="en-US" w:eastAsia="zh-CN"/>
        </w:rPr>
      </w:pPr>
    </w:p>
    <w:p w14:paraId="61E2FC93">
      <w:pPr>
        <w:widowControl/>
        <w:autoSpaceDE w:val="0"/>
        <w:autoSpaceDN w:val="0"/>
        <w:ind w:right="-12" w:firstLine="3213" w:firstLineChars="1000"/>
        <w:jc w:val="both"/>
        <w:textAlignment w:val="bottom"/>
        <w:rPr>
          <w:rFonts w:hint="eastAsia" w:ascii="仿宋_GB2312" w:eastAsia="仿宋_GB2312"/>
          <w:color w:val="auto"/>
          <w:sz w:val="28"/>
          <w:szCs w:val="28"/>
          <w:highlight w:val="none"/>
        </w:rPr>
      </w:pPr>
      <w:r>
        <w:rPr>
          <w:rFonts w:hint="eastAsia" w:ascii="Arial" w:hAnsi="Arial" w:cs="Arial"/>
          <w:b/>
          <w:color w:val="auto"/>
          <w:sz w:val="32"/>
          <w:szCs w:val="32"/>
          <w:highlight w:val="none"/>
          <w:lang w:val="en-US" w:eastAsia="zh-CN"/>
        </w:rPr>
        <w:t>9</w:t>
      </w:r>
      <w:r>
        <w:rPr>
          <w:rFonts w:hint="eastAsia" w:ascii="Arial" w:hAnsi="Arial" w:cs="Arial"/>
          <w:b/>
          <w:color w:val="auto"/>
          <w:sz w:val="32"/>
          <w:szCs w:val="32"/>
          <w:highlight w:val="none"/>
        </w:rPr>
        <w:t xml:space="preserve">. </w:t>
      </w:r>
      <w:r>
        <w:rPr>
          <w:rFonts w:ascii="Arial" w:hAnsi="Arial" w:cs="Arial"/>
          <w:b/>
          <w:color w:val="auto"/>
          <w:sz w:val="32"/>
          <w:szCs w:val="32"/>
          <w:highlight w:val="none"/>
        </w:rPr>
        <w:t>中小企业声明函</w:t>
      </w:r>
    </w:p>
    <w:p w14:paraId="2A63FFC6">
      <w:pPr>
        <w:spacing w:line="50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本公司（联合体）郑重声明，根据《政府采购促进中小企业发展管理办法》（财库</w:t>
      </w:r>
      <w:r>
        <w:rPr>
          <w:rFonts w:hint="eastAsia" w:ascii="仿宋_GB2312"/>
          <w:color w:val="auto"/>
          <w:sz w:val="28"/>
          <w:szCs w:val="28"/>
          <w:highlight w:val="none"/>
        </w:rPr>
        <w:t>﹝</w:t>
      </w:r>
      <w:r>
        <w:rPr>
          <w:rFonts w:hint="eastAsia" w:ascii="仿宋_GB2312" w:eastAsia="仿宋_GB2312"/>
          <w:color w:val="auto"/>
          <w:sz w:val="28"/>
          <w:szCs w:val="28"/>
          <w:highlight w:val="none"/>
        </w:rPr>
        <w:t>2020</w:t>
      </w:r>
      <w:r>
        <w:rPr>
          <w:rFonts w:hint="eastAsia" w:ascii="仿宋_GB2312"/>
          <w:color w:val="auto"/>
          <w:sz w:val="28"/>
          <w:szCs w:val="28"/>
          <w:highlight w:val="none"/>
        </w:rPr>
        <w:t>﹞</w:t>
      </w:r>
      <w:r>
        <w:rPr>
          <w:rFonts w:hint="eastAsia" w:ascii="仿宋_GB2312" w:eastAsia="仿宋_GB2312"/>
          <w:color w:val="auto"/>
          <w:sz w:val="28"/>
          <w:szCs w:val="28"/>
          <w:highlight w:val="none"/>
        </w:rPr>
        <w:t>46 号）的规定，本公司（联合体）参加</w:t>
      </w:r>
      <w:r>
        <w:rPr>
          <w:rFonts w:hint="eastAsia" w:ascii="仿宋_GB2312" w:eastAsia="仿宋_GB2312"/>
          <w:color w:val="auto"/>
          <w:sz w:val="28"/>
          <w:szCs w:val="28"/>
          <w:highlight w:val="none"/>
          <w:u w:val="single"/>
        </w:rPr>
        <w:t>（单位名称）</w:t>
      </w:r>
      <w:r>
        <w:rPr>
          <w:rFonts w:hint="eastAsia" w:ascii="仿宋_GB2312" w:eastAsia="仿宋_GB2312"/>
          <w:color w:val="auto"/>
          <w:sz w:val="28"/>
          <w:szCs w:val="28"/>
          <w:highlight w:val="none"/>
        </w:rPr>
        <w:t>的</w:t>
      </w:r>
      <w:r>
        <w:rPr>
          <w:rFonts w:hint="eastAsia" w:ascii="仿宋_GB2312" w:eastAsia="仿宋_GB2312"/>
          <w:color w:val="auto"/>
          <w:sz w:val="28"/>
          <w:szCs w:val="28"/>
          <w:highlight w:val="none"/>
          <w:u w:val="single"/>
        </w:rPr>
        <w:t>（项目名称）</w:t>
      </w:r>
      <w:r>
        <w:rPr>
          <w:rFonts w:hint="eastAsia" w:ascii="仿宋_GB2312" w:eastAsia="仿宋_GB2312"/>
          <w:color w:val="auto"/>
          <w:sz w:val="28"/>
          <w:szCs w:val="28"/>
          <w:highlight w:val="none"/>
        </w:rPr>
        <w:t>采购活动，提供的货物全部由符合政策要求的中小企业制造。相关企业（含联合体中的中小企业、签订分包意向协议的中小企业）的具体情况如下：</w:t>
      </w:r>
    </w:p>
    <w:p w14:paraId="1F2D0052">
      <w:pPr>
        <w:spacing w:line="50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1. </w:t>
      </w:r>
      <w:r>
        <w:rPr>
          <w:rFonts w:hint="eastAsia" w:ascii="仿宋_GB2312" w:eastAsia="仿宋_GB2312"/>
          <w:color w:val="auto"/>
          <w:sz w:val="28"/>
          <w:szCs w:val="28"/>
          <w:highlight w:val="none"/>
          <w:u w:val="single"/>
        </w:rPr>
        <w:t>（标的名称）</w:t>
      </w:r>
      <w:r>
        <w:rPr>
          <w:rFonts w:hint="eastAsia" w:ascii="仿宋_GB2312" w:eastAsia="仿宋_GB2312"/>
          <w:color w:val="auto"/>
          <w:sz w:val="28"/>
          <w:szCs w:val="28"/>
          <w:highlight w:val="none"/>
        </w:rPr>
        <w:t>，属于</w:t>
      </w:r>
      <w:r>
        <w:rPr>
          <w:rFonts w:hint="eastAsia" w:ascii="仿宋_GB2312" w:eastAsia="仿宋_GB2312"/>
          <w:color w:val="auto"/>
          <w:sz w:val="28"/>
          <w:szCs w:val="28"/>
          <w:highlight w:val="none"/>
          <w:u w:val="single"/>
        </w:rPr>
        <w:t>（采购文件中明确的所属行业）行业</w:t>
      </w:r>
      <w:r>
        <w:rPr>
          <w:rFonts w:hint="eastAsia" w:ascii="仿宋_GB2312" w:eastAsia="仿宋_GB2312"/>
          <w:color w:val="auto"/>
          <w:sz w:val="28"/>
          <w:szCs w:val="28"/>
          <w:highlight w:val="none"/>
        </w:rPr>
        <w:t>；制造商为</w:t>
      </w:r>
      <w:r>
        <w:rPr>
          <w:rFonts w:hint="eastAsia" w:ascii="仿宋_GB2312" w:eastAsia="仿宋_GB2312"/>
          <w:color w:val="auto"/>
          <w:sz w:val="28"/>
          <w:szCs w:val="28"/>
          <w:highlight w:val="none"/>
          <w:u w:val="single"/>
        </w:rPr>
        <w:t>（企业名称）</w:t>
      </w:r>
      <w:r>
        <w:rPr>
          <w:rFonts w:hint="eastAsia" w:ascii="仿宋_GB2312" w:eastAsia="仿宋_GB2312"/>
          <w:color w:val="auto"/>
          <w:sz w:val="28"/>
          <w:szCs w:val="28"/>
          <w:highlight w:val="none"/>
        </w:rPr>
        <w:t xml:space="preserve">，从业人员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人，营业收入为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万元，资产总额为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万元，属于</w:t>
      </w:r>
      <w:r>
        <w:rPr>
          <w:rFonts w:hint="eastAsia" w:ascii="仿宋_GB2312" w:eastAsia="仿宋_GB2312"/>
          <w:color w:val="auto"/>
          <w:sz w:val="28"/>
          <w:szCs w:val="28"/>
          <w:highlight w:val="none"/>
          <w:u w:val="single"/>
        </w:rPr>
        <w:t>（中型企业、小 型企业、微型企业）</w:t>
      </w:r>
      <w:r>
        <w:rPr>
          <w:rFonts w:hint="eastAsia" w:ascii="仿宋_GB2312" w:eastAsia="仿宋_GB2312"/>
          <w:color w:val="auto"/>
          <w:sz w:val="28"/>
          <w:szCs w:val="28"/>
          <w:highlight w:val="none"/>
        </w:rPr>
        <w:t xml:space="preserve">； </w:t>
      </w:r>
    </w:p>
    <w:p w14:paraId="3C7AB3C1">
      <w:pPr>
        <w:spacing w:line="50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2. </w:t>
      </w:r>
      <w:r>
        <w:rPr>
          <w:rFonts w:hint="eastAsia" w:ascii="仿宋_GB2312" w:eastAsia="仿宋_GB2312"/>
          <w:color w:val="auto"/>
          <w:sz w:val="28"/>
          <w:szCs w:val="28"/>
          <w:highlight w:val="none"/>
          <w:u w:val="single"/>
        </w:rPr>
        <w:t>（标的名称）</w:t>
      </w:r>
      <w:r>
        <w:rPr>
          <w:rFonts w:hint="eastAsia" w:ascii="仿宋_GB2312" w:eastAsia="仿宋_GB2312"/>
          <w:color w:val="auto"/>
          <w:sz w:val="28"/>
          <w:szCs w:val="28"/>
          <w:highlight w:val="none"/>
        </w:rPr>
        <w:t xml:space="preserve"> ，属于</w:t>
      </w:r>
      <w:r>
        <w:rPr>
          <w:rFonts w:hint="eastAsia" w:ascii="仿宋_GB2312" w:eastAsia="仿宋_GB2312"/>
          <w:color w:val="auto"/>
          <w:sz w:val="28"/>
          <w:szCs w:val="28"/>
          <w:highlight w:val="none"/>
          <w:u w:val="single"/>
        </w:rPr>
        <w:t>（采购文件中明确的所属行业）行业</w:t>
      </w:r>
      <w:r>
        <w:rPr>
          <w:rFonts w:hint="eastAsia" w:ascii="仿宋_GB2312" w:eastAsia="仿宋_GB2312"/>
          <w:color w:val="auto"/>
          <w:sz w:val="28"/>
          <w:szCs w:val="28"/>
          <w:highlight w:val="none"/>
        </w:rPr>
        <w:t>；制造商为</w:t>
      </w:r>
      <w:r>
        <w:rPr>
          <w:rFonts w:hint="eastAsia" w:ascii="仿宋_GB2312" w:eastAsia="仿宋_GB2312"/>
          <w:color w:val="auto"/>
          <w:sz w:val="28"/>
          <w:szCs w:val="28"/>
          <w:highlight w:val="none"/>
          <w:u w:val="single"/>
        </w:rPr>
        <w:t>（企业名称）</w:t>
      </w:r>
      <w:r>
        <w:rPr>
          <w:rFonts w:hint="eastAsia" w:ascii="仿宋_GB2312" w:eastAsia="仿宋_GB2312"/>
          <w:color w:val="auto"/>
          <w:sz w:val="28"/>
          <w:szCs w:val="28"/>
          <w:highlight w:val="none"/>
        </w:rPr>
        <w:t xml:space="preserve">，从业人员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人，营业收入为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万元，资产总额为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万元，属于</w:t>
      </w:r>
      <w:r>
        <w:rPr>
          <w:rFonts w:hint="eastAsia" w:ascii="仿宋_GB2312" w:eastAsia="仿宋_GB2312"/>
          <w:color w:val="auto"/>
          <w:sz w:val="28"/>
          <w:szCs w:val="28"/>
          <w:highlight w:val="none"/>
          <w:u w:val="single"/>
        </w:rPr>
        <w:t>（中型企业、小型企业、微型企业）</w:t>
      </w:r>
      <w:r>
        <w:rPr>
          <w:rFonts w:hint="eastAsia" w:ascii="仿宋_GB2312" w:eastAsia="仿宋_GB2312"/>
          <w:color w:val="auto"/>
          <w:sz w:val="28"/>
          <w:szCs w:val="28"/>
          <w:highlight w:val="none"/>
        </w:rPr>
        <w:t>；</w:t>
      </w:r>
    </w:p>
    <w:p w14:paraId="51F0ACE7">
      <w:pPr>
        <w:spacing w:line="50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 </w:t>
      </w:r>
    </w:p>
    <w:p w14:paraId="4F02D428">
      <w:pPr>
        <w:spacing w:line="50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以上企业，不属于大企业的分支机构，不存在控股股东为大企业的情形，也不存在与大企业的负责人为同一人的情形。 </w:t>
      </w:r>
    </w:p>
    <w:p w14:paraId="686A6D19">
      <w:pPr>
        <w:spacing w:line="50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本企业对上述声明内容的真实性负责。如有虚假，将依法承担相应责任。 </w:t>
      </w:r>
    </w:p>
    <w:p w14:paraId="5C1EFCEC">
      <w:pPr>
        <w:spacing w:line="500" w:lineRule="exact"/>
        <w:ind w:firstLine="560" w:firstLineChars="200"/>
        <w:rPr>
          <w:rFonts w:hint="eastAsia" w:ascii="仿宋_GB2312" w:eastAsia="仿宋_GB2312"/>
          <w:color w:val="auto"/>
          <w:sz w:val="28"/>
          <w:szCs w:val="28"/>
          <w:highlight w:val="none"/>
        </w:rPr>
      </w:pPr>
    </w:p>
    <w:p w14:paraId="11406FFE">
      <w:pPr>
        <w:spacing w:line="500" w:lineRule="exact"/>
        <w:ind w:firstLine="560" w:firstLineChars="200"/>
        <w:rPr>
          <w:rFonts w:hint="eastAsia" w:ascii="仿宋_GB2312" w:eastAsia="仿宋_GB2312"/>
          <w:color w:val="auto"/>
          <w:sz w:val="28"/>
          <w:szCs w:val="28"/>
          <w:highlight w:val="none"/>
        </w:rPr>
      </w:pPr>
    </w:p>
    <w:p w14:paraId="62D5AA47">
      <w:pPr>
        <w:spacing w:line="500" w:lineRule="exact"/>
        <w:ind w:firstLine="4760" w:firstLineChars="17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企业名称（盖章）：</w:t>
      </w:r>
    </w:p>
    <w:p w14:paraId="249F10E7">
      <w:pPr>
        <w:spacing w:line="500" w:lineRule="exact"/>
        <w:ind w:firstLine="4760" w:firstLineChars="17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日期：</w:t>
      </w:r>
    </w:p>
    <w:p w14:paraId="7E3DDAD2">
      <w:pPr>
        <w:rPr>
          <w:color w:val="auto"/>
          <w:highlight w:val="none"/>
        </w:rPr>
      </w:pPr>
    </w:p>
    <w:p w14:paraId="4A2BD178">
      <w:pPr>
        <w:rPr>
          <w:rFonts w:ascii="宋体" w:hAnsi="宋体" w:eastAsia="宋体" w:cs="宋体"/>
          <w:b/>
          <w:bCs/>
          <w:color w:val="auto"/>
          <w:szCs w:val="21"/>
          <w:highlight w:val="none"/>
        </w:rPr>
      </w:pPr>
      <w:r>
        <w:rPr>
          <w:rFonts w:hint="eastAsia" w:ascii="宋体" w:hAnsi="宋体" w:cs="宋体"/>
          <w:b/>
          <w:bCs/>
          <w:color w:val="auto"/>
          <w:szCs w:val="21"/>
          <w:highlight w:val="none"/>
        </w:rPr>
        <w:t>注：</w:t>
      </w:r>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 xml:space="preserve">从业人员、营业收入、资产总额填报上一年度数据，无上一年度数据的新成立企业可不填报。 </w:t>
      </w:r>
    </w:p>
    <w:p w14:paraId="66B1D4A0">
      <w:pPr>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2.中标人享受中小企业扶持政策的，将随中标结果一并公示，如声明函内容不实的，将视为提供虚假材料谋取中标，将追究其法律责任。</w:t>
      </w:r>
    </w:p>
    <w:p w14:paraId="1F9B9897">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3.本项目采购标的属于工业。</w:t>
      </w:r>
    </w:p>
    <w:p w14:paraId="47E7D71E">
      <w:pPr>
        <w:rPr>
          <w:rFonts w:hint="eastAsia" w:ascii="宋体" w:hAnsi="宋体" w:cs="宋体"/>
          <w:b/>
          <w:bCs/>
          <w:color w:val="auto"/>
          <w:szCs w:val="21"/>
          <w:highlight w:val="none"/>
        </w:rPr>
      </w:pPr>
    </w:p>
    <w:p w14:paraId="71110D39">
      <w:pPr>
        <w:rPr>
          <w:rFonts w:hint="eastAsia" w:ascii="宋体" w:hAnsi="宋体" w:cs="宋体"/>
          <w:b/>
          <w:bCs/>
          <w:color w:val="auto"/>
          <w:szCs w:val="21"/>
          <w:highlight w:val="none"/>
        </w:rPr>
      </w:pPr>
      <w:r>
        <w:rPr>
          <w:rFonts w:hint="eastAsia" w:ascii="宋体" w:hAnsi="宋体" w:cs="宋体"/>
          <w:b/>
          <w:bCs/>
          <w:color w:val="auto"/>
          <w:szCs w:val="21"/>
          <w:highlight w:val="none"/>
        </w:rPr>
        <w:t>如供应商虚假承诺本声明函，成交的供应商采购人有权拒绝与其签署合同，并追究其法律责任，未成交供应商视为其虚假响应，并将此虚假响应情况报送主管部门处理。</w:t>
      </w:r>
    </w:p>
    <w:p w14:paraId="70413B7F">
      <w:pPr>
        <w:pStyle w:val="3"/>
        <w:rPr>
          <w:color w:val="auto"/>
          <w:highlight w:val="none"/>
        </w:rPr>
      </w:pPr>
    </w:p>
    <w:p w14:paraId="4FE07781">
      <w:pPr>
        <w:rPr>
          <w:color w:val="auto"/>
          <w:highlight w:val="none"/>
        </w:rPr>
        <w:sectPr>
          <w:headerReference r:id="rId9" w:type="first"/>
          <w:headerReference r:id="rId8" w:type="default"/>
          <w:pgSz w:w="11907" w:h="16840"/>
          <w:pgMar w:top="1418" w:right="1134" w:bottom="1418" w:left="1531" w:header="851" w:footer="992" w:gutter="0"/>
          <w:pgNumType w:fmt="decimal"/>
          <w:cols w:space="720" w:num="1"/>
          <w:titlePg/>
          <w:docGrid w:linePitch="312" w:charSpace="0"/>
        </w:sectPr>
      </w:pPr>
    </w:p>
    <w:p w14:paraId="2EB315B8">
      <w:pPr>
        <w:ind w:right="-65" w:rightChars="-31"/>
        <w:jc w:val="center"/>
        <w:rPr>
          <w:rFonts w:ascii="宋体" w:hAnsi="宋体"/>
          <w:b/>
          <w:color w:val="auto"/>
          <w:sz w:val="30"/>
          <w:szCs w:val="30"/>
          <w:highlight w:val="none"/>
        </w:rPr>
      </w:pPr>
      <w:r>
        <w:rPr>
          <w:rFonts w:hint="eastAsia" w:ascii="宋体" w:hAnsi="宋体"/>
          <w:b/>
          <w:color w:val="auto"/>
          <w:sz w:val="30"/>
          <w:szCs w:val="30"/>
          <w:highlight w:val="none"/>
        </w:rPr>
        <w:t>中小企业划型标准</w:t>
      </w:r>
    </w:p>
    <w:tbl>
      <w:tblPr>
        <w:tblStyle w:val="15"/>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60E85384">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noWrap w:val="0"/>
            <w:vAlign w:val="center"/>
          </w:tcPr>
          <w:p w14:paraId="5608732B">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872" w:type="dxa"/>
            <w:vMerge w:val="restart"/>
            <w:tcBorders>
              <w:top w:val="single" w:color="auto" w:sz="4" w:space="0"/>
              <w:left w:val="nil"/>
              <w:right w:val="single" w:color="auto" w:sz="4" w:space="0"/>
            </w:tcBorders>
            <w:noWrap w:val="0"/>
            <w:vAlign w:val="center"/>
          </w:tcPr>
          <w:p w14:paraId="1B759C38">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noWrap w:val="0"/>
            <w:vAlign w:val="center"/>
          </w:tcPr>
          <w:p w14:paraId="4DD4B1B5">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noWrap w:val="0"/>
            <w:vAlign w:val="center"/>
          </w:tcPr>
          <w:p w14:paraId="4F32CC6E">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noWrap w:val="0"/>
            <w:vAlign w:val="center"/>
          </w:tcPr>
          <w:p w14:paraId="48D905BA">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noWrap w:val="0"/>
            <w:vAlign w:val="center"/>
          </w:tcPr>
          <w:p w14:paraId="5D6F69B3">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微型企业</w:t>
            </w:r>
          </w:p>
        </w:tc>
      </w:tr>
      <w:tr w14:paraId="1FED30B0">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noWrap w:val="0"/>
            <w:vAlign w:val="center"/>
          </w:tcPr>
          <w:p w14:paraId="736DBCBC">
            <w:pPr>
              <w:ind w:left="-48" w:leftChars="-23" w:right="-65" w:rightChars="-31"/>
              <w:jc w:val="center"/>
              <w:rPr>
                <w:rFonts w:ascii="宋体" w:hAnsi="宋体" w:cs="宋体"/>
                <w:b/>
                <w:color w:val="auto"/>
                <w:kern w:val="0"/>
                <w:szCs w:val="21"/>
                <w:highlight w:val="none"/>
              </w:rPr>
            </w:pPr>
          </w:p>
        </w:tc>
        <w:tc>
          <w:tcPr>
            <w:tcW w:w="1872" w:type="dxa"/>
            <w:vMerge w:val="continue"/>
            <w:tcBorders>
              <w:left w:val="nil"/>
              <w:bottom w:val="single" w:color="auto" w:sz="4" w:space="0"/>
              <w:right w:val="single" w:color="auto" w:sz="4" w:space="0"/>
            </w:tcBorders>
            <w:noWrap w:val="0"/>
            <w:vAlign w:val="center"/>
          </w:tcPr>
          <w:p w14:paraId="6CE8306D">
            <w:pPr>
              <w:ind w:left="-48" w:leftChars="-23" w:right="-65" w:rightChars="-31"/>
              <w:jc w:val="left"/>
              <w:rPr>
                <w:rFonts w:ascii="宋体" w:hAnsi="宋体" w:cs="宋体"/>
                <w:b/>
                <w:color w:val="auto"/>
                <w:kern w:val="0"/>
                <w:szCs w:val="21"/>
                <w:highlight w:val="none"/>
              </w:rPr>
            </w:pPr>
          </w:p>
        </w:tc>
        <w:tc>
          <w:tcPr>
            <w:tcW w:w="1149" w:type="dxa"/>
            <w:tcBorders>
              <w:top w:val="nil"/>
              <w:left w:val="nil"/>
              <w:bottom w:val="single" w:color="auto" w:sz="4" w:space="0"/>
              <w:right w:val="single" w:color="auto" w:sz="4" w:space="0"/>
            </w:tcBorders>
            <w:noWrap w:val="0"/>
            <w:vAlign w:val="center"/>
          </w:tcPr>
          <w:p w14:paraId="323BF280">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7FD46AEB">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885" w:type="dxa"/>
            <w:tcBorders>
              <w:top w:val="nil"/>
              <w:left w:val="nil"/>
              <w:bottom w:val="single" w:color="auto" w:sz="4" w:space="0"/>
              <w:right w:val="single" w:color="auto" w:sz="4" w:space="0"/>
            </w:tcBorders>
            <w:noWrap w:val="0"/>
            <w:vAlign w:val="center"/>
          </w:tcPr>
          <w:p w14:paraId="6DA62333">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1C598ADD">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02" w:type="dxa"/>
            <w:tcBorders>
              <w:top w:val="nil"/>
              <w:left w:val="nil"/>
              <w:bottom w:val="single" w:color="auto" w:sz="4" w:space="0"/>
              <w:right w:val="single" w:color="auto" w:sz="4" w:space="0"/>
            </w:tcBorders>
            <w:noWrap w:val="0"/>
            <w:vAlign w:val="center"/>
          </w:tcPr>
          <w:p w14:paraId="596F5188">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6FF30DDE">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noWrap w:val="0"/>
            <w:vAlign w:val="center"/>
          </w:tcPr>
          <w:p w14:paraId="5C05DF81">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16915E3A">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905" w:type="dxa"/>
            <w:tcBorders>
              <w:top w:val="nil"/>
              <w:left w:val="nil"/>
              <w:bottom w:val="single" w:color="auto" w:sz="4" w:space="0"/>
              <w:right w:val="single" w:color="auto" w:sz="4" w:space="0"/>
            </w:tcBorders>
            <w:noWrap w:val="0"/>
            <w:vAlign w:val="center"/>
          </w:tcPr>
          <w:p w14:paraId="5B30316B">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3665F284">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57" w:type="dxa"/>
            <w:tcBorders>
              <w:top w:val="nil"/>
              <w:left w:val="nil"/>
              <w:bottom w:val="single" w:color="auto" w:sz="4" w:space="0"/>
              <w:right w:val="single" w:color="auto" w:sz="4" w:space="0"/>
            </w:tcBorders>
            <w:noWrap w:val="0"/>
            <w:vAlign w:val="center"/>
          </w:tcPr>
          <w:p w14:paraId="05ADA971">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0E45508A">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noWrap w:val="0"/>
            <w:vAlign w:val="center"/>
          </w:tcPr>
          <w:p w14:paraId="3D326CBD">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7F98E8AE">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921" w:type="dxa"/>
            <w:tcBorders>
              <w:top w:val="nil"/>
              <w:left w:val="nil"/>
              <w:bottom w:val="single" w:color="auto" w:sz="4" w:space="0"/>
              <w:right w:val="single" w:color="auto" w:sz="4" w:space="0"/>
            </w:tcBorders>
            <w:noWrap w:val="0"/>
            <w:vAlign w:val="center"/>
          </w:tcPr>
          <w:p w14:paraId="307BEB43">
            <w:pPr>
              <w:ind w:left="119" w:leftChars="-23" w:right="-65" w:rightChars="-31" w:hanging="167" w:hangingChars="79"/>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45CE5607">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63" w:type="dxa"/>
            <w:tcBorders>
              <w:top w:val="nil"/>
              <w:left w:val="nil"/>
              <w:bottom w:val="single" w:color="auto" w:sz="4" w:space="0"/>
              <w:right w:val="single" w:color="auto" w:sz="4" w:space="0"/>
            </w:tcBorders>
            <w:noWrap w:val="0"/>
            <w:vAlign w:val="center"/>
          </w:tcPr>
          <w:p w14:paraId="1B32A3AA">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0BA0570E">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noWrap w:val="0"/>
            <w:vAlign w:val="center"/>
          </w:tcPr>
          <w:p w14:paraId="1129FF99">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28D908E6">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846" w:type="dxa"/>
            <w:tcBorders>
              <w:top w:val="nil"/>
              <w:left w:val="nil"/>
              <w:bottom w:val="single" w:color="auto" w:sz="4" w:space="0"/>
              <w:right w:val="single" w:color="auto" w:sz="4" w:space="0"/>
            </w:tcBorders>
            <w:noWrap w:val="0"/>
            <w:vAlign w:val="center"/>
          </w:tcPr>
          <w:p w14:paraId="4893B4C7">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7C057DD7">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816" w:type="dxa"/>
            <w:tcBorders>
              <w:top w:val="nil"/>
              <w:left w:val="nil"/>
              <w:bottom w:val="single" w:color="auto" w:sz="4" w:space="0"/>
              <w:right w:val="single" w:color="auto" w:sz="4" w:space="0"/>
            </w:tcBorders>
            <w:noWrap w:val="0"/>
            <w:vAlign w:val="center"/>
          </w:tcPr>
          <w:p w14:paraId="62264C77">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4F2519BB">
            <w:pPr>
              <w:ind w:left="-48" w:leftChars="-23" w:right="-65"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r>
      <w:tr w14:paraId="51F149DD">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14:paraId="5DB8F5CC">
            <w:pPr>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872" w:type="dxa"/>
            <w:tcBorders>
              <w:top w:val="single" w:color="auto" w:sz="4" w:space="0"/>
              <w:left w:val="nil"/>
              <w:bottom w:val="single" w:color="auto" w:sz="4" w:space="0"/>
              <w:right w:val="single" w:color="auto" w:sz="4" w:space="0"/>
            </w:tcBorders>
            <w:noWrap w:val="0"/>
            <w:vAlign w:val="center"/>
          </w:tcPr>
          <w:p w14:paraId="4FF7B172">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农、林、牧、渔业</w:t>
            </w:r>
          </w:p>
        </w:tc>
        <w:tc>
          <w:tcPr>
            <w:tcW w:w="1149" w:type="dxa"/>
            <w:tcBorders>
              <w:top w:val="single" w:color="auto" w:sz="4" w:space="0"/>
              <w:left w:val="nil"/>
              <w:bottom w:val="single" w:color="auto" w:sz="4" w:space="0"/>
              <w:right w:val="single" w:color="auto" w:sz="4" w:space="0"/>
            </w:tcBorders>
            <w:noWrap w:val="0"/>
            <w:vAlign w:val="center"/>
          </w:tcPr>
          <w:p w14:paraId="3D01D834">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885" w:type="dxa"/>
            <w:tcBorders>
              <w:top w:val="nil"/>
              <w:left w:val="nil"/>
              <w:bottom w:val="single" w:color="auto" w:sz="4" w:space="0"/>
              <w:right w:val="single" w:color="auto" w:sz="4" w:space="0"/>
            </w:tcBorders>
            <w:noWrap w:val="0"/>
            <w:vAlign w:val="center"/>
          </w:tcPr>
          <w:p w14:paraId="1A18D6AF">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noWrap w:val="0"/>
            <w:vAlign w:val="center"/>
          </w:tcPr>
          <w:p w14:paraId="4D29A58E">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7E1F16F7">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05" w:type="dxa"/>
            <w:tcBorders>
              <w:top w:val="nil"/>
              <w:left w:val="nil"/>
              <w:bottom w:val="single" w:color="auto" w:sz="4" w:space="0"/>
              <w:right w:val="single" w:color="auto" w:sz="4" w:space="0"/>
            </w:tcBorders>
            <w:noWrap w:val="0"/>
            <w:vAlign w:val="center"/>
          </w:tcPr>
          <w:p w14:paraId="0D986309">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noWrap w:val="0"/>
            <w:vAlign w:val="center"/>
          </w:tcPr>
          <w:p w14:paraId="509284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7EEF09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21" w:type="dxa"/>
            <w:tcBorders>
              <w:top w:val="nil"/>
              <w:left w:val="nil"/>
              <w:bottom w:val="single" w:color="auto" w:sz="4" w:space="0"/>
              <w:right w:val="single" w:color="auto" w:sz="4" w:space="0"/>
            </w:tcBorders>
            <w:noWrap w:val="0"/>
            <w:vAlign w:val="center"/>
          </w:tcPr>
          <w:p w14:paraId="4C7A5A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noWrap w:val="0"/>
            <w:vAlign w:val="center"/>
          </w:tcPr>
          <w:p w14:paraId="2352BF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61314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46" w:type="dxa"/>
            <w:tcBorders>
              <w:top w:val="nil"/>
              <w:left w:val="nil"/>
              <w:bottom w:val="single" w:color="auto" w:sz="4" w:space="0"/>
              <w:right w:val="single" w:color="auto" w:sz="4" w:space="0"/>
            </w:tcBorders>
            <w:noWrap w:val="0"/>
            <w:vAlign w:val="center"/>
          </w:tcPr>
          <w:p w14:paraId="56A435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noWrap w:val="0"/>
            <w:vAlign w:val="center"/>
          </w:tcPr>
          <w:p w14:paraId="597C9A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C92E5F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83796AE">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872" w:type="dxa"/>
            <w:tcBorders>
              <w:top w:val="nil"/>
              <w:left w:val="nil"/>
              <w:bottom w:val="single" w:color="auto" w:sz="4" w:space="0"/>
              <w:right w:val="single" w:color="auto" w:sz="4" w:space="0"/>
            </w:tcBorders>
            <w:noWrap w:val="0"/>
            <w:vAlign w:val="center"/>
          </w:tcPr>
          <w:p w14:paraId="286DAAD7">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工业</w:t>
            </w:r>
          </w:p>
        </w:tc>
        <w:tc>
          <w:tcPr>
            <w:tcW w:w="1149" w:type="dxa"/>
            <w:tcBorders>
              <w:top w:val="nil"/>
              <w:left w:val="nil"/>
              <w:bottom w:val="single" w:color="auto" w:sz="4" w:space="0"/>
              <w:right w:val="single" w:color="auto" w:sz="4" w:space="0"/>
            </w:tcBorders>
            <w:noWrap w:val="0"/>
            <w:vAlign w:val="center"/>
          </w:tcPr>
          <w:p w14:paraId="7B6601CC">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885" w:type="dxa"/>
            <w:tcBorders>
              <w:top w:val="nil"/>
              <w:left w:val="nil"/>
              <w:bottom w:val="single" w:color="auto" w:sz="4" w:space="0"/>
              <w:right w:val="single" w:color="auto" w:sz="4" w:space="0"/>
            </w:tcBorders>
            <w:noWrap w:val="0"/>
            <w:vAlign w:val="center"/>
          </w:tcPr>
          <w:p w14:paraId="4DD64588">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noWrap w:val="0"/>
            <w:vAlign w:val="center"/>
          </w:tcPr>
          <w:p w14:paraId="48459683">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34F8048B">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noWrap w:val="0"/>
            <w:vAlign w:val="center"/>
          </w:tcPr>
          <w:p w14:paraId="32997504">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noWrap w:val="0"/>
            <w:vAlign w:val="center"/>
          </w:tcPr>
          <w:p w14:paraId="6816DA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73356D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1" w:type="dxa"/>
            <w:tcBorders>
              <w:top w:val="nil"/>
              <w:left w:val="nil"/>
              <w:bottom w:val="single" w:color="auto" w:sz="4" w:space="0"/>
              <w:right w:val="single" w:color="auto" w:sz="4" w:space="0"/>
            </w:tcBorders>
            <w:noWrap w:val="0"/>
            <w:vAlign w:val="center"/>
          </w:tcPr>
          <w:p w14:paraId="0B901E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noWrap w:val="0"/>
            <w:vAlign w:val="center"/>
          </w:tcPr>
          <w:p w14:paraId="3B111A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7E839B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46" w:type="dxa"/>
            <w:tcBorders>
              <w:top w:val="nil"/>
              <w:left w:val="nil"/>
              <w:bottom w:val="single" w:color="auto" w:sz="4" w:space="0"/>
              <w:right w:val="single" w:color="auto" w:sz="4" w:space="0"/>
            </w:tcBorders>
            <w:noWrap w:val="0"/>
            <w:vAlign w:val="center"/>
          </w:tcPr>
          <w:p w14:paraId="23173C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noWrap w:val="0"/>
            <w:vAlign w:val="center"/>
          </w:tcPr>
          <w:p w14:paraId="52EB2A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496AC8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6D5EAC3">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3</w:t>
            </w:r>
          </w:p>
        </w:tc>
        <w:tc>
          <w:tcPr>
            <w:tcW w:w="1872" w:type="dxa"/>
            <w:tcBorders>
              <w:top w:val="nil"/>
              <w:left w:val="nil"/>
              <w:bottom w:val="single" w:color="auto" w:sz="4" w:space="0"/>
              <w:right w:val="single" w:color="auto" w:sz="4" w:space="0"/>
            </w:tcBorders>
            <w:noWrap w:val="0"/>
            <w:vAlign w:val="center"/>
          </w:tcPr>
          <w:p w14:paraId="16E9B2E2">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建筑业</w:t>
            </w:r>
          </w:p>
        </w:tc>
        <w:tc>
          <w:tcPr>
            <w:tcW w:w="1149" w:type="dxa"/>
            <w:tcBorders>
              <w:top w:val="nil"/>
              <w:left w:val="nil"/>
              <w:bottom w:val="single" w:color="auto" w:sz="4" w:space="0"/>
              <w:right w:val="single" w:color="auto" w:sz="4" w:space="0"/>
            </w:tcBorders>
            <w:noWrap w:val="0"/>
            <w:vAlign w:val="center"/>
          </w:tcPr>
          <w:p w14:paraId="7DD51FF5">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885" w:type="dxa"/>
            <w:tcBorders>
              <w:top w:val="nil"/>
              <w:left w:val="nil"/>
              <w:bottom w:val="single" w:color="auto" w:sz="4" w:space="0"/>
              <w:right w:val="single" w:color="auto" w:sz="4" w:space="0"/>
            </w:tcBorders>
            <w:noWrap w:val="0"/>
            <w:vAlign w:val="center"/>
          </w:tcPr>
          <w:p w14:paraId="225CFBB0">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noWrap w:val="0"/>
            <w:vAlign w:val="center"/>
          </w:tcPr>
          <w:p w14:paraId="7EDBBE80">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1063" w:type="dxa"/>
            <w:tcBorders>
              <w:top w:val="nil"/>
              <w:left w:val="nil"/>
              <w:bottom w:val="single" w:color="auto" w:sz="4" w:space="0"/>
              <w:right w:val="single" w:color="auto" w:sz="4" w:space="0"/>
            </w:tcBorders>
            <w:noWrap w:val="0"/>
            <w:vAlign w:val="center"/>
          </w:tcPr>
          <w:p w14:paraId="5D8CB9E7">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05" w:type="dxa"/>
            <w:tcBorders>
              <w:top w:val="nil"/>
              <w:left w:val="nil"/>
              <w:bottom w:val="single" w:color="auto" w:sz="4" w:space="0"/>
              <w:right w:val="single" w:color="auto" w:sz="4" w:space="0"/>
            </w:tcBorders>
            <w:noWrap w:val="0"/>
            <w:vAlign w:val="center"/>
          </w:tcPr>
          <w:p w14:paraId="6D7D1406">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noWrap w:val="0"/>
            <w:vAlign w:val="center"/>
          </w:tcPr>
          <w:p w14:paraId="3008A0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1063" w:type="dxa"/>
            <w:tcBorders>
              <w:top w:val="nil"/>
              <w:left w:val="nil"/>
              <w:bottom w:val="single" w:color="auto" w:sz="4" w:space="0"/>
              <w:right w:val="single" w:color="auto" w:sz="4" w:space="0"/>
            </w:tcBorders>
            <w:noWrap w:val="0"/>
            <w:vAlign w:val="center"/>
          </w:tcPr>
          <w:p w14:paraId="7E2F7C4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1" w:type="dxa"/>
            <w:tcBorders>
              <w:top w:val="nil"/>
              <w:left w:val="nil"/>
              <w:bottom w:val="single" w:color="auto" w:sz="4" w:space="0"/>
              <w:right w:val="single" w:color="auto" w:sz="4" w:space="0"/>
            </w:tcBorders>
            <w:noWrap w:val="0"/>
            <w:vAlign w:val="center"/>
          </w:tcPr>
          <w:p w14:paraId="2C8353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noWrap w:val="0"/>
            <w:vAlign w:val="center"/>
          </w:tcPr>
          <w:p w14:paraId="0E9481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1063" w:type="dxa"/>
            <w:tcBorders>
              <w:top w:val="nil"/>
              <w:left w:val="nil"/>
              <w:bottom w:val="single" w:color="auto" w:sz="4" w:space="0"/>
              <w:right w:val="single" w:color="auto" w:sz="4" w:space="0"/>
            </w:tcBorders>
            <w:noWrap w:val="0"/>
            <w:vAlign w:val="center"/>
          </w:tcPr>
          <w:p w14:paraId="2EDDD6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46" w:type="dxa"/>
            <w:tcBorders>
              <w:top w:val="nil"/>
              <w:left w:val="nil"/>
              <w:bottom w:val="single" w:color="auto" w:sz="4" w:space="0"/>
              <w:right w:val="single" w:color="auto" w:sz="4" w:space="0"/>
            </w:tcBorders>
            <w:noWrap w:val="0"/>
            <w:vAlign w:val="center"/>
          </w:tcPr>
          <w:p w14:paraId="59E4C4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noWrap w:val="0"/>
            <w:vAlign w:val="center"/>
          </w:tcPr>
          <w:p w14:paraId="280276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r>
      <w:tr w14:paraId="789C15D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A29D737">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4</w:t>
            </w:r>
          </w:p>
        </w:tc>
        <w:tc>
          <w:tcPr>
            <w:tcW w:w="1872" w:type="dxa"/>
            <w:tcBorders>
              <w:top w:val="nil"/>
              <w:left w:val="nil"/>
              <w:bottom w:val="single" w:color="auto" w:sz="4" w:space="0"/>
              <w:right w:val="single" w:color="auto" w:sz="4" w:space="0"/>
            </w:tcBorders>
            <w:noWrap w:val="0"/>
            <w:vAlign w:val="center"/>
          </w:tcPr>
          <w:p w14:paraId="30DFAD48">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批发业</w:t>
            </w:r>
          </w:p>
        </w:tc>
        <w:tc>
          <w:tcPr>
            <w:tcW w:w="1149" w:type="dxa"/>
            <w:tcBorders>
              <w:top w:val="nil"/>
              <w:left w:val="nil"/>
              <w:bottom w:val="single" w:color="auto" w:sz="4" w:space="0"/>
              <w:right w:val="single" w:color="auto" w:sz="4" w:space="0"/>
            </w:tcBorders>
            <w:noWrap w:val="0"/>
            <w:vAlign w:val="center"/>
          </w:tcPr>
          <w:p w14:paraId="102D8E04">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885" w:type="dxa"/>
            <w:tcBorders>
              <w:top w:val="nil"/>
              <w:left w:val="nil"/>
              <w:bottom w:val="single" w:color="auto" w:sz="4" w:space="0"/>
              <w:right w:val="single" w:color="auto" w:sz="4" w:space="0"/>
            </w:tcBorders>
            <w:noWrap w:val="0"/>
            <w:vAlign w:val="center"/>
          </w:tcPr>
          <w:p w14:paraId="01C62F5C">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02" w:type="dxa"/>
            <w:tcBorders>
              <w:top w:val="nil"/>
              <w:left w:val="nil"/>
              <w:bottom w:val="single" w:color="auto" w:sz="4" w:space="0"/>
              <w:right w:val="single" w:color="auto" w:sz="4" w:space="0"/>
            </w:tcBorders>
            <w:noWrap w:val="0"/>
            <w:vAlign w:val="center"/>
          </w:tcPr>
          <w:p w14:paraId="4700DB8A">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A401318">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05" w:type="dxa"/>
            <w:tcBorders>
              <w:top w:val="nil"/>
              <w:left w:val="nil"/>
              <w:bottom w:val="single" w:color="auto" w:sz="4" w:space="0"/>
              <w:right w:val="single" w:color="auto" w:sz="4" w:space="0"/>
            </w:tcBorders>
            <w:noWrap w:val="0"/>
            <w:vAlign w:val="center"/>
          </w:tcPr>
          <w:p w14:paraId="108BA604">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57" w:type="dxa"/>
            <w:tcBorders>
              <w:top w:val="nil"/>
              <w:left w:val="nil"/>
              <w:bottom w:val="single" w:color="auto" w:sz="4" w:space="0"/>
              <w:right w:val="single" w:color="auto" w:sz="4" w:space="0"/>
            </w:tcBorders>
            <w:noWrap w:val="0"/>
            <w:vAlign w:val="center"/>
          </w:tcPr>
          <w:p w14:paraId="518CF8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08FC82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1" w:type="dxa"/>
            <w:tcBorders>
              <w:top w:val="nil"/>
              <w:left w:val="nil"/>
              <w:bottom w:val="single" w:color="auto" w:sz="4" w:space="0"/>
              <w:right w:val="single" w:color="auto" w:sz="4" w:space="0"/>
            </w:tcBorders>
            <w:noWrap w:val="0"/>
            <w:vAlign w:val="center"/>
          </w:tcPr>
          <w:p w14:paraId="15A84D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2C4FEDE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055BC69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846" w:type="dxa"/>
            <w:tcBorders>
              <w:top w:val="nil"/>
              <w:left w:val="nil"/>
              <w:bottom w:val="single" w:color="auto" w:sz="4" w:space="0"/>
              <w:right w:val="single" w:color="auto" w:sz="4" w:space="0"/>
            </w:tcBorders>
            <w:noWrap w:val="0"/>
            <w:vAlign w:val="center"/>
          </w:tcPr>
          <w:p w14:paraId="69B2F2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16" w:type="dxa"/>
            <w:tcBorders>
              <w:top w:val="nil"/>
              <w:left w:val="nil"/>
              <w:bottom w:val="single" w:color="auto" w:sz="4" w:space="0"/>
              <w:right w:val="single" w:color="auto" w:sz="4" w:space="0"/>
            </w:tcBorders>
            <w:noWrap w:val="0"/>
            <w:vAlign w:val="center"/>
          </w:tcPr>
          <w:p w14:paraId="7C1A9E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600BE8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61B9AD03">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5</w:t>
            </w:r>
          </w:p>
        </w:tc>
        <w:tc>
          <w:tcPr>
            <w:tcW w:w="1872" w:type="dxa"/>
            <w:tcBorders>
              <w:top w:val="nil"/>
              <w:left w:val="nil"/>
              <w:bottom w:val="single" w:color="auto" w:sz="4" w:space="0"/>
              <w:right w:val="single" w:color="auto" w:sz="4" w:space="0"/>
            </w:tcBorders>
            <w:noWrap w:val="0"/>
            <w:vAlign w:val="center"/>
          </w:tcPr>
          <w:p w14:paraId="1C0D4C32">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零售业</w:t>
            </w:r>
          </w:p>
        </w:tc>
        <w:tc>
          <w:tcPr>
            <w:tcW w:w="1149" w:type="dxa"/>
            <w:tcBorders>
              <w:top w:val="nil"/>
              <w:left w:val="nil"/>
              <w:bottom w:val="single" w:color="auto" w:sz="4" w:space="0"/>
              <w:right w:val="single" w:color="auto" w:sz="4" w:space="0"/>
            </w:tcBorders>
            <w:noWrap w:val="0"/>
            <w:vAlign w:val="center"/>
          </w:tcPr>
          <w:p w14:paraId="1D4B868D">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885" w:type="dxa"/>
            <w:tcBorders>
              <w:top w:val="nil"/>
              <w:left w:val="nil"/>
              <w:bottom w:val="single" w:color="auto" w:sz="4" w:space="0"/>
              <w:right w:val="single" w:color="auto" w:sz="4" w:space="0"/>
            </w:tcBorders>
            <w:noWrap w:val="0"/>
            <w:vAlign w:val="center"/>
          </w:tcPr>
          <w:p w14:paraId="54F2088D">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60116FA0">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E274AED">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05" w:type="dxa"/>
            <w:tcBorders>
              <w:top w:val="nil"/>
              <w:left w:val="nil"/>
              <w:bottom w:val="single" w:color="auto" w:sz="4" w:space="0"/>
              <w:right w:val="single" w:color="auto" w:sz="4" w:space="0"/>
            </w:tcBorders>
            <w:noWrap w:val="0"/>
            <w:vAlign w:val="center"/>
          </w:tcPr>
          <w:p w14:paraId="665AC3BB">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57" w:type="dxa"/>
            <w:tcBorders>
              <w:top w:val="nil"/>
              <w:left w:val="nil"/>
              <w:bottom w:val="single" w:color="auto" w:sz="4" w:space="0"/>
              <w:right w:val="single" w:color="auto" w:sz="4" w:space="0"/>
            </w:tcBorders>
            <w:noWrap w:val="0"/>
            <w:vAlign w:val="center"/>
          </w:tcPr>
          <w:p w14:paraId="4C9C39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09629D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0AEE0B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1D1C57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03FC1D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65BB6E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313673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0F03D17">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168439D1">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6</w:t>
            </w:r>
          </w:p>
        </w:tc>
        <w:tc>
          <w:tcPr>
            <w:tcW w:w="1872" w:type="dxa"/>
            <w:tcBorders>
              <w:top w:val="nil"/>
              <w:left w:val="nil"/>
              <w:bottom w:val="single" w:color="auto" w:sz="4" w:space="0"/>
              <w:right w:val="single" w:color="auto" w:sz="4" w:space="0"/>
            </w:tcBorders>
            <w:noWrap w:val="0"/>
            <w:vAlign w:val="center"/>
          </w:tcPr>
          <w:p w14:paraId="5E883800">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交通运输业</w:t>
            </w:r>
          </w:p>
        </w:tc>
        <w:tc>
          <w:tcPr>
            <w:tcW w:w="1149" w:type="dxa"/>
            <w:tcBorders>
              <w:top w:val="nil"/>
              <w:left w:val="nil"/>
              <w:bottom w:val="single" w:color="auto" w:sz="4" w:space="0"/>
              <w:right w:val="single" w:color="auto" w:sz="4" w:space="0"/>
            </w:tcBorders>
            <w:noWrap w:val="0"/>
            <w:vAlign w:val="center"/>
          </w:tcPr>
          <w:p w14:paraId="6B540DE1">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noWrap w:val="0"/>
            <w:vAlign w:val="center"/>
          </w:tcPr>
          <w:p w14:paraId="183DBD00">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noWrap w:val="0"/>
            <w:vAlign w:val="center"/>
          </w:tcPr>
          <w:p w14:paraId="7309951C">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97115E3">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w:t>
            </w:r>
          </w:p>
        </w:tc>
        <w:tc>
          <w:tcPr>
            <w:tcW w:w="905" w:type="dxa"/>
            <w:tcBorders>
              <w:top w:val="nil"/>
              <w:left w:val="nil"/>
              <w:bottom w:val="single" w:color="auto" w:sz="4" w:space="0"/>
              <w:right w:val="single" w:color="auto" w:sz="4" w:space="0"/>
            </w:tcBorders>
            <w:noWrap w:val="0"/>
            <w:vAlign w:val="center"/>
          </w:tcPr>
          <w:p w14:paraId="0C109593">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noWrap w:val="0"/>
            <w:vAlign w:val="center"/>
          </w:tcPr>
          <w:p w14:paraId="153C28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6B3CA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21" w:type="dxa"/>
            <w:tcBorders>
              <w:top w:val="nil"/>
              <w:left w:val="nil"/>
              <w:bottom w:val="single" w:color="auto" w:sz="4" w:space="0"/>
              <w:right w:val="single" w:color="auto" w:sz="4" w:space="0"/>
            </w:tcBorders>
            <w:noWrap w:val="0"/>
            <w:vAlign w:val="center"/>
          </w:tcPr>
          <w:p w14:paraId="656F0B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noWrap w:val="0"/>
            <w:vAlign w:val="center"/>
          </w:tcPr>
          <w:p w14:paraId="5C81BB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38F57B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846" w:type="dxa"/>
            <w:tcBorders>
              <w:top w:val="nil"/>
              <w:left w:val="nil"/>
              <w:bottom w:val="single" w:color="auto" w:sz="4" w:space="0"/>
              <w:right w:val="single" w:color="auto" w:sz="4" w:space="0"/>
            </w:tcBorders>
            <w:noWrap w:val="0"/>
            <w:vAlign w:val="center"/>
          </w:tcPr>
          <w:p w14:paraId="6464E5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noWrap w:val="0"/>
            <w:vAlign w:val="center"/>
          </w:tcPr>
          <w:p w14:paraId="70A121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E5EAB7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33639964">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7</w:t>
            </w:r>
          </w:p>
        </w:tc>
        <w:tc>
          <w:tcPr>
            <w:tcW w:w="1872" w:type="dxa"/>
            <w:tcBorders>
              <w:top w:val="nil"/>
              <w:left w:val="nil"/>
              <w:bottom w:val="single" w:color="auto" w:sz="4" w:space="0"/>
              <w:right w:val="single" w:color="auto" w:sz="4" w:space="0"/>
            </w:tcBorders>
            <w:noWrap w:val="0"/>
            <w:vAlign w:val="center"/>
          </w:tcPr>
          <w:p w14:paraId="40731AA5">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仓储业</w:t>
            </w:r>
          </w:p>
        </w:tc>
        <w:tc>
          <w:tcPr>
            <w:tcW w:w="1149" w:type="dxa"/>
            <w:tcBorders>
              <w:top w:val="nil"/>
              <w:left w:val="nil"/>
              <w:bottom w:val="single" w:color="auto" w:sz="4" w:space="0"/>
              <w:right w:val="single" w:color="auto" w:sz="4" w:space="0"/>
            </w:tcBorders>
            <w:noWrap w:val="0"/>
            <w:vAlign w:val="center"/>
          </w:tcPr>
          <w:p w14:paraId="1A641DF2">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noWrap w:val="0"/>
            <w:vAlign w:val="center"/>
          </w:tcPr>
          <w:p w14:paraId="42624719">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02" w:type="dxa"/>
            <w:tcBorders>
              <w:top w:val="nil"/>
              <w:left w:val="nil"/>
              <w:bottom w:val="single" w:color="auto" w:sz="4" w:space="0"/>
              <w:right w:val="single" w:color="auto" w:sz="4" w:space="0"/>
            </w:tcBorders>
            <w:noWrap w:val="0"/>
            <w:vAlign w:val="center"/>
          </w:tcPr>
          <w:p w14:paraId="3DEA35D5">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3018966E">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noWrap w:val="0"/>
            <w:vAlign w:val="center"/>
          </w:tcPr>
          <w:p w14:paraId="4F606B28">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4DD820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ADF7A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7A25AF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noWrap w:val="0"/>
            <w:vAlign w:val="center"/>
          </w:tcPr>
          <w:p w14:paraId="722528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74AD96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1287CB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noWrap w:val="0"/>
            <w:vAlign w:val="center"/>
          </w:tcPr>
          <w:p w14:paraId="46DFEE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783FAF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858A454">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8</w:t>
            </w:r>
          </w:p>
        </w:tc>
        <w:tc>
          <w:tcPr>
            <w:tcW w:w="1872" w:type="dxa"/>
            <w:tcBorders>
              <w:top w:val="nil"/>
              <w:left w:val="nil"/>
              <w:bottom w:val="single" w:color="auto" w:sz="4" w:space="0"/>
              <w:right w:val="single" w:color="auto" w:sz="4" w:space="0"/>
            </w:tcBorders>
            <w:noWrap w:val="0"/>
            <w:vAlign w:val="center"/>
          </w:tcPr>
          <w:p w14:paraId="006C8438">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邮政业</w:t>
            </w:r>
          </w:p>
        </w:tc>
        <w:tc>
          <w:tcPr>
            <w:tcW w:w="1149" w:type="dxa"/>
            <w:tcBorders>
              <w:top w:val="nil"/>
              <w:left w:val="nil"/>
              <w:bottom w:val="single" w:color="auto" w:sz="4" w:space="0"/>
              <w:right w:val="single" w:color="auto" w:sz="4" w:space="0"/>
            </w:tcBorders>
            <w:noWrap w:val="0"/>
            <w:vAlign w:val="center"/>
          </w:tcPr>
          <w:p w14:paraId="78D9C9CB">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noWrap w:val="0"/>
            <w:vAlign w:val="center"/>
          </w:tcPr>
          <w:p w14:paraId="25A0FF34">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noWrap w:val="0"/>
            <w:vAlign w:val="center"/>
          </w:tcPr>
          <w:p w14:paraId="5A406399">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2E6B5A77">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noWrap w:val="0"/>
            <w:vAlign w:val="center"/>
          </w:tcPr>
          <w:p w14:paraId="190C285E">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noWrap w:val="0"/>
            <w:vAlign w:val="center"/>
          </w:tcPr>
          <w:p w14:paraId="7DFBC6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B42C3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28C96D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noWrap w:val="0"/>
            <w:vAlign w:val="center"/>
          </w:tcPr>
          <w:p w14:paraId="4D92E1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37499E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05AA9B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noWrap w:val="0"/>
            <w:vAlign w:val="center"/>
          </w:tcPr>
          <w:p w14:paraId="058B18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2B9DC7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3A3408C2">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9</w:t>
            </w:r>
          </w:p>
        </w:tc>
        <w:tc>
          <w:tcPr>
            <w:tcW w:w="1872" w:type="dxa"/>
            <w:tcBorders>
              <w:top w:val="nil"/>
              <w:left w:val="nil"/>
              <w:bottom w:val="single" w:color="auto" w:sz="4" w:space="0"/>
              <w:right w:val="single" w:color="auto" w:sz="4" w:space="0"/>
            </w:tcBorders>
            <w:noWrap w:val="0"/>
            <w:vAlign w:val="center"/>
          </w:tcPr>
          <w:p w14:paraId="0B2751C7">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住宿业</w:t>
            </w:r>
          </w:p>
        </w:tc>
        <w:tc>
          <w:tcPr>
            <w:tcW w:w="1149" w:type="dxa"/>
            <w:tcBorders>
              <w:top w:val="nil"/>
              <w:left w:val="nil"/>
              <w:bottom w:val="single" w:color="auto" w:sz="4" w:space="0"/>
              <w:right w:val="single" w:color="auto" w:sz="4" w:space="0"/>
            </w:tcBorders>
            <w:noWrap w:val="0"/>
            <w:vAlign w:val="center"/>
          </w:tcPr>
          <w:p w14:paraId="5C1D6F1A">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noWrap w:val="0"/>
            <w:vAlign w:val="center"/>
          </w:tcPr>
          <w:p w14:paraId="435B70BF">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531C700B">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3C0E6FD">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noWrap w:val="0"/>
            <w:vAlign w:val="center"/>
          </w:tcPr>
          <w:p w14:paraId="25DDCF99">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1A9B70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4D3BD1F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3BBB03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237E89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2A4B0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4A04D5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2D2F6D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017727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5D384AA">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10</w:t>
            </w:r>
          </w:p>
        </w:tc>
        <w:tc>
          <w:tcPr>
            <w:tcW w:w="1872" w:type="dxa"/>
            <w:tcBorders>
              <w:top w:val="nil"/>
              <w:left w:val="nil"/>
              <w:bottom w:val="single" w:color="auto" w:sz="4" w:space="0"/>
              <w:right w:val="single" w:color="auto" w:sz="4" w:space="0"/>
            </w:tcBorders>
            <w:noWrap w:val="0"/>
            <w:vAlign w:val="center"/>
          </w:tcPr>
          <w:p w14:paraId="74C9DC00">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餐饮业</w:t>
            </w:r>
          </w:p>
        </w:tc>
        <w:tc>
          <w:tcPr>
            <w:tcW w:w="1149" w:type="dxa"/>
            <w:tcBorders>
              <w:top w:val="nil"/>
              <w:left w:val="nil"/>
              <w:bottom w:val="single" w:color="auto" w:sz="4" w:space="0"/>
              <w:right w:val="single" w:color="auto" w:sz="4" w:space="0"/>
            </w:tcBorders>
            <w:noWrap w:val="0"/>
            <w:vAlign w:val="center"/>
          </w:tcPr>
          <w:p w14:paraId="084F6BDB">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noWrap w:val="0"/>
            <w:vAlign w:val="center"/>
          </w:tcPr>
          <w:p w14:paraId="6B338A68">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1F2DC04D">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3C38A4DE">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noWrap w:val="0"/>
            <w:vAlign w:val="center"/>
          </w:tcPr>
          <w:p w14:paraId="014465BD">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0EA4BB4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4B2D4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17FA2D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25F291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4AA83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105B26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15AC71F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510A99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74F53B49">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11</w:t>
            </w:r>
          </w:p>
        </w:tc>
        <w:tc>
          <w:tcPr>
            <w:tcW w:w="1872" w:type="dxa"/>
            <w:tcBorders>
              <w:top w:val="nil"/>
              <w:left w:val="nil"/>
              <w:bottom w:val="single" w:color="auto" w:sz="4" w:space="0"/>
              <w:right w:val="single" w:color="auto" w:sz="4" w:space="0"/>
            </w:tcBorders>
            <w:noWrap w:val="0"/>
            <w:vAlign w:val="center"/>
          </w:tcPr>
          <w:p w14:paraId="41BFB749">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信息传输业</w:t>
            </w:r>
          </w:p>
        </w:tc>
        <w:tc>
          <w:tcPr>
            <w:tcW w:w="1149" w:type="dxa"/>
            <w:tcBorders>
              <w:top w:val="nil"/>
              <w:left w:val="nil"/>
              <w:bottom w:val="single" w:color="auto" w:sz="4" w:space="0"/>
              <w:right w:val="single" w:color="auto" w:sz="4" w:space="0"/>
            </w:tcBorders>
            <w:noWrap w:val="0"/>
            <w:vAlign w:val="center"/>
          </w:tcPr>
          <w:p w14:paraId="06251B87">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≥100000</w:t>
            </w:r>
          </w:p>
        </w:tc>
        <w:tc>
          <w:tcPr>
            <w:tcW w:w="885" w:type="dxa"/>
            <w:tcBorders>
              <w:top w:val="nil"/>
              <w:left w:val="nil"/>
              <w:bottom w:val="single" w:color="auto" w:sz="4" w:space="0"/>
              <w:right w:val="single" w:color="auto" w:sz="4" w:space="0"/>
            </w:tcBorders>
            <w:noWrap w:val="0"/>
            <w:vAlign w:val="center"/>
          </w:tcPr>
          <w:p w14:paraId="04273057">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2" w:type="dxa"/>
            <w:tcBorders>
              <w:top w:val="nil"/>
              <w:left w:val="nil"/>
              <w:bottom w:val="single" w:color="auto" w:sz="4" w:space="0"/>
              <w:right w:val="single" w:color="auto" w:sz="4" w:space="0"/>
            </w:tcBorders>
            <w:noWrap w:val="0"/>
            <w:vAlign w:val="center"/>
          </w:tcPr>
          <w:p w14:paraId="1C834659">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C4D5B43">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noWrap w:val="0"/>
            <w:vAlign w:val="center"/>
          </w:tcPr>
          <w:p w14:paraId="4185D78B">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75B8F2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0989F9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4E0294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3DDDD7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62220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3675DB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292331F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F50440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04FB19BD">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12</w:t>
            </w:r>
          </w:p>
        </w:tc>
        <w:tc>
          <w:tcPr>
            <w:tcW w:w="1872" w:type="dxa"/>
            <w:tcBorders>
              <w:top w:val="nil"/>
              <w:left w:val="nil"/>
              <w:bottom w:val="single" w:color="auto" w:sz="4" w:space="0"/>
              <w:right w:val="single" w:color="auto" w:sz="4" w:space="0"/>
            </w:tcBorders>
            <w:noWrap w:val="0"/>
            <w:vAlign w:val="center"/>
          </w:tcPr>
          <w:p w14:paraId="190165A5">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软件和信息技术服务业</w:t>
            </w:r>
          </w:p>
        </w:tc>
        <w:tc>
          <w:tcPr>
            <w:tcW w:w="1149" w:type="dxa"/>
            <w:tcBorders>
              <w:top w:val="nil"/>
              <w:left w:val="nil"/>
              <w:bottom w:val="single" w:color="auto" w:sz="4" w:space="0"/>
              <w:right w:val="single" w:color="auto" w:sz="4" w:space="0"/>
            </w:tcBorders>
            <w:noWrap w:val="0"/>
            <w:vAlign w:val="center"/>
          </w:tcPr>
          <w:p w14:paraId="04BEEC2D">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noWrap w:val="0"/>
            <w:vAlign w:val="center"/>
          </w:tcPr>
          <w:p w14:paraId="3172DFA7">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4CEB149E">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E84A8B5">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noWrap w:val="0"/>
            <w:vAlign w:val="center"/>
          </w:tcPr>
          <w:p w14:paraId="58ADA025">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54226C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F4391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21" w:type="dxa"/>
            <w:tcBorders>
              <w:top w:val="nil"/>
              <w:left w:val="nil"/>
              <w:bottom w:val="single" w:color="auto" w:sz="4" w:space="0"/>
              <w:right w:val="single" w:color="auto" w:sz="4" w:space="0"/>
            </w:tcBorders>
            <w:noWrap w:val="0"/>
            <w:vAlign w:val="center"/>
          </w:tcPr>
          <w:p w14:paraId="49384C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05F2B7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0554B0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46" w:type="dxa"/>
            <w:tcBorders>
              <w:top w:val="nil"/>
              <w:left w:val="nil"/>
              <w:bottom w:val="single" w:color="auto" w:sz="4" w:space="0"/>
              <w:right w:val="single" w:color="auto" w:sz="4" w:space="0"/>
            </w:tcBorders>
            <w:noWrap w:val="0"/>
            <w:vAlign w:val="center"/>
          </w:tcPr>
          <w:p w14:paraId="4858B6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255047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C33FEA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6704AFD0">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13</w:t>
            </w:r>
          </w:p>
        </w:tc>
        <w:tc>
          <w:tcPr>
            <w:tcW w:w="1872" w:type="dxa"/>
            <w:tcBorders>
              <w:top w:val="nil"/>
              <w:left w:val="nil"/>
              <w:bottom w:val="single" w:color="auto" w:sz="4" w:space="0"/>
              <w:right w:val="single" w:color="auto" w:sz="4" w:space="0"/>
            </w:tcBorders>
            <w:noWrap w:val="0"/>
            <w:vAlign w:val="center"/>
          </w:tcPr>
          <w:p w14:paraId="1685F523">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房地产开发经验</w:t>
            </w:r>
          </w:p>
        </w:tc>
        <w:tc>
          <w:tcPr>
            <w:tcW w:w="1149" w:type="dxa"/>
            <w:tcBorders>
              <w:top w:val="nil"/>
              <w:left w:val="nil"/>
              <w:bottom w:val="single" w:color="auto" w:sz="4" w:space="0"/>
              <w:right w:val="single" w:color="auto" w:sz="4" w:space="0"/>
            </w:tcBorders>
            <w:noWrap w:val="0"/>
            <w:vAlign w:val="center"/>
          </w:tcPr>
          <w:p w14:paraId="0F4CEF6F">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≥200000</w:t>
            </w:r>
          </w:p>
        </w:tc>
        <w:tc>
          <w:tcPr>
            <w:tcW w:w="885" w:type="dxa"/>
            <w:tcBorders>
              <w:top w:val="nil"/>
              <w:left w:val="nil"/>
              <w:bottom w:val="single" w:color="auto" w:sz="4" w:space="0"/>
              <w:right w:val="single" w:color="auto" w:sz="4" w:space="0"/>
            </w:tcBorders>
            <w:noWrap w:val="0"/>
            <w:vAlign w:val="center"/>
          </w:tcPr>
          <w:p w14:paraId="4DCD46B4">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noWrap w:val="0"/>
            <w:vAlign w:val="center"/>
          </w:tcPr>
          <w:p w14:paraId="5BC8E6A7">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或,≥10000</w:t>
            </w:r>
          </w:p>
        </w:tc>
        <w:tc>
          <w:tcPr>
            <w:tcW w:w="1063" w:type="dxa"/>
            <w:tcBorders>
              <w:top w:val="nil"/>
              <w:left w:val="nil"/>
              <w:bottom w:val="single" w:color="auto" w:sz="4" w:space="0"/>
              <w:right w:val="single" w:color="auto" w:sz="4" w:space="0"/>
            </w:tcBorders>
            <w:noWrap w:val="0"/>
            <w:vAlign w:val="center"/>
          </w:tcPr>
          <w:p w14:paraId="541CE925">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noWrap w:val="0"/>
            <w:vAlign w:val="center"/>
          </w:tcPr>
          <w:p w14:paraId="672323DB">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noWrap w:val="0"/>
            <w:vAlign w:val="center"/>
          </w:tcPr>
          <w:p w14:paraId="2D8EDF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且,≥5000</w:t>
            </w:r>
          </w:p>
        </w:tc>
        <w:tc>
          <w:tcPr>
            <w:tcW w:w="1063" w:type="dxa"/>
            <w:tcBorders>
              <w:top w:val="nil"/>
              <w:left w:val="nil"/>
              <w:bottom w:val="single" w:color="auto" w:sz="4" w:space="0"/>
              <w:right w:val="single" w:color="auto" w:sz="4" w:space="0"/>
            </w:tcBorders>
            <w:noWrap w:val="0"/>
            <w:vAlign w:val="center"/>
          </w:tcPr>
          <w:p w14:paraId="6F6BA4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noWrap w:val="0"/>
            <w:vAlign w:val="center"/>
          </w:tcPr>
          <w:p w14:paraId="6DC764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noWrap w:val="0"/>
            <w:vAlign w:val="center"/>
          </w:tcPr>
          <w:p w14:paraId="6642A58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且,≥2000</w:t>
            </w:r>
          </w:p>
        </w:tc>
        <w:tc>
          <w:tcPr>
            <w:tcW w:w="1063" w:type="dxa"/>
            <w:tcBorders>
              <w:top w:val="nil"/>
              <w:left w:val="nil"/>
              <w:bottom w:val="single" w:color="auto" w:sz="4" w:space="0"/>
              <w:right w:val="single" w:color="auto" w:sz="4" w:space="0"/>
            </w:tcBorders>
            <w:noWrap w:val="0"/>
            <w:vAlign w:val="center"/>
          </w:tcPr>
          <w:p w14:paraId="519A5A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noWrap w:val="0"/>
            <w:vAlign w:val="center"/>
          </w:tcPr>
          <w:p w14:paraId="6238CD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noWrap w:val="0"/>
            <w:vAlign w:val="center"/>
          </w:tcPr>
          <w:p w14:paraId="7E6163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或,＜2000</w:t>
            </w:r>
          </w:p>
        </w:tc>
      </w:tr>
      <w:tr w14:paraId="737AB7C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27130042">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14</w:t>
            </w:r>
          </w:p>
        </w:tc>
        <w:tc>
          <w:tcPr>
            <w:tcW w:w="1872" w:type="dxa"/>
            <w:tcBorders>
              <w:top w:val="nil"/>
              <w:left w:val="nil"/>
              <w:bottom w:val="single" w:color="auto" w:sz="4" w:space="0"/>
              <w:right w:val="single" w:color="auto" w:sz="4" w:space="0"/>
            </w:tcBorders>
            <w:noWrap w:val="0"/>
            <w:vAlign w:val="center"/>
          </w:tcPr>
          <w:p w14:paraId="111FF347">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物业管理</w:t>
            </w:r>
          </w:p>
        </w:tc>
        <w:tc>
          <w:tcPr>
            <w:tcW w:w="1149" w:type="dxa"/>
            <w:tcBorders>
              <w:top w:val="nil"/>
              <w:left w:val="nil"/>
              <w:bottom w:val="single" w:color="auto" w:sz="4" w:space="0"/>
              <w:right w:val="single" w:color="auto" w:sz="4" w:space="0"/>
            </w:tcBorders>
            <w:noWrap w:val="0"/>
            <w:vAlign w:val="center"/>
          </w:tcPr>
          <w:p w14:paraId="1D123143">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885" w:type="dxa"/>
            <w:tcBorders>
              <w:top w:val="nil"/>
              <w:left w:val="nil"/>
              <w:bottom w:val="single" w:color="auto" w:sz="4" w:space="0"/>
              <w:right w:val="single" w:color="auto" w:sz="4" w:space="0"/>
            </w:tcBorders>
            <w:noWrap w:val="0"/>
            <w:vAlign w:val="center"/>
          </w:tcPr>
          <w:p w14:paraId="27B8F45A">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noWrap w:val="0"/>
            <w:vAlign w:val="center"/>
          </w:tcPr>
          <w:p w14:paraId="2D4A8B19">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52D315C0">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noWrap w:val="0"/>
            <w:vAlign w:val="center"/>
          </w:tcPr>
          <w:p w14:paraId="00DC29F6">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noWrap w:val="0"/>
            <w:vAlign w:val="center"/>
          </w:tcPr>
          <w:p w14:paraId="0D7363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7B7F2F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21" w:type="dxa"/>
            <w:tcBorders>
              <w:top w:val="nil"/>
              <w:left w:val="nil"/>
              <w:bottom w:val="single" w:color="auto" w:sz="4" w:space="0"/>
              <w:right w:val="single" w:color="auto" w:sz="4" w:space="0"/>
            </w:tcBorders>
            <w:noWrap w:val="0"/>
            <w:vAlign w:val="center"/>
          </w:tcPr>
          <w:p w14:paraId="7FC4150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63" w:type="dxa"/>
            <w:tcBorders>
              <w:top w:val="nil"/>
              <w:left w:val="nil"/>
              <w:bottom w:val="single" w:color="auto" w:sz="4" w:space="0"/>
              <w:right w:val="single" w:color="auto" w:sz="4" w:space="0"/>
            </w:tcBorders>
            <w:noWrap w:val="0"/>
            <w:vAlign w:val="center"/>
          </w:tcPr>
          <w:p w14:paraId="3393A5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60E887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846" w:type="dxa"/>
            <w:tcBorders>
              <w:top w:val="nil"/>
              <w:left w:val="nil"/>
              <w:bottom w:val="single" w:color="auto" w:sz="4" w:space="0"/>
              <w:right w:val="single" w:color="auto" w:sz="4" w:space="0"/>
            </w:tcBorders>
            <w:noWrap w:val="0"/>
            <w:vAlign w:val="center"/>
          </w:tcPr>
          <w:p w14:paraId="7648FD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16" w:type="dxa"/>
            <w:tcBorders>
              <w:top w:val="nil"/>
              <w:left w:val="nil"/>
              <w:bottom w:val="single" w:color="auto" w:sz="4" w:space="0"/>
              <w:right w:val="single" w:color="auto" w:sz="4" w:space="0"/>
            </w:tcBorders>
            <w:noWrap w:val="0"/>
            <w:vAlign w:val="center"/>
          </w:tcPr>
          <w:p w14:paraId="5F4D52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F68D74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318DD304">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15</w:t>
            </w:r>
          </w:p>
        </w:tc>
        <w:tc>
          <w:tcPr>
            <w:tcW w:w="1872" w:type="dxa"/>
            <w:tcBorders>
              <w:top w:val="nil"/>
              <w:left w:val="nil"/>
              <w:bottom w:val="single" w:color="auto" w:sz="4" w:space="0"/>
              <w:right w:val="single" w:color="auto" w:sz="4" w:space="0"/>
            </w:tcBorders>
            <w:noWrap w:val="0"/>
            <w:vAlign w:val="center"/>
          </w:tcPr>
          <w:p w14:paraId="10F51163">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租赁和商务服务业</w:t>
            </w:r>
          </w:p>
        </w:tc>
        <w:tc>
          <w:tcPr>
            <w:tcW w:w="1149" w:type="dxa"/>
            <w:tcBorders>
              <w:top w:val="nil"/>
              <w:left w:val="nil"/>
              <w:bottom w:val="single" w:color="auto" w:sz="4" w:space="0"/>
              <w:right w:val="single" w:color="auto" w:sz="4" w:space="0"/>
            </w:tcBorders>
            <w:noWrap w:val="0"/>
            <w:vAlign w:val="center"/>
          </w:tcPr>
          <w:p w14:paraId="71497852">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85" w:type="dxa"/>
            <w:tcBorders>
              <w:top w:val="nil"/>
              <w:left w:val="nil"/>
              <w:bottom w:val="single" w:color="auto" w:sz="4" w:space="0"/>
              <w:right w:val="single" w:color="auto" w:sz="4" w:space="0"/>
            </w:tcBorders>
            <w:noWrap w:val="0"/>
            <w:vAlign w:val="center"/>
          </w:tcPr>
          <w:p w14:paraId="1E159CC8">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2954221F">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或,≥120000</w:t>
            </w:r>
          </w:p>
        </w:tc>
        <w:tc>
          <w:tcPr>
            <w:tcW w:w="1063" w:type="dxa"/>
            <w:tcBorders>
              <w:top w:val="nil"/>
              <w:left w:val="nil"/>
              <w:bottom w:val="single" w:color="auto" w:sz="4" w:space="0"/>
              <w:right w:val="single" w:color="auto" w:sz="4" w:space="0"/>
            </w:tcBorders>
            <w:noWrap w:val="0"/>
            <w:vAlign w:val="center"/>
          </w:tcPr>
          <w:p w14:paraId="168C5C0F">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5" w:type="dxa"/>
            <w:tcBorders>
              <w:top w:val="nil"/>
              <w:left w:val="nil"/>
              <w:bottom w:val="single" w:color="auto" w:sz="4" w:space="0"/>
              <w:right w:val="single" w:color="auto" w:sz="4" w:space="0"/>
            </w:tcBorders>
            <w:noWrap w:val="0"/>
            <w:vAlign w:val="center"/>
          </w:tcPr>
          <w:p w14:paraId="6A6AA9BF">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3A92FB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且,≥8000</w:t>
            </w:r>
          </w:p>
        </w:tc>
        <w:tc>
          <w:tcPr>
            <w:tcW w:w="1063" w:type="dxa"/>
            <w:tcBorders>
              <w:top w:val="nil"/>
              <w:left w:val="nil"/>
              <w:bottom w:val="single" w:color="auto" w:sz="4" w:space="0"/>
              <w:right w:val="single" w:color="auto" w:sz="4" w:space="0"/>
            </w:tcBorders>
            <w:noWrap w:val="0"/>
            <w:vAlign w:val="center"/>
          </w:tcPr>
          <w:p w14:paraId="490114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1" w:type="dxa"/>
            <w:tcBorders>
              <w:top w:val="nil"/>
              <w:left w:val="nil"/>
              <w:bottom w:val="single" w:color="auto" w:sz="4" w:space="0"/>
              <w:right w:val="single" w:color="auto" w:sz="4" w:space="0"/>
            </w:tcBorders>
            <w:noWrap w:val="0"/>
            <w:vAlign w:val="center"/>
          </w:tcPr>
          <w:p w14:paraId="1CD6E1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745CB6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且,≥100</w:t>
            </w:r>
          </w:p>
        </w:tc>
        <w:tc>
          <w:tcPr>
            <w:tcW w:w="1063" w:type="dxa"/>
            <w:tcBorders>
              <w:top w:val="nil"/>
              <w:left w:val="nil"/>
              <w:bottom w:val="single" w:color="auto" w:sz="4" w:space="0"/>
              <w:right w:val="single" w:color="auto" w:sz="4" w:space="0"/>
            </w:tcBorders>
            <w:noWrap w:val="0"/>
            <w:vAlign w:val="center"/>
          </w:tcPr>
          <w:p w14:paraId="68AD63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46" w:type="dxa"/>
            <w:tcBorders>
              <w:top w:val="nil"/>
              <w:left w:val="nil"/>
              <w:bottom w:val="single" w:color="auto" w:sz="4" w:space="0"/>
              <w:right w:val="single" w:color="auto" w:sz="4" w:space="0"/>
            </w:tcBorders>
            <w:noWrap w:val="0"/>
            <w:vAlign w:val="center"/>
          </w:tcPr>
          <w:p w14:paraId="1C0468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67B1DAE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或,＜100</w:t>
            </w:r>
          </w:p>
        </w:tc>
      </w:tr>
      <w:tr w14:paraId="2A16F63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noWrap w:val="0"/>
            <w:vAlign w:val="center"/>
          </w:tcPr>
          <w:p w14:paraId="1EDA920B">
            <w:pPr>
              <w:widowControl/>
              <w:ind w:left="-107" w:leftChars="-51" w:right="-107"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16</w:t>
            </w:r>
          </w:p>
        </w:tc>
        <w:tc>
          <w:tcPr>
            <w:tcW w:w="1872" w:type="dxa"/>
            <w:tcBorders>
              <w:top w:val="nil"/>
              <w:left w:val="nil"/>
              <w:bottom w:val="single" w:color="auto" w:sz="4" w:space="0"/>
              <w:right w:val="single" w:color="auto" w:sz="4" w:space="0"/>
            </w:tcBorders>
            <w:noWrap w:val="0"/>
            <w:vAlign w:val="center"/>
          </w:tcPr>
          <w:p w14:paraId="42B0B0F3">
            <w:pPr>
              <w:ind w:left="-27" w:leftChars="-13"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其他未列明行业</w:t>
            </w:r>
          </w:p>
        </w:tc>
        <w:tc>
          <w:tcPr>
            <w:tcW w:w="1149" w:type="dxa"/>
            <w:tcBorders>
              <w:top w:val="nil"/>
              <w:left w:val="nil"/>
              <w:bottom w:val="single" w:color="auto" w:sz="4" w:space="0"/>
              <w:right w:val="single" w:color="auto" w:sz="4" w:space="0"/>
            </w:tcBorders>
            <w:noWrap w:val="0"/>
            <w:vAlign w:val="center"/>
          </w:tcPr>
          <w:p w14:paraId="5C9327FF">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85" w:type="dxa"/>
            <w:tcBorders>
              <w:top w:val="nil"/>
              <w:left w:val="nil"/>
              <w:bottom w:val="single" w:color="auto" w:sz="4" w:space="0"/>
              <w:right w:val="single" w:color="auto" w:sz="4" w:space="0"/>
            </w:tcBorders>
            <w:noWrap w:val="0"/>
            <w:vAlign w:val="center"/>
          </w:tcPr>
          <w:p w14:paraId="1081544B">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noWrap w:val="0"/>
            <w:vAlign w:val="center"/>
          </w:tcPr>
          <w:p w14:paraId="15E1D091">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3CE06A24">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5" w:type="dxa"/>
            <w:tcBorders>
              <w:top w:val="nil"/>
              <w:left w:val="nil"/>
              <w:bottom w:val="single" w:color="auto" w:sz="4" w:space="0"/>
              <w:right w:val="single" w:color="auto" w:sz="4" w:space="0"/>
            </w:tcBorders>
            <w:noWrap w:val="0"/>
            <w:vAlign w:val="center"/>
          </w:tcPr>
          <w:p w14:paraId="58615629">
            <w:pPr>
              <w:widowControl/>
              <w:ind w:left="-107" w:leftChars="-51"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noWrap w:val="0"/>
            <w:vAlign w:val="center"/>
          </w:tcPr>
          <w:p w14:paraId="67FA3B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179252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1" w:type="dxa"/>
            <w:tcBorders>
              <w:top w:val="nil"/>
              <w:left w:val="nil"/>
              <w:bottom w:val="single" w:color="auto" w:sz="4" w:space="0"/>
              <w:right w:val="single" w:color="auto" w:sz="4" w:space="0"/>
            </w:tcBorders>
            <w:noWrap w:val="0"/>
            <w:vAlign w:val="center"/>
          </w:tcPr>
          <w:p w14:paraId="6793C3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noWrap w:val="0"/>
            <w:vAlign w:val="center"/>
          </w:tcPr>
          <w:p w14:paraId="2F1BF4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noWrap w:val="0"/>
            <w:vAlign w:val="center"/>
          </w:tcPr>
          <w:p w14:paraId="7147EF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46" w:type="dxa"/>
            <w:tcBorders>
              <w:top w:val="nil"/>
              <w:left w:val="nil"/>
              <w:bottom w:val="single" w:color="auto" w:sz="4" w:space="0"/>
              <w:right w:val="single" w:color="auto" w:sz="4" w:space="0"/>
            </w:tcBorders>
            <w:noWrap w:val="0"/>
            <w:vAlign w:val="center"/>
          </w:tcPr>
          <w:p w14:paraId="1DDAC6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noWrap w:val="0"/>
            <w:vAlign w:val="center"/>
          </w:tcPr>
          <w:p w14:paraId="410A43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14:paraId="6A257D95">
      <w:pPr>
        <w:pStyle w:val="5"/>
        <w:rPr>
          <w:color w:val="auto"/>
        </w:rPr>
        <w:sectPr>
          <w:pgSz w:w="16840" w:h="11907" w:orient="landscape"/>
          <w:pgMar w:top="1531" w:right="1418" w:bottom="1134" w:left="1418" w:header="851" w:footer="992" w:gutter="0"/>
          <w:pgNumType w:fmt="decimal"/>
          <w:cols w:space="720" w:num="1"/>
          <w:titlePg/>
          <w:docGrid w:linePitch="312" w:charSpace="0"/>
        </w:sectPr>
      </w:pPr>
    </w:p>
    <w:p w14:paraId="1AE2B982">
      <w:pPr>
        <w:widowControl/>
        <w:autoSpaceDE w:val="0"/>
        <w:autoSpaceDN w:val="0"/>
        <w:spacing w:line="360" w:lineRule="auto"/>
        <w:ind w:right="-11"/>
        <w:jc w:val="center"/>
        <w:textAlignment w:val="bottom"/>
        <w:rPr>
          <w:rFonts w:ascii="Arial" w:hAnsi="Arial" w:cs="Arial"/>
          <w:b/>
          <w:bCs/>
          <w:color w:val="auto"/>
          <w:sz w:val="32"/>
          <w:szCs w:val="32"/>
          <w:highlight w:val="none"/>
        </w:rPr>
      </w:pPr>
      <w:r>
        <w:rPr>
          <w:rFonts w:hint="eastAsia" w:ascii="Arial" w:hAnsi="Arial" w:cs="Arial"/>
          <w:b/>
          <w:bCs/>
          <w:color w:val="auto"/>
          <w:sz w:val="32"/>
          <w:szCs w:val="32"/>
          <w:highlight w:val="none"/>
          <w:lang w:val="en-US" w:eastAsia="zh-CN"/>
        </w:rPr>
        <w:t>10</w:t>
      </w:r>
      <w:r>
        <w:rPr>
          <w:rFonts w:hint="eastAsia" w:ascii="Arial" w:hAnsi="Arial" w:cs="Arial"/>
          <w:b/>
          <w:bCs/>
          <w:color w:val="auto"/>
          <w:sz w:val="32"/>
          <w:szCs w:val="32"/>
          <w:highlight w:val="none"/>
        </w:rPr>
        <w:t>.残疾人福利性单位声明函</w:t>
      </w:r>
    </w:p>
    <w:p w14:paraId="462EA0C6">
      <w:pPr>
        <w:autoSpaceDE w:val="0"/>
        <w:autoSpaceDN w:val="0"/>
        <w:adjustRightInd w:val="0"/>
        <w:spacing w:before="156" w:beforeLines="50" w:after="156" w:afterLines="50"/>
        <w:ind w:firstLine="420" w:firstLineChars="20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（如果是，提供）</w:t>
      </w:r>
    </w:p>
    <w:p w14:paraId="67AB7668">
      <w:pPr>
        <w:autoSpaceDE w:val="0"/>
        <w:autoSpaceDN w:val="0"/>
        <w:adjustRightInd w:val="0"/>
        <w:spacing w:before="156" w:beforeLines="50" w:after="156" w:afterLines="50"/>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64598B60">
      <w:pPr>
        <w:autoSpaceDE w:val="0"/>
        <w:autoSpaceDN w:val="0"/>
        <w:adjustRightInd w:val="0"/>
        <w:spacing w:before="156" w:beforeLines="50" w:after="156" w:afterLines="50"/>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本单位对上述声明的真实性负责。如有虚假，将依法承担相应责任。</w:t>
      </w:r>
    </w:p>
    <w:p w14:paraId="2052A64A">
      <w:pPr>
        <w:adjustRightInd w:val="0"/>
        <w:snapToGrid w:val="0"/>
        <w:ind w:firstLine="420" w:firstLineChars="200"/>
        <w:rPr>
          <w:rFonts w:hint="eastAsia" w:ascii="宋体" w:hAnsi="宋体" w:cs="宋体"/>
          <w:snapToGrid w:val="0"/>
          <w:color w:val="auto"/>
          <w:kern w:val="0"/>
          <w:szCs w:val="21"/>
          <w:highlight w:val="none"/>
        </w:rPr>
      </w:pPr>
    </w:p>
    <w:p w14:paraId="216151E9">
      <w:pPr>
        <w:adjustRightInd w:val="0"/>
        <w:snapToGrid w:val="0"/>
        <w:ind w:firstLine="420" w:firstLineChars="200"/>
        <w:rPr>
          <w:rFonts w:hint="eastAsia" w:ascii="宋体" w:hAnsi="宋体" w:cs="宋体"/>
          <w:snapToGrid w:val="0"/>
          <w:color w:val="auto"/>
          <w:kern w:val="0"/>
          <w:szCs w:val="21"/>
          <w:highlight w:val="none"/>
        </w:rPr>
      </w:pPr>
    </w:p>
    <w:p w14:paraId="0502D191">
      <w:pPr>
        <w:adjustRightInd w:val="0"/>
        <w:snapToGrid w:val="0"/>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p>
    <w:p w14:paraId="55F4E054">
      <w:pPr>
        <w:adjustRightInd w:val="0"/>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9103881">
      <w:pPr>
        <w:adjustRightInd w:val="0"/>
        <w:snapToGrid w:val="0"/>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投标单位名称（盖章）：</w:t>
      </w:r>
      <w:r>
        <w:rPr>
          <w:rFonts w:hint="eastAsia" w:ascii="宋体" w:hAnsi="宋体" w:cs="宋体"/>
          <w:color w:val="auto"/>
          <w:szCs w:val="21"/>
          <w:highlight w:val="none"/>
          <w:u w:val="single"/>
        </w:rPr>
        <w:t xml:space="preserve">                                    </w:t>
      </w:r>
    </w:p>
    <w:p w14:paraId="4D89D6DD">
      <w:pPr>
        <w:adjustRightInd w:val="0"/>
        <w:snapToGrid w:val="0"/>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法定代表人（单位负责人）</w:t>
      </w:r>
    </w:p>
    <w:p w14:paraId="7ACF2C83">
      <w:pPr>
        <w:adjustRightInd w:val="0"/>
        <w:snapToGrid w:val="0"/>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或授权代表（签   字）</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0D8A6F14">
      <w:pPr>
        <w:tabs>
          <w:tab w:val="left" w:pos="1573"/>
        </w:tabs>
        <w:rPr>
          <w:rFonts w:hint="eastAsia" w:ascii="宋体" w:hAnsi="宋体" w:cs="宋体"/>
          <w:color w:val="auto"/>
          <w:szCs w:val="21"/>
          <w:highlight w:val="none"/>
        </w:rPr>
      </w:pPr>
    </w:p>
    <w:p w14:paraId="4DC49D0F">
      <w:pPr>
        <w:pStyle w:val="6"/>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p>
    <w:p w14:paraId="160F5D56">
      <w:pPr>
        <w:pStyle w:val="6"/>
        <w:adjustRightInd w:val="0"/>
        <w:snapToGrid w:val="0"/>
        <w:ind w:firstLine="420" w:firstLineChars="200"/>
        <w:rPr>
          <w:rFonts w:hint="eastAsia" w:ascii="宋体" w:hAnsi="宋体" w:cs="宋体"/>
          <w:snapToGrid w:val="0"/>
          <w:color w:val="auto"/>
          <w:kern w:val="0"/>
          <w:szCs w:val="21"/>
          <w:highlight w:val="none"/>
        </w:rPr>
      </w:pPr>
      <w:r>
        <w:rPr>
          <w:rFonts w:hint="eastAsia" w:ascii="宋体" w:hAnsi="宋体" w:cs="宋体"/>
          <w:bCs/>
          <w:snapToGrid w:val="0"/>
          <w:color w:val="auto"/>
          <w:kern w:val="0"/>
          <w:szCs w:val="21"/>
          <w:highlight w:val="none"/>
        </w:rPr>
        <w:t>日期:</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日</w:t>
      </w:r>
    </w:p>
    <w:p w14:paraId="14BA8B7D">
      <w:pPr>
        <w:adjustRightInd w:val="0"/>
        <w:snapToGrid w:val="0"/>
        <w:ind w:firstLine="420" w:firstLineChars="200"/>
        <w:rPr>
          <w:rFonts w:hint="eastAsia" w:ascii="宋体" w:hAnsi="宋体" w:cs="宋体"/>
          <w:snapToGrid w:val="0"/>
          <w:color w:val="auto"/>
          <w:kern w:val="0"/>
          <w:szCs w:val="21"/>
          <w:highlight w:val="none"/>
        </w:rPr>
      </w:pPr>
    </w:p>
    <w:p w14:paraId="649FE8C6">
      <w:pPr>
        <w:rPr>
          <w:rFonts w:hint="eastAsia" w:ascii="宋体" w:hAnsi="宋体" w:cs="宋体"/>
          <w:color w:val="auto"/>
          <w:szCs w:val="21"/>
          <w:highlight w:val="none"/>
        </w:rPr>
      </w:pPr>
    </w:p>
    <w:p w14:paraId="310826AE">
      <w:pPr>
        <w:rPr>
          <w:rFonts w:hint="eastAsia" w:ascii="宋体" w:hAnsi="宋体" w:cs="宋体"/>
          <w:color w:val="auto"/>
          <w:szCs w:val="21"/>
          <w:highlight w:val="none"/>
        </w:rPr>
      </w:pPr>
    </w:p>
    <w:p w14:paraId="696A6F05">
      <w:pPr>
        <w:rPr>
          <w:rFonts w:hint="eastAsia" w:ascii="宋体" w:hAnsi="宋体" w:cs="宋体"/>
          <w:b/>
          <w:bCs/>
          <w:color w:val="auto"/>
          <w:szCs w:val="21"/>
          <w:highlight w:val="none"/>
        </w:rPr>
      </w:pPr>
    </w:p>
    <w:p w14:paraId="495433EC">
      <w:pPr>
        <w:rPr>
          <w:rFonts w:hint="eastAsia" w:ascii="宋体" w:hAnsi="宋体" w:cs="宋体"/>
          <w:b/>
          <w:bCs/>
          <w:color w:val="auto"/>
          <w:szCs w:val="21"/>
          <w:highlight w:val="none"/>
        </w:rPr>
      </w:pPr>
    </w:p>
    <w:p w14:paraId="719948A6">
      <w:pPr>
        <w:rPr>
          <w:rFonts w:ascii="黑体" w:hAnsi="黑体" w:eastAsia="黑体"/>
          <w:color w:val="auto"/>
          <w:kern w:val="0"/>
          <w:sz w:val="30"/>
          <w:szCs w:val="30"/>
          <w:highlight w:val="none"/>
        </w:rPr>
      </w:pPr>
    </w:p>
    <w:p w14:paraId="26B6F288">
      <w:pPr>
        <w:ind w:right="-12"/>
        <w:jc w:val="center"/>
        <w:rPr>
          <w:rFonts w:hint="eastAsia" w:ascii="宋体" w:hAnsi="宋体" w:cs="宋体"/>
          <w:b/>
          <w:color w:val="auto"/>
          <w:sz w:val="24"/>
          <w:highlight w:val="none"/>
        </w:rPr>
      </w:pPr>
    </w:p>
    <w:p w14:paraId="6F327380">
      <w:pPr>
        <w:ind w:right="-12"/>
        <w:jc w:val="center"/>
        <w:rPr>
          <w:rFonts w:hint="eastAsia" w:ascii="宋体" w:hAnsi="宋体" w:cs="宋体"/>
          <w:b/>
          <w:color w:val="auto"/>
          <w:sz w:val="24"/>
          <w:highlight w:val="none"/>
        </w:rPr>
      </w:pPr>
    </w:p>
    <w:p w14:paraId="0044FCC4">
      <w:pPr>
        <w:ind w:right="-12"/>
        <w:jc w:val="center"/>
        <w:rPr>
          <w:rFonts w:hint="eastAsia" w:ascii="宋体" w:hAnsi="宋体" w:cs="宋体"/>
          <w:b/>
          <w:color w:val="auto"/>
          <w:sz w:val="24"/>
          <w:highlight w:val="none"/>
        </w:rPr>
      </w:pPr>
    </w:p>
    <w:p w14:paraId="77D3B047">
      <w:pPr>
        <w:ind w:right="-12"/>
        <w:jc w:val="center"/>
        <w:rPr>
          <w:rFonts w:hint="eastAsia" w:ascii="宋体" w:hAnsi="宋体" w:cs="宋体"/>
          <w:b/>
          <w:color w:val="auto"/>
          <w:sz w:val="24"/>
          <w:highlight w:val="none"/>
        </w:rPr>
      </w:pPr>
    </w:p>
    <w:p w14:paraId="15CA2B21">
      <w:pPr>
        <w:ind w:right="-12"/>
        <w:jc w:val="center"/>
        <w:rPr>
          <w:rFonts w:hint="eastAsia" w:ascii="宋体" w:hAnsi="宋体" w:cs="宋体"/>
          <w:b/>
          <w:color w:val="auto"/>
          <w:sz w:val="24"/>
          <w:highlight w:val="none"/>
        </w:rPr>
      </w:pPr>
    </w:p>
    <w:p w14:paraId="707516E1">
      <w:pPr>
        <w:ind w:right="-12"/>
        <w:jc w:val="center"/>
        <w:rPr>
          <w:rFonts w:hint="eastAsia" w:ascii="宋体" w:hAnsi="宋体" w:cs="宋体"/>
          <w:b/>
          <w:color w:val="auto"/>
          <w:sz w:val="24"/>
          <w:highlight w:val="none"/>
        </w:rPr>
      </w:pPr>
    </w:p>
    <w:p w14:paraId="0B4A0966">
      <w:pPr>
        <w:ind w:right="-12"/>
        <w:jc w:val="center"/>
        <w:rPr>
          <w:rFonts w:hint="eastAsia" w:ascii="宋体" w:hAnsi="宋体" w:cs="宋体"/>
          <w:b/>
          <w:color w:val="auto"/>
          <w:sz w:val="24"/>
          <w:highlight w:val="none"/>
        </w:rPr>
      </w:pPr>
    </w:p>
    <w:p w14:paraId="09A364D0">
      <w:pPr>
        <w:ind w:right="-12"/>
        <w:jc w:val="center"/>
        <w:rPr>
          <w:rFonts w:hint="eastAsia" w:ascii="宋体" w:hAnsi="宋体" w:cs="宋体"/>
          <w:b/>
          <w:color w:val="auto"/>
          <w:sz w:val="24"/>
          <w:highlight w:val="none"/>
        </w:rPr>
      </w:pPr>
    </w:p>
    <w:p w14:paraId="36BC426C">
      <w:pPr>
        <w:ind w:right="-12"/>
        <w:jc w:val="center"/>
        <w:rPr>
          <w:rFonts w:hint="eastAsia" w:ascii="宋体" w:hAnsi="宋体" w:cs="宋体"/>
          <w:b/>
          <w:color w:val="auto"/>
          <w:sz w:val="24"/>
          <w:highlight w:val="none"/>
        </w:rPr>
      </w:pPr>
    </w:p>
    <w:p w14:paraId="385D784F">
      <w:pPr>
        <w:ind w:right="-12"/>
        <w:jc w:val="center"/>
        <w:rPr>
          <w:rFonts w:hint="eastAsia" w:ascii="宋体" w:hAnsi="宋体" w:cs="宋体"/>
          <w:b/>
          <w:color w:val="auto"/>
          <w:sz w:val="24"/>
          <w:highlight w:val="none"/>
        </w:rPr>
      </w:pPr>
    </w:p>
    <w:p w14:paraId="306D5646">
      <w:pPr>
        <w:ind w:right="-12"/>
        <w:jc w:val="center"/>
        <w:rPr>
          <w:rFonts w:hint="eastAsia" w:ascii="宋体" w:hAnsi="宋体" w:cs="宋体"/>
          <w:b/>
          <w:color w:val="auto"/>
          <w:sz w:val="24"/>
          <w:highlight w:val="none"/>
        </w:rPr>
      </w:pPr>
    </w:p>
    <w:p w14:paraId="0501B9C8">
      <w:pPr>
        <w:ind w:right="-12"/>
        <w:jc w:val="center"/>
        <w:rPr>
          <w:rFonts w:hint="eastAsia" w:ascii="宋体" w:hAnsi="宋体" w:cs="宋体"/>
          <w:b/>
          <w:color w:val="auto"/>
          <w:sz w:val="24"/>
          <w:highlight w:val="none"/>
        </w:rPr>
      </w:pPr>
    </w:p>
    <w:p w14:paraId="30006CBF">
      <w:pPr>
        <w:ind w:right="-12"/>
        <w:jc w:val="center"/>
        <w:rPr>
          <w:rFonts w:hint="eastAsia" w:ascii="宋体" w:hAnsi="宋体" w:cs="宋体"/>
          <w:b/>
          <w:color w:val="auto"/>
          <w:sz w:val="24"/>
          <w:highlight w:val="none"/>
        </w:rPr>
      </w:pPr>
    </w:p>
    <w:p w14:paraId="0A1AB7C7">
      <w:pPr>
        <w:ind w:right="-12"/>
        <w:jc w:val="center"/>
        <w:rPr>
          <w:rFonts w:hint="eastAsia" w:ascii="宋体" w:hAnsi="宋体" w:cs="宋体"/>
          <w:b/>
          <w:color w:val="auto"/>
          <w:sz w:val="24"/>
          <w:highlight w:val="none"/>
        </w:rPr>
      </w:pPr>
    </w:p>
    <w:p w14:paraId="2414D4D8">
      <w:pPr>
        <w:ind w:right="-12"/>
        <w:jc w:val="center"/>
        <w:rPr>
          <w:rFonts w:hint="eastAsia" w:ascii="宋体" w:hAnsi="宋体" w:cs="宋体"/>
          <w:b/>
          <w:color w:val="auto"/>
          <w:sz w:val="24"/>
          <w:highlight w:val="none"/>
        </w:rPr>
      </w:pPr>
    </w:p>
    <w:p w14:paraId="2A674FA5">
      <w:pPr>
        <w:ind w:right="-12"/>
        <w:jc w:val="center"/>
        <w:rPr>
          <w:rFonts w:hint="eastAsia" w:ascii="宋体" w:hAnsi="宋体" w:cs="宋体"/>
          <w:b/>
          <w:color w:val="auto"/>
          <w:sz w:val="24"/>
          <w:highlight w:val="none"/>
        </w:rPr>
      </w:pPr>
    </w:p>
    <w:p w14:paraId="244EFC0D">
      <w:pPr>
        <w:pStyle w:val="5"/>
        <w:rPr>
          <w:rFonts w:hint="eastAsia" w:ascii="宋体" w:hAnsi="宋体" w:cs="宋体"/>
          <w:b/>
          <w:color w:val="auto"/>
          <w:sz w:val="24"/>
          <w:highlight w:val="none"/>
        </w:rPr>
      </w:pPr>
    </w:p>
    <w:p w14:paraId="2450B2B2">
      <w:pPr>
        <w:rPr>
          <w:rFonts w:hint="eastAsia" w:ascii="宋体" w:hAnsi="宋体" w:cs="宋体"/>
          <w:b/>
          <w:color w:val="auto"/>
          <w:sz w:val="24"/>
          <w:highlight w:val="none"/>
        </w:rPr>
      </w:pPr>
    </w:p>
    <w:p w14:paraId="69506CA2">
      <w:pPr>
        <w:pStyle w:val="5"/>
        <w:rPr>
          <w:rFonts w:hint="eastAsia" w:ascii="宋体" w:hAnsi="宋体" w:cs="宋体"/>
          <w:b/>
          <w:color w:val="auto"/>
          <w:sz w:val="24"/>
          <w:highlight w:val="none"/>
        </w:rPr>
      </w:pPr>
    </w:p>
    <w:p w14:paraId="4C724BDE">
      <w:pPr>
        <w:rPr>
          <w:rFonts w:hint="eastAsia"/>
          <w:color w:val="auto"/>
        </w:rPr>
      </w:pPr>
    </w:p>
    <w:p w14:paraId="4B78E3F4">
      <w:pPr>
        <w:ind w:right="-12"/>
        <w:jc w:val="center"/>
        <w:rPr>
          <w:rFonts w:hint="eastAsia" w:ascii="宋体" w:hAnsi="宋体" w:cs="宋体"/>
          <w:b/>
          <w:color w:val="auto"/>
          <w:sz w:val="24"/>
          <w:highlight w:val="none"/>
        </w:rPr>
      </w:pPr>
    </w:p>
    <w:p w14:paraId="5800E808">
      <w:pPr>
        <w:ind w:right="-12"/>
        <w:jc w:val="center"/>
        <w:rPr>
          <w:rFonts w:hint="eastAsia" w:ascii="宋体" w:hAnsi="宋体" w:cs="宋体"/>
          <w:b/>
          <w:color w:val="auto"/>
          <w:sz w:val="24"/>
          <w:highlight w:val="none"/>
        </w:rPr>
      </w:pPr>
    </w:p>
    <w:p w14:paraId="2AA0FAA4">
      <w:pPr>
        <w:ind w:right="-12"/>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.省级以上监狱管理局、戒毒管理局（含新疆生产建设兵团）出具的属于监狱企业的证明文件</w:t>
      </w:r>
    </w:p>
    <w:p w14:paraId="175A67B6">
      <w:pPr>
        <w:autoSpaceDE w:val="0"/>
        <w:autoSpaceDN w:val="0"/>
        <w:adjustRightInd w:val="0"/>
        <w:spacing w:before="156" w:beforeLines="50" w:after="156" w:afterLines="50"/>
        <w:jc w:val="center"/>
        <w:rPr>
          <w:rFonts w:hint="eastAsia" w:ascii="宋体" w:hAnsi="宋体"/>
          <w:color w:val="auto"/>
          <w:kern w:val="0"/>
          <w:sz w:val="24"/>
          <w:highlight w:val="none"/>
        </w:rPr>
      </w:pPr>
      <w:r>
        <w:rPr>
          <w:rFonts w:hint="eastAsia" w:ascii="宋体" w:hAnsi="宋体"/>
          <w:color w:val="auto"/>
          <w:kern w:val="0"/>
          <w:sz w:val="24"/>
          <w:highlight w:val="none"/>
        </w:rPr>
        <w:t>（如果是，提供）</w:t>
      </w:r>
    </w:p>
    <w:p w14:paraId="391F9099">
      <w:pPr>
        <w:pStyle w:val="5"/>
        <w:rPr>
          <w:rFonts w:ascii="仿宋_GB2312" w:eastAsia="仿宋_GB2312"/>
          <w:color w:val="auto"/>
        </w:rPr>
      </w:pPr>
    </w:p>
    <w:p w14:paraId="3B94210A">
      <w:pPr>
        <w:pStyle w:val="5"/>
        <w:rPr>
          <w:rFonts w:ascii="仿宋_GB2312" w:eastAsia="仿宋_GB2312"/>
          <w:color w:val="auto"/>
        </w:rPr>
      </w:pPr>
    </w:p>
    <w:p w14:paraId="04BAAD97">
      <w:pPr>
        <w:rPr>
          <w:rFonts w:hint="eastAsia" w:ascii="宋体" w:hAnsi="宋体" w:cs="宋体"/>
          <w:color w:val="auto"/>
          <w:sz w:val="24"/>
          <w:szCs w:val="24"/>
        </w:rPr>
      </w:pPr>
    </w:p>
    <w:p w14:paraId="389E2AD5">
      <w:pPr>
        <w:rPr>
          <w:rFonts w:hint="eastAsia" w:ascii="宋体" w:hAnsi="宋体" w:cs="宋体"/>
          <w:color w:val="auto"/>
          <w:sz w:val="24"/>
          <w:szCs w:val="24"/>
        </w:rPr>
      </w:pPr>
    </w:p>
    <w:p w14:paraId="17E378BD">
      <w:pPr>
        <w:rPr>
          <w:rFonts w:hint="eastAsia" w:ascii="宋体" w:hAnsi="宋体" w:cs="宋体"/>
          <w:color w:val="auto"/>
          <w:sz w:val="24"/>
          <w:szCs w:val="24"/>
        </w:rPr>
      </w:pPr>
    </w:p>
    <w:p w14:paraId="3AC1D7BB">
      <w:pPr>
        <w:rPr>
          <w:rFonts w:hint="eastAsia" w:ascii="宋体" w:hAnsi="宋体" w:cs="宋体"/>
          <w:color w:val="auto"/>
          <w:sz w:val="24"/>
          <w:szCs w:val="24"/>
        </w:rPr>
      </w:pPr>
    </w:p>
    <w:p w14:paraId="05860B8A">
      <w:pPr>
        <w:rPr>
          <w:rFonts w:hint="eastAsia" w:ascii="宋体" w:hAnsi="宋体" w:cs="宋体"/>
          <w:color w:val="auto"/>
          <w:sz w:val="24"/>
          <w:szCs w:val="24"/>
        </w:rPr>
      </w:pPr>
    </w:p>
    <w:p w14:paraId="65A0156B">
      <w:pPr>
        <w:rPr>
          <w:rFonts w:hint="eastAsia" w:ascii="宋体" w:hAnsi="宋体" w:cs="宋体"/>
          <w:color w:val="auto"/>
          <w:sz w:val="24"/>
          <w:szCs w:val="24"/>
        </w:rPr>
      </w:pPr>
    </w:p>
    <w:p w14:paraId="78434F9D">
      <w:pPr>
        <w:rPr>
          <w:rFonts w:hint="eastAsia" w:ascii="宋体" w:hAnsi="宋体" w:cs="宋体"/>
          <w:color w:val="auto"/>
          <w:sz w:val="24"/>
          <w:szCs w:val="24"/>
        </w:rPr>
      </w:pPr>
    </w:p>
    <w:p w14:paraId="0964CF28">
      <w:pPr>
        <w:rPr>
          <w:rFonts w:hint="eastAsia" w:ascii="宋体" w:hAnsi="宋体" w:cs="宋体"/>
          <w:color w:val="auto"/>
          <w:sz w:val="24"/>
          <w:szCs w:val="24"/>
        </w:rPr>
      </w:pPr>
    </w:p>
    <w:p w14:paraId="7251EBC6">
      <w:pPr>
        <w:rPr>
          <w:rFonts w:hint="eastAsia" w:ascii="宋体" w:hAnsi="宋体" w:cs="宋体"/>
          <w:color w:val="auto"/>
          <w:sz w:val="24"/>
          <w:szCs w:val="24"/>
        </w:rPr>
      </w:pPr>
    </w:p>
    <w:p w14:paraId="616913A6">
      <w:pPr>
        <w:rPr>
          <w:rFonts w:hint="eastAsia" w:ascii="宋体" w:hAnsi="宋体" w:cs="宋体"/>
          <w:color w:val="auto"/>
          <w:sz w:val="24"/>
          <w:szCs w:val="24"/>
        </w:rPr>
      </w:pPr>
    </w:p>
    <w:p w14:paraId="47B0C45A">
      <w:pPr>
        <w:rPr>
          <w:rFonts w:hint="eastAsia" w:ascii="宋体" w:hAnsi="宋体" w:cs="宋体"/>
          <w:color w:val="auto"/>
          <w:sz w:val="24"/>
          <w:szCs w:val="24"/>
        </w:rPr>
      </w:pPr>
    </w:p>
    <w:p w14:paraId="78E3562D">
      <w:pPr>
        <w:rPr>
          <w:rFonts w:hint="eastAsia" w:ascii="宋体" w:hAnsi="宋体" w:cs="宋体"/>
          <w:color w:val="auto"/>
          <w:sz w:val="24"/>
          <w:szCs w:val="24"/>
        </w:rPr>
      </w:pPr>
    </w:p>
    <w:p w14:paraId="779E26C7">
      <w:pPr>
        <w:rPr>
          <w:rFonts w:hint="eastAsia" w:ascii="宋体" w:hAnsi="宋体" w:cs="宋体"/>
          <w:color w:val="auto"/>
          <w:sz w:val="24"/>
          <w:szCs w:val="24"/>
        </w:rPr>
      </w:pPr>
    </w:p>
    <w:p w14:paraId="586636C6">
      <w:pPr>
        <w:rPr>
          <w:rFonts w:hint="eastAsia" w:ascii="宋体" w:hAnsi="宋体" w:cs="宋体"/>
          <w:color w:val="auto"/>
          <w:sz w:val="24"/>
          <w:szCs w:val="24"/>
        </w:rPr>
      </w:pPr>
    </w:p>
    <w:p w14:paraId="7A1F7669">
      <w:pPr>
        <w:rPr>
          <w:rFonts w:hint="eastAsia" w:ascii="宋体" w:hAnsi="宋体" w:cs="宋体"/>
          <w:color w:val="auto"/>
          <w:sz w:val="24"/>
          <w:szCs w:val="24"/>
        </w:rPr>
      </w:pPr>
    </w:p>
    <w:p w14:paraId="1DC51C86">
      <w:pPr>
        <w:rPr>
          <w:rFonts w:hint="eastAsia" w:ascii="宋体" w:hAnsi="宋体" w:cs="宋体"/>
          <w:color w:val="auto"/>
          <w:sz w:val="24"/>
          <w:szCs w:val="24"/>
        </w:rPr>
      </w:pPr>
    </w:p>
    <w:p w14:paraId="00FA9729">
      <w:pPr>
        <w:rPr>
          <w:rFonts w:hint="eastAsia" w:ascii="宋体" w:hAnsi="宋体" w:cs="宋体"/>
          <w:color w:val="auto"/>
          <w:sz w:val="24"/>
          <w:szCs w:val="24"/>
        </w:rPr>
      </w:pPr>
    </w:p>
    <w:p w14:paraId="07FD583E">
      <w:pPr>
        <w:rPr>
          <w:rFonts w:hint="eastAsia" w:ascii="宋体" w:hAnsi="宋体" w:cs="宋体"/>
          <w:color w:val="auto"/>
          <w:sz w:val="24"/>
          <w:szCs w:val="24"/>
        </w:rPr>
      </w:pPr>
    </w:p>
    <w:p w14:paraId="1E119C23">
      <w:pPr>
        <w:rPr>
          <w:rFonts w:hint="eastAsia" w:ascii="宋体" w:hAnsi="宋体" w:cs="宋体"/>
          <w:color w:val="auto"/>
          <w:sz w:val="24"/>
          <w:szCs w:val="24"/>
        </w:rPr>
      </w:pPr>
    </w:p>
    <w:p w14:paraId="342DEFF3">
      <w:pPr>
        <w:rPr>
          <w:rFonts w:hint="eastAsia" w:ascii="宋体" w:hAnsi="宋体" w:cs="宋体"/>
          <w:color w:val="auto"/>
          <w:sz w:val="24"/>
          <w:szCs w:val="24"/>
        </w:rPr>
      </w:pPr>
    </w:p>
    <w:p w14:paraId="77933002">
      <w:pPr>
        <w:rPr>
          <w:rFonts w:hint="eastAsia" w:ascii="宋体" w:hAnsi="宋体" w:cs="宋体"/>
          <w:color w:val="auto"/>
          <w:sz w:val="24"/>
          <w:szCs w:val="24"/>
        </w:rPr>
      </w:pPr>
    </w:p>
    <w:p w14:paraId="04DC7DAB">
      <w:pPr>
        <w:rPr>
          <w:rFonts w:hint="eastAsia" w:ascii="宋体" w:hAnsi="宋体" w:cs="宋体"/>
          <w:color w:val="auto"/>
          <w:sz w:val="24"/>
          <w:szCs w:val="24"/>
        </w:rPr>
      </w:pPr>
    </w:p>
    <w:p w14:paraId="49C1727C">
      <w:pPr>
        <w:rPr>
          <w:rFonts w:hint="eastAsia" w:ascii="宋体" w:hAnsi="宋体" w:cs="宋体"/>
          <w:color w:val="auto"/>
          <w:sz w:val="24"/>
          <w:szCs w:val="24"/>
        </w:rPr>
      </w:pPr>
    </w:p>
    <w:p w14:paraId="08E0E316">
      <w:pPr>
        <w:rPr>
          <w:rFonts w:hint="eastAsia" w:ascii="宋体" w:hAnsi="宋体" w:cs="宋体"/>
          <w:color w:val="auto"/>
          <w:sz w:val="24"/>
          <w:szCs w:val="24"/>
        </w:rPr>
      </w:pPr>
    </w:p>
    <w:p w14:paraId="0EFFE072">
      <w:pPr>
        <w:rPr>
          <w:rFonts w:hint="eastAsia" w:ascii="宋体" w:hAnsi="宋体" w:cs="宋体"/>
          <w:color w:val="auto"/>
          <w:sz w:val="24"/>
          <w:szCs w:val="24"/>
        </w:rPr>
      </w:pPr>
    </w:p>
    <w:p w14:paraId="5EE99701">
      <w:pPr>
        <w:rPr>
          <w:rFonts w:hint="eastAsia" w:ascii="宋体" w:hAnsi="宋体" w:cs="宋体"/>
          <w:color w:val="auto"/>
          <w:sz w:val="24"/>
          <w:szCs w:val="24"/>
        </w:rPr>
      </w:pPr>
    </w:p>
    <w:p w14:paraId="51012113">
      <w:pPr>
        <w:rPr>
          <w:rFonts w:hint="eastAsia" w:ascii="宋体" w:hAnsi="宋体" w:cs="宋体"/>
          <w:color w:val="auto"/>
          <w:sz w:val="24"/>
          <w:szCs w:val="24"/>
        </w:rPr>
      </w:pPr>
    </w:p>
    <w:p w14:paraId="24959716">
      <w:pPr>
        <w:rPr>
          <w:rFonts w:hint="eastAsia" w:ascii="宋体" w:hAnsi="宋体" w:cs="宋体"/>
          <w:color w:val="auto"/>
          <w:sz w:val="24"/>
          <w:szCs w:val="24"/>
        </w:rPr>
      </w:pPr>
    </w:p>
    <w:p w14:paraId="7B620CBB">
      <w:pPr>
        <w:rPr>
          <w:rFonts w:hint="eastAsia" w:ascii="宋体" w:hAnsi="宋体" w:cs="宋体"/>
          <w:color w:val="auto"/>
          <w:sz w:val="24"/>
          <w:szCs w:val="24"/>
        </w:rPr>
      </w:pPr>
    </w:p>
    <w:p w14:paraId="6519627A">
      <w:pPr>
        <w:rPr>
          <w:rFonts w:hint="eastAsia" w:ascii="宋体" w:hAnsi="宋体" w:cs="宋体"/>
          <w:color w:val="auto"/>
          <w:sz w:val="24"/>
          <w:szCs w:val="24"/>
        </w:rPr>
      </w:pPr>
    </w:p>
    <w:p w14:paraId="41DDDB00">
      <w:pPr>
        <w:rPr>
          <w:rFonts w:hint="eastAsia" w:ascii="宋体" w:hAnsi="宋体" w:cs="宋体"/>
          <w:color w:val="auto"/>
          <w:sz w:val="24"/>
          <w:szCs w:val="24"/>
        </w:rPr>
      </w:pPr>
    </w:p>
    <w:p w14:paraId="1420EF9F">
      <w:pPr>
        <w:rPr>
          <w:rFonts w:hint="eastAsia" w:ascii="宋体" w:hAnsi="宋体" w:cs="宋体"/>
          <w:color w:val="auto"/>
          <w:sz w:val="24"/>
          <w:szCs w:val="24"/>
        </w:rPr>
      </w:pPr>
    </w:p>
    <w:p w14:paraId="13B8BA1A">
      <w:pPr>
        <w:rPr>
          <w:rFonts w:hint="eastAsia" w:ascii="宋体" w:hAnsi="宋体" w:cs="宋体"/>
          <w:color w:val="auto"/>
          <w:sz w:val="24"/>
          <w:szCs w:val="24"/>
        </w:rPr>
      </w:pPr>
    </w:p>
    <w:p w14:paraId="7D38FA81">
      <w:pPr>
        <w:rPr>
          <w:rFonts w:hint="eastAsia" w:ascii="宋体" w:hAnsi="宋体" w:cs="宋体"/>
          <w:color w:val="auto"/>
          <w:sz w:val="24"/>
          <w:szCs w:val="24"/>
        </w:rPr>
      </w:pPr>
    </w:p>
    <w:p w14:paraId="53A35B36">
      <w:pPr>
        <w:rPr>
          <w:rFonts w:hint="eastAsia" w:ascii="宋体" w:hAnsi="宋体" w:cs="宋体"/>
          <w:color w:val="auto"/>
          <w:sz w:val="24"/>
          <w:szCs w:val="24"/>
        </w:rPr>
      </w:pPr>
    </w:p>
    <w:p w14:paraId="1E851097">
      <w:pPr>
        <w:rPr>
          <w:rFonts w:hint="eastAsia" w:ascii="宋体" w:hAnsi="宋体" w:cs="宋体"/>
          <w:color w:val="auto"/>
          <w:sz w:val="24"/>
          <w:szCs w:val="24"/>
        </w:rPr>
      </w:pPr>
    </w:p>
    <w:p w14:paraId="24F49984">
      <w:pPr>
        <w:rPr>
          <w:rFonts w:hint="eastAsia" w:ascii="宋体" w:hAnsi="宋体" w:cs="宋体"/>
          <w:color w:val="auto"/>
          <w:sz w:val="24"/>
          <w:szCs w:val="24"/>
        </w:rPr>
      </w:pPr>
    </w:p>
    <w:p w14:paraId="5754955D">
      <w:pPr>
        <w:rPr>
          <w:rFonts w:hint="eastAsia" w:ascii="宋体" w:hAnsi="宋体" w:cs="宋体"/>
          <w:color w:val="auto"/>
          <w:sz w:val="24"/>
          <w:szCs w:val="24"/>
        </w:rPr>
      </w:pPr>
    </w:p>
    <w:p w14:paraId="10B3BB5B">
      <w:pPr>
        <w:rPr>
          <w:rFonts w:hint="eastAsia" w:ascii="宋体" w:hAnsi="宋体" w:cs="宋体"/>
          <w:color w:val="auto"/>
          <w:sz w:val="24"/>
          <w:szCs w:val="24"/>
        </w:rPr>
      </w:pPr>
    </w:p>
    <w:p w14:paraId="064E90DE">
      <w:pPr>
        <w:rPr>
          <w:rFonts w:hint="eastAsia" w:ascii="宋体" w:hAnsi="宋体" w:cs="宋体"/>
          <w:color w:val="auto"/>
          <w:sz w:val="24"/>
          <w:szCs w:val="24"/>
        </w:rPr>
      </w:pPr>
    </w:p>
    <w:p w14:paraId="7B995628">
      <w:pPr>
        <w:rPr>
          <w:rFonts w:ascii="宋体" w:hAnsi="宋体" w:cs="宋体"/>
          <w:color w:val="auto"/>
          <w:sz w:val="24"/>
          <w:szCs w:val="24"/>
        </w:rPr>
      </w:pPr>
      <w:r>
        <w:rPr>
          <w:rFonts w:hint="eastAsia" w:ascii="宋体" w:hAnsi="宋体" w:cs="宋体"/>
          <w:color w:val="auto"/>
          <w:sz w:val="24"/>
          <w:szCs w:val="24"/>
        </w:rPr>
        <w:t xml:space="preserve">附表 </w:t>
      </w:r>
    </w:p>
    <w:p w14:paraId="2D30C503">
      <w:pPr>
        <w:jc w:val="center"/>
        <w:rPr>
          <w:rFonts w:ascii="宋体" w:hAnsi="宋体" w:cs="宋体"/>
          <w:color w:val="auto"/>
          <w:sz w:val="32"/>
          <w:szCs w:val="32"/>
        </w:rPr>
      </w:pPr>
      <w:r>
        <w:rPr>
          <w:rFonts w:hint="eastAsia" w:ascii="宋体" w:hAnsi="宋体" w:cs="宋体"/>
          <w:color w:val="auto"/>
          <w:sz w:val="32"/>
          <w:szCs w:val="32"/>
          <w:lang w:val="en-US" w:eastAsia="zh-CN"/>
        </w:rPr>
        <w:t>12.</w:t>
      </w:r>
      <w:r>
        <w:rPr>
          <w:rFonts w:hint="eastAsia" w:ascii="宋体" w:hAnsi="宋体" w:cs="宋体"/>
          <w:color w:val="auto"/>
          <w:sz w:val="32"/>
          <w:szCs w:val="32"/>
        </w:rPr>
        <w:t>最后报价表</w:t>
      </w:r>
    </w:p>
    <w:p w14:paraId="664B7556">
      <w:pPr>
        <w:snapToGrid w:val="0"/>
        <w:rPr>
          <w:rFonts w:ascii="宋体" w:hAnsi="宋体"/>
          <w:color w:val="auto"/>
        </w:rPr>
      </w:pPr>
      <w:r>
        <w:rPr>
          <w:rFonts w:hint="eastAsia" w:ascii="宋体" w:hAnsi="宋体"/>
          <w:color w:val="auto"/>
        </w:rPr>
        <w:t xml:space="preserve">项目名称：                       </w:t>
      </w:r>
    </w:p>
    <w:p w14:paraId="79ADC97C">
      <w:pPr>
        <w:jc w:val="left"/>
        <w:rPr>
          <w:rFonts w:ascii="宋体" w:hAnsi="宋体"/>
          <w:color w:val="auto"/>
        </w:rPr>
      </w:pPr>
      <w:r>
        <w:rPr>
          <w:rFonts w:hint="eastAsia" w:ascii="宋体" w:hAnsi="宋体"/>
          <w:color w:val="auto"/>
        </w:rPr>
        <w:t>招标编号：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523"/>
      </w:tblGrid>
      <w:tr w14:paraId="0308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2988" w:type="dxa"/>
            <w:noWrap/>
            <w:vAlign w:val="center"/>
          </w:tcPr>
          <w:p w14:paraId="3A2F6DED">
            <w:pPr>
              <w:jc w:val="center"/>
              <w:rPr>
                <w:rFonts w:ascii="宋体" w:hAnsi="宋体"/>
                <w:color w:val="auto"/>
              </w:rPr>
            </w:pPr>
            <w:r>
              <w:rPr>
                <w:rFonts w:hint="eastAsia" w:ascii="宋体" w:hAnsi="宋体" w:cs="宋体"/>
                <w:color w:val="auto"/>
                <w:sz w:val="24"/>
                <w:szCs w:val="24"/>
              </w:rPr>
              <w:t>供应商名称</w:t>
            </w:r>
          </w:p>
        </w:tc>
        <w:tc>
          <w:tcPr>
            <w:tcW w:w="5523" w:type="dxa"/>
            <w:tcBorders>
              <w:right w:val="single" w:color="auto" w:sz="4" w:space="0"/>
            </w:tcBorders>
            <w:noWrap/>
            <w:vAlign w:val="center"/>
          </w:tcPr>
          <w:p w14:paraId="4ED0E8E4">
            <w:pPr>
              <w:jc w:val="center"/>
              <w:rPr>
                <w:rFonts w:ascii="宋体" w:hAnsi="宋体"/>
                <w:color w:val="auto"/>
              </w:rPr>
            </w:pPr>
            <w:r>
              <w:rPr>
                <w:rFonts w:hint="eastAsia" w:ascii="宋体" w:hAnsi="宋体"/>
                <w:color w:val="auto"/>
              </w:rPr>
              <w:t xml:space="preserve">最后报价  </w:t>
            </w:r>
          </w:p>
          <w:p w14:paraId="0767A869">
            <w:pPr>
              <w:jc w:val="center"/>
              <w:rPr>
                <w:rFonts w:ascii="宋体" w:hAnsi="宋体"/>
                <w:color w:val="auto"/>
              </w:rPr>
            </w:pPr>
            <w:r>
              <w:rPr>
                <w:rFonts w:hint="eastAsia" w:ascii="宋体" w:hAnsi="宋体"/>
                <w:color w:val="auto"/>
                <w:lang w:val="en-US" w:eastAsia="zh-CN"/>
              </w:rPr>
              <w:t>（折扣系数</w:t>
            </w:r>
            <w:r>
              <w:rPr>
                <w:rFonts w:hint="eastAsia" w:ascii="宋体" w:hAnsi="宋体"/>
                <w:color w:val="auto"/>
              </w:rPr>
              <w:t>）</w:t>
            </w:r>
          </w:p>
        </w:tc>
      </w:tr>
      <w:tr w14:paraId="5678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2988" w:type="dxa"/>
            <w:noWrap/>
            <w:vAlign w:val="center"/>
          </w:tcPr>
          <w:p w14:paraId="413132CB">
            <w:pPr>
              <w:rPr>
                <w:rFonts w:ascii="宋体" w:hAnsi="宋体"/>
                <w:color w:val="auto"/>
              </w:rPr>
            </w:pPr>
          </w:p>
        </w:tc>
        <w:tc>
          <w:tcPr>
            <w:tcW w:w="5523" w:type="dxa"/>
            <w:tcBorders>
              <w:right w:val="single" w:color="auto" w:sz="4" w:space="0"/>
            </w:tcBorders>
            <w:noWrap/>
            <w:vAlign w:val="center"/>
          </w:tcPr>
          <w:p w14:paraId="4836DB4B">
            <w:pPr>
              <w:jc w:val="center"/>
              <w:rPr>
                <w:rFonts w:ascii="宋体" w:hAnsi="宋体"/>
                <w:color w:val="auto"/>
              </w:rPr>
            </w:pPr>
          </w:p>
        </w:tc>
      </w:tr>
    </w:tbl>
    <w:p w14:paraId="09CCCFCA">
      <w:pPr>
        <w:jc w:val="left"/>
        <w:rPr>
          <w:rFonts w:ascii="宋体" w:hAnsi="宋体"/>
          <w:color w:val="auto"/>
        </w:rPr>
      </w:pPr>
      <w:r>
        <w:rPr>
          <w:rFonts w:hint="eastAsia" w:ascii="宋体" w:hAnsi="宋体"/>
          <w:color w:val="auto"/>
        </w:rPr>
        <w:t>备注：1、此表不需填写，不需放入响应文件格式内。</w:t>
      </w:r>
    </w:p>
    <w:p w14:paraId="1A49B852">
      <w:pPr>
        <w:ind w:firstLine="617" w:firstLineChars="294"/>
        <w:jc w:val="left"/>
        <w:rPr>
          <w:rFonts w:ascii="宋体" w:hAnsi="宋体"/>
          <w:color w:val="auto"/>
        </w:rPr>
      </w:pPr>
      <w:r>
        <w:rPr>
          <w:rFonts w:hint="eastAsia" w:ascii="宋体" w:hAnsi="宋体"/>
          <w:color w:val="auto"/>
        </w:rPr>
        <w:t>2、此表为通过初步审查合格的供应商按照磋商要求</w:t>
      </w:r>
      <w:r>
        <w:rPr>
          <w:rFonts w:hint="eastAsia" w:ascii="宋体" w:hAnsi="宋体"/>
          <w:color w:val="auto"/>
          <w:lang w:eastAsia="zh-CN"/>
        </w:rPr>
        <w:t>进行最终报价</w:t>
      </w:r>
      <w:r>
        <w:rPr>
          <w:rFonts w:hint="eastAsia" w:ascii="宋体" w:hAnsi="宋体"/>
          <w:color w:val="auto"/>
        </w:rPr>
        <w:t>。</w:t>
      </w:r>
    </w:p>
    <w:p w14:paraId="21248053">
      <w:pPr>
        <w:ind w:firstLine="480" w:firstLineChars="200"/>
        <w:rPr>
          <w:rFonts w:ascii="宋体" w:hAnsi="宋体" w:cs="宋体"/>
          <w:color w:val="auto"/>
          <w:sz w:val="24"/>
          <w:szCs w:val="24"/>
        </w:rPr>
      </w:pPr>
    </w:p>
    <w:p w14:paraId="5C606398">
      <w:pPr>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                   供应商授权代表签字：</w:t>
      </w:r>
      <w:r>
        <w:rPr>
          <w:rFonts w:hint="eastAsia" w:ascii="宋体" w:hAnsi="宋体" w:cs="宋体"/>
          <w:color w:val="auto"/>
          <w:sz w:val="24"/>
          <w:szCs w:val="24"/>
          <w:u w:val="single"/>
        </w:rPr>
        <w:t>　　　　　　　　　                 　　　</w:t>
      </w:r>
    </w:p>
    <w:p w14:paraId="64C06A98">
      <w:pPr>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                                     日       期：</w:t>
      </w:r>
      <w:r>
        <w:rPr>
          <w:rFonts w:hint="eastAsia" w:ascii="宋体" w:hAnsi="宋体" w:cs="宋体"/>
          <w:color w:val="auto"/>
          <w:sz w:val="24"/>
          <w:szCs w:val="24"/>
          <w:u w:val="single"/>
        </w:rPr>
        <w:t xml:space="preserve">　　　　　　　　　　　　　　  </w:t>
      </w:r>
    </w:p>
    <w:p w14:paraId="08427E56">
      <w:pPr>
        <w:ind w:firstLine="480" w:firstLineChars="200"/>
        <w:rPr>
          <w:rFonts w:ascii="宋体" w:hAnsi="宋体" w:cs="宋体"/>
          <w:color w:val="auto"/>
          <w:sz w:val="24"/>
          <w:szCs w:val="24"/>
          <w:u w:val="single"/>
        </w:rPr>
      </w:pPr>
    </w:p>
    <w:p w14:paraId="00A5375D">
      <w:pPr>
        <w:pStyle w:val="5"/>
        <w:rPr>
          <w:rFonts w:ascii="仿宋_GB2312" w:eastAsia="仿宋_GB2312"/>
          <w:color w:val="auto"/>
        </w:rPr>
      </w:pPr>
    </w:p>
    <w:sectPr>
      <w:footerReference r:id="rId12" w:type="first"/>
      <w:headerReference r:id="rId10" w:type="default"/>
      <w:footerReference r:id="rId11" w:type="default"/>
      <w:pgSz w:w="11907" w:h="16840"/>
      <w:pgMar w:top="1418" w:right="1134" w:bottom="1418" w:left="153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0C5B0">
    <w:pPr>
      <w:tabs>
        <w:tab w:val="center" w:pos="4320"/>
        <w:tab w:val="right" w:pos="8640"/>
      </w:tabs>
      <w:adjustRightInd w:val="0"/>
      <w:spacing w:line="240" w:lineRule="atLeast"/>
      <w:ind w:firstLine="7020" w:firstLineChars="3900"/>
      <w:jc w:val="left"/>
      <w:textAlignment w:val="baseline"/>
      <w:rPr>
        <w:rFonts w:ascii="宋体" w:cs="Times New Roman"/>
        <w:kern w:val="0"/>
        <w:sz w:val="18"/>
        <w:szCs w:val="18"/>
      </w:rPr>
    </w:pPr>
    <w:r>
      <w:rPr>
        <w:rFonts w:ascii="宋体" w:cs="宋体"/>
        <w:kern w:val="0"/>
        <w:sz w:val="18"/>
        <w:szCs w:val="18"/>
      </w:rPr>
      <w:pict>
        <v:shape id="文本框 1026"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Brb/91QEAAKUDAAAOAAAAAAAAAAEAIAAAAB4B&#10;AABkcnMvZTJvRG9jLnhtbFBLBQYAAAAABgAGAFkBAABlBQAAAAA=&#10;">
          <v:path/>
          <v:fill on="f" focussize="0,0"/>
          <v:stroke on="f" joinstyle="miter"/>
          <v:imagedata o:title=""/>
          <o:lock v:ext="edit"/>
          <v:textbox inset="0mm,0mm,0mm,0mm" style="mso-fit-shape-to-text:t;">
            <w:txbxContent>
              <w:p w14:paraId="3BF5FCE6">
                <w:pPr>
                  <w:snapToGrid w:val="0"/>
                  <w:rPr>
                    <w:rFonts w:cs="Times New Roman"/>
                    <w:sz w:val="18"/>
                    <w:szCs w:val="18"/>
                  </w:rPr>
                </w:pPr>
                <w:r>
                  <w:fldChar w:fldCharType="begin"/>
                </w:r>
                <w:r>
                  <w:instrText xml:space="preserve"> PAGE  \* MERGEFORMAT </w:instrText>
                </w:r>
                <w:r>
                  <w:fldChar w:fldCharType="separate"/>
                </w:r>
                <w:r>
                  <w:t>19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7AD2B">
    <w:pPr>
      <w:tabs>
        <w:tab w:val="center" w:pos="4320"/>
        <w:tab w:val="right" w:pos="8640"/>
      </w:tabs>
      <w:adjustRightInd w:val="0"/>
      <w:spacing w:line="240" w:lineRule="atLeast"/>
      <w:jc w:val="left"/>
      <w:textAlignment w:val="baseline"/>
      <w:rPr>
        <w:rFonts w:ascii="宋体" w:cs="宋体"/>
        <w:kern w:val="0"/>
        <w:sz w:val="18"/>
        <w:szCs w:val="18"/>
      </w:rPr>
    </w:pPr>
    <w:r>
      <w:rPr>
        <w:rFonts w:ascii="宋体" w:cs="宋体"/>
        <w:kern w:val="0"/>
        <w:sz w:val="18"/>
        <w:szCs w:val="18"/>
      </w:rP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jflZU9MBAACiAwAADgAAAAAAAAABACAAAAAeAQAA&#10;ZHJzL2Uyb0RvYy54bWxQSwUGAAAAAAYABgBZAQAAYwUAAAAA&#10;">
          <v:path/>
          <v:fill on="f" focussize="0,0"/>
          <v:stroke on="f" joinstyle="miter"/>
          <v:imagedata o:title=""/>
          <o:lock v:ext="edit"/>
          <v:textbox inset="0mm,0mm,0mm,0mm" style="mso-fit-shape-to-text:t;">
            <w:txbxContent>
              <w:p w14:paraId="0AADE99C">
                <w:pPr>
                  <w:snapToGrid w:val="0"/>
                  <w:rPr>
                    <w:rFonts w:cs="Times New Roman"/>
                    <w:sz w:val="18"/>
                    <w:szCs w:val="18"/>
                  </w:rPr>
                </w:pPr>
                <w:r>
                  <w:fldChar w:fldCharType="begin"/>
                </w:r>
                <w:r>
                  <w:instrText xml:space="preserve"> PAGE  \* MERGEFORMAT </w:instrText>
                </w:r>
                <w:r>
                  <w:fldChar w:fldCharType="separate"/>
                </w:r>
                <w:r>
                  <w:t>21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C160D">
    <w:pPr>
      <w:pStyle w:val="10"/>
      <w:ind w:firstLine="7020" w:firstLineChars="3900"/>
      <w:rPr>
        <w:rStyle w:val="18"/>
        <w:rFonts w:cs="Times New Roman"/>
      </w:rPr>
    </w:pPr>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12zcYNMBAAClAwAADgAAAAAAAAABACAAAAAeAQAA&#10;ZHJzL2Uyb0RvYy54bWxQSwUGAAAAAAYABgBZAQAAYwUAAAAA&#10;">
          <v:path/>
          <v:fill on="f" focussize="0,0"/>
          <v:stroke on="f" joinstyle="miter"/>
          <v:imagedata o:title=""/>
          <o:lock v:ext="edit"/>
          <v:textbox inset="0mm,0mm,0mm,0mm" style="mso-fit-shape-to-text:t;">
            <w:txbxContent>
              <w:p w14:paraId="60C2DFB7">
                <w:pPr>
                  <w:snapToGrid w:val="0"/>
                  <w:rPr>
                    <w:rFonts w:cs="Times New Roman"/>
                    <w:sz w:val="18"/>
                    <w:szCs w:val="18"/>
                  </w:rPr>
                </w:pPr>
                <w:r>
                  <w:fldChar w:fldCharType="begin"/>
                </w:r>
                <w:r>
                  <w:instrText xml:space="preserve"> PAGE  \* MERGEFORMAT </w:instrText>
                </w:r>
                <w:r>
                  <w:fldChar w:fldCharType="separate"/>
                </w:r>
                <w:r>
                  <w:t>45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8F407">
    <w:pPr>
      <w:pStyle w:val="10"/>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oDKwi0gEAAKIDAAAOAAAAAAAAAAEAIAAAAB4BAABk&#10;cnMvZTJvRG9jLnhtbFBLBQYAAAAABgAGAFkBAABiBQAAAAA=&#10;">
          <v:path/>
          <v:fill on="f" focussize="0,0"/>
          <v:stroke on="f" joinstyle="miter"/>
          <v:imagedata o:title=""/>
          <o:lock v:ext="edit"/>
          <v:textbox inset="0mm,0mm,0mm,0mm" style="mso-fit-shape-to-text:t;">
            <w:txbxContent>
              <w:p w14:paraId="5C58064D">
                <w:pPr>
                  <w:snapToGrid w:val="0"/>
                  <w:rPr>
                    <w:rFonts w:cs="Times New Roman"/>
                    <w:sz w:val="18"/>
                    <w:szCs w:val="18"/>
                  </w:rPr>
                </w:pPr>
                <w:r>
                  <w:fldChar w:fldCharType="begin"/>
                </w:r>
                <w:r>
                  <w:instrText xml:space="preserve"> PAGE  \* MERGEFORMAT </w:instrText>
                </w:r>
                <w:r>
                  <w:fldChar w:fldCharType="separate"/>
                </w:r>
                <w:r>
                  <w:t>44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BC764">
    <w:pPr>
      <w:tabs>
        <w:tab w:val="center" w:pos="4153"/>
        <w:tab w:val="right" w:pos="8306"/>
      </w:tabs>
      <w:snapToGrid w:val="0"/>
      <w:ind w:firstLine="4560" w:firstLineChars="1900"/>
      <w:rPr>
        <w:rFonts w:eastAsia="华文行楷"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E8C38">
    <w:pPr>
      <w:pStyle w:val="11"/>
      <w:pBdr>
        <w:bottom w:val="none" w:color="auto" w:sz="0" w:space="3"/>
      </w:pBdr>
      <w:tabs>
        <w:tab w:val="center" w:pos="4730"/>
        <w:tab w:val="clear" w:pos="8306"/>
      </w:tabs>
      <w:ind w:firstLine="0" w:firstLineChars="0"/>
    </w:pPr>
    <w:r>
      <w:pict>
        <v:shape id="_x0000_s1030" o:spid="_x0000_s103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v:textbox inset="0mm,0mm,0mm,0mm" style="mso-fit-shape-to-text:t;">
            <w:txbxContent>
              <w:p w14:paraId="2886FE28">
                <w:pPr>
                  <w:pStyle w:val="11"/>
                  <w:ind w:firstLine="0" w:firstLineChars="0"/>
                </w:pPr>
                <w:r>
                  <w:fldChar w:fldCharType="begin"/>
                </w:r>
                <w:r>
                  <w:instrText xml:space="preserve"> PAGE  \* MERGEFORMAT </w:instrText>
                </w:r>
                <w:r>
                  <w:fldChar w:fldCharType="separate"/>
                </w:r>
                <w:r>
                  <w:t>1</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710D0">
    <w:pPr>
      <w:pStyle w:val="11"/>
      <w:pBdr>
        <w:bottom w:val="none" w:color="auto" w:sz="0" w:space="3"/>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BBD7">
    <w:pPr>
      <w:pStyle w:val="11"/>
      <w:pBdr>
        <w:bottom w:val="none" w:color="auto" w:sz="0" w:space="3"/>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D2DA7">
    <w:pPr>
      <w:pStyle w:val="11"/>
      <w:pBdr>
        <w:bottom w:val="none" w:color="auto" w:sz="0" w:space="3"/>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16E9E">
    <w:pPr>
      <w:pStyle w:val="11"/>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082AD"/>
    <w:multiLevelType w:val="singleLevel"/>
    <w:tmpl w:val="CEC082AD"/>
    <w:lvl w:ilvl="0" w:tentative="0">
      <w:start w:val="1"/>
      <w:numFmt w:val="decimal"/>
      <w:suff w:val="nothing"/>
      <w:lvlText w:val="%1、"/>
      <w:lvlJc w:val="left"/>
    </w:lvl>
  </w:abstractNum>
  <w:abstractNum w:abstractNumId="1">
    <w:nsid w:val="00000009"/>
    <w:multiLevelType w:val="multilevel"/>
    <w:tmpl w:val="00000009"/>
    <w:lvl w:ilvl="0" w:tentative="0">
      <w:start w:val="1"/>
      <w:numFmt w:val="decimal"/>
      <w:lvlText w:val="%1）"/>
      <w:lvlJc w:val="left"/>
      <w:pPr>
        <w:tabs>
          <w:tab w:val="left" w:pos="851"/>
        </w:tabs>
        <w:ind w:left="851" w:hanging="454"/>
      </w:pPr>
      <w:rPr>
        <w:rFonts w:hint="default"/>
      </w:rPr>
    </w:lvl>
    <w:lvl w:ilvl="1" w:tentative="0">
      <w:start w:val="1"/>
      <w:numFmt w:val="decimal"/>
      <w:lvlText w:val="%2."/>
      <w:lvlJc w:val="left"/>
      <w:pPr>
        <w:tabs>
          <w:tab w:val="left" w:pos="780"/>
        </w:tabs>
        <w:ind w:left="780" w:hanging="360"/>
      </w:pPr>
      <w:rPr>
        <w:rFonts w:hint="default"/>
      </w:rPr>
    </w:lvl>
    <w:lvl w:ilvl="2" w:tentative="0">
      <w:start w:val="3"/>
      <w:numFmt w:val="japaneseCounting"/>
      <w:lvlText w:val="第%3篇"/>
      <w:lvlJc w:val="left"/>
      <w:pPr>
        <w:tabs>
          <w:tab w:val="left" w:pos="2115"/>
        </w:tabs>
        <w:ind w:left="2115" w:hanging="1275"/>
      </w:pPr>
      <w:rPr>
        <w:rFonts w:hint="default"/>
      </w:rPr>
    </w:lvl>
    <w:lvl w:ilvl="3" w:tentative="0">
      <w:start w:val="1"/>
      <w:numFmt w:val="decimal"/>
      <w:lvlText w:val="%4）"/>
      <w:lvlJc w:val="left"/>
      <w:pPr>
        <w:tabs>
          <w:tab w:val="left" w:pos="851"/>
        </w:tabs>
        <w:ind w:left="851" w:hanging="567"/>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48C4F9B"/>
    <w:multiLevelType w:val="multilevel"/>
    <w:tmpl w:val="248C4F9B"/>
    <w:lvl w:ilvl="0" w:tentative="0">
      <w:start w:val="18"/>
      <w:numFmt w:val="decimal"/>
      <w:lvlText w:val="%1"/>
      <w:lvlJc w:val="left"/>
      <w:pPr>
        <w:tabs>
          <w:tab w:val="left" w:pos="420"/>
        </w:tabs>
        <w:ind w:left="420" w:hanging="420"/>
      </w:pPr>
      <w:rPr>
        <w:rFonts w:hint="default"/>
      </w:rPr>
    </w:lvl>
    <w:lvl w:ilvl="1" w:tentative="0">
      <w:start w:val="2"/>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2910778F"/>
    <w:multiLevelType w:val="multilevel"/>
    <w:tmpl w:val="2910778F"/>
    <w:lvl w:ilvl="0" w:tentative="0">
      <w:start w:val="1"/>
      <w:numFmt w:val="decimal"/>
      <w:pStyle w:val="29"/>
      <w:lvlText w:val="%1."/>
      <w:lvlJc w:val="left"/>
      <w:pPr>
        <w:ind w:left="879" w:hanging="420"/>
      </w:pPr>
    </w:lvl>
    <w:lvl w:ilvl="1" w:tentative="0">
      <w:start w:val="9"/>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A1B7B18"/>
    <w:multiLevelType w:val="multilevel"/>
    <w:tmpl w:val="2A1B7B18"/>
    <w:lvl w:ilvl="0" w:tentative="0">
      <w:start w:val="18"/>
      <w:numFmt w:val="decimal"/>
      <w:lvlText w:val="%1"/>
      <w:lvlJc w:val="left"/>
      <w:pPr>
        <w:tabs>
          <w:tab w:val="left" w:pos="420"/>
        </w:tabs>
        <w:ind w:left="420" w:hanging="420"/>
      </w:pPr>
      <w:rPr>
        <w:rFonts w:hint="default"/>
        <w:color w:val="auto"/>
      </w:rPr>
    </w:lvl>
    <w:lvl w:ilvl="1" w:tentative="0">
      <w:start w:val="3"/>
      <w:numFmt w:val="decimal"/>
      <w:lvlText w:val="%1.%2"/>
      <w:lvlJc w:val="left"/>
      <w:pPr>
        <w:tabs>
          <w:tab w:val="left" w:pos="420"/>
        </w:tabs>
        <w:ind w:left="420" w:hanging="420"/>
      </w:pPr>
      <w:rPr>
        <w:rFonts w:hint="default"/>
        <w:color w:val="auto"/>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1080"/>
        </w:tabs>
        <w:ind w:left="1080" w:hanging="108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440"/>
        </w:tabs>
        <w:ind w:left="1440" w:hanging="144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800"/>
        </w:tabs>
        <w:ind w:left="1800" w:hanging="180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6">
    <w:nsid w:val="3E0D3F70"/>
    <w:multiLevelType w:val="multilevel"/>
    <w:tmpl w:val="3E0D3F70"/>
    <w:lvl w:ilvl="0" w:tentative="0">
      <w:start w:val="29"/>
      <w:numFmt w:val="decimal"/>
      <w:lvlText w:val="%1"/>
      <w:lvlJc w:val="left"/>
      <w:pPr>
        <w:tabs>
          <w:tab w:val="left" w:pos="420"/>
        </w:tabs>
        <w:ind w:left="420" w:hanging="420"/>
      </w:pPr>
      <w:rPr>
        <w:rFonts w:hint="default"/>
      </w:rPr>
    </w:lvl>
    <w:lvl w:ilvl="1" w:tentative="0">
      <w:start w:val="3"/>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465C7B7C"/>
    <w:multiLevelType w:val="multilevel"/>
    <w:tmpl w:val="465C7B7C"/>
    <w:lvl w:ilvl="0" w:tentative="0">
      <w:start w:val="1"/>
      <w:numFmt w:val="decimal"/>
      <w:lvlText w:val="%1）"/>
      <w:lvlJc w:val="left"/>
      <w:pPr>
        <w:tabs>
          <w:tab w:val="left" w:pos="851"/>
        </w:tabs>
        <w:ind w:left="851" w:hanging="454"/>
      </w:pPr>
      <w:rPr>
        <w:rFonts w:hint="default"/>
      </w:rPr>
    </w:lvl>
    <w:lvl w:ilvl="1" w:tentative="0">
      <w:start w:val="1"/>
      <w:numFmt w:val="decimal"/>
      <w:lvlText w:val="%2."/>
      <w:lvlJc w:val="left"/>
      <w:pPr>
        <w:tabs>
          <w:tab w:val="left" w:pos="780"/>
        </w:tabs>
        <w:ind w:left="780" w:hanging="360"/>
      </w:pPr>
      <w:rPr>
        <w:rFonts w:hint="default"/>
      </w:rPr>
    </w:lvl>
    <w:lvl w:ilvl="2" w:tentative="0">
      <w:start w:val="3"/>
      <w:numFmt w:val="japaneseCounting"/>
      <w:lvlText w:val="第%3篇"/>
      <w:lvlJc w:val="left"/>
      <w:pPr>
        <w:tabs>
          <w:tab w:val="left" w:pos="2115"/>
        </w:tabs>
        <w:ind w:left="2115" w:hanging="1275"/>
      </w:pPr>
      <w:rPr>
        <w:rFonts w:hint="default"/>
      </w:rPr>
    </w:lvl>
    <w:lvl w:ilvl="3" w:tentative="0">
      <w:start w:val="1"/>
      <w:numFmt w:val="decimal"/>
      <w:lvlText w:val="%4）"/>
      <w:lvlJc w:val="left"/>
      <w:pPr>
        <w:tabs>
          <w:tab w:val="left" w:pos="851"/>
        </w:tabs>
        <w:ind w:left="851" w:hanging="567"/>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F7158E5"/>
    <w:multiLevelType w:val="singleLevel"/>
    <w:tmpl w:val="4F7158E5"/>
    <w:lvl w:ilvl="0" w:tentative="0">
      <w:start w:val="1"/>
      <w:numFmt w:val="chineseCountingThousand"/>
      <w:lvlText w:val="第%1篇"/>
      <w:lvlJc w:val="left"/>
      <w:pPr>
        <w:tabs>
          <w:tab w:val="left" w:pos="855"/>
        </w:tabs>
        <w:ind w:left="855" w:hanging="855"/>
      </w:pPr>
      <w:rPr>
        <w:rFonts w:hint="default"/>
      </w:rPr>
    </w:lvl>
  </w:abstractNum>
  <w:abstractNum w:abstractNumId="9">
    <w:nsid w:val="524C6C15"/>
    <w:multiLevelType w:val="multilevel"/>
    <w:tmpl w:val="524C6C15"/>
    <w:lvl w:ilvl="0" w:tentative="0">
      <w:start w:val="1"/>
      <w:numFmt w:val="decimal"/>
      <w:lvlText w:val="%1）"/>
      <w:lvlJc w:val="left"/>
      <w:pPr>
        <w:tabs>
          <w:tab w:val="left" w:pos="851"/>
        </w:tabs>
        <w:ind w:left="851" w:hanging="454"/>
      </w:pPr>
      <w:rPr>
        <w:rFonts w:hint="default"/>
        <w:b w:val="0"/>
        <w:bCs w:val="0"/>
        <w:i w:val="0"/>
        <w:iCs w:val="0"/>
        <w:sz w:val="21"/>
        <w:szCs w:val="21"/>
      </w:rPr>
    </w:lvl>
    <w:lvl w:ilvl="1" w:tentative="0">
      <w:start w:val="10"/>
      <w:numFmt w:val="japaneseCounting"/>
      <w:lvlText w:val="第%2篇"/>
      <w:lvlJc w:val="left"/>
      <w:pPr>
        <w:tabs>
          <w:tab w:val="left" w:pos="1500"/>
        </w:tabs>
        <w:ind w:left="1500" w:hanging="1080"/>
      </w:pPr>
      <w:rPr>
        <w:rFonts w:hint="eastAsia"/>
        <w:color w:val="000000"/>
      </w:rPr>
    </w:lvl>
    <w:lvl w:ilvl="2" w:tentative="0">
      <w:start w:val="2"/>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A29B59B"/>
    <w:multiLevelType w:val="singleLevel"/>
    <w:tmpl w:val="5A29B59B"/>
    <w:lvl w:ilvl="0" w:tentative="0">
      <w:start w:val="1"/>
      <w:numFmt w:val="decimal"/>
      <w:suff w:val="nothing"/>
      <w:lvlText w:val="%1 "/>
      <w:lvlJc w:val="left"/>
    </w:lvl>
  </w:abstractNum>
  <w:abstractNum w:abstractNumId="11">
    <w:nsid w:val="5A29B638"/>
    <w:multiLevelType w:val="singleLevel"/>
    <w:tmpl w:val="5A29B638"/>
    <w:lvl w:ilvl="0" w:tentative="0">
      <w:start w:val="7"/>
      <w:numFmt w:val="decimal"/>
      <w:suff w:val="nothing"/>
      <w:lvlText w:val="%1 "/>
      <w:lvlJc w:val="left"/>
    </w:lvl>
  </w:abstractNum>
  <w:abstractNum w:abstractNumId="12">
    <w:nsid w:val="5A29C7C8"/>
    <w:multiLevelType w:val="singleLevel"/>
    <w:tmpl w:val="5A29C7C8"/>
    <w:lvl w:ilvl="0" w:tentative="0">
      <w:start w:val="28"/>
      <w:numFmt w:val="decimal"/>
      <w:suff w:val="nothing"/>
      <w:lvlText w:val="%1 "/>
      <w:lvlJc w:val="left"/>
    </w:lvl>
  </w:abstractNum>
  <w:abstractNum w:abstractNumId="13">
    <w:nsid w:val="5EF77D17"/>
    <w:multiLevelType w:val="multilevel"/>
    <w:tmpl w:val="5EF77D17"/>
    <w:lvl w:ilvl="0" w:tentative="0">
      <w:start w:val="1"/>
      <w:numFmt w:val="decimal"/>
      <w:lvlText w:val="%1)"/>
      <w:lvlJc w:val="left"/>
      <w:pPr>
        <w:tabs>
          <w:tab w:val="left" w:pos="851"/>
        </w:tabs>
        <w:ind w:left="851" w:hanging="454"/>
      </w:pPr>
      <w:rPr>
        <w:rFonts w:hint="default" w:ascii="Arial" w:hAnsi="Arial" w:cs="Arial"/>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8884A7C"/>
    <w:multiLevelType w:val="singleLevel"/>
    <w:tmpl w:val="78884A7C"/>
    <w:lvl w:ilvl="0" w:tentative="0">
      <w:start w:val="1"/>
      <w:numFmt w:val="decimal"/>
      <w:lvlText w:val="（%1）"/>
      <w:lvlJc w:val="left"/>
      <w:pPr>
        <w:tabs>
          <w:tab w:val="left" w:pos="525"/>
        </w:tabs>
        <w:ind w:left="525" w:hanging="525"/>
      </w:pPr>
      <w:rPr>
        <w:rFonts w:hint="eastAsia"/>
      </w:rPr>
    </w:lvl>
  </w:abstractNum>
  <w:num w:numId="1">
    <w:abstractNumId w:val="4"/>
  </w:num>
  <w:num w:numId="2">
    <w:abstractNumId w:val="8"/>
  </w:num>
  <w:num w:numId="3">
    <w:abstractNumId w:val="10"/>
  </w:num>
  <w:num w:numId="4">
    <w:abstractNumId w:val="11"/>
  </w:num>
  <w:num w:numId="5">
    <w:abstractNumId w:val="13"/>
  </w:num>
  <w:num w:numId="6">
    <w:abstractNumId w:val="3"/>
  </w:num>
  <w:num w:numId="7">
    <w:abstractNumId w:val="7"/>
  </w:num>
  <w:num w:numId="8">
    <w:abstractNumId w:val="5"/>
  </w:num>
  <w:num w:numId="9">
    <w:abstractNumId w:val="14"/>
  </w:num>
  <w:num w:numId="10">
    <w:abstractNumId w:val="12"/>
  </w:num>
  <w:num w:numId="11">
    <w:abstractNumId w:val="6"/>
  </w:num>
  <w:num w:numId="12">
    <w:abstractNumId w:val="0"/>
  </w:num>
  <w:num w:numId="13">
    <w:abstractNumId w:val="9"/>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k3ZWVkMjY3OGIzZjU1NDdlMTYyYTQ1OTQxMDQ5ZWUifQ=="/>
  </w:docVars>
  <w:rsids>
    <w:rsidRoot w:val="461C6C92"/>
    <w:rsid w:val="003339B4"/>
    <w:rsid w:val="00500919"/>
    <w:rsid w:val="009F730C"/>
    <w:rsid w:val="00CB0AC8"/>
    <w:rsid w:val="00EC701B"/>
    <w:rsid w:val="01CC1A40"/>
    <w:rsid w:val="035D4EAA"/>
    <w:rsid w:val="035E215C"/>
    <w:rsid w:val="047E17B0"/>
    <w:rsid w:val="04F82B4C"/>
    <w:rsid w:val="055663BC"/>
    <w:rsid w:val="05BB6053"/>
    <w:rsid w:val="07097292"/>
    <w:rsid w:val="07F25F78"/>
    <w:rsid w:val="09016473"/>
    <w:rsid w:val="09772218"/>
    <w:rsid w:val="09C9636F"/>
    <w:rsid w:val="0ABC1CE0"/>
    <w:rsid w:val="0B717604"/>
    <w:rsid w:val="0B7849E6"/>
    <w:rsid w:val="0C470E59"/>
    <w:rsid w:val="0EB26F9C"/>
    <w:rsid w:val="0ED16BF4"/>
    <w:rsid w:val="0ED72CF9"/>
    <w:rsid w:val="11833E17"/>
    <w:rsid w:val="12326877"/>
    <w:rsid w:val="12E55050"/>
    <w:rsid w:val="13E956EB"/>
    <w:rsid w:val="15CF1CEE"/>
    <w:rsid w:val="1643407D"/>
    <w:rsid w:val="16445BF1"/>
    <w:rsid w:val="183C2AD7"/>
    <w:rsid w:val="18551DF9"/>
    <w:rsid w:val="190C0BF5"/>
    <w:rsid w:val="19143D87"/>
    <w:rsid w:val="191B1126"/>
    <w:rsid w:val="197902A7"/>
    <w:rsid w:val="19CE23A1"/>
    <w:rsid w:val="1B6B6F43"/>
    <w:rsid w:val="1B7E1BA5"/>
    <w:rsid w:val="1BC9516B"/>
    <w:rsid w:val="1BF2413A"/>
    <w:rsid w:val="1C014AF9"/>
    <w:rsid w:val="1C9A61D0"/>
    <w:rsid w:val="1CDD0B4D"/>
    <w:rsid w:val="1D002901"/>
    <w:rsid w:val="1E8877D6"/>
    <w:rsid w:val="1F813A12"/>
    <w:rsid w:val="20895296"/>
    <w:rsid w:val="20976CAE"/>
    <w:rsid w:val="21833559"/>
    <w:rsid w:val="21E538AD"/>
    <w:rsid w:val="222C40A0"/>
    <w:rsid w:val="224F683A"/>
    <w:rsid w:val="23612D18"/>
    <w:rsid w:val="24247062"/>
    <w:rsid w:val="266A16A4"/>
    <w:rsid w:val="27FE3ACF"/>
    <w:rsid w:val="28137B19"/>
    <w:rsid w:val="28207AC5"/>
    <w:rsid w:val="292024ED"/>
    <w:rsid w:val="296F3FD6"/>
    <w:rsid w:val="2AC82E3D"/>
    <w:rsid w:val="2AD96DF8"/>
    <w:rsid w:val="2DC52A39"/>
    <w:rsid w:val="2E3D31FA"/>
    <w:rsid w:val="2E5A0B4E"/>
    <w:rsid w:val="2E917C08"/>
    <w:rsid w:val="306C0F71"/>
    <w:rsid w:val="30B906BA"/>
    <w:rsid w:val="30DB2EE4"/>
    <w:rsid w:val="311346E6"/>
    <w:rsid w:val="324229FC"/>
    <w:rsid w:val="32F04CDF"/>
    <w:rsid w:val="331C3D26"/>
    <w:rsid w:val="33AA1331"/>
    <w:rsid w:val="33C148CD"/>
    <w:rsid w:val="33F627C9"/>
    <w:rsid w:val="35523A2F"/>
    <w:rsid w:val="360D571A"/>
    <w:rsid w:val="371478C8"/>
    <w:rsid w:val="37455D7E"/>
    <w:rsid w:val="38A81BB8"/>
    <w:rsid w:val="38FF4281"/>
    <w:rsid w:val="39EF3592"/>
    <w:rsid w:val="3A345DF9"/>
    <w:rsid w:val="3A9258EC"/>
    <w:rsid w:val="3B6A32E2"/>
    <w:rsid w:val="3B991ADB"/>
    <w:rsid w:val="3BF70E8C"/>
    <w:rsid w:val="3D9A41C5"/>
    <w:rsid w:val="3E500208"/>
    <w:rsid w:val="3EA66778"/>
    <w:rsid w:val="3F147FA7"/>
    <w:rsid w:val="3F6F1681"/>
    <w:rsid w:val="40D26730"/>
    <w:rsid w:val="429F0276"/>
    <w:rsid w:val="42EC1C14"/>
    <w:rsid w:val="43635059"/>
    <w:rsid w:val="440700DA"/>
    <w:rsid w:val="444960AC"/>
    <w:rsid w:val="447846A6"/>
    <w:rsid w:val="4598760A"/>
    <w:rsid w:val="461C6C92"/>
    <w:rsid w:val="46337392"/>
    <w:rsid w:val="46873754"/>
    <w:rsid w:val="46AB7443"/>
    <w:rsid w:val="46D14F31"/>
    <w:rsid w:val="46E951A1"/>
    <w:rsid w:val="470C767C"/>
    <w:rsid w:val="483925B8"/>
    <w:rsid w:val="48FE7A7A"/>
    <w:rsid w:val="494E0559"/>
    <w:rsid w:val="49C75611"/>
    <w:rsid w:val="49F27137"/>
    <w:rsid w:val="4A586B39"/>
    <w:rsid w:val="4B0B6702"/>
    <w:rsid w:val="4C5A0678"/>
    <w:rsid w:val="4C8B224F"/>
    <w:rsid w:val="4CB71DE9"/>
    <w:rsid w:val="4D1F4937"/>
    <w:rsid w:val="4D9A5B1B"/>
    <w:rsid w:val="4F3C6FED"/>
    <w:rsid w:val="4F42057B"/>
    <w:rsid w:val="5167040A"/>
    <w:rsid w:val="519D4ADB"/>
    <w:rsid w:val="526F3A1A"/>
    <w:rsid w:val="52CC2C1B"/>
    <w:rsid w:val="52F937AB"/>
    <w:rsid w:val="53963229"/>
    <w:rsid w:val="53D33B35"/>
    <w:rsid w:val="540C383F"/>
    <w:rsid w:val="54605CC9"/>
    <w:rsid w:val="563B5ED2"/>
    <w:rsid w:val="57904E7E"/>
    <w:rsid w:val="58C8629E"/>
    <w:rsid w:val="59517945"/>
    <w:rsid w:val="5A922D1F"/>
    <w:rsid w:val="5ABD553F"/>
    <w:rsid w:val="5ACC1F3D"/>
    <w:rsid w:val="5B0D3EF9"/>
    <w:rsid w:val="5B2B24A8"/>
    <w:rsid w:val="5C966973"/>
    <w:rsid w:val="5CE46DB3"/>
    <w:rsid w:val="5DC17AE2"/>
    <w:rsid w:val="5E4866AE"/>
    <w:rsid w:val="5E512226"/>
    <w:rsid w:val="5FAB2FBA"/>
    <w:rsid w:val="60DA29A7"/>
    <w:rsid w:val="61426ECD"/>
    <w:rsid w:val="62BA1060"/>
    <w:rsid w:val="62DA2D98"/>
    <w:rsid w:val="63041F5D"/>
    <w:rsid w:val="6398505B"/>
    <w:rsid w:val="63D74457"/>
    <w:rsid w:val="640B10C9"/>
    <w:rsid w:val="647C65EA"/>
    <w:rsid w:val="65AD64B9"/>
    <w:rsid w:val="65DF2B59"/>
    <w:rsid w:val="66CB0213"/>
    <w:rsid w:val="67070EB8"/>
    <w:rsid w:val="67CB129B"/>
    <w:rsid w:val="67DA328C"/>
    <w:rsid w:val="68DB0282"/>
    <w:rsid w:val="69520DA3"/>
    <w:rsid w:val="69D777D1"/>
    <w:rsid w:val="6A7A34BB"/>
    <w:rsid w:val="6AC21DFD"/>
    <w:rsid w:val="6BCA186A"/>
    <w:rsid w:val="6C094140"/>
    <w:rsid w:val="6D440BF3"/>
    <w:rsid w:val="6D795AC8"/>
    <w:rsid w:val="6E0576DD"/>
    <w:rsid w:val="6E535B46"/>
    <w:rsid w:val="6E734B59"/>
    <w:rsid w:val="6F4A6F49"/>
    <w:rsid w:val="6F59718C"/>
    <w:rsid w:val="6F5E450D"/>
    <w:rsid w:val="718B55F7"/>
    <w:rsid w:val="71984A32"/>
    <w:rsid w:val="71DA192B"/>
    <w:rsid w:val="724265FE"/>
    <w:rsid w:val="7366117B"/>
    <w:rsid w:val="741A62A4"/>
    <w:rsid w:val="744B7636"/>
    <w:rsid w:val="74DD79F9"/>
    <w:rsid w:val="760B2304"/>
    <w:rsid w:val="76362556"/>
    <w:rsid w:val="76444E30"/>
    <w:rsid w:val="764A4174"/>
    <w:rsid w:val="76713303"/>
    <w:rsid w:val="76E9198A"/>
    <w:rsid w:val="77277B70"/>
    <w:rsid w:val="78812A48"/>
    <w:rsid w:val="78A10ADB"/>
    <w:rsid w:val="78DF4BA6"/>
    <w:rsid w:val="79753569"/>
    <w:rsid w:val="79A13C0A"/>
    <w:rsid w:val="79FC3536"/>
    <w:rsid w:val="7A7C6425"/>
    <w:rsid w:val="7A97325F"/>
    <w:rsid w:val="7AAD2C7D"/>
    <w:rsid w:val="7AB973F2"/>
    <w:rsid w:val="7BA15E7D"/>
    <w:rsid w:val="7FCE52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
    <w:pPr>
      <w:keepNext/>
      <w:jc w:val="center"/>
      <w:outlineLvl w:val="0"/>
    </w:pPr>
    <w:rPr>
      <w:rFonts w:ascii="楷体_GB2312" w:eastAsia="楷体_GB2312"/>
      <w:b/>
      <w:sz w:val="28"/>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style>
  <w:style w:type="paragraph" w:styleId="6">
    <w:name w:val="Body Text Indent"/>
    <w:basedOn w:val="1"/>
    <w:qFormat/>
    <w:uiPriority w:val="99"/>
    <w:pPr>
      <w:ind w:left="567" w:leftChars="270"/>
    </w:pPr>
  </w:style>
  <w:style w:type="paragraph" w:styleId="7">
    <w:name w:val="Block Text"/>
    <w:basedOn w:val="1"/>
    <w:qFormat/>
    <w:uiPriority w:val="99"/>
    <w:pPr>
      <w:widowControl/>
      <w:autoSpaceDE w:val="0"/>
      <w:autoSpaceDN w:val="0"/>
      <w:adjustRightInd w:val="0"/>
      <w:spacing w:line="315" w:lineRule="atLeast"/>
      <w:ind w:left="-540" w:right="893"/>
      <w:jc w:val="left"/>
      <w:textAlignment w:val="bottom"/>
    </w:pPr>
    <w:rPr>
      <w:rFonts w:ascii="宋体" w:cs="宋体"/>
      <w:kern w:val="0"/>
      <w:sz w:val="28"/>
      <w:szCs w:val="28"/>
    </w:rPr>
  </w:style>
  <w:style w:type="paragraph" w:styleId="8">
    <w:name w:val="Plain Text"/>
    <w:basedOn w:val="1"/>
    <w:qFormat/>
    <w:uiPriority w:val="0"/>
    <w:rPr>
      <w:rFonts w:ascii="宋体" w:hAnsi="Courier New"/>
      <w:b/>
    </w:rPr>
  </w:style>
  <w:style w:type="paragraph" w:styleId="9">
    <w:name w:val="Date"/>
    <w:basedOn w:val="1"/>
    <w:next w:val="1"/>
    <w:qFormat/>
    <w:uiPriority w:val="99"/>
  </w:style>
  <w:style w:type="paragraph" w:styleId="10">
    <w:name w:val="footer"/>
    <w:basedOn w:val="1"/>
    <w:qFormat/>
    <w:uiPriority w:val="99"/>
    <w:pPr>
      <w:tabs>
        <w:tab w:val="center" w:pos="4320"/>
        <w:tab w:val="right" w:pos="8640"/>
      </w:tabs>
      <w:adjustRightInd w:val="0"/>
      <w:spacing w:line="240" w:lineRule="atLeast"/>
      <w:jc w:val="left"/>
      <w:textAlignment w:val="baseline"/>
    </w:pPr>
    <w:rPr>
      <w:rFonts w:ascii="宋体" w:cs="宋体"/>
      <w:kern w:val="0"/>
      <w:sz w:val="18"/>
      <w:szCs w:val="18"/>
    </w:rPr>
  </w:style>
  <w:style w:type="paragraph" w:styleId="11">
    <w:name w:val="header"/>
    <w:basedOn w:val="1"/>
    <w:qFormat/>
    <w:uiPriority w:val="99"/>
    <w:pPr>
      <w:pBdr>
        <w:bottom w:val="single" w:color="auto" w:sz="6" w:space="3"/>
      </w:pBdr>
      <w:tabs>
        <w:tab w:val="center" w:pos="4153"/>
        <w:tab w:val="right" w:pos="8306"/>
      </w:tabs>
      <w:snapToGrid w:val="0"/>
      <w:ind w:firstLine="4560" w:firstLineChars="1900"/>
    </w:pPr>
    <w:rPr>
      <w:rFonts w:eastAsia="华文行楷"/>
      <w:sz w:val="24"/>
      <w:szCs w:val="24"/>
    </w:rPr>
  </w:style>
  <w:style w:type="paragraph" w:styleId="12">
    <w:name w:val="Body Text 2"/>
    <w:basedOn w:val="1"/>
    <w:qFormat/>
    <w:uiPriority w:val="99"/>
    <w:pPr>
      <w:widowControl/>
      <w:adjustRightInd w:val="0"/>
      <w:spacing w:line="315" w:lineRule="atLeast"/>
      <w:textAlignment w:val="baseline"/>
    </w:pPr>
    <w:rPr>
      <w:kern w:val="0"/>
    </w:rPr>
  </w:style>
  <w:style w:type="paragraph" w:styleId="13">
    <w:name w:val="Normal (Web)"/>
    <w:basedOn w:val="1"/>
    <w:qFormat/>
    <w:uiPriority w:val="99"/>
    <w:pPr>
      <w:widowControl/>
      <w:spacing w:beforeAutospacing="1" w:afterAutospacing="1"/>
      <w:jc w:val="left"/>
    </w:pPr>
    <w:rPr>
      <w:rFonts w:ascii="宋体" w:hAnsi="宋体" w:cs="宋体"/>
      <w:kern w:val="0"/>
      <w:sz w:val="24"/>
      <w:szCs w:val="24"/>
    </w:rPr>
  </w:style>
  <w:style w:type="paragraph" w:styleId="14">
    <w:name w:val="Body Text First Indent 2"/>
    <w:basedOn w:val="6"/>
    <w:unhideWhenUsed/>
    <w:qFormat/>
    <w:uiPriority w:val="99"/>
    <w:pPr>
      <w:ind w:firstLine="420" w:firstLineChars="200"/>
    </w:p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style>
  <w:style w:type="character" w:styleId="19">
    <w:name w:val="FollowedHyperlink"/>
    <w:basedOn w:val="17"/>
    <w:qFormat/>
    <w:uiPriority w:val="0"/>
    <w:rPr>
      <w:color w:val="72ACE8"/>
      <w:u w:val="single"/>
    </w:rPr>
  </w:style>
  <w:style w:type="character" w:styleId="20">
    <w:name w:val="Hyperlink"/>
    <w:basedOn w:val="17"/>
    <w:qFormat/>
    <w:uiPriority w:val="99"/>
    <w:rPr>
      <w:color w:val="0000FF"/>
      <w:u w:val="none"/>
    </w:rPr>
  </w:style>
  <w:style w:type="paragraph" w:customStyle="1" w:styleId="21">
    <w:name w:val="TOC 标题1"/>
    <w:basedOn w:val="2"/>
    <w:next w:val="1"/>
    <w:autoRedefine/>
    <w:qFormat/>
    <w:uiPriority w:val="39"/>
    <w:pPr>
      <w:tabs>
        <w:tab w:val="left" w:pos="1800"/>
      </w:tabs>
      <w:spacing w:before="480" w:line="276" w:lineRule="auto"/>
      <w:outlineLvl w:val="9"/>
    </w:pPr>
    <w:rPr>
      <w:rFonts w:ascii="仿宋" w:hAnsi="仿宋" w:eastAsia="仿宋"/>
      <w:color w:val="000000"/>
      <w:kern w:val="0"/>
      <w:szCs w:val="32"/>
    </w:rPr>
  </w:style>
  <w:style w:type="paragraph" w:customStyle="1" w:styleId="22">
    <w:name w:val="列出段落1"/>
    <w:basedOn w:val="1"/>
    <w:qFormat/>
    <w:uiPriority w:val="99"/>
    <w:pPr>
      <w:tabs>
        <w:tab w:val="left" w:pos="902"/>
      </w:tabs>
      <w:ind w:left="902" w:hanging="420"/>
    </w:pPr>
    <w:rPr>
      <w:rFonts w:ascii="Verdana" w:hAnsi="Verdana" w:eastAsia="微软雅黑"/>
      <w:sz w:val="24"/>
    </w:rPr>
  </w:style>
  <w:style w:type="character" w:customStyle="1" w:styleId="23">
    <w:name w:val="edui-clickable2"/>
    <w:basedOn w:val="17"/>
    <w:qFormat/>
    <w:uiPriority w:val="0"/>
    <w:rPr>
      <w:color w:val="0000FF"/>
      <w:u w:val="single"/>
    </w:rPr>
  </w:style>
  <w:style w:type="character" w:customStyle="1" w:styleId="24">
    <w:name w:val="edui-unclickable"/>
    <w:basedOn w:val="17"/>
    <w:qFormat/>
    <w:uiPriority w:val="0"/>
    <w:rPr>
      <w:color w:val="808080"/>
    </w:rPr>
  </w:style>
  <w:style w:type="paragraph" w:styleId="25">
    <w:name w:val="List Paragraph"/>
    <w:basedOn w:val="1"/>
    <w:qFormat/>
    <w:uiPriority w:val="34"/>
    <w:pPr>
      <w:ind w:firstLine="420" w:firstLineChars="200"/>
    </w:pPr>
    <w:rPr>
      <w:szCs w:val="22"/>
    </w:rPr>
  </w:style>
  <w:style w:type="paragraph" w:customStyle="1" w:styleId="26">
    <w:name w:val="List Paragraph1"/>
    <w:basedOn w:val="1"/>
    <w:unhideWhenUsed/>
    <w:qFormat/>
    <w:uiPriority w:val="0"/>
    <w:pPr>
      <w:ind w:firstLine="420" w:firstLineChars="200"/>
    </w:pPr>
  </w:style>
  <w:style w:type="character" w:customStyle="1" w:styleId="27">
    <w:name w:val="font51"/>
    <w:basedOn w:val="17"/>
    <w:qFormat/>
    <w:uiPriority w:val="0"/>
    <w:rPr>
      <w:rFonts w:hint="eastAsia" w:ascii="宋体" w:hAnsi="宋体" w:eastAsia="宋体" w:cs="宋体"/>
      <w:color w:val="000000"/>
      <w:sz w:val="24"/>
      <w:szCs w:val="24"/>
      <w:u w:val="none"/>
    </w:rPr>
  </w:style>
  <w:style w:type="character" w:customStyle="1" w:styleId="28">
    <w:name w:val="font01"/>
    <w:basedOn w:val="17"/>
    <w:qFormat/>
    <w:uiPriority w:val="0"/>
    <w:rPr>
      <w:rFonts w:ascii="Symbol" w:hAnsi="Symbol" w:cs="Symbol"/>
      <w:color w:val="000000"/>
      <w:sz w:val="24"/>
      <w:szCs w:val="24"/>
      <w:u w:val="none"/>
    </w:rPr>
  </w:style>
  <w:style w:type="paragraph" w:customStyle="1" w:styleId="29">
    <w:name w:val="样式1"/>
    <w:basedOn w:val="1"/>
    <w:qFormat/>
    <w:uiPriority w:val="0"/>
    <w:pPr>
      <w:widowControl/>
      <w:numPr>
        <w:ilvl w:val="0"/>
        <w:numId w:val="1"/>
      </w:numPr>
      <w:ind w:left="704"/>
      <w:jc w:val="center"/>
    </w:pPr>
    <w:rPr>
      <w:rFonts w:ascii="宋体" w:hAnsi="宋体" w:cs="宋体"/>
      <w:color w:val="000000"/>
      <w:kern w:val="0"/>
      <w:sz w:val="20"/>
      <w:szCs w:val="20"/>
    </w:rPr>
  </w:style>
  <w:style w:type="paragraph" w:customStyle="1" w:styleId="30">
    <w:name w:val="列表段落1"/>
    <w:basedOn w:val="1"/>
    <w:qFormat/>
    <w:uiPriority w:val="0"/>
    <w:pPr>
      <w:ind w:firstLine="420" w:firstLineChars="200"/>
    </w:pPr>
    <w:rPr>
      <w:rFonts w:ascii="等线" w:hAnsi="等线" w:eastAsia="等线"/>
    </w:rPr>
  </w:style>
  <w:style w:type="paragraph" w:styleId="31">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32">
    <w:name w:val="font161"/>
    <w:basedOn w:val="17"/>
    <w:qFormat/>
    <w:uiPriority w:val="0"/>
    <w:rPr>
      <w:rFonts w:hint="eastAsia" w:ascii="等线" w:hAnsi="等线" w:eastAsia="等线" w:cs="等线"/>
      <w:color w:val="000000"/>
      <w:sz w:val="22"/>
      <w:szCs w:val="22"/>
      <w:u w:val="none"/>
    </w:rPr>
  </w:style>
  <w:style w:type="character" w:customStyle="1" w:styleId="33">
    <w:name w:val="font11"/>
    <w:basedOn w:val="17"/>
    <w:qFormat/>
    <w:uiPriority w:val="0"/>
    <w:rPr>
      <w:rFonts w:hint="default" w:ascii="Calibri" w:hAnsi="Calibri" w:cs="Calibri"/>
      <w:color w:val="000000"/>
      <w:sz w:val="21"/>
      <w:szCs w:val="21"/>
      <w:u w:val="none"/>
    </w:rPr>
  </w:style>
  <w:style w:type="character" w:customStyle="1" w:styleId="34">
    <w:name w:val="font21"/>
    <w:basedOn w:val="17"/>
    <w:qFormat/>
    <w:uiPriority w:val="0"/>
    <w:rPr>
      <w:rFonts w:hint="eastAsia" w:ascii="宋体" w:hAnsi="宋体" w:eastAsia="宋体" w:cs="宋体"/>
      <w:color w:val="000000"/>
      <w:sz w:val="21"/>
      <w:szCs w:val="21"/>
      <w:u w:val="none"/>
    </w:rPr>
  </w:style>
  <w:style w:type="character" w:customStyle="1" w:styleId="35">
    <w:name w:val="font61"/>
    <w:basedOn w:val="17"/>
    <w:qFormat/>
    <w:uiPriority w:val="0"/>
    <w:rPr>
      <w:rFonts w:ascii="Calibri" w:hAnsi="Calibri" w:cs="Calibri"/>
      <w:color w:val="000000"/>
      <w:sz w:val="20"/>
      <w:szCs w:val="20"/>
      <w:u w:val="none"/>
    </w:rPr>
  </w:style>
  <w:style w:type="character" w:customStyle="1" w:styleId="36">
    <w:name w:val="font81"/>
    <w:basedOn w:val="17"/>
    <w:qFormat/>
    <w:uiPriority w:val="0"/>
    <w:rPr>
      <w:rFonts w:hint="eastAsia" w:ascii="宋体" w:hAnsi="宋体" w:eastAsia="宋体" w:cs="宋体"/>
      <w:color w:val="000000"/>
      <w:sz w:val="20"/>
      <w:szCs w:val="20"/>
      <w:u w:val="none"/>
    </w:rPr>
  </w:style>
  <w:style w:type="character" w:customStyle="1" w:styleId="37">
    <w:name w:val="font31"/>
    <w:basedOn w:val="17"/>
    <w:qFormat/>
    <w:uiPriority w:val="0"/>
    <w:rPr>
      <w:rFonts w:hint="eastAsia" w:ascii="宋体" w:hAnsi="宋体" w:eastAsia="宋体" w:cs="宋体"/>
      <w:color w:val="000000"/>
      <w:sz w:val="32"/>
      <w:szCs w:val="32"/>
      <w:u w:val="none"/>
    </w:rPr>
  </w:style>
  <w:style w:type="character" w:customStyle="1" w:styleId="38">
    <w:name w:val="NormalCharacter"/>
    <w:qFormat/>
    <w:uiPriority w:val="0"/>
    <w:rPr>
      <w:rFonts w:ascii="Calibri" w:hAnsi="Calibri"/>
      <w:kern w:val="2"/>
      <w:sz w:val="21"/>
      <w:szCs w:val="22"/>
      <w:lang w:val="en-US" w:eastAsia="zh-CN" w:bidi="ar-SA"/>
    </w:rPr>
  </w:style>
  <w:style w:type="paragraph" w:customStyle="1" w:styleId="39">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14868</Words>
  <Characters>15891</Characters>
  <Lines>209</Lines>
  <Paragraphs>58</Paragraphs>
  <TotalTime>10</TotalTime>
  <ScaleCrop>false</ScaleCrop>
  <LinksUpToDate>false</LinksUpToDate>
  <CharactersWithSpaces>16405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2019-08-22T03:10:00Z</dcterms:created>
  <dc:creator>Administrator</dc:creator>
  <cp:lastModifiedBy>空</cp:lastModifiedBy>
  <cp:lastPrinted>2021-10-20T01:35:00Z</cp:lastPrinted>
  <dcterms:modified xsi:type="dcterms:W3CDTF">2025-03-07T06:17:16Z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FF80C70C92A54B54ADBE0CA89E7BEB25</vt:lpwstr>
  </property>
  <property fmtid="{D5CDD505-2E9C-101B-9397-08002B2CF9AE}" pid="4" name="KSOTemplateDocerSaveRecord">
    <vt:lpwstr>eyJoZGlkIjoiNjk3ZWVkMjY3OGIzZjU1NDdlMTYyYTQ1OTQxMDQ5ZWUiLCJ1c2VySWQiOiI3NDM1ODM4NTgifQ==</vt:lpwstr>
  </property>
</Properties>
</file>